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A2C1" w14:textId="77777777" w:rsidR="00B60939" w:rsidRPr="00B02C2E" w:rsidRDefault="00550195" w:rsidP="004A6040">
      <w:pPr>
        <w:pStyle w:val="1-MainHeading"/>
      </w:pPr>
      <w:r w:rsidRPr="00B02C2E">
        <w:t>7.05</w:t>
      </w:r>
      <w:r w:rsidR="00163F66" w:rsidRPr="00B02C2E">
        <w:tab/>
      </w:r>
      <w:r w:rsidR="00874579" w:rsidRPr="00B02C2E">
        <w:t>ECULIZUMAB</w:t>
      </w:r>
      <w:r w:rsidR="00163F66" w:rsidRPr="00B02C2E">
        <w:t>,</w:t>
      </w:r>
      <w:r w:rsidR="00163F66" w:rsidRPr="00B02C2E">
        <w:br/>
      </w:r>
      <w:r w:rsidR="00DB504A" w:rsidRPr="00B02C2E">
        <w:t>Solution concentrate</w:t>
      </w:r>
      <w:r w:rsidR="000A6D41" w:rsidRPr="00B02C2E">
        <w:t xml:space="preserve"> for I.V. infusion 300 mg in 30 </w:t>
      </w:r>
      <w:r w:rsidR="00DB504A" w:rsidRPr="00B02C2E">
        <w:t>mL</w:t>
      </w:r>
      <w:r w:rsidR="00163F66" w:rsidRPr="00B02C2E">
        <w:t>,</w:t>
      </w:r>
      <w:r w:rsidR="00163F66" w:rsidRPr="00B02C2E">
        <w:br/>
      </w:r>
      <w:r w:rsidR="00DB504A" w:rsidRPr="00B02C2E">
        <w:t>Soliris</w:t>
      </w:r>
      <w:r w:rsidR="00B60939" w:rsidRPr="00B02C2E">
        <w:rPr>
          <w:vertAlign w:val="superscript"/>
        </w:rPr>
        <w:t>®</w:t>
      </w:r>
      <w:r w:rsidR="004A6040" w:rsidRPr="00B02C2E">
        <w:t>,</w:t>
      </w:r>
      <w:r w:rsidR="004A6040" w:rsidRPr="00B02C2E">
        <w:br/>
      </w:r>
      <w:r w:rsidR="00DB504A" w:rsidRPr="00B02C2E">
        <w:t>Alexion Pharmaceuticals</w:t>
      </w:r>
      <w:r w:rsidR="00DD15BE" w:rsidRPr="00B02C2E">
        <w:t xml:space="preserve"> Australasia Pty Ltd</w:t>
      </w:r>
    </w:p>
    <w:p w14:paraId="048D9AC9" w14:textId="77777777" w:rsidR="00B50DB8" w:rsidRPr="00B02C2E" w:rsidRDefault="00B50DB8" w:rsidP="004A6040">
      <w:pPr>
        <w:pStyle w:val="2-SectionHeading"/>
      </w:pPr>
      <w:bookmarkStart w:id="0" w:name="_Toc82079269"/>
      <w:r w:rsidRPr="00B02C2E">
        <w:t xml:space="preserve">Purpose of </w:t>
      </w:r>
      <w:r w:rsidR="00CD7193" w:rsidRPr="00B02C2E">
        <w:t>s</w:t>
      </w:r>
      <w:r w:rsidR="00BB3A45" w:rsidRPr="00B02C2E">
        <w:t>ubmission</w:t>
      </w:r>
      <w:bookmarkEnd w:id="0"/>
    </w:p>
    <w:p w14:paraId="4777CE3C" w14:textId="77777777" w:rsidR="00B517FB" w:rsidRPr="00B02C2E" w:rsidRDefault="00B517FB" w:rsidP="00B517FB">
      <w:pPr>
        <w:pStyle w:val="ExecSumBodyText"/>
        <w:rPr>
          <w:iCs/>
        </w:rPr>
      </w:pPr>
      <w:r w:rsidRPr="00B02C2E">
        <w:t xml:space="preserve">The </w:t>
      </w:r>
      <w:r w:rsidR="00C754F1" w:rsidRPr="00B02C2E">
        <w:t xml:space="preserve">Standard Re-Entry </w:t>
      </w:r>
      <w:r w:rsidRPr="00B02C2E">
        <w:t xml:space="preserve">submission requested a Section 100 (Highly Specialised Drug) PBS listing for eculizumab for the treatment of patients with neuromyelitis optica spectrum disorder (NMOSD) who are aquaporin-4 </w:t>
      </w:r>
      <w:r w:rsidR="00DF06FF" w:rsidRPr="00B02C2E">
        <w:t xml:space="preserve">positive </w:t>
      </w:r>
      <w:r w:rsidRPr="00B02C2E">
        <w:t>(AQP4</w:t>
      </w:r>
      <w:r w:rsidR="00DF06FF" w:rsidRPr="00B02C2E">
        <w:t>+</w:t>
      </w:r>
      <w:r w:rsidRPr="00B02C2E">
        <w:t xml:space="preserve">) </w:t>
      </w:r>
      <w:r w:rsidR="00ED71BC" w:rsidRPr="00B02C2E">
        <w:t xml:space="preserve">with an Expanded Disability Status Scale (EDSS) score </w:t>
      </w:r>
      <w:r w:rsidR="00ED71BC" w:rsidRPr="00B02C2E">
        <w:rPr>
          <w:rFonts w:cstheme="minorHAnsi"/>
        </w:rPr>
        <w:t>≤</w:t>
      </w:r>
      <w:r w:rsidR="006F3101" w:rsidRPr="00B02C2E">
        <w:rPr>
          <w:rFonts w:cstheme="minorHAnsi"/>
        </w:rPr>
        <w:t xml:space="preserve"> </w:t>
      </w:r>
      <w:r w:rsidR="00ED71BC" w:rsidRPr="00B02C2E">
        <w:t xml:space="preserve">7, </w:t>
      </w:r>
      <w:r w:rsidRPr="00B02C2E">
        <w:t xml:space="preserve">and who have either frequent relapses, or a prior immunosuppressive event. </w:t>
      </w:r>
      <w:r w:rsidRPr="00B02C2E">
        <w:rPr>
          <w:iCs/>
        </w:rPr>
        <w:t xml:space="preserve">The PBAC previously considered eculizumab for </w:t>
      </w:r>
      <w:r w:rsidR="002C0315" w:rsidRPr="00B02C2E">
        <w:rPr>
          <w:iCs/>
        </w:rPr>
        <w:t>NMOSD</w:t>
      </w:r>
      <w:r w:rsidRPr="00B02C2E">
        <w:rPr>
          <w:iCs/>
        </w:rPr>
        <w:t xml:space="preserve"> in November 2020.</w:t>
      </w:r>
    </w:p>
    <w:p w14:paraId="5A2FBCFF" w14:textId="77777777" w:rsidR="008B1757" w:rsidRPr="00B02C2E" w:rsidRDefault="005750C5" w:rsidP="00230DB1">
      <w:pPr>
        <w:pStyle w:val="ExecSumBodyText"/>
      </w:pPr>
      <w:r w:rsidRPr="00B02C2E">
        <w:t>Listing was requested on the basis of a</w:t>
      </w:r>
      <w:r w:rsidR="00E32A87" w:rsidRPr="00B02C2E">
        <w:t xml:space="preserve"> </w:t>
      </w:r>
      <w:r w:rsidRPr="00B02C2E">
        <w:t xml:space="preserve">cost-effectiveness analysis versus </w:t>
      </w:r>
      <w:r w:rsidR="00E32A87" w:rsidRPr="00B02C2E">
        <w:t>best supportive care</w:t>
      </w:r>
      <w:r w:rsidRPr="00B02C2E">
        <w:t>.</w:t>
      </w:r>
      <w:r w:rsidR="00BC591F" w:rsidRPr="00B02C2E">
        <w:rPr>
          <w:color w:val="0066FF"/>
        </w:rPr>
        <w:t xml:space="preserve"> </w:t>
      </w:r>
    </w:p>
    <w:p w14:paraId="74725D5F" w14:textId="77777777" w:rsidR="00B1637C" w:rsidRPr="00B02C2E" w:rsidRDefault="00B1637C" w:rsidP="00B1637C">
      <w:pPr>
        <w:pStyle w:val="TableFigureCaption"/>
      </w:pPr>
      <w:r w:rsidRPr="00B02C2E">
        <w:t>Table 1: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1637C" w:rsidRPr="00B02C2E" w14:paraId="0CCFDC29" w14:textId="77777777" w:rsidTr="00347B74">
        <w:trPr>
          <w:tblHeader/>
        </w:trPr>
        <w:tc>
          <w:tcPr>
            <w:tcW w:w="1668" w:type="dxa"/>
            <w:vAlign w:val="center"/>
          </w:tcPr>
          <w:p w14:paraId="62750470" w14:textId="77777777" w:rsidR="00B1637C" w:rsidRPr="00B02C2E" w:rsidRDefault="00B1637C" w:rsidP="00F703A7">
            <w:pPr>
              <w:pStyle w:val="Tableheadingrow"/>
              <w:rPr>
                <w:lang w:val="en-AU"/>
              </w:rPr>
            </w:pPr>
            <w:r w:rsidRPr="00B02C2E">
              <w:rPr>
                <w:lang w:val="en-AU"/>
              </w:rPr>
              <w:t>Component</w:t>
            </w:r>
          </w:p>
        </w:tc>
        <w:tc>
          <w:tcPr>
            <w:tcW w:w="7488" w:type="dxa"/>
            <w:vAlign w:val="center"/>
          </w:tcPr>
          <w:p w14:paraId="3E383180" w14:textId="77777777" w:rsidR="00B1637C" w:rsidRPr="00B02C2E" w:rsidRDefault="00B1637C" w:rsidP="00F703A7">
            <w:pPr>
              <w:pStyle w:val="Tableheadingrow"/>
              <w:rPr>
                <w:lang w:val="en-AU"/>
              </w:rPr>
            </w:pPr>
            <w:r w:rsidRPr="00B02C2E">
              <w:rPr>
                <w:lang w:val="en-AU"/>
              </w:rPr>
              <w:t>Description</w:t>
            </w:r>
          </w:p>
        </w:tc>
      </w:tr>
      <w:tr w:rsidR="00B1637C" w:rsidRPr="00B02C2E" w14:paraId="0BBDE0C1" w14:textId="77777777" w:rsidTr="00F703A7">
        <w:tc>
          <w:tcPr>
            <w:tcW w:w="1668" w:type="dxa"/>
            <w:vAlign w:val="center"/>
          </w:tcPr>
          <w:p w14:paraId="1D3DD083" w14:textId="77777777" w:rsidR="00B1637C" w:rsidRPr="00B02C2E" w:rsidRDefault="00B1637C" w:rsidP="00F703A7">
            <w:pPr>
              <w:pStyle w:val="TableText"/>
            </w:pPr>
            <w:r w:rsidRPr="00B02C2E">
              <w:t>Population</w:t>
            </w:r>
          </w:p>
        </w:tc>
        <w:tc>
          <w:tcPr>
            <w:tcW w:w="7488" w:type="dxa"/>
            <w:vAlign w:val="center"/>
          </w:tcPr>
          <w:p w14:paraId="6774ED3B" w14:textId="77777777" w:rsidR="00B1637C" w:rsidRPr="00B02C2E" w:rsidRDefault="00B1637C" w:rsidP="00F703A7">
            <w:pPr>
              <w:pStyle w:val="TableText"/>
            </w:pPr>
            <w:r w:rsidRPr="00B02C2E">
              <w:t>Patients with neuromyelitis optica spectrum disorder who are AQP4 positive and have an EDSS score of 0-7</w:t>
            </w:r>
            <w:r w:rsidRPr="00B02C2E">
              <w:rPr>
                <w:vertAlign w:val="superscript"/>
              </w:rPr>
              <w:t>a</w:t>
            </w:r>
            <w:r w:rsidRPr="00B02C2E">
              <w:t xml:space="preserve"> and who have either frequent relapses or a prior immunosuppressive event</w:t>
            </w:r>
          </w:p>
        </w:tc>
      </w:tr>
      <w:tr w:rsidR="00B1637C" w:rsidRPr="00B02C2E" w14:paraId="3408DBCC" w14:textId="77777777" w:rsidTr="00F703A7">
        <w:tc>
          <w:tcPr>
            <w:tcW w:w="1668" w:type="dxa"/>
            <w:vAlign w:val="center"/>
          </w:tcPr>
          <w:p w14:paraId="0E640A4F" w14:textId="77777777" w:rsidR="00B1637C" w:rsidRPr="00B02C2E" w:rsidRDefault="00B1637C" w:rsidP="00F703A7">
            <w:pPr>
              <w:pStyle w:val="TableText"/>
            </w:pPr>
            <w:r w:rsidRPr="00B02C2E">
              <w:t>Intervention</w:t>
            </w:r>
          </w:p>
        </w:tc>
        <w:tc>
          <w:tcPr>
            <w:tcW w:w="7488" w:type="dxa"/>
            <w:vAlign w:val="center"/>
          </w:tcPr>
          <w:p w14:paraId="2EEC2309" w14:textId="77777777" w:rsidR="00B1637C" w:rsidRPr="00B02C2E" w:rsidRDefault="00B1637C" w:rsidP="00F703A7">
            <w:pPr>
              <w:pStyle w:val="TableText"/>
            </w:pPr>
            <w:r w:rsidRPr="00B02C2E">
              <w:t>Eculizumab (900 mg intravenous infusion weekly for first 4 weeks followed by fortnightly 1</w:t>
            </w:r>
            <w:r w:rsidR="00DF30E0" w:rsidRPr="00B02C2E">
              <w:t>,</w:t>
            </w:r>
            <w:r w:rsidRPr="00B02C2E">
              <w:t>200 mg intravenous infusions from Week 5) with best supportive care</w:t>
            </w:r>
          </w:p>
        </w:tc>
      </w:tr>
      <w:tr w:rsidR="00B1637C" w:rsidRPr="00B02C2E" w14:paraId="2063D76C" w14:textId="77777777" w:rsidTr="00F703A7">
        <w:tc>
          <w:tcPr>
            <w:tcW w:w="1668" w:type="dxa"/>
            <w:vAlign w:val="center"/>
          </w:tcPr>
          <w:p w14:paraId="52E4FE8B" w14:textId="77777777" w:rsidR="00B1637C" w:rsidRPr="00B02C2E" w:rsidRDefault="00B1637C" w:rsidP="00F703A7">
            <w:pPr>
              <w:pStyle w:val="TableText"/>
            </w:pPr>
            <w:r w:rsidRPr="00B02C2E">
              <w:t>Comparator</w:t>
            </w:r>
          </w:p>
        </w:tc>
        <w:tc>
          <w:tcPr>
            <w:tcW w:w="7488" w:type="dxa"/>
            <w:vAlign w:val="center"/>
          </w:tcPr>
          <w:p w14:paraId="360607BE" w14:textId="77777777" w:rsidR="00B1637C" w:rsidRPr="00B02C2E" w:rsidRDefault="00B1637C" w:rsidP="00F703A7">
            <w:pPr>
              <w:pStyle w:val="TableText"/>
            </w:pPr>
            <w:r w:rsidRPr="00B02C2E">
              <w:t>Best supportive care alone</w:t>
            </w:r>
          </w:p>
        </w:tc>
      </w:tr>
      <w:tr w:rsidR="00B1637C" w:rsidRPr="00B02C2E" w14:paraId="1AF9477B" w14:textId="77777777" w:rsidTr="00F703A7">
        <w:tc>
          <w:tcPr>
            <w:tcW w:w="1668" w:type="dxa"/>
            <w:vAlign w:val="center"/>
          </w:tcPr>
          <w:p w14:paraId="314C0415" w14:textId="77777777" w:rsidR="00B1637C" w:rsidRPr="00B02C2E" w:rsidRDefault="00B1637C" w:rsidP="00F703A7">
            <w:pPr>
              <w:pStyle w:val="TableText"/>
            </w:pPr>
            <w:r w:rsidRPr="00B02C2E">
              <w:t>Outcomes</w:t>
            </w:r>
          </w:p>
        </w:tc>
        <w:tc>
          <w:tcPr>
            <w:tcW w:w="7488" w:type="dxa"/>
            <w:vAlign w:val="center"/>
          </w:tcPr>
          <w:p w14:paraId="4C4555CC" w14:textId="77777777" w:rsidR="00B1637C" w:rsidRPr="00B02C2E" w:rsidRDefault="00B1637C" w:rsidP="00F703A7">
            <w:pPr>
              <w:pStyle w:val="TableText"/>
            </w:pPr>
            <w:r w:rsidRPr="00B02C2E">
              <w:t>Reduction in relapse frequency leading to a reduction in disability progression and mortality</w:t>
            </w:r>
          </w:p>
        </w:tc>
      </w:tr>
      <w:tr w:rsidR="00B1637C" w:rsidRPr="00B02C2E" w14:paraId="00AFB58C" w14:textId="77777777" w:rsidTr="00F703A7">
        <w:tc>
          <w:tcPr>
            <w:tcW w:w="1668" w:type="dxa"/>
            <w:vAlign w:val="center"/>
          </w:tcPr>
          <w:p w14:paraId="68380163" w14:textId="77777777" w:rsidR="00B1637C" w:rsidRPr="00B02C2E" w:rsidRDefault="00B1637C" w:rsidP="00F703A7">
            <w:pPr>
              <w:pStyle w:val="TableText"/>
            </w:pPr>
            <w:r w:rsidRPr="00B02C2E">
              <w:t>Clinical claim</w:t>
            </w:r>
          </w:p>
        </w:tc>
        <w:tc>
          <w:tcPr>
            <w:tcW w:w="7488" w:type="dxa"/>
            <w:vAlign w:val="center"/>
          </w:tcPr>
          <w:p w14:paraId="479A2CA6" w14:textId="77777777" w:rsidR="00B1637C" w:rsidRPr="00B02C2E" w:rsidRDefault="00B1637C" w:rsidP="00F703A7">
            <w:pPr>
              <w:pStyle w:val="TableText"/>
            </w:pPr>
            <w:r w:rsidRPr="00B02C2E">
              <w:t xml:space="preserve">Eculizumab is superior in terms of efficacy and non-inferior in terms of safety compared to placebo </w:t>
            </w:r>
          </w:p>
        </w:tc>
      </w:tr>
    </w:tbl>
    <w:p w14:paraId="6FD47C25" w14:textId="77777777" w:rsidR="00B1637C" w:rsidRPr="00B02C2E" w:rsidRDefault="0059633D" w:rsidP="00B1637C">
      <w:pPr>
        <w:pStyle w:val="TableFigureFooter"/>
      </w:pPr>
      <w:r w:rsidRPr="00B02C2E">
        <w:t xml:space="preserve">Source: Table 1-1 (p 3) of the resubmission </w:t>
      </w:r>
    </w:p>
    <w:p w14:paraId="45AB91CD" w14:textId="77777777" w:rsidR="00B1637C" w:rsidRPr="00B02C2E" w:rsidRDefault="00B1637C" w:rsidP="00B1637C">
      <w:pPr>
        <w:pStyle w:val="TableFigureFooter"/>
      </w:pPr>
      <w:r w:rsidRPr="00B02C2E">
        <w:t xml:space="preserve">Abbreviations: AQP4, aquaporin 4 antibody; EDSS, </w:t>
      </w:r>
      <w:r w:rsidR="00023DD6" w:rsidRPr="00B02C2E">
        <w:t>E</w:t>
      </w:r>
      <w:r w:rsidRPr="00B02C2E">
        <w:t xml:space="preserve">xpanded </w:t>
      </w:r>
      <w:r w:rsidR="00023DD6" w:rsidRPr="00B02C2E">
        <w:t>D</w:t>
      </w:r>
      <w:r w:rsidRPr="00B02C2E">
        <w:t xml:space="preserve">isability </w:t>
      </w:r>
      <w:r w:rsidR="00023DD6" w:rsidRPr="00B02C2E">
        <w:t>S</w:t>
      </w:r>
      <w:r w:rsidRPr="00B02C2E">
        <w:t xml:space="preserve">tatus </w:t>
      </w:r>
      <w:r w:rsidR="00023DD6" w:rsidRPr="00B02C2E">
        <w:t>Scale</w:t>
      </w:r>
    </w:p>
    <w:p w14:paraId="62053C50" w14:textId="77777777" w:rsidR="00B1637C" w:rsidRPr="00B02C2E" w:rsidRDefault="00B1637C" w:rsidP="00B1637C">
      <w:pPr>
        <w:pStyle w:val="TableFigureFooter"/>
      </w:pPr>
      <w:r w:rsidRPr="00B02C2E">
        <w:rPr>
          <w:vertAlign w:val="superscript"/>
        </w:rPr>
        <w:t>a</w:t>
      </w:r>
      <w:r w:rsidR="001113C7" w:rsidRPr="00B02C2E">
        <w:rPr>
          <w:vertAlign w:val="superscript"/>
        </w:rPr>
        <w:t xml:space="preserve"> </w:t>
      </w:r>
      <w:r w:rsidRPr="00B02C2E">
        <w:t>A criteri</w:t>
      </w:r>
      <w:r w:rsidR="0059633D" w:rsidRPr="00B02C2E">
        <w:t>on</w:t>
      </w:r>
      <w:r w:rsidRPr="00B02C2E">
        <w:t xml:space="preserve"> for patients to have an EDSS</w:t>
      </w:r>
      <w:r w:rsidR="00023DD6" w:rsidRPr="00B02C2E">
        <w:t xml:space="preserve"> score</w:t>
      </w:r>
      <w:r w:rsidRPr="00B02C2E">
        <w:t xml:space="preserve"> 0-7 was included in the proposed restriction to better align with the PREVENT trial criteria</w:t>
      </w:r>
    </w:p>
    <w:p w14:paraId="7DE7B6E7" w14:textId="77777777" w:rsidR="005C25FF" w:rsidRPr="00B02C2E" w:rsidRDefault="005C25FF" w:rsidP="004A6040">
      <w:pPr>
        <w:pStyle w:val="2-SectionHeading"/>
      </w:pPr>
      <w:bookmarkStart w:id="1" w:name="_Toc82079270"/>
      <w:r w:rsidRPr="00B02C2E">
        <w:t>Background</w:t>
      </w:r>
      <w:bookmarkEnd w:id="1"/>
    </w:p>
    <w:p w14:paraId="3D60C70F" w14:textId="77777777" w:rsidR="005C25FF" w:rsidRPr="00B02C2E" w:rsidRDefault="005C25FF" w:rsidP="004A6040">
      <w:pPr>
        <w:pStyle w:val="3-SubsectionHeading"/>
      </w:pPr>
      <w:bookmarkStart w:id="2" w:name="_Toc22897638"/>
      <w:bookmarkStart w:id="3" w:name="_Toc82079271"/>
      <w:r w:rsidRPr="00B02C2E">
        <w:t>Registration status</w:t>
      </w:r>
      <w:bookmarkEnd w:id="2"/>
      <w:bookmarkEnd w:id="3"/>
    </w:p>
    <w:p w14:paraId="44C17020" w14:textId="77777777" w:rsidR="00B1637C" w:rsidRPr="00B02C2E" w:rsidRDefault="00B1637C" w:rsidP="00B1637C">
      <w:pPr>
        <w:pStyle w:val="ExecSumBodyText"/>
        <w:numPr>
          <w:ilvl w:val="1"/>
          <w:numId w:val="1"/>
        </w:numPr>
      </w:pPr>
      <w:r w:rsidRPr="00B02C2E">
        <w:t>Eculizumab was approved by the TGA on 1 July 2020 for the following indication:</w:t>
      </w:r>
    </w:p>
    <w:p w14:paraId="4BF7681F" w14:textId="19491917" w:rsidR="00B1637C" w:rsidRPr="00B02C2E" w:rsidRDefault="00B1637C" w:rsidP="00B61A3C">
      <w:pPr>
        <w:pStyle w:val="ExecSumBodyText"/>
        <w:numPr>
          <w:ilvl w:val="0"/>
          <w:numId w:val="0"/>
        </w:numPr>
        <w:ind w:left="1077"/>
      </w:pPr>
      <w:r w:rsidRPr="00B02C2E">
        <w:t xml:space="preserve">Adult patients with Neuromyelitis Optica Spectrum Disorder </w:t>
      </w:r>
      <w:r w:rsidR="006F3101" w:rsidRPr="00B02C2E">
        <w:t xml:space="preserve">(NMOSD) </w:t>
      </w:r>
      <w:r w:rsidR="00AC3BB4">
        <w:t xml:space="preserve">who are </w:t>
      </w:r>
      <w:r w:rsidRPr="00B02C2E">
        <w:t>anti-aquaporin-4 antibody-positive. Eculizumab is not intended for acute treatment of an NMOSD relapse.</w:t>
      </w:r>
    </w:p>
    <w:p w14:paraId="6D6247B3" w14:textId="77777777" w:rsidR="00B1637C" w:rsidRPr="00B02C2E" w:rsidRDefault="00B1637C" w:rsidP="00B1637C">
      <w:pPr>
        <w:pStyle w:val="ExecSumBodyText"/>
        <w:numPr>
          <w:ilvl w:val="1"/>
          <w:numId w:val="1"/>
        </w:numPr>
      </w:pPr>
      <w:r w:rsidRPr="00B02C2E">
        <w:t>Eculizumab is also currently TGA approved for the treatment of paroxysmal nocturnal haemoglobinuria and atypical haemolytic uraemic syndrome.</w:t>
      </w:r>
    </w:p>
    <w:p w14:paraId="6E658114" w14:textId="77777777" w:rsidR="005C25FF" w:rsidRPr="00B02C2E" w:rsidRDefault="005C25FF" w:rsidP="004E18E9">
      <w:pPr>
        <w:pStyle w:val="3-SubsectionHeading"/>
      </w:pPr>
      <w:bookmarkStart w:id="4" w:name="_Toc22897639"/>
      <w:bookmarkStart w:id="5" w:name="_Toc82079272"/>
      <w:r w:rsidRPr="00B02C2E">
        <w:lastRenderedPageBreak/>
        <w:t>Previous PBAC consideration</w:t>
      </w:r>
      <w:bookmarkEnd w:id="4"/>
      <w:bookmarkEnd w:id="5"/>
    </w:p>
    <w:p w14:paraId="4715E190" w14:textId="77777777" w:rsidR="00E06778" w:rsidRPr="00B02C2E" w:rsidRDefault="00E06778" w:rsidP="00E06778">
      <w:pPr>
        <w:pStyle w:val="ExecSumBodyText"/>
        <w:rPr>
          <w:snapToGrid/>
          <w:color w:val="0066FF"/>
        </w:rPr>
      </w:pPr>
      <w:bookmarkStart w:id="6" w:name="_Hlk80001500"/>
      <w:r w:rsidRPr="00B02C2E">
        <w:rPr>
          <w:snapToGrid/>
        </w:rPr>
        <w:t>The matters of concern from the November 2020 PBAC meeting are summari</w:t>
      </w:r>
      <w:r w:rsidR="00672835" w:rsidRPr="00B02C2E">
        <w:rPr>
          <w:snapToGrid/>
        </w:rPr>
        <w:t>s</w:t>
      </w:r>
      <w:r w:rsidRPr="00B02C2E">
        <w:rPr>
          <w:snapToGrid/>
        </w:rPr>
        <w:t xml:space="preserve">ed in Table 2. </w:t>
      </w:r>
    </w:p>
    <w:p w14:paraId="2D7B308C" w14:textId="77777777" w:rsidR="005C25FF" w:rsidRPr="00B02C2E" w:rsidRDefault="005C25FF" w:rsidP="006F3101">
      <w:pPr>
        <w:pStyle w:val="TableFigureCaption"/>
      </w:pPr>
      <w:bookmarkStart w:id="7" w:name="_Hlk80002868"/>
      <w:bookmarkEnd w:id="6"/>
      <w:r w:rsidRPr="00B02C2E">
        <w:t xml:space="preserve">Table </w:t>
      </w:r>
      <w:r w:rsidR="00823FF9" w:rsidRPr="00B02C2E">
        <w:t>2</w:t>
      </w:r>
      <w:r w:rsidRPr="00B02C2E">
        <w:t>: Summary of key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546"/>
      </w:tblGrid>
      <w:tr w:rsidR="00D70231" w:rsidRPr="00B02C2E" w14:paraId="45E719F6" w14:textId="77777777" w:rsidTr="002800F9">
        <w:trPr>
          <w:cantSplit/>
          <w:tblHeader/>
        </w:trPr>
        <w:tc>
          <w:tcPr>
            <w:tcW w:w="0" w:type="auto"/>
            <w:vAlign w:val="center"/>
          </w:tcPr>
          <w:p w14:paraId="6A023F87" w14:textId="77777777" w:rsidR="00823FF9" w:rsidRPr="00B02C2E" w:rsidRDefault="00823FF9" w:rsidP="006F3101">
            <w:pPr>
              <w:pStyle w:val="Tableheadingrow"/>
              <w:rPr>
                <w:lang w:val="en-AU"/>
              </w:rPr>
            </w:pPr>
            <w:r w:rsidRPr="00B02C2E">
              <w:rPr>
                <w:lang w:val="en-AU"/>
              </w:rPr>
              <w:t>Matter of concern</w:t>
            </w:r>
          </w:p>
        </w:tc>
        <w:tc>
          <w:tcPr>
            <w:tcW w:w="0" w:type="auto"/>
            <w:vAlign w:val="center"/>
          </w:tcPr>
          <w:p w14:paraId="734C019F" w14:textId="77777777" w:rsidR="00823FF9" w:rsidRPr="00B02C2E" w:rsidRDefault="00823FF9" w:rsidP="006F3101">
            <w:pPr>
              <w:pStyle w:val="Tableheadingrow"/>
              <w:rPr>
                <w:lang w:val="en-AU"/>
              </w:rPr>
            </w:pPr>
            <w:r w:rsidRPr="00B02C2E">
              <w:rPr>
                <w:lang w:val="en-AU"/>
              </w:rPr>
              <w:t>How the resubmission addresses it</w:t>
            </w:r>
          </w:p>
        </w:tc>
      </w:tr>
      <w:tr w:rsidR="00D70231" w:rsidRPr="00B02C2E" w14:paraId="4D02FA2D" w14:textId="77777777" w:rsidTr="002800F9">
        <w:trPr>
          <w:cantSplit/>
        </w:trPr>
        <w:tc>
          <w:tcPr>
            <w:tcW w:w="0" w:type="auto"/>
          </w:tcPr>
          <w:p w14:paraId="4DDBCD1B" w14:textId="77777777" w:rsidR="00823FF9" w:rsidRPr="00B02C2E" w:rsidRDefault="00823FF9" w:rsidP="006F3101">
            <w:pPr>
              <w:pStyle w:val="TableText"/>
              <w:rPr>
                <w:szCs w:val="20"/>
              </w:rPr>
            </w:pPr>
            <w:r w:rsidRPr="00B02C2E">
              <w:rPr>
                <w:szCs w:val="20"/>
              </w:rPr>
              <w:t>The PBAC noted that the proposed PBS restriction was broader than the inclusion criteria of the key trial (PREVENT)</w:t>
            </w:r>
            <w:r w:rsidR="00E06778" w:rsidRPr="00B02C2E">
              <w:rPr>
                <w:szCs w:val="20"/>
              </w:rPr>
              <w:t>…</w:t>
            </w:r>
            <w:r w:rsidRPr="00B02C2E">
              <w:rPr>
                <w:szCs w:val="20"/>
              </w:rPr>
              <w:t xml:space="preserve"> The PBAC considered that the restriction should align with the inclusion criteria of the trial in terms of EDSS score, frequency and number of prior relapses (</w:t>
            </w:r>
            <w:r w:rsidR="00E06778" w:rsidRPr="00B02C2E">
              <w:rPr>
                <w:szCs w:val="20"/>
              </w:rPr>
              <w:t xml:space="preserve">para </w:t>
            </w:r>
            <w:r w:rsidRPr="00B02C2E">
              <w:rPr>
                <w:szCs w:val="20"/>
              </w:rPr>
              <w:t>7.4</w:t>
            </w:r>
            <w:r w:rsidR="00E06778" w:rsidRPr="00B02C2E">
              <w:rPr>
                <w:szCs w:val="20"/>
              </w:rPr>
              <w:t xml:space="preserve">, </w:t>
            </w:r>
            <w:r w:rsidR="004E04C6" w:rsidRPr="00B02C2E">
              <w:rPr>
                <w:szCs w:val="20"/>
              </w:rPr>
              <w:t>e</w:t>
            </w:r>
            <w:r w:rsidR="00E06778" w:rsidRPr="00B02C2E">
              <w:rPr>
                <w:szCs w:val="20"/>
              </w:rPr>
              <w:t>culizumab Public Summary Document [PSD], November 2020)</w:t>
            </w:r>
          </w:p>
        </w:tc>
        <w:tc>
          <w:tcPr>
            <w:tcW w:w="0" w:type="auto"/>
            <w:vAlign w:val="center"/>
          </w:tcPr>
          <w:p w14:paraId="04585D61" w14:textId="77777777" w:rsidR="00823FF9" w:rsidRPr="00B02C2E" w:rsidRDefault="00E06778" w:rsidP="00F1020A">
            <w:pPr>
              <w:pStyle w:val="TableText"/>
            </w:pPr>
            <w:r w:rsidRPr="00B02C2E">
              <w:t xml:space="preserve">The proposed restriction </w:t>
            </w:r>
            <w:r w:rsidR="00711142" w:rsidRPr="00B02C2E">
              <w:t>has been amended to align</w:t>
            </w:r>
            <w:r w:rsidRPr="00B02C2E">
              <w:t xml:space="preserve"> with the PREVENT trial in terms of frequency and number of prior relapses, and EDSS score</w:t>
            </w:r>
            <w:r w:rsidR="002B6CB6" w:rsidRPr="00B02C2E">
              <w:t>.</w:t>
            </w:r>
            <w:r w:rsidR="00A32613" w:rsidRPr="00B02C2E">
              <w:t xml:space="preserve"> The ESC considered that this was appropriate.</w:t>
            </w:r>
          </w:p>
        </w:tc>
      </w:tr>
      <w:tr w:rsidR="00D70231" w:rsidRPr="00B02C2E" w14:paraId="01A010F4" w14:textId="77777777" w:rsidTr="002800F9">
        <w:trPr>
          <w:cantSplit/>
        </w:trPr>
        <w:tc>
          <w:tcPr>
            <w:tcW w:w="0" w:type="auto"/>
          </w:tcPr>
          <w:p w14:paraId="06446313" w14:textId="77777777" w:rsidR="00823FF9" w:rsidRPr="00B02C2E" w:rsidRDefault="00823FF9" w:rsidP="006F3101">
            <w:pPr>
              <w:pStyle w:val="TableText"/>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PBAC noted that the submission nominated best supportive care as the primary comparator. The PBAC considered that rituximab, which is funded through some public hospitals as a preventative treatment for relapse, is a relevant comparator</w:t>
            </w:r>
            <w:r w:rsidR="00E06778" w:rsidRPr="00B02C2E">
              <w:rPr>
                <w:rFonts w:eastAsia="Times New Roman" w:cs="Arial"/>
                <w:bCs w:val="0"/>
                <w:snapToGrid w:val="0"/>
                <w:color w:val="000000" w:themeColor="text1"/>
                <w:szCs w:val="20"/>
              </w:rPr>
              <w:t>…</w:t>
            </w:r>
            <w:r w:rsidRPr="00B02C2E">
              <w:rPr>
                <w:rFonts w:eastAsia="Times New Roman" w:cs="Arial"/>
                <w:bCs w:val="0"/>
                <w:snapToGrid w:val="0"/>
                <w:color w:val="000000" w:themeColor="text1"/>
                <w:szCs w:val="20"/>
              </w:rPr>
              <w:t>The PBAC considered exclusion of rituximab from the trial population may affect the generalisability of the results to clinical practice (</w:t>
            </w:r>
            <w:r w:rsidR="00E06778" w:rsidRPr="00B02C2E">
              <w:rPr>
                <w:rFonts w:eastAsia="Times New Roman" w:cs="Arial"/>
                <w:bCs w:val="0"/>
                <w:snapToGrid w:val="0"/>
                <w:color w:val="000000" w:themeColor="text1"/>
                <w:szCs w:val="20"/>
              </w:rPr>
              <w:t xml:space="preserve">para </w:t>
            </w:r>
            <w:r w:rsidRPr="00B02C2E">
              <w:rPr>
                <w:rFonts w:eastAsia="Times New Roman" w:cs="Arial"/>
                <w:bCs w:val="0"/>
                <w:snapToGrid w:val="0"/>
                <w:color w:val="000000" w:themeColor="text1"/>
                <w:szCs w:val="20"/>
              </w:rPr>
              <w:t>7.6</w:t>
            </w:r>
            <w:r w:rsidR="00E06778"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00E06778" w:rsidRPr="00B02C2E">
              <w:rPr>
                <w:rFonts w:eastAsia="Times New Roman" w:cs="Arial"/>
                <w:bCs w:val="0"/>
                <w:snapToGrid w:val="0"/>
                <w:color w:val="000000" w:themeColor="text1"/>
                <w:szCs w:val="20"/>
              </w:rPr>
              <w:t>culizumab PSD, November 2020)</w:t>
            </w:r>
          </w:p>
        </w:tc>
        <w:tc>
          <w:tcPr>
            <w:tcW w:w="0" w:type="auto"/>
            <w:vAlign w:val="center"/>
          </w:tcPr>
          <w:p w14:paraId="08997166" w14:textId="40293458" w:rsidR="00823FF9" w:rsidRPr="00B02C2E" w:rsidRDefault="00E06778" w:rsidP="00450DE4">
            <w:pPr>
              <w:pStyle w:val="TableText"/>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resubmission maintained that rituximab was not an appropriate comparator</w:t>
            </w:r>
            <w:r w:rsidR="00E50D4C" w:rsidRPr="00B02C2E">
              <w:rPr>
                <w:rFonts w:eastAsia="Times New Roman" w:cs="Arial"/>
                <w:bCs w:val="0"/>
                <w:snapToGrid w:val="0"/>
                <w:color w:val="000000" w:themeColor="text1"/>
                <w:szCs w:val="20"/>
              </w:rPr>
              <w:t xml:space="preserve"> as eculizumab would be used after rituximab</w:t>
            </w:r>
            <w:r w:rsidRPr="00B02C2E">
              <w:rPr>
                <w:rFonts w:eastAsia="Times New Roman" w:cs="Arial"/>
                <w:bCs w:val="0"/>
                <w:snapToGrid w:val="0"/>
                <w:color w:val="000000" w:themeColor="text1"/>
                <w:szCs w:val="20"/>
              </w:rPr>
              <w:t xml:space="preserve">. A systematic review was included summarising the evidence for the use of rituximab in the treatment of NMOSD, but no treatment comparison was </w:t>
            </w:r>
            <w:r w:rsidR="00497D56" w:rsidRPr="00B02C2E">
              <w:rPr>
                <w:rFonts w:eastAsia="Times New Roman" w:cs="Arial"/>
                <w:bCs w:val="0"/>
                <w:snapToGrid w:val="0"/>
                <w:color w:val="000000" w:themeColor="text1"/>
                <w:szCs w:val="20"/>
              </w:rPr>
              <w:t>conducted,</w:t>
            </w:r>
            <w:r w:rsidRPr="00B02C2E">
              <w:rPr>
                <w:rFonts w:eastAsia="Times New Roman" w:cs="Arial"/>
                <w:bCs w:val="0"/>
                <w:snapToGrid w:val="0"/>
                <w:color w:val="000000" w:themeColor="text1"/>
                <w:szCs w:val="20"/>
              </w:rPr>
              <w:t xml:space="preserve"> and no claim was made against rituximab. </w:t>
            </w:r>
            <w:r w:rsidR="00E50D4C" w:rsidRPr="00B02C2E">
              <w:rPr>
                <w:rFonts w:eastAsia="Times New Roman" w:cs="Arial"/>
                <w:bCs w:val="0"/>
                <w:snapToGrid w:val="0"/>
                <w:color w:val="000000" w:themeColor="text1"/>
                <w:szCs w:val="20"/>
              </w:rPr>
              <w:t xml:space="preserve">The </w:t>
            </w:r>
            <w:r w:rsidR="00413CA0">
              <w:t>Pre-Sub-Committee Response</w:t>
            </w:r>
            <w:r w:rsidR="00413CA0" w:rsidRPr="00B02C2E">
              <w:rPr>
                <w:rFonts w:eastAsia="Times New Roman" w:cs="Arial"/>
                <w:bCs w:val="0"/>
                <w:snapToGrid w:val="0"/>
                <w:color w:val="000000" w:themeColor="text1"/>
                <w:szCs w:val="20"/>
              </w:rPr>
              <w:t xml:space="preserve"> </w:t>
            </w:r>
            <w:r w:rsidR="00413CA0">
              <w:rPr>
                <w:rFonts w:eastAsia="Times New Roman" w:cs="Arial"/>
                <w:bCs w:val="0"/>
                <w:snapToGrid w:val="0"/>
                <w:color w:val="000000" w:themeColor="text1"/>
                <w:szCs w:val="20"/>
              </w:rPr>
              <w:t>(</w:t>
            </w:r>
            <w:r w:rsidR="00E50D4C" w:rsidRPr="00B02C2E">
              <w:rPr>
                <w:rFonts w:eastAsia="Times New Roman" w:cs="Arial"/>
                <w:bCs w:val="0"/>
                <w:snapToGrid w:val="0"/>
                <w:color w:val="000000" w:themeColor="text1"/>
                <w:szCs w:val="20"/>
              </w:rPr>
              <w:t>PSCR</w:t>
            </w:r>
            <w:r w:rsidR="00413CA0">
              <w:rPr>
                <w:rFonts w:eastAsia="Times New Roman" w:cs="Arial"/>
                <w:bCs w:val="0"/>
                <w:snapToGrid w:val="0"/>
                <w:color w:val="000000" w:themeColor="text1"/>
                <w:szCs w:val="20"/>
              </w:rPr>
              <w:t>)</w:t>
            </w:r>
            <w:r w:rsidR="00E50D4C" w:rsidRPr="00B02C2E">
              <w:rPr>
                <w:rFonts w:eastAsia="Times New Roman" w:cs="Arial"/>
                <w:bCs w:val="0"/>
                <w:snapToGrid w:val="0"/>
                <w:color w:val="000000" w:themeColor="text1"/>
                <w:szCs w:val="20"/>
              </w:rPr>
              <w:t xml:space="preserve"> stated that the exchangeability between the rituximab trials and the eculizumab trial was problematic and the rituximab evidence was not applicable to the Australian setting.</w:t>
            </w:r>
          </w:p>
        </w:tc>
      </w:tr>
      <w:tr w:rsidR="00D70231" w:rsidRPr="00B02C2E" w14:paraId="675ABADE" w14:textId="77777777" w:rsidTr="002800F9">
        <w:trPr>
          <w:cantSplit/>
        </w:trPr>
        <w:tc>
          <w:tcPr>
            <w:tcW w:w="0" w:type="auto"/>
          </w:tcPr>
          <w:p w14:paraId="74B70B46" w14:textId="77777777" w:rsidR="00397CEE" w:rsidRPr="00B02C2E" w:rsidRDefault="00397CEE" w:rsidP="002800F9">
            <w:pPr>
              <w:pStyle w:val="TableText"/>
              <w:keepNext w:val="0"/>
              <w:rPr>
                <w:rFonts w:eastAsia="Times New Roman" w:cs="Arial"/>
                <w:bCs w:val="0"/>
                <w:snapToGrid w:val="0"/>
                <w:color w:val="000000" w:themeColor="text1"/>
                <w:szCs w:val="20"/>
              </w:rPr>
            </w:pPr>
            <w:bookmarkStart w:id="8" w:name="_Hlk82005085"/>
            <w:r w:rsidRPr="00B02C2E">
              <w:rPr>
                <w:rFonts w:eastAsia="Times New Roman" w:cs="Arial"/>
                <w:bCs w:val="0"/>
                <w:snapToGrid w:val="0"/>
                <w:color w:val="000000" w:themeColor="text1"/>
                <w:szCs w:val="20"/>
              </w:rPr>
              <w:t>The PBAC noted that there were no statistically significant differences in disability or quality of life measures, but that the results generally favoured eculizumab. The PBAC agreed with ESC that because patients completed the PREVENT trial six weeks after relapse, it was unclear whether the changes in disability progression represented temporary differences or permanent effects</w:t>
            </w:r>
            <w:r w:rsidR="003632C5" w:rsidRPr="00B02C2E">
              <w:rPr>
                <w:rFonts w:eastAsia="Times New Roman" w:cs="Arial"/>
                <w:bCs w:val="0"/>
                <w:snapToGrid w:val="0"/>
                <w:color w:val="000000" w:themeColor="text1"/>
                <w:szCs w:val="20"/>
              </w:rPr>
              <w:t xml:space="preserve"> </w:t>
            </w:r>
            <w:r w:rsidRPr="00B02C2E">
              <w:rPr>
                <w:rFonts w:eastAsia="Times New Roman" w:cs="Arial"/>
                <w:bCs w:val="0"/>
                <w:snapToGrid w:val="0"/>
                <w:color w:val="000000" w:themeColor="text1"/>
                <w:szCs w:val="20"/>
              </w:rPr>
              <w:t>(</w:t>
            </w:r>
            <w:r w:rsidR="003632C5" w:rsidRPr="00B02C2E">
              <w:rPr>
                <w:rFonts w:eastAsia="Times New Roman" w:cs="Arial"/>
                <w:bCs w:val="0"/>
                <w:snapToGrid w:val="0"/>
                <w:color w:val="000000" w:themeColor="text1"/>
                <w:szCs w:val="20"/>
              </w:rPr>
              <w:t xml:space="preserve">para </w:t>
            </w:r>
            <w:r w:rsidRPr="00B02C2E">
              <w:rPr>
                <w:rFonts w:eastAsia="Times New Roman" w:cs="Arial"/>
                <w:bCs w:val="0"/>
                <w:snapToGrid w:val="0"/>
                <w:color w:val="000000" w:themeColor="text1"/>
                <w:szCs w:val="20"/>
              </w:rPr>
              <w:t>7.10</w:t>
            </w:r>
            <w:r w:rsidR="003632C5"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003632C5" w:rsidRPr="00B02C2E">
              <w:rPr>
                <w:rFonts w:eastAsia="Times New Roman" w:cs="Arial"/>
                <w:bCs w:val="0"/>
                <w:snapToGrid w:val="0"/>
                <w:color w:val="000000" w:themeColor="text1"/>
                <w:szCs w:val="20"/>
              </w:rPr>
              <w:t>culizumab PSD, November 2020)</w:t>
            </w:r>
          </w:p>
        </w:tc>
        <w:tc>
          <w:tcPr>
            <w:tcW w:w="0" w:type="auto"/>
            <w:vAlign w:val="center"/>
          </w:tcPr>
          <w:p w14:paraId="2D3863D5" w14:textId="77777777" w:rsidR="00823FF9" w:rsidRPr="00B02C2E" w:rsidRDefault="009B380F" w:rsidP="009D688F">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 xml:space="preserve">The resubmission included new post hoc analyses of PREVENT and the </w:t>
            </w:r>
            <w:r w:rsidR="00711142" w:rsidRPr="00B02C2E">
              <w:rPr>
                <w:rFonts w:eastAsia="Times New Roman" w:cs="Arial"/>
                <w:bCs w:val="0"/>
                <w:snapToGrid w:val="0"/>
                <w:color w:val="000000" w:themeColor="text1"/>
                <w:szCs w:val="20"/>
              </w:rPr>
              <w:t xml:space="preserve">open label extension study </w:t>
            </w:r>
            <w:r w:rsidRPr="00B02C2E">
              <w:rPr>
                <w:rFonts w:eastAsia="Times New Roman" w:cs="Arial"/>
                <w:bCs w:val="0"/>
                <w:snapToGrid w:val="0"/>
                <w:color w:val="000000" w:themeColor="text1"/>
                <w:szCs w:val="20"/>
              </w:rPr>
              <w:t>including a longer (120 day) follow-up post relapse</w:t>
            </w:r>
            <w:r w:rsidR="003657C0" w:rsidRPr="00B02C2E">
              <w:rPr>
                <w:rFonts w:eastAsia="Times New Roman" w:cs="Arial"/>
                <w:bCs w:val="0"/>
                <w:snapToGrid w:val="0"/>
                <w:color w:val="000000" w:themeColor="text1"/>
                <w:szCs w:val="20"/>
              </w:rPr>
              <w:t>, regardless of treatment assignment</w:t>
            </w:r>
            <w:r w:rsidRPr="00B02C2E">
              <w:rPr>
                <w:rFonts w:eastAsia="Times New Roman" w:cs="Arial"/>
                <w:bCs w:val="0"/>
                <w:snapToGrid w:val="0"/>
                <w:color w:val="000000" w:themeColor="text1"/>
                <w:szCs w:val="20"/>
              </w:rPr>
              <w:t>.</w:t>
            </w:r>
            <w:r w:rsidR="00711142" w:rsidRPr="00B02C2E">
              <w:rPr>
                <w:rFonts w:eastAsia="Times New Roman" w:cs="Arial"/>
                <w:bCs w:val="0"/>
                <w:snapToGrid w:val="0"/>
                <w:color w:val="000000" w:themeColor="text1"/>
                <w:szCs w:val="20"/>
              </w:rPr>
              <w:t xml:space="preserve"> The</w:t>
            </w:r>
            <w:r w:rsidRPr="00B02C2E">
              <w:rPr>
                <w:rFonts w:eastAsia="Times New Roman" w:cs="Arial"/>
                <w:bCs w:val="0"/>
                <w:snapToGrid w:val="0"/>
                <w:color w:val="000000" w:themeColor="text1"/>
                <w:szCs w:val="20"/>
              </w:rPr>
              <w:t xml:space="preserve"> change in EDSS </w:t>
            </w:r>
            <w:r w:rsidR="00711142" w:rsidRPr="00B02C2E">
              <w:rPr>
                <w:rFonts w:eastAsia="Times New Roman" w:cs="Arial"/>
                <w:bCs w:val="0"/>
                <w:snapToGrid w:val="0"/>
                <w:color w:val="000000" w:themeColor="text1"/>
                <w:szCs w:val="20"/>
              </w:rPr>
              <w:t xml:space="preserve">of 0.3 </w:t>
            </w:r>
            <w:r w:rsidRPr="00B02C2E">
              <w:rPr>
                <w:rFonts w:eastAsia="Times New Roman" w:cs="Arial"/>
                <w:bCs w:val="0"/>
                <w:snapToGrid w:val="0"/>
                <w:color w:val="000000" w:themeColor="text1"/>
                <w:szCs w:val="20"/>
              </w:rPr>
              <w:t>per relapse</w:t>
            </w:r>
            <w:r w:rsidR="00711142" w:rsidRPr="00B02C2E">
              <w:rPr>
                <w:rFonts w:eastAsia="Times New Roman" w:cs="Arial"/>
                <w:bCs w:val="0"/>
                <w:snapToGrid w:val="0"/>
                <w:color w:val="000000" w:themeColor="text1"/>
                <w:szCs w:val="20"/>
              </w:rPr>
              <w:t xml:space="preserve"> based on the change in EDSS at 120 days was used to inform disability progression in the economic model</w:t>
            </w:r>
            <w:r w:rsidR="006F3101" w:rsidRPr="00B02C2E">
              <w:rPr>
                <w:rFonts w:eastAsia="Times New Roman" w:cs="Arial"/>
                <w:bCs w:val="0"/>
                <w:snapToGrid w:val="0"/>
                <w:color w:val="000000" w:themeColor="text1"/>
                <w:szCs w:val="20"/>
              </w:rPr>
              <w:t>.</w:t>
            </w:r>
            <w:r w:rsidR="00711142" w:rsidRPr="00B02C2E">
              <w:rPr>
                <w:rFonts w:eastAsia="Times New Roman" w:cs="Arial"/>
                <w:bCs w:val="0"/>
                <w:snapToGrid w:val="0"/>
                <w:color w:val="000000" w:themeColor="text1"/>
                <w:szCs w:val="20"/>
              </w:rPr>
              <w:t xml:space="preserve"> </w:t>
            </w:r>
            <w:r w:rsidR="00A32613" w:rsidRPr="00B02C2E">
              <w:rPr>
                <w:rFonts w:eastAsia="Times New Roman" w:cs="Arial"/>
                <w:bCs w:val="0"/>
                <w:snapToGrid w:val="0"/>
                <w:color w:val="000000" w:themeColor="text1"/>
                <w:szCs w:val="20"/>
              </w:rPr>
              <w:t xml:space="preserve">The ESC noted that the longer follow up was more </w:t>
            </w:r>
            <w:r w:rsidR="009D688F" w:rsidRPr="00B02C2E">
              <w:rPr>
                <w:rFonts w:eastAsia="Times New Roman" w:cs="Arial"/>
                <w:bCs w:val="0"/>
                <w:snapToGrid w:val="0"/>
                <w:color w:val="000000" w:themeColor="text1"/>
                <w:szCs w:val="20"/>
              </w:rPr>
              <w:t>informative</w:t>
            </w:r>
            <w:r w:rsidR="00A32613" w:rsidRPr="00B02C2E">
              <w:rPr>
                <w:rFonts w:eastAsia="Times New Roman" w:cs="Arial"/>
                <w:bCs w:val="0"/>
                <w:snapToGrid w:val="0"/>
                <w:color w:val="000000" w:themeColor="text1"/>
                <w:szCs w:val="20"/>
              </w:rPr>
              <w:t xml:space="preserve">; however, the change in EDSS score did not reach significance (p = 0.137), likely due to small patient numbers, and remained uncertain. </w:t>
            </w:r>
            <w:r w:rsidR="00B7099D" w:rsidRPr="00B02C2E">
              <w:rPr>
                <w:rFonts w:eastAsia="Times New Roman" w:cs="Arial"/>
                <w:bCs w:val="0"/>
                <w:snapToGrid w:val="0"/>
                <w:color w:val="000000" w:themeColor="text1"/>
                <w:szCs w:val="20"/>
              </w:rPr>
              <w:t xml:space="preserve">No </w:t>
            </w:r>
            <w:r w:rsidR="00D7290F" w:rsidRPr="00B02C2E">
              <w:rPr>
                <w:rFonts w:eastAsia="Times New Roman" w:cs="Arial"/>
                <w:bCs w:val="0"/>
                <w:snapToGrid w:val="0"/>
                <w:color w:val="000000" w:themeColor="text1"/>
                <w:szCs w:val="20"/>
              </w:rPr>
              <w:t>additional</w:t>
            </w:r>
            <w:r w:rsidR="00B7099D" w:rsidRPr="00B02C2E">
              <w:rPr>
                <w:rFonts w:eastAsia="Times New Roman" w:cs="Arial"/>
                <w:bCs w:val="0"/>
                <w:snapToGrid w:val="0"/>
                <w:color w:val="000000" w:themeColor="text1"/>
                <w:szCs w:val="20"/>
              </w:rPr>
              <w:t xml:space="preserve"> comparative data were </w:t>
            </w:r>
            <w:r w:rsidR="00D7290F" w:rsidRPr="00B02C2E">
              <w:rPr>
                <w:rFonts w:eastAsia="Times New Roman" w:cs="Arial"/>
                <w:bCs w:val="0"/>
                <w:snapToGrid w:val="0"/>
                <w:color w:val="000000" w:themeColor="text1"/>
                <w:szCs w:val="20"/>
              </w:rPr>
              <w:t>provided.</w:t>
            </w:r>
          </w:p>
        </w:tc>
      </w:tr>
      <w:tr w:rsidR="00D70231" w:rsidRPr="00B02C2E" w14:paraId="3D74A088" w14:textId="77777777" w:rsidTr="002800F9">
        <w:trPr>
          <w:cantSplit/>
        </w:trPr>
        <w:tc>
          <w:tcPr>
            <w:tcW w:w="0" w:type="auto"/>
          </w:tcPr>
          <w:p w14:paraId="1EBFC459" w14:textId="77777777" w:rsidR="003632C5" w:rsidRPr="00B02C2E" w:rsidRDefault="003632C5" w:rsidP="002800F9">
            <w:pPr>
              <w:pStyle w:val="TableText"/>
              <w:keepNext w:val="0"/>
              <w:rPr>
                <w:rFonts w:eastAsia="Times New Roman" w:cs="Arial"/>
                <w:bCs w:val="0"/>
                <w:snapToGrid w:val="0"/>
                <w:color w:val="000000" w:themeColor="text1"/>
                <w:szCs w:val="20"/>
              </w:rPr>
            </w:pPr>
            <w:bookmarkStart w:id="9" w:name="_Hlk80011987"/>
            <w:bookmarkEnd w:id="8"/>
            <w:r w:rsidRPr="00B02C2E">
              <w:rPr>
                <w:rFonts w:eastAsia="Times New Roman" w:cs="Arial"/>
                <w:bCs w:val="0"/>
                <w:snapToGrid w:val="0"/>
                <w:color w:val="000000" w:themeColor="text1"/>
                <w:szCs w:val="20"/>
              </w:rPr>
              <w:t xml:space="preserve">The PBAC also noted that the submission presented no evidence that eculizumab reduced mortality or extended life for patients with NMOSD (para 7.10,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culizumab PSD, November 2020)</w:t>
            </w:r>
          </w:p>
        </w:tc>
        <w:tc>
          <w:tcPr>
            <w:tcW w:w="0" w:type="auto"/>
            <w:vAlign w:val="center"/>
          </w:tcPr>
          <w:p w14:paraId="3DDC3AD0" w14:textId="77777777" w:rsidR="003632C5" w:rsidRPr="00B02C2E" w:rsidRDefault="003632C5" w:rsidP="002800F9">
            <w:pPr>
              <w:pStyle w:val="TableText"/>
              <w:keepNext w:val="0"/>
              <w:rPr>
                <w:rFonts w:eastAsia="Times New Roman" w:cs="Arial"/>
                <w:bCs w:val="0"/>
                <w:snapToGrid w:val="0"/>
                <w:color w:val="000000" w:themeColor="text1"/>
                <w:szCs w:val="20"/>
              </w:rPr>
            </w:pPr>
          </w:p>
          <w:p w14:paraId="44C9050B" w14:textId="77777777" w:rsidR="009B380F" w:rsidRPr="00B02C2E" w:rsidRDefault="009B380F" w:rsidP="002800F9">
            <w:pPr>
              <w:jc w:val="left"/>
              <w:rPr>
                <w:rFonts w:ascii="Arial Narrow" w:hAnsi="Arial Narrow"/>
                <w:snapToGrid w:val="0"/>
                <w:color w:val="000000" w:themeColor="text1"/>
                <w:sz w:val="20"/>
                <w:szCs w:val="20"/>
              </w:rPr>
            </w:pPr>
            <w:r w:rsidRPr="00B02C2E">
              <w:rPr>
                <w:rFonts w:ascii="Arial Narrow" w:hAnsi="Arial Narrow"/>
                <w:snapToGrid w:val="0"/>
                <w:color w:val="000000" w:themeColor="text1"/>
                <w:sz w:val="20"/>
                <w:szCs w:val="20"/>
              </w:rPr>
              <w:t>Not addressed in the resubmission</w:t>
            </w:r>
          </w:p>
          <w:p w14:paraId="6ED35BC6" w14:textId="77777777" w:rsidR="009B380F" w:rsidRPr="00B02C2E" w:rsidRDefault="009B380F" w:rsidP="002800F9">
            <w:pPr>
              <w:jc w:val="left"/>
              <w:rPr>
                <w:color w:val="000000" w:themeColor="text1"/>
              </w:rPr>
            </w:pPr>
          </w:p>
        </w:tc>
      </w:tr>
      <w:tr w:rsidR="00D70231" w:rsidRPr="00B02C2E" w14:paraId="7DDA3B47" w14:textId="77777777" w:rsidTr="002800F9">
        <w:trPr>
          <w:cantSplit/>
        </w:trPr>
        <w:tc>
          <w:tcPr>
            <w:tcW w:w="0" w:type="auto"/>
          </w:tcPr>
          <w:p w14:paraId="3E3F66EF" w14:textId="77777777" w:rsidR="003632C5" w:rsidRPr="00B02C2E" w:rsidRDefault="003632C5"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 xml:space="preserve">In addition, the PBAC considered that the impact of reducing relapses remained unclear in terms of the magnitude of the effect on disability progression and quality of life due to the limited follow-up in the PREVENT trial (para 7.11,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culizumab PSD, November 2020)</w:t>
            </w:r>
          </w:p>
        </w:tc>
        <w:tc>
          <w:tcPr>
            <w:tcW w:w="0" w:type="auto"/>
            <w:vAlign w:val="center"/>
          </w:tcPr>
          <w:p w14:paraId="215CBD63" w14:textId="77777777" w:rsidR="003632C5" w:rsidRPr="00B02C2E" w:rsidRDefault="003632C5"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Not addressed in the resubmission</w:t>
            </w:r>
          </w:p>
        </w:tc>
      </w:tr>
      <w:bookmarkEnd w:id="9"/>
      <w:tr w:rsidR="00D70231" w:rsidRPr="00B02C2E" w14:paraId="272877BC" w14:textId="77777777" w:rsidTr="002800F9">
        <w:trPr>
          <w:cantSplit/>
        </w:trPr>
        <w:tc>
          <w:tcPr>
            <w:tcW w:w="0" w:type="auto"/>
          </w:tcPr>
          <w:p w14:paraId="38211B77" w14:textId="77777777" w:rsidR="00D64448" w:rsidRPr="00B02C2E" w:rsidRDefault="00397CEE"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PBAC noted that the submission did not present an economic analysis for the use of eculizumab in patients who have had a prior immunosuppressive event, therefore the cost effectiveness of eculizumab in this population could not be assessed. (</w:t>
            </w:r>
            <w:r w:rsidR="009B380F" w:rsidRPr="00B02C2E">
              <w:rPr>
                <w:rFonts w:eastAsia="Times New Roman" w:cs="Arial"/>
                <w:bCs w:val="0"/>
                <w:snapToGrid w:val="0"/>
                <w:color w:val="000000" w:themeColor="text1"/>
                <w:szCs w:val="20"/>
              </w:rPr>
              <w:t xml:space="preserve">para </w:t>
            </w:r>
            <w:r w:rsidRPr="00B02C2E">
              <w:rPr>
                <w:rFonts w:eastAsia="Times New Roman" w:cs="Arial"/>
                <w:bCs w:val="0"/>
                <w:snapToGrid w:val="0"/>
                <w:color w:val="000000" w:themeColor="text1"/>
                <w:szCs w:val="20"/>
              </w:rPr>
              <w:t>7.13</w:t>
            </w:r>
            <w:r w:rsidR="009B380F"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009B380F" w:rsidRPr="00B02C2E">
              <w:rPr>
                <w:rFonts w:eastAsia="Times New Roman" w:cs="Arial"/>
                <w:bCs w:val="0"/>
                <w:snapToGrid w:val="0"/>
                <w:color w:val="000000" w:themeColor="text1"/>
                <w:szCs w:val="20"/>
              </w:rPr>
              <w:t>culizumab PSD, November 2020)</w:t>
            </w:r>
          </w:p>
        </w:tc>
        <w:tc>
          <w:tcPr>
            <w:tcW w:w="0" w:type="auto"/>
            <w:vAlign w:val="center"/>
          </w:tcPr>
          <w:p w14:paraId="692763B1"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Not addressed in the resubmission</w:t>
            </w:r>
          </w:p>
        </w:tc>
      </w:tr>
      <w:tr w:rsidR="00D70231" w:rsidRPr="00B02C2E" w14:paraId="3B635782" w14:textId="77777777" w:rsidTr="002800F9">
        <w:trPr>
          <w:cantSplit/>
        </w:trPr>
        <w:tc>
          <w:tcPr>
            <w:tcW w:w="0" w:type="auto"/>
          </w:tcPr>
          <w:p w14:paraId="5686397E" w14:textId="77777777" w:rsidR="00D64448" w:rsidRPr="00B02C2E" w:rsidRDefault="00A07229"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lastRenderedPageBreak/>
              <w:t>The r</w:t>
            </w:r>
            <w:r w:rsidR="00D061B8" w:rsidRPr="00B02C2E">
              <w:rPr>
                <w:rFonts w:eastAsia="Times New Roman" w:cs="Arial"/>
                <w:bCs w:val="0"/>
                <w:snapToGrid w:val="0"/>
                <w:color w:val="000000" w:themeColor="text1"/>
                <w:szCs w:val="20"/>
              </w:rPr>
              <w:t>elapse definition used in the model was based on adjudication by an independent committee, which may underestimate the frequency of relapses in clinical practice which would be assessed by the treating physician</w:t>
            </w:r>
            <w:r w:rsidR="009B380F" w:rsidRPr="00B02C2E">
              <w:rPr>
                <w:rFonts w:eastAsia="Times New Roman" w:cs="Arial"/>
                <w:bCs w:val="0"/>
                <w:snapToGrid w:val="0"/>
                <w:color w:val="000000" w:themeColor="text1"/>
                <w:szCs w:val="20"/>
              </w:rPr>
              <w:t xml:space="preserve"> (para 7.15, </w:t>
            </w:r>
            <w:r w:rsidR="004E04C6" w:rsidRPr="00B02C2E">
              <w:rPr>
                <w:rFonts w:eastAsia="Times New Roman" w:cs="Arial"/>
                <w:bCs w:val="0"/>
                <w:snapToGrid w:val="0"/>
                <w:color w:val="000000" w:themeColor="text1"/>
                <w:szCs w:val="20"/>
              </w:rPr>
              <w:t>e</w:t>
            </w:r>
            <w:r w:rsidR="009B380F" w:rsidRPr="00B02C2E">
              <w:rPr>
                <w:rFonts w:eastAsia="Times New Roman" w:cs="Arial"/>
                <w:bCs w:val="0"/>
                <w:snapToGrid w:val="0"/>
                <w:color w:val="000000" w:themeColor="text1"/>
                <w:szCs w:val="20"/>
              </w:rPr>
              <w:t>culizumab PSD, November 2020)</w:t>
            </w:r>
          </w:p>
        </w:tc>
        <w:tc>
          <w:tcPr>
            <w:tcW w:w="0" w:type="auto"/>
            <w:vAlign w:val="center"/>
          </w:tcPr>
          <w:p w14:paraId="76587A93"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economic model applies relapse rates as determined by the treating physician</w:t>
            </w:r>
          </w:p>
        </w:tc>
      </w:tr>
      <w:tr w:rsidR="00D70231" w:rsidRPr="00B02C2E" w14:paraId="4DCDB7FD" w14:textId="77777777" w:rsidTr="002800F9">
        <w:trPr>
          <w:cantSplit/>
        </w:trPr>
        <w:tc>
          <w:tcPr>
            <w:tcW w:w="0" w:type="auto"/>
          </w:tcPr>
          <w:p w14:paraId="6D20E4AD"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 xml:space="preserve">The </w:t>
            </w:r>
            <w:r w:rsidR="00D061B8" w:rsidRPr="00B02C2E">
              <w:rPr>
                <w:rFonts w:eastAsia="Times New Roman" w:cs="Arial"/>
                <w:bCs w:val="0"/>
                <w:snapToGrid w:val="0"/>
                <w:color w:val="000000" w:themeColor="text1"/>
                <w:szCs w:val="20"/>
              </w:rPr>
              <w:t>economic model applied a 53 year time horizon compared to 1-2 years in the PREVENT trial, which the PBAC considered increased the uncertainty of the model. The PBAC noted that the majority of the incremental benefits, which included patients treated with eculizumab averaging 1.6 fewer relapses and gaining 4.6 life years compared to those treated with placebo, occurred in the extrapolated period</w:t>
            </w:r>
            <w:r w:rsidRPr="00B02C2E">
              <w:rPr>
                <w:rFonts w:eastAsia="Times New Roman" w:cs="Arial"/>
                <w:bCs w:val="0"/>
                <w:snapToGrid w:val="0"/>
                <w:color w:val="000000" w:themeColor="text1"/>
                <w:szCs w:val="20"/>
              </w:rPr>
              <w:t xml:space="preserve"> </w:t>
            </w:r>
            <w:r w:rsidR="00D061B8" w:rsidRPr="00B02C2E">
              <w:rPr>
                <w:rFonts w:eastAsia="Times New Roman" w:cs="Arial"/>
                <w:bCs w:val="0"/>
                <w:snapToGrid w:val="0"/>
                <w:color w:val="000000" w:themeColor="text1"/>
                <w:szCs w:val="20"/>
              </w:rPr>
              <w:t>(</w:t>
            </w:r>
            <w:r w:rsidRPr="00B02C2E">
              <w:rPr>
                <w:rFonts w:eastAsia="Times New Roman" w:cs="Arial"/>
                <w:bCs w:val="0"/>
                <w:snapToGrid w:val="0"/>
                <w:color w:val="000000" w:themeColor="text1"/>
                <w:szCs w:val="20"/>
              </w:rPr>
              <w:t xml:space="preserve">para </w:t>
            </w:r>
            <w:r w:rsidR="00D061B8" w:rsidRPr="00B02C2E">
              <w:rPr>
                <w:rFonts w:eastAsia="Times New Roman" w:cs="Arial"/>
                <w:bCs w:val="0"/>
                <w:snapToGrid w:val="0"/>
                <w:color w:val="000000" w:themeColor="text1"/>
                <w:szCs w:val="20"/>
              </w:rPr>
              <w:t>7.15</w:t>
            </w:r>
            <w:r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culizumab PSD, November 2020)</w:t>
            </w:r>
          </w:p>
        </w:tc>
        <w:tc>
          <w:tcPr>
            <w:tcW w:w="0" w:type="auto"/>
            <w:vAlign w:val="center"/>
          </w:tcPr>
          <w:p w14:paraId="21F1A182"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Not addressed in the resubmission</w:t>
            </w:r>
          </w:p>
        </w:tc>
      </w:tr>
      <w:tr w:rsidR="00D70231" w:rsidRPr="00B02C2E" w14:paraId="1B95975F" w14:textId="77777777" w:rsidTr="002800F9">
        <w:trPr>
          <w:cantSplit/>
        </w:trPr>
        <w:tc>
          <w:tcPr>
            <w:tcW w:w="0" w:type="auto"/>
          </w:tcPr>
          <w:p w14:paraId="681854DA"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 xml:space="preserve">The </w:t>
            </w:r>
            <w:r w:rsidR="00D061B8" w:rsidRPr="00B02C2E">
              <w:rPr>
                <w:rFonts w:eastAsia="Times New Roman" w:cs="Arial"/>
                <w:bCs w:val="0"/>
                <w:snapToGrid w:val="0"/>
                <w:color w:val="000000" w:themeColor="text1"/>
                <w:szCs w:val="20"/>
              </w:rPr>
              <w:t>submission assumed 7% of relapses were fatal based on Mealy 2018, an observational study. The PBAC noted that removing mortality from the economic model resulted in a 27% increase in the ICER. The PBAC considered the assumption of a survival benefit with eculizumab treatment, due to a reduction in fatal relapses, was not demonstrated in the trial data and was not supported by the observational data presented in the submission (</w:t>
            </w:r>
            <w:r w:rsidRPr="00B02C2E">
              <w:rPr>
                <w:rFonts w:eastAsia="Times New Roman" w:cs="Arial"/>
                <w:bCs w:val="0"/>
                <w:snapToGrid w:val="0"/>
                <w:color w:val="000000" w:themeColor="text1"/>
                <w:szCs w:val="20"/>
              </w:rPr>
              <w:t xml:space="preserve">para </w:t>
            </w:r>
            <w:r w:rsidR="00D061B8" w:rsidRPr="00B02C2E">
              <w:rPr>
                <w:rFonts w:eastAsia="Times New Roman" w:cs="Arial"/>
                <w:bCs w:val="0"/>
                <w:snapToGrid w:val="0"/>
                <w:color w:val="000000" w:themeColor="text1"/>
                <w:szCs w:val="20"/>
              </w:rPr>
              <w:t>7.15</w:t>
            </w:r>
            <w:r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culizumab PSD, November 2020)</w:t>
            </w:r>
          </w:p>
        </w:tc>
        <w:tc>
          <w:tcPr>
            <w:tcW w:w="0" w:type="auto"/>
            <w:vAlign w:val="center"/>
          </w:tcPr>
          <w:p w14:paraId="087C1746" w14:textId="77777777" w:rsidR="00D64448" w:rsidRPr="00B02C2E" w:rsidRDefault="009B380F"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An alternative source of NMOSD mortality data was identified</w:t>
            </w:r>
            <w:r w:rsidR="000A1BC7" w:rsidRPr="00B02C2E">
              <w:rPr>
                <w:rFonts w:eastAsia="Times New Roman" w:cs="Arial"/>
                <w:bCs w:val="0"/>
                <w:snapToGrid w:val="0"/>
                <w:color w:val="000000" w:themeColor="text1"/>
                <w:szCs w:val="20"/>
              </w:rPr>
              <w:t xml:space="preserve"> (Kitley 2012)</w:t>
            </w:r>
            <w:r w:rsidRPr="00B02C2E">
              <w:rPr>
                <w:rFonts w:eastAsia="Times New Roman" w:cs="Arial"/>
                <w:bCs w:val="0"/>
                <w:snapToGrid w:val="0"/>
                <w:color w:val="000000" w:themeColor="text1"/>
                <w:szCs w:val="20"/>
              </w:rPr>
              <w:t>, and a relapse-specific mortality rate of 2.3% was applied</w:t>
            </w:r>
            <w:r w:rsidR="000A1BC7" w:rsidRPr="00B02C2E">
              <w:rPr>
                <w:rFonts w:eastAsia="Times New Roman" w:cs="Arial"/>
                <w:bCs w:val="0"/>
                <w:snapToGrid w:val="0"/>
                <w:color w:val="000000" w:themeColor="text1"/>
                <w:szCs w:val="20"/>
              </w:rPr>
              <w:t xml:space="preserve"> in the economic model</w:t>
            </w:r>
          </w:p>
        </w:tc>
      </w:tr>
      <w:tr w:rsidR="00D70231" w:rsidRPr="00B02C2E" w14:paraId="5E3A2627" w14:textId="77777777" w:rsidTr="002800F9">
        <w:trPr>
          <w:cantSplit/>
        </w:trPr>
        <w:tc>
          <w:tcPr>
            <w:tcW w:w="0" w:type="auto"/>
          </w:tcPr>
          <w:p w14:paraId="54DCE12A" w14:textId="77777777" w:rsidR="00D64448" w:rsidRPr="00B02C2E" w:rsidRDefault="000A1BC7"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U</w:t>
            </w:r>
            <w:r w:rsidR="00D061B8" w:rsidRPr="00B02C2E">
              <w:rPr>
                <w:rFonts w:eastAsia="Times New Roman" w:cs="Arial"/>
                <w:bCs w:val="0"/>
                <w:snapToGrid w:val="0"/>
                <w:color w:val="000000" w:themeColor="text1"/>
                <w:szCs w:val="20"/>
              </w:rPr>
              <w:t>tility values were based on a limited number of observations from the PREVENT trial (</w:t>
            </w:r>
            <w:r w:rsidRPr="00B02C2E">
              <w:rPr>
                <w:rFonts w:eastAsia="Times New Roman" w:cs="Arial"/>
                <w:bCs w:val="0"/>
                <w:snapToGrid w:val="0"/>
                <w:color w:val="000000" w:themeColor="text1"/>
                <w:szCs w:val="20"/>
              </w:rPr>
              <w:t xml:space="preserve">para </w:t>
            </w:r>
            <w:r w:rsidR="00D061B8" w:rsidRPr="00B02C2E">
              <w:rPr>
                <w:rFonts w:eastAsia="Times New Roman" w:cs="Arial"/>
                <w:bCs w:val="0"/>
                <w:snapToGrid w:val="0"/>
                <w:color w:val="000000" w:themeColor="text1"/>
                <w:szCs w:val="20"/>
              </w:rPr>
              <w:t>7.15</w:t>
            </w:r>
            <w:r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culizumab PSD, November 2020)</w:t>
            </w:r>
          </w:p>
        </w:tc>
        <w:tc>
          <w:tcPr>
            <w:tcW w:w="0" w:type="auto"/>
            <w:vAlign w:val="center"/>
          </w:tcPr>
          <w:p w14:paraId="38B6F74D" w14:textId="77777777" w:rsidR="00D64448" w:rsidRPr="00B02C2E" w:rsidRDefault="000A1BC7"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Not addressed in the resubmission</w:t>
            </w:r>
          </w:p>
        </w:tc>
      </w:tr>
      <w:tr w:rsidR="00D70231" w:rsidRPr="00B02C2E" w14:paraId="7E09099B" w14:textId="77777777" w:rsidTr="002800F9">
        <w:trPr>
          <w:cantSplit/>
        </w:trPr>
        <w:tc>
          <w:tcPr>
            <w:tcW w:w="0" w:type="auto"/>
          </w:tcPr>
          <w:p w14:paraId="77D6968F" w14:textId="77777777" w:rsidR="00D061B8" w:rsidRPr="00B02C2E" w:rsidRDefault="00DF29D9"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PBAC considered that a substantial price reduction would aid in mitigating the uncertainties in the model and potentially achieve an ICER in an acceptable range (</w:t>
            </w:r>
            <w:r w:rsidR="000A1BC7" w:rsidRPr="00B02C2E">
              <w:rPr>
                <w:rFonts w:eastAsia="Times New Roman" w:cs="Arial"/>
                <w:bCs w:val="0"/>
                <w:snapToGrid w:val="0"/>
                <w:color w:val="000000" w:themeColor="text1"/>
                <w:szCs w:val="20"/>
              </w:rPr>
              <w:t xml:space="preserve">para </w:t>
            </w:r>
            <w:r w:rsidRPr="00B02C2E">
              <w:rPr>
                <w:rFonts w:eastAsia="Times New Roman" w:cs="Arial"/>
                <w:bCs w:val="0"/>
                <w:snapToGrid w:val="0"/>
                <w:color w:val="000000" w:themeColor="text1"/>
                <w:szCs w:val="20"/>
              </w:rPr>
              <w:t>7.16</w:t>
            </w:r>
            <w:r w:rsidR="000A1BC7"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000A1BC7" w:rsidRPr="00B02C2E">
              <w:rPr>
                <w:rFonts w:eastAsia="Times New Roman" w:cs="Arial"/>
                <w:bCs w:val="0"/>
                <w:snapToGrid w:val="0"/>
                <w:color w:val="000000" w:themeColor="text1"/>
                <w:szCs w:val="20"/>
              </w:rPr>
              <w:t>culizumab PSD, November 2020)</w:t>
            </w:r>
          </w:p>
        </w:tc>
        <w:tc>
          <w:tcPr>
            <w:tcW w:w="0" w:type="auto"/>
            <w:vAlign w:val="center"/>
          </w:tcPr>
          <w:p w14:paraId="7E5AD778" w14:textId="77777777" w:rsidR="00D061B8" w:rsidRPr="00B02C2E" w:rsidRDefault="000A1BC7"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 xml:space="preserve">The resubmission included a proposed special pricing arrangement, with an effective DPMQ consisting of a </w:t>
            </w:r>
            <w:r w:rsidR="00B763C7">
              <w:rPr>
                <w:rFonts w:eastAsia="Times New Roman" w:cs="Arial"/>
                <w:bCs w:val="0"/>
                <w:noProof/>
                <w:snapToGrid w:val="0"/>
                <w:color w:val="000000"/>
                <w:szCs w:val="20"/>
                <w:highlight w:val="black"/>
              </w:rPr>
              <w:t>'''''</w:t>
            </w:r>
            <w:r w:rsidRPr="00B02C2E">
              <w:rPr>
                <w:rFonts w:eastAsia="Times New Roman" w:cs="Arial"/>
                <w:bCs w:val="0"/>
                <w:snapToGrid w:val="0"/>
                <w:color w:val="000000" w:themeColor="text1"/>
                <w:szCs w:val="20"/>
              </w:rPr>
              <w:t>% rebate on the published price</w:t>
            </w:r>
          </w:p>
        </w:tc>
      </w:tr>
      <w:tr w:rsidR="00D70231" w:rsidRPr="00B02C2E" w14:paraId="6A2033A8" w14:textId="77777777" w:rsidTr="002800F9">
        <w:trPr>
          <w:cantSplit/>
        </w:trPr>
        <w:tc>
          <w:tcPr>
            <w:tcW w:w="0" w:type="auto"/>
          </w:tcPr>
          <w:p w14:paraId="3BC2789E" w14:textId="77777777" w:rsidR="00500203" w:rsidRPr="00E05A20" w:rsidRDefault="00987803" w:rsidP="000633F6">
            <w:pPr>
              <w:pStyle w:val="TableText"/>
              <w:rPr>
                <w:rFonts w:eastAsia="Times New Roman" w:cs="Arial"/>
                <w:bCs w:val="0"/>
                <w:snapToGrid w:val="0"/>
                <w:color w:val="000000" w:themeColor="text1"/>
                <w:szCs w:val="20"/>
                <w:vertAlign w:val="superscript"/>
              </w:rPr>
            </w:pPr>
            <w:r w:rsidRPr="00B02C2E">
              <w:rPr>
                <w:rFonts w:eastAsia="Times New Roman" w:cs="Arial"/>
                <w:bCs w:val="0"/>
                <w:snapToGrid w:val="0"/>
                <w:color w:val="000000" w:themeColor="text1"/>
                <w:szCs w:val="20"/>
              </w:rPr>
              <w:t>The PBAC considered that, at the proposed price, the cost of eculizumab to the PBS/RPBS of $</w:t>
            </w:r>
            <w:r w:rsidR="00B763C7">
              <w:rPr>
                <w:rFonts w:eastAsia="Times New Roman" w:cs="Arial"/>
                <w:bCs w:val="0"/>
                <w:noProof/>
                <w:snapToGrid w:val="0"/>
                <w:color w:val="000000"/>
                <w:szCs w:val="20"/>
                <w:highlight w:val="black"/>
              </w:rPr>
              <w:t>''''''''''''' ''''''''''''''''</w:t>
            </w:r>
            <w:r w:rsidR="00E05A20">
              <w:rPr>
                <w:rFonts w:eastAsia="Times New Roman" w:cs="Arial"/>
                <w:bCs w:val="0"/>
                <w:snapToGrid w:val="0"/>
                <w:color w:val="000000" w:themeColor="text1"/>
                <w:szCs w:val="20"/>
                <w:vertAlign w:val="superscript"/>
              </w:rPr>
              <w:t>1</w:t>
            </w:r>
            <w:r w:rsidRPr="00B02C2E">
              <w:rPr>
                <w:rFonts w:eastAsia="Times New Roman" w:cs="Arial"/>
                <w:bCs w:val="0"/>
                <w:snapToGrid w:val="0"/>
                <w:color w:val="000000" w:themeColor="text1"/>
                <w:szCs w:val="20"/>
              </w:rPr>
              <w:t xml:space="preserve"> over the first six years (updated PSCR estimates) for less than </w:t>
            </w:r>
            <w:r w:rsidR="000633F6">
              <w:rPr>
                <w:rFonts w:eastAsia="Times New Roman" w:cs="Arial"/>
                <w:bCs w:val="0"/>
                <w:snapToGrid w:val="0"/>
                <w:color w:val="000000" w:themeColor="text1"/>
                <w:szCs w:val="20"/>
              </w:rPr>
              <w:t>&lt; 500</w:t>
            </w:r>
            <w:r w:rsidR="000633F6" w:rsidRPr="00B02C2E">
              <w:rPr>
                <w:rFonts w:eastAsia="Times New Roman" w:cs="Arial"/>
                <w:bCs w:val="0"/>
                <w:snapToGrid w:val="0"/>
                <w:color w:val="000000" w:themeColor="text1"/>
                <w:szCs w:val="20"/>
              </w:rPr>
              <w:t xml:space="preserve"> </w:t>
            </w:r>
            <w:r w:rsidRPr="00B02C2E">
              <w:rPr>
                <w:rFonts w:eastAsia="Times New Roman" w:cs="Arial"/>
                <w:bCs w:val="0"/>
                <w:snapToGrid w:val="0"/>
                <w:color w:val="000000" w:themeColor="text1"/>
                <w:szCs w:val="20"/>
              </w:rPr>
              <w:t xml:space="preserve">patients was very high. The PBAC considered that the restriction should more closely align with the inclusion criteria of the trial (para </w:t>
            </w:r>
            <w:r w:rsidR="003657C0" w:rsidRPr="00B02C2E">
              <w:rPr>
                <w:rFonts w:eastAsia="Times New Roman" w:cs="Arial"/>
                <w:bCs w:val="0"/>
                <w:snapToGrid w:val="0"/>
                <w:color w:val="000000" w:themeColor="text1"/>
                <w:szCs w:val="20"/>
              </w:rPr>
              <w:t>7.17</w:t>
            </w:r>
            <w:r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Pr="00B02C2E">
              <w:rPr>
                <w:rFonts w:eastAsia="Times New Roman" w:cs="Arial"/>
                <w:bCs w:val="0"/>
                <w:snapToGrid w:val="0"/>
                <w:color w:val="000000" w:themeColor="text1"/>
                <w:szCs w:val="20"/>
              </w:rPr>
              <w:t xml:space="preserve">culizumab </w:t>
            </w:r>
            <w:r w:rsidR="003657C0" w:rsidRPr="00B02C2E">
              <w:rPr>
                <w:rFonts w:eastAsia="Times New Roman" w:cs="Arial"/>
                <w:bCs w:val="0"/>
                <w:snapToGrid w:val="0"/>
                <w:color w:val="000000" w:themeColor="text1"/>
                <w:szCs w:val="20"/>
              </w:rPr>
              <w:t xml:space="preserve">PBAC </w:t>
            </w:r>
            <w:r w:rsidR="00155927">
              <w:rPr>
                <w:rFonts w:eastAsia="Times New Roman" w:cs="Arial"/>
                <w:bCs w:val="0"/>
                <w:snapToGrid w:val="0"/>
                <w:color w:val="000000" w:themeColor="text1"/>
                <w:szCs w:val="20"/>
              </w:rPr>
              <w:t>PSD</w:t>
            </w:r>
            <w:r w:rsidRPr="00B02C2E">
              <w:rPr>
                <w:rFonts w:eastAsia="Times New Roman" w:cs="Arial"/>
                <w:bCs w:val="0"/>
                <w:snapToGrid w:val="0"/>
                <w:color w:val="000000" w:themeColor="text1"/>
                <w:szCs w:val="20"/>
              </w:rPr>
              <w:t>, November 2020)</w:t>
            </w:r>
            <w:r w:rsidR="006F3101" w:rsidRPr="00B02C2E">
              <w:rPr>
                <w:rFonts w:eastAsia="Times New Roman" w:cs="Arial"/>
                <w:bCs w:val="0"/>
                <w:snapToGrid w:val="0"/>
                <w:color w:val="000000" w:themeColor="text1"/>
                <w:szCs w:val="20"/>
              </w:rPr>
              <w:t>.</w:t>
            </w:r>
          </w:p>
        </w:tc>
        <w:tc>
          <w:tcPr>
            <w:tcW w:w="0" w:type="auto"/>
            <w:vAlign w:val="center"/>
          </w:tcPr>
          <w:p w14:paraId="2E9A223C" w14:textId="77777777" w:rsidR="00500203" w:rsidRPr="00B02C2E" w:rsidRDefault="00D70231" w:rsidP="002800F9">
            <w:pPr>
              <w:pStyle w:val="TableText"/>
              <w:keepNext w:val="0"/>
              <w:rPr>
                <w:rFonts w:eastAsia="Times New Roman" w:cs="Arial"/>
                <w:bCs w:val="0"/>
                <w:snapToGrid w:val="0"/>
                <w:color w:val="000000" w:themeColor="text1"/>
                <w:szCs w:val="20"/>
              </w:rPr>
            </w:pPr>
            <w:r w:rsidRPr="00B02C2E">
              <w:t>The resubmission applied an alternative m</w:t>
            </w:r>
            <w:r w:rsidR="000440E7" w:rsidRPr="00B02C2E">
              <w:rPr>
                <w:rFonts w:eastAsia="Times New Roman" w:cs="Arial"/>
                <w:bCs w:val="0"/>
                <w:snapToGrid w:val="0"/>
                <w:color w:val="000000" w:themeColor="text1"/>
                <w:szCs w:val="20"/>
              </w:rPr>
              <w:t>ethodology (prevalence-based approach rather than mixed incidence/prevalence approach)</w:t>
            </w:r>
            <w:r w:rsidRPr="00B02C2E">
              <w:rPr>
                <w:rFonts w:eastAsia="Times New Roman" w:cs="Arial"/>
                <w:bCs w:val="0"/>
                <w:snapToGrid w:val="0"/>
                <w:color w:val="000000" w:themeColor="text1"/>
                <w:szCs w:val="20"/>
              </w:rPr>
              <w:t>, which resulted in a higher estimated prevalence compared with the November 2020 submission, and corrected a number of logical inconsistencies that occurred with the mixed incidence/prevalence approach used in the previous submission. The resubmission also applied</w:t>
            </w:r>
            <w:r w:rsidR="000440E7" w:rsidRPr="00B02C2E">
              <w:rPr>
                <w:rFonts w:eastAsia="Times New Roman" w:cs="Arial"/>
                <w:bCs w:val="0"/>
                <w:snapToGrid w:val="0"/>
                <w:color w:val="000000" w:themeColor="text1"/>
                <w:szCs w:val="20"/>
              </w:rPr>
              <w:t xml:space="preserve"> changes to the majority of inputs used in the analysis</w:t>
            </w:r>
            <w:r w:rsidRPr="00B02C2E">
              <w:rPr>
                <w:rFonts w:eastAsia="Times New Roman" w:cs="Arial"/>
                <w:bCs w:val="0"/>
                <w:snapToGrid w:val="0"/>
                <w:color w:val="000000" w:themeColor="text1"/>
                <w:szCs w:val="20"/>
              </w:rPr>
              <w:t>, including</w:t>
            </w:r>
            <w:r w:rsidR="000440E7" w:rsidRPr="00B02C2E">
              <w:rPr>
                <w:rFonts w:eastAsia="Times New Roman" w:cs="Arial"/>
                <w:bCs w:val="0"/>
                <w:snapToGrid w:val="0"/>
                <w:color w:val="000000" w:themeColor="text1"/>
                <w:szCs w:val="20"/>
              </w:rPr>
              <w:t xml:space="preserve"> eligibility criteria</w:t>
            </w:r>
            <w:r w:rsidRPr="00B02C2E">
              <w:rPr>
                <w:rFonts w:eastAsia="Times New Roman" w:cs="Arial"/>
                <w:bCs w:val="0"/>
                <w:snapToGrid w:val="0"/>
                <w:color w:val="000000" w:themeColor="text1"/>
                <w:szCs w:val="20"/>
              </w:rPr>
              <w:t xml:space="preserve"> (new EDSS criterion and narrower definition of frequent relapses)</w:t>
            </w:r>
            <w:r w:rsidR="000440E7" w:rsidRPr="00B02C2E">
              <w:rPr>
                <w:rFonts w:eastAsia="Times New Roman" w:cs="Arial"/>
                <w:bCs w:val="0"/>
                <w:snapToGrid w:val="0"/>
                <w:color w:val="000000" w:themeColor="text1"/>
                <w:szCs w:val="20"/>
              </w:rPr>
              <w:t xml:space="preserve">, uptake rates, compliance, </w:t>
            </w:r>
            <w:r w:rsidRPr="00B02C2E">
              <w:rPr>
                <w:rFonts w:eastAsia="Times New Roman" w:cs="Arial"/>
                <w:bCs w:val="0"/>
                <w:snapToGrid w:val="0"/>
                <w:color w:val="000000" w:themeColor="text1"/>
                <w:szCs w:val="20"/>
              </w:rPr>
              <w:t xml:space="preserve">and </w:t>
            </w:r>
            <w:r w:rsidR="000440E7" w:rsidRPr="00B02C2E">
              <w:rPr>
                <w:rFonts w:eastAsia="Times New Roman" w:cs="Arial"/>
                <w:bCs w:val="0"/>
                <w:snapToGrid w:val="0"/>
                <w:color w:val="000000" w:themeColor="text1"/>
                <w:szCs w:val="20"/>
              </w:rPr>
              <w:t>pric</w:t>
            </w:r>
            <w:r w:rsidRPr="00B02C2E">
              <w:rPr>
                <w:rFonts w:eastAsia="Times New Roman" w:cs="Arial"/>
                <w:bCs w:val="0"/>
                <w:snapToGrid w:val="0"/>
                <w:color w:val="000000" w:themeColor="text1"/>
                <w:szCs w:val="20"/>
              </w:rPr>
              <w:t>e</w:t>
            </w:r>
            <w:r w:rsidR="006F3101" w:rsidRPr="00B02C2E">
              <w:rPr>
                <w:rFonts w:eastAsia="Times New Roman" w:cs="Arial"/>
                <w:bCs w:val="0"/>
                <w:snapToGrid w:val="0"/>
                <w:color w:val="000000" w:themeColor="text1"/>
                <w:szCs w:val="20"/>
              </w:rPr>
              <w:t>.</w:t>
            </w:r>
          </w:p>
        </w:tc>
      </w:tr>
      <w:tr w:rsidR="00D70231" w:rsidRPr="00B02C2E" w14:paraId="75FB0141" w14:textId="77777777" w:rsidTr="002800F9">
        <w:trPr>
          <w:cantSplit/>
        </w:trPr>
        <w:tc>
          <w:tcPr>
            <w:tcW w:w="0" w:type="auto"/>
          </w:tcPr>
          <w:p w14:paraId="706AA864" w14:textId="77777777" w:rsidR="00D061B8" w:rsidRPr="00B02C2E" w:rsidRDefault="00DF29D9"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sponsor in its pre-PBAC response proposed a RSA</w:t>
            </w:r>
            <w:r w:rsidR="000A1BC7" w:rsidRPr="00B02C2E">
              <w:rPr>
                <w:rFonts w:eastAsia="Times New Roman" w:cs="Arial"/>
                <w:bCs w:val="0"/>
                <w:snapToGrid w:val="0"/>
                <w:color w:val="000000" w:themeColor="text1"/>
                <w:szCs w:val="20"/>
              </w:rPr>
              <w:t xml:space="preserve">. </w:t>
            </w:r>
            <w:r w:rsidRPr="00B02C2E">
              <w:rPr>
                <w:rFonts w:eastAsia="Times New Roman" w:cs="Arial"/>
                <w:bCs w:val="0"/>
                <w:snapToGrid w:val="0"/>
                <w:color w:val="000000" w:themeColor="text1"/>
                <w:szCs w:val="20"/>
              </w:rPr>
              <w:t>The PBAC noted that the proposed RSA was based on patient numbers that were substantially higher that the estimated number of treated patients and considered this was inappropriate. Further, the pre-PBAC response did not provide any details on the proportion of the rebate for any utilisation above the cap offered in the RSA (</w:t>
            </w:r>
            <w:r w:rsidR="000A1BC7" w:rsidRPr="00B02C2E">
              <w:rPr>
                <w:rFonts w:eastAsia="Times New Roman" w:cs="Arial"/>
                <w:bCs w:val="0"/>
                <w:snapToGrid w:val="0"/>
                <w:color w:val="000000" w:themeColor="text1"/>
                <w:szCs w:val="20"/>
              </w:rPr>
              <w:t xml:space="preserve">para </w:t>
            </w:r>
            <w:r w:rsidRPr="00B02C2E">
              <w:rPr>
                <w:rFonts w:eastAsia="Times New Roman" w:cs="Arial"/>
                <w:bCs w:val="0"/>
                <w:snapToGrid w:val="0"/>
                <w:color w:val="000000" w:themeColor="text1"/>
                <w:szCs w:val="20"/>
              </w:rPr>
              <w:t>7.18</w:t>
            </w:r>
            <w:r w:rsidR="000A1BC7" w:rsidRPr="00B02C2E">
              <w:rPr>
                <w:rFonts w:eastAsia="Times New Roman" w:cs="Arial"/>
                <w:bCs w:val="0"/>
                <w:snapToGrid w:val="0"/>
                <w:color w:val="000000" w:themeColor="text1"/>
                <w:szCs w:val="20"/>
              </w:rPr>
              <w:t xml:space="preserve">, </w:t>
            </w:r>
            <w:r w:rsidR="004E04C6" w:rsidRPr="00B02C2E">
              <w:rPr>
                <w:rFonts w:eastAsia="Times New Roman" w:cs="Arial"/>
                <w:bCs w:val="0"/>
                <w:snapToGrid w:val="0"/>
                <w:color w:val="000000" w:themeColor="text1"/>
                <w:szCs w:val="20"/>
              </w:rPr>
              <w:t>e</w:t>
            </w:r>
            <w:r w:rsidR="000A1BC7" w:rsidRPr="00B02C2E">
              <w:rPr>
                <w:rFonts w:eastAsia="Times New Roman" w:cs="Arial"/>
                <w:bCs w:val="0"/>
                <w:snapToGrid w:val="0"/>
                <w:color w:val="000000" w:themeColor="text1"/>
                <w:szCs w:val="20"/>
              </w:rPr>
              <w:t>culizumab PSD, November)</w:t>
            </w:r>
          </w:p>
        </w:tc>
        <w:tc>
          <w:tcPr>
            <w:tcW w:w="0" w:type="auto"/>
            <w:vAlign w:val="center"/>
          </w:tcPr>
          <w:p w14:paraId="46CB07E7" w14:textId="77777777" w:rsidR="00D061B8" w:rsidRPr="00B02C2E" w:rsidRDefault="000A1BC7" w:rsidP="002800F9">
            <w:pPr>
              <w:pStyle w:val="TableText"/>
              <w:keepNext w:val="0"/>
              <w:rPr>
                <w:rFonts w:eastAsia="Times New Roman" w:cs="Arial"/>
                <w:bCs w:val="0"/>
                <w:snapToGrid w:val="0"/>
                <w:color w:val="000000" w:themeColor="text1"/>
                <w:szCs w:val="20"/>
              </w:rPr>
            </w:pPr>
            <w:r w:rsidRPr="00B02C2E">
              <w:rPr>
                <w:rFonts w:eastAsia="Times New Roman" w:cs="Arial"/>
                <w:bCs w:val="0"/>
                <w:snapToGrid w:val="0"/>
                <w:color w:val="000000" w:themeColor="text1"/>
                <w:szCs w:val="20"/>
              </w:rPr>
              <w:t>The resubmission included a proposal for a RSA with an updated patient number cap, based on the total number of patients on treatment. This reduces the cap compared to the first submission</w:t>
            </w:r>
          </w:p>
        </w:tc>
      </w:tr>
    </w:tbl>
    <w:p w14:paraId="396C20BC" w14:textId="77777777" w:rsidR="005C25FF" w:rsidRPr="00B02C2E" w:rsidRDefault="005C25FF" w:rsidP="004E18E9">
      <w:pPr>
        <w:pStyle w:val="TableFigureFooter"/>
      </w:pPr>
      <w:r w:rsidRPr="00B02C2E">
        <w:t xml:space="preserve">Source: the </w:t>
      </w:r>
      <w:r w:rsidR="00F703A7" w:rsidRPr="00B02C2E">
        <w:t>re</w:t>
      </w:r>
      <w:r w:rsidRPr="00B02C2E">
        <w:t>submission</w:t>
      </w:r>
    </w:p>
    <w:p w14:paraId="0430AB89" w14:textId="77777777" w:rsidR="005C25FF" w:rsidRDefault="000A1BC7" w:rsidP="00F703A7">
      <w:pPr>
        <w:pStyle w:val="TableFigureFooter"/>
        <w:rPr>
          <w:rFonts w:asciiTheme="minorHAnsi" w:hAnsiTheme="minorHAnsi"/>
          <w:i/>
          <w:iCs/>
          <w:color w:val="0066FF"/>
        </w:rPr>
      </w:pPr>
      <w:r w:rsidRPr="00B02C2E">
        <w:t xml:space="preserve">Abbreviations: </w:t>
      </w:r>
      <w:r w:rsidR="00F703A7" w:rsidRPr="00B02C2E">
        <w:t xml:space="preserve">DPMQ, dispensed price for maximum quantity; EDSS, Expanded Disability Status Scale; ICER, incremental cost-effectiveness ratio; NMOSD, neuromyelitis optica spectrum disorders; </w:t>
      </w:r>
      <w:r w:rsidRPr="00B02C2E">
        <w:t>PSCR, pre-subcommittee response; RSA, risk share agreement</w:t>
      </w:r>
      <w:r w:rsidR="00F703A7" w:rsidRPr="00B02C2E">
        <w:rPr>
          <w:rFonts w:asciiTheme="minorHAnsi" w:hAnsiTheme="minorHAnsi"/>
          <w:i/>
          <w:iCs/>
          <w:color w:val="0066FF"/>
        </w:rPr>
        <w:t xml:space="preserve"> </w:t>
      </w:r>
    </w:p>
    <w:p w14:paraId="5A315513" w14:textId="77777777" w:rsidR="00E05A20" w:rsidRDefault="00E05A20" w:rsidP="00E05A20">
      <w:pPr>
        <w:pStyle w:val="TableFigureFooter"/>
        <w:spacing w:after="0"/>
        <w:contextualSpacing w:val="0"/>
        <w:rPr>
          <w:i/>
        </w:rPr>
      </w:pPr>
      <w:r w:rsidRPr="009868C4">
        <w:rPr>
          <w:i/>
        </w:rPr>
        <w:t>The redacted values correspond to the following ranges</w:t>
      </w:r>
      <w:r>
        <w:rPr>
          <w:i/>
        </w:rPr>
        <w:t xml:space="preserve">: </w:t>
      </w:r>
      <w:r>
        <w:rPr>
          <w:i/>
          <w:vertAlign w:val="superscript"/>
        </w:rPr>
        <w:t>1</w:t>
      </w:r>
      <w:r>
        <w:rPr>
          <w:i/>
        </w:rPr>
        <w:t xml:space="preserve"> </w:t>
      </w:r>
      <w:r w:rsidRPr="00E05A20">
        <w:rPr>
          <w:i/>
        </w:rPr>
        <w:t>$200 million to &lt; $300 million</w:t>
      </w:r>
    </w:p>
    <w:p w14:paraId="31999D7C" w14:textId="77777777" w:rsidR="00E05A20" w:rsidRPr="00E05A20" w:rsidRDefault="00E05A20" w:rsidP="00E05A20">
      <w:pPr>
        <w:pStyle w:val="TableFigureFooter"/>
        <w:spacing w:after="0"/>
        <w:contextualSpacing w:val="0"/>
      </w:pPr>
    </w:p>
    <w:bookmarkEnd w:id="7"/>
    <w:p w14:paraId="6D3B60E1" w14:textId="77777777" w:rsidR="00F703A7" w:rsidRPr="00B02C2E" w:rsidRDefault="00F703A7" w:rsidP="00F703A7">
      <w:pPr>
        <w:pStyle w:val="ExecSumBodyText"/>
        <w:rPr>
          <w:snapToGrid/>
        </w:rPr>
      </w:pPr>
      <w:r w:rsidRPr="00B02C2E">
        <w:rPr>
          <w:snapToGrid/>
        </w:rPr>
        <w:t>Eculizumab is currently subsidised under the PBS for the treatment of atypical haemolytic uraemic syndrome (aHUS). Eculizumab is currently subsidised under the Life Saving Drugs Program (LSDP) for the treatment of paroxysmal nocturnal haemoglobinuria.</w:t>
      </w:r>
    </w:p>
    <w:p w14:paraId="1A0098D8" w14:textId="77777777" w:rsidR="000748B8" w:rsidRPr="00B02C2E" w:rsidRDefault="000748B8" w:rsidP="000748B8">
      <w:pPr>
        <w:pStyle w:val="ExecSumBodyText"/>
        <w:numPr>
          <w:ilvl w:val="0"/>
          <w:numId w:val="0"/>
        </w:numPr>
        <w:ind w:left="720"/>
        <w:rPr>
          <w:i/>
          <w:iCs/>
          <w:snapToGrid/>
        </w:rPr>
      </w:pPr>
      <w:r w:rsidRPr="00B02C2E">
        <w:rPr>
          <w:i/>
          <w:iCs/>
          <w:snapToGrid/>
        </w:rPr>
        <w:t>For more detail on PBAC’s view, see section 7 PBAC outcome.</w:t>
      </w:r>
    </w:p>
    <w:p w14:paraId="23F448BF" w14:textId="77777777" w:rsidR="00B60939" w:rsidRPr="00B02C2E" w:rsidRDefault="00B50DB8" w:rsidP="004E18E9">
      <w:pPr>
        <w:pStyle w:val="2-SectionHeading"/>
      </w:pPr>
      <w:bookmarkStart w:id="10" w:name="_Toc82079273"/>
      <w:r w:rsidRPr="00B02C2E">
        <w:t>Requested listing</w:t>
      </w:r>
      <w:bookmarkEnd w:id="10"/>
    </w:p>
    <w:p w14:paraId="6D979CA7" w14:textId="77777777" w:rsidR="00AC5A95" w:rsidRPr="00B02C2E" w:rsidRDefault="002115D9" w:rsidP="00CD2AF3">
      <w:pPr>
        <w:pStyle w:val="ExecSumBodyText"/>
        <w:rPr>
          <w:color w:val="000000" w:themeColor="text1"/>
        </w:rPr>
      </w:pPr>
      <w:r w:rsidRPr="00B02C2E">
        <w:rPr>
          <w:color w:val="000000" w:themeColor="text1"/>
        </w:rPr>
        <w:t xml:space="preserve">The resubmission presented a revised restriction to align with the PREVENT trial </w:t>
      </w:r>
      <w:r w:rsidR="005D111E" w:rsidRPr="00B02C2E">
        <w:rPr>
          <w:color w:val="000000" w:themeColor="text1"/>
        </w:rPr>
        <w:t xml:space="preserve">– </w:t>
      </w:r>
      <w:r w:rsidRPr="00B02C2E">
        <w:rPr>
          <w:color w:val="000000" w:themeColor="text1"/>
        </w:rPr>
        <w:t>additions to the November 2020 restriction are in italics and deletions are in strikethrough.</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6"/>
        <w:gridCol w:w="809"/>
        <w:gridCol w:w="995"/>
        <w:gridCol w:w="989"/>
        <w:gridCol w:w="2363"/>
        <w:gridCol w:w="1839"/>
        <w:gridCol w:w="114"/>
      </w:tblGrid>
      <w:tr w:rsidR="0022250C" w:rsidRPr="00B02C2E" w14:paraId="78B88354" w14:textId="77777777" w:rsidTr="001540FF">
        <w:trPr>
          <w:gridAfter w:val="1"/>
          <w:wAfter w:w="114" w:type="dxa"/>
        </w:trPr>
        <w:tc>
          <w:tcPr>
            <w:tcW w:w="1941" w:type="dxa"/>
            <w:tcBorders>
              <w:top w:val="single" w:sz="4" w:space="0" w:color="auto"/>
              <w:left w:val="nil"/>
              <w:bottom w:val="single" w:sz="4" w:space="0" w:color="auto"/>
              <w:right w:val="nil"/>
            </w:tcBorders>
          </w:tcPr>
          <w:p w14:paraId="6C61A7A1" w14:textId="77777777" w:rsidR="0022250C" w:rsidRPr="00B02C2E" w:rsidRDefault="0022250C" w:rsidP="00A01704">
            <w:pPr>
              <w:pStyle w:val="Tabletext0"/>
              <w:rPr>
                <w:b/>
                <w:bCs/>
              </w:rPr>
            </w:pPr>
            <w:r w:rsidRPr="00B02C2E">
              <w:rPr>
                <w:b/>
              </w:rPr>
              <w:t>Name, restriction, manner of administration, form</w:t>
            </w:r>
          </w:p>
        </w:tc>
        <w:tc>
          <w:tcPr>
            <w:tcW w:w="995" w:type="dxa"/>
            <w:gridSpan w:val="2"/>
            <w:tcBorders>
              <w:top w:val="single" w:sz="4" w:space="0" w:color="auto"/>
              <w:left w:val="nil"/>
              <w:bottom w:val="single" w:sz="4" w:space="0" w:color="auto"/>
              <w:right w:val="nil"/>
            </w:tcBorders>
          </w:tcPr>
          <w:p w14:paraId="7968BA27" w14:textId="77777777" w:rsidR="0022250C" w:rsidRPr="00B02C2E" w:rsidRDefault="0022250C" w:rsidP="00A01704">
            <w:pPr>
              <w:pStyle w:val="Tabletext0"/>
              <w:jc w:val="center"/>
              <w:rPr>
                <w:b/>
                <w:bCs/>
              </w:rPr>
            </w:pPr>
            <w:r w:rsidRPr="00B02C2E">
              <w:rPr>
                <w:b/>
              </w:rPr>
              <w:t>Maximum quantity (packs)</w:t>
            </w:r>
          </w:p>
        </w:tc>
        <w:tc>
          <w:tcPr>
            <w:tcW w:w="995" w:type="dxa"/>
            <w:tcBorders>
              <w:top w:val="single" w:sz="4" w:space="0" w:color="auto"/>
              <w:left w:val="nil"/>
              <w:bottom w:val="single" w:sz="4" w:space="0" w:color="auto"/>
              <w:right w:val="nil"/>
            </w:tcBorders>
          </w:tcPr>
          <w:p w14:paraId="41BA754F" w14:textId="77777777" w:rsidR="0022250C" w:rsidRPr="00B02C2E" w:rsidRDefault="0022250C" w:rsidP="00A01704">
            <w:pPr>
              <w:pStyle w:val="Tabletext0"/>
              <w:jc w:val="center"/>
              <w:rPr>
                <w:b/>
                <w:bCs/>
              </w:rPr>
            </w:pPr>
            <w:r w:rsidRPr="00B02C2E">
              <w:rPr>
                <w:b/>
              </w:rPr>
              <w:t>Maximum quantity (units)</w:t>
            </w:r>
          </w:p>
        </w:tc>
        <w:tc>
          <w:tcPr>
            <w:tcW w:w="989" w:type="dxa"/>
            <w:tcBorders>
              <w:top w:val="single" w:sz="4" w:space="0" w:color="auto"/>
              <w:left w:val="nil"/>
              <w:bottom w:val="single" w:sz="4" w:space="0" w:color="auto"/>
              <w:right w:val="nil"/>
            </w:tcBorders>
          </w:tcPr>
          <w:p w14:paraId="29333D61" w14:textId="77777777" w:rsidR="0022250C" w:rsidRPr="00B02C2E" w:rsidRDefault="0022250C" w:rsidP="00A01704">
            <w:pPr>
              <w:pStyle w:val="Tabletext0"/>
              <w:jc w:val="center"/>
              <w:rPr>
                <w:b/>
                <w:bCs/>
              </w:rPr>
            </w:pPr>
            <w:r w:rsidRPr="00B02C2E">
              <w:rPr>
                <w:b/>
              </w:rPr>
              <w:t>No. of repeats</w:t>
            </w:r>
          </w:p>
        </w:tc>
        <w:tc>
          <w:tcPr>
            <w:tcW w:w="2363" w:type="dxa"/>
            <w:tcBorders>
              <w:top w:val="single" w:sz="4" w:space="0" w:color="auto"/>
              <w:left w:val="nil"/>
              <w:bottom w:val="single" w:sz="4" w:space="0" w:color="auto"/>
              <w:right w:val="nil"/>
            </w:tcBorders>
          </w:tcPr>
          <w:p w14:paraId="2DC6785F" w14:textId="77777777" w:rsidR="0022250C" w:rsidRPr="00B02C2E" w:rsidRDefault="0022250C" w:rsidP="00A01704">
            <w:pPr>
              <w:pStyle w:val="Tabletext0"/>
              <w:jc w:val="center"/>
              <w:rPr>
                <w:b/>
                <w:bCs/>
              </w:rPr>
            </w:pPr>
            <w:r w:rsidRPr="00B02C2E">
              <w:rPr>
                <w:b/>
              </w:rPr>
              <w:t xml:space="preserve">Published (effective) </w:t>
            </w:r>
            <w:r w:rsidR="005126D7" w:rsidRPr="00B02C2E">
              <w:rPr>
                <w:b/>
              </w:rPr>
              <w:t xml:space="preserve">Dispensed Price </w:t>
            </w:r>
            <w:r w:rsidRPr="00B02C2E">
              <w:rPr>
                <w:b/>
              </w:rPr>
              <w:t xml:space="preserve">for </w:t>
            </w:r>
            <w:r w:rsidR="005126D7" w:rsidRPr="00B02C2E">
              <w:rPr>
                <w:b/>
              </w:rPr>
              <w:t>Maximum Quantity</w:t>
            </w:r>
          </w:p>
        </w:tc>
        <w:tc>
          <w:tcPr>
            <w:tcW w:w="1839" w:type="dxa"/>
            <w:tcBorders>
              <w:left w:val="nil"/>
              <w:bottom w:val="single" w:sz="4" w:space="0" w:color="auto"/>
              <w:right w:val="nil"/>
            </w:tcBorders>
          </w:tcPr>
          <w:p w14:paraId="3204AEF4" w14:textId="77777777" w:rsidR="0022250C" w:rsidRPr="00B02C2E" w:rsidRDefault="0022250C" w:rsidP="00A01704">
            <w:pPr>
              <w:pStyle w:val="Tabletext0"/>
              <w:jc w:val="center"/>
              <w:rPr>
                <w:b/>
                <w:bCs/>
              </w:rPr>
            </w:pPr>
            <w:r w:rsidRPr="00B02C2E">
              <w:rPr>
                <w:b/>
              </w:rPr>
              <w:t>Proprietary name and manufacturer</w:t>
            </w:r>
          </w:p>
        </w:tc>
      </w:tr>
      <w:tr w:rsidR="0022250C" w:rsidRPr="00B02C2E" w14:paraId="7F0B750D" w14:textId="77777777" w:rsidTr="001540FF">
        <w:trPr>
          <w:gridAfter w:val="1"/>
          <w:wAfter w:w="114" w:type="dxa"/>
          <w:trHeight w:val="111"/>
        </w:trPr>
        <w:tc>
          <w:tcPr>
            <w:tcW w:w="9122" w:type="dxa"/>
            <w:gridSpan w:val="7"/>
            <w:tcBorders>
              <w:top w:val="single" w:sz="4" w:space="0" w:color="auto"/>
              <w:left w:val="nil"/>
              <w:bottom w:val="nil"/>
              <w:right w:val="nil"/>
            </w:tcBorders>
          </w:tcPr>
          <w:p w14:paraId="599332A9" w14:textId="77777777" w:rsidR="0022250C" w:rsidRPr="00B02C2E" w:rsidRDefault="0022250C" w:rsidP="00A01704">
            <w:pPr>
              <w:pStyle w:val="Tabletext0"/>
              <w:rPr>
                <w:b/>
                <w:bCs/>
              </w:rPr>
            </w:pPr>
            <w:r w:rsidRPr="00B02C2E">
              <w:rPr>
                <w:b/>
                <w:bCs/>
              </w:rPr>
              <w:t>Initial treatment</w:t>
            </w:r>
          </w:p>
        </w:tc>
      </w:tr>
      <w:tr w:rsidR="0022250C" w:rsidRPr="00B02C2E" w14:paraId="06B0F519" w14:textId="77777777" w:rsidTr="001540FF">
        <w:trPr>
          <w:gridAfter w:val="1"/>
          <w:wAfter w:w="114" w:type="dxa"/>
          <w:trHeight w:val="383"/>
        </w:trPr>
        <w:tc>
          <w:tcPr>
            <w:tcW w:w="1941" w:type="dxa"/>
            <w:tcBorders>
              <w:top w:val="single" w:sz="4" w:space="0" w:color="auto"/>
              <w:left w:val="nil"/>
              <w:bottom w:val="single" w:sz="4" w:space="0" w:color="auto"/>
              <w:right w:val="nil"/>
            </w:tcBorders>
            <w:vAlign w:val="center"/>
          </w:tcPr>
          <w:p w14:paraId="759676FE" w14:textId="77777777" w:rsidR="0022250C" w:rsidRPr="00B02C2E" w:rsidRDefault="0022250C" w:rsidP="00A01704">
            <w:pPr>
              <w:pStyle w:val="Tabletext0"/>
            </w:pPr>
            <w:r w:rsidRPr="00B02C2E">
              <w:t>Eculizumab, 300 mg/30 mL injection, 30 mL vial</w:t>
            </w:r>
          </w:p>
        </w:tc>
        <w:tc>
          <w:tcPr>
            <w:tcW w:w="995" w:type="dxa"/>
            <w:gridSpan w:val="2"/>
            <w:tcBorders>
              <w:top w:val="single" w:sz="4" w:space="0" w:color="auto"/>
              <w:left w:val="nil"/>
              <w:bottom w:val="single" w:sz="4" w:space="0" w:color="auto"/>
              <w:right w:val="nil"/>
            </w:tcBorders>
            <w:vAlign w:val="center"/>
          </w:tcPr>
          <w:p w14:paraId="285FF778" w14:textId="77777777" w:rsidR="0022250C" w:rsidRPr="00B02C2E" w:rsidRDefault="0022250C" w:rsidP="00A01704">
            <w:pPr>
              <w:pStyle w:val="Tabletext0"/>
              <w:jc w:val="center"/>
              <w:rPr>
                <w:rFonts w:ascii="Times" w:hAnsi="Times"/>
              </w:rPr>
            </w:pPr>
            <w:r w:rsidRPr="00B02C2E">
              <w:t>12</w:t>
            </w:r>
          </w:p>
        </w:tc>
        <w:tc>
          <w:tcPr>
            <w:tcW w:w="995" w:type="dxa"/>
            <w:tcBorders>
              <w:top w:val="single" w:sz="4" w:space="0" w:color="auto"/>
              <w:left w:val="nil"/>
              <w:bottom w:val="single" w:sz="4" w:space="0" w:color="auto"/>
              <w:right w:val="nil"/>
            </w:tcBorders>
            <w:vAlign w:val="center"/>
          </w:tcPr>
          <w:p w14:paraId="04A5808D" w14:textId="77777777" w:rsidR="0022250C" w:rsidRPr="00B02C2E" w:rsidRDefault="0022250C" w:rsidP="00A01704">
            <w:pPr>
              <w:pStyle w:val="Tabletext0"/>
              <w:jc w:val="center"/>
              <w:rPr>
                <w:rFonts w:ascii="Times" w:hAnsi="Times"/>
              </w:rPr>
            </w:pPr>
            <w:r w:rsidRPr="00B02C2E">
              <w:t>12</w:t>
            </w:r>
          </w:p>
        </w:tc>
        <w:tc>
          <w:tcPr>
            <w:tcW w:w="989" w:type="dxa"/>
            <w:tcBorders>
              <w:top w:val="single" w:sz="4" w:space="0" w:color="auto"/>
              <w:left w:val="nil"/>
              <w:bottom w:val="single" w:sz="4" w:space="0" w:color="auto"/>
              <w:right w:val="nil"/>
            </w:tcBorders>
            <w:vAlign w:val="center"/>
          </w:tcPr>
          <w:p w14:paraId="5C415F69" w14:textId="77777777" w:rsidR="0022250C" w:rsidRPr="00B02C2E" w:rsidRDefault="0022250C" w:rsidP="00A01704">
            <w:pPr>
              <w:pStyle w:val="Tabletext0"/>
              <w:jc w:val="center"/>
              <w:rPr>
                <w:rFonts w:ascii="Times" w:hAnsi="Times"/>
              </w:rPr>
            </w:pPr>
            <w:r w:rsidRPr="00B02C2E">
              <w:t>0</w:t>
            </w:r>
          </w:p>
        </w:tc>
        <w:tc>
          <w:tcPr>
            <w:tcW w:w="2363" w:type="dxa"/>
            <w:tcBorders>
              <w:top w:val="single" w:sz="4" w:space="0" w:color="auto"/>
              <w:left w:val="nil"/>
              <w:bottom w:val="single" w:sz="4" w:space="0" w:color="auto"/>
              <w:right w:val="nil"/>
            </w:tcBorders>
            <w:vAlign w:val="center"/>
          </w:tcPr>
          <w:p w14:paraId="52F63634" w14:textId="77777777" w:rsidR="0022250C" w:rsidRPr="00B02C2E" w:rsidRDefault="0022250C" w:rsidP="00A01704">
            <w:pPr>
              <w:pStyle w:val="Tabletext0"/>
              <w:jc w:val="center"/>
            </w:pPr>
            <w:r w:rsidRPr="00B02C2E">
              <w:t>Public hospital:</w:t>
            </w:r>
          </w:p>
          <w:p w14:paraId="4A8A5AC8" w14:textId="77777777" w:rsidR="0022250C" w:rsidRPr="00B02C2E" w:rsidRDefault="0022250C" w:rsidP="00A01704">
            <w:pPr>
              <w:pStyle w:val="Tabletext0"/>
              <w:jc w:val="center"/>
            </w:pPr>
            <w:r w:rsidRPr="00B02C2E">
              <w:t>$</w:t>
            </w:r>
            <w:r w:rsidR="00B763C7">
              <w:rPr>
                <w:noProof/>
                <w:color w:val="000000"/>
                <w:highlight w:val="black"/>
              </w:rPr>
              <w:t>'''''''''''''''''''''''''</w:t>
            </w:r>
            <w:r w:rsidRPr="00B02C2E">
              <w:t xml:space="preserve"> ($</w:t>
            </w:r>
            <w:r w:rsidR="00B763C7">
              <w:rPr>
                <w:noProof/>
                <w:color w:val="000000"/>
                <w:highlight w:val="black"/>
              </w:rPr>
              <w:t>''''''''''''''''''''''''''</w:t>
            </w:r>
            <w:r w:rsidRPr="00B02C2E">
              <w:t>)</w:t>
            </w:r>
          </w:p>
          <w:p w14:paraId="38C98818" w14:textId="77777777" w:rsidR="0022250C" w:rsidRPr="00B02C2E" w:rsidRDefault="0022250C" w:rsidP="00A01704">
            <w:pPr>
              <w:pStyle w:val="Tabletext0"/>
              <w:jc w:val="center"/>
            </w:pPr>
            <w:r w:rsidRPr="00B02C2E">
              <w:t>Private hospital:</w:t>
            </w:r>
          </w:p>
          <w:p w14:paraId="2676C79A" w14:textId="77777777" w:rsidR="0022250C" w:rsidRPr="00B02C2E" w:rsidRDefault="0022250C" w:rsidP="00A01704">
            <w:pPr>
              <w:pStyle w:val="Tabletext0"/>
              <w:jc w:val="center"/>
            </w:pPr>
            <w:r w:rsidRPr="00B02C2E">
              <w:t>$</w:t>
            </w:r>
            <w:r w:rsidR="00B763C7">
              <w:rPr>
                <w:noProof/>
                <w:color w:val="000000"/>
                <w:highlight w:val="black"/>
              </w:rPr>
              <w:t>'''''''''''''''''''''''''</w:t>
            </w:r>
            <w:r w:rsidRPr="00B02C2E">
              <w:t xml:space="preserve"> ($</w:t>
            </w:r>
            <w:r w:rsidR="00B763C7">
              <w:rPr>
                <w:noProof/>
                <w:color w:val="000000"/>
                <w:highlight w:val="black"/>
              </w:rPr>
              <w:t>''''''''''''''''''''''</w:t>
            </w:r>
            <w:r w:rsidRPr="00B02C2E">
              <w:t>)</w:t>
            </w:r>
          </w:p>
        </w:tc>
        <w:tc>
          <w:tcPr>
            <w:tcW w:w="1839" w:type="dxa"/>
            <w:tcBorders>
              <w:left w:val="nil"/>
              <w:bottom w:val="single" w:sz="4" w:space="0" w:color="auto"/>
              <w:right w:val="nil"/>
            </w:tcBorders>
            <w:vAlign w:val="center"/>
          </w:tcPr>
          <w:p w14:paraId="35D43257" w14:textId="77777777" w:rsidR="0022250C" w:rsidRPr="00B02C2E" w:rsidRDefault="0022250C" w:rsidP="00A01704">
            <w:pPr>
              <w:pStyle w:val="Tabletext0"/>
              <w:jc w:val="center"/>
            </w:pPr>
            <w:r w:rsidRPr="00B02C2E">
              <w:t>Soliris</w:t>
            </w:r>
            <w:r w:rsidRPr="00B02C2E">
              <w:rPr>
                <w:vertAlign w:val="superscript"/>
              </w:rPr>
              <w:t>®</w:t>
            </w:r>
          </w:p>
          <w:p w14:paraId="289C13D1" w14:textId="77777777" w:rsidR="0022250C" w:rsidRPr="00B02C2E" w:rsidRDefault="0022250C" w:rsidP="00A01704">
            <w:pPr>
              <w:pStyle w:val="Tabletext0"/>
              <w:jc w:val="center"/>
              <w:rPr>
                <w:rFonts w:ascii="Times" w:hAnsi="Times"/>
              </w:rPr>
            </w:pPr>
            <w:r w:rsidRPr="00B02C2E">
              <w:t>Alexion</w:t>
            </w:r>
          </w:p>
        </w:tc>
      </w:tr>
      <w:tr w:rsidR="0022250C" w:rsidRPr="00B02C2E" w14:paraId="11073011" w14:textId="77777777" w:rsidTr="001540FF">
        <w:trPr>
          <w:gridAfter w:val="1"/>
          <w:wAfter w:w="114" w:type="dxa"/>
          <w:trHeight w:val="107"/>
        </w:trPr>
        <w:tc>
          <w:tcPr>
            <w:tcW w:w="9122" w:type="dxa"/>
            <w:gridSpan w:val="7"/>
            <w:tcBorders>
              <w:top w:val="single" w:sz="4" w:space="0" w:color="auto"/>
              <w:left w:val="nil"/>
              <w:bottom w:val="single" w:sz="4" w:space="0" w:color="auto"/>
              <w:right w:val="nil"/>
            </w:tcBorders>
          </w:tcPr>
          <w:p w14:paraId="4DB76E16" w14:textId="77777777" w:rsidR="0022250C" w:rsidRPr="00B02C2E" w:rsidRDefault="0022250C" w:rsidP="00A01704">
            <w:pPr>
              <w:pStyle w:val="Tabletext0"/>
              <w:rPr>
                <w:b/>
                <w:bCs/>
              </w:rPr>
            </w:pPr>
            <w:r w:rsidRPr="00B02C2E">
              <w:rPr>
                <w:b/>
                <w:bCs/>
              </w:rPr>
              <w:t>Continuing treatment</w:t>
            </w:r>
          </w:p>
        </w:tc>
      </w:tr>
      <w:tr w:rsidR="0022250C" w:rsidRPr="00B02C2E" w14:paraId="349E9BCD" w14:textId="77777777" w:rsidTr="001540FF">
        <w:trPr>
          <w:gridAfter w:val="1"/>
          <w:wAfter w:w="114" w:type="dxa"/>
          <w:trHeight w:val="383"/>
        </w:trPr>
        <w:tc>
          <w:tcPr>
            <w:tcW w:w="1941" w:type="dxa"/>
            <w:tcBorders>
              <w:top w:val="nil"/>
              <w:left w:val="nil"/>
              <w:bottom w:val="nil"/>
              <w:right w:val="nil"/>
            </w:tcBorders>
            <w:vAlign w:val="center"/>
          </w:tcPr>
          <w:p w14:paraId="5BCBA922" w14:textId="77777777" w:rsidR="0022250C" w:rsidRPr="00B02C2E" w:rsidRDefault="0022250C" w:rsidP="00A01704">
            <w:pPr>
              <w:pStyle w:val="Tabletext0"/>
            </w:pPr>
            <w:r w:rsidRPr="00B02C2E">
              <w:t>Eculizumab, 300 mg/30 mL injection, 30 mL vial</w:t>
            </w:r>
          </w:p>
        </w:tc>
        <w:tc>
          <w:tcPr>
            <w:tcW w:w="995" w:type="dxa"/>
            <w:gridSpan w:val="2"/>
            <w:tcBorders>
              <w:top w:val="nil"/>
              <w:left w:val="nil"/>
              <w:bottom w:val="nil"/>
              <w:right w:val="nil"/>
            </w:tcBorders>
            <w:vAlign w:val="center"/>
          </w:tcPr>
          <w:p w14:paraId="2F245698" w14:textId="77777777" w:rsidR="0022250C" w:rsidRPr="00B02C2E" w:rsidRDefault="0022250C" w:rsidP="00A01704">
            <w:pPr>
              <w:pStyle w:val="Tabletext0"/>
              <w:jc w:val="center"/>
            </w:pPr>
            <w:r w:rsidRPr="00B02C2E">
              <w:t>8</w:t>
            </w:r>
          </w:p>
        </w:tc>
        <w:tc>
          <w:tcPr>
            <w:tcW w:w="995" w:type="dxa"/>
            <w:tcBorders>
              <w:top w:val="nil"/>
              <w:left w:val="nil"/>
              <w:bottom w:val="nil"/>
              <w:right w:val="nil"/>
            </w:tcBorders>
            <w:vAlign w:val="center"/>
          </w:tcPr>
          <w:p w14:paraId="201AC582" w14:textId="77777777" w:rsidR="0022250C" w:rsidRPr="00B02C2E" w:rsidRDefault="0022250C" w:rsidP="00A01704">
            <w:pPr>
              <w:pStyle w:val="Tabletext0"/>
              <w:jc w:val="center"/>
            </w:pPr>
            <w:r w:rsidRPr="00B02C2E">
              <w:t>8</w:t>
            </w:r>
          </w:p>
        </w:tc>
        <w:tc>
          <w:tcPr>
            <w:tcW w:w="989" w:type="dxa"/>
            <w:tcBorders>
              <w:top w:val="nil"/>
              <w:left w:val="nil"/>
              <w:bottom w:val="nil"/>
              <w:right w:val="nil"/>
            </w:tcBorders>
            <w:vAlign w:val="center"/>
          </w:tcPr>
          <w:p w14:paraId="3E17E039" w14:textId="77777777" w:rsidR="0022250C" w:rsidRPr="00B02C2E" w:rsidRDefault="0022250C" w:rsidP="00A01704">
            <w:pPr>
              <w:pStyle w:val="Tabletext0"/>
              <w:jc w:val="center"/>
            </w:pPr>
            <w:r w:rsidRPr="00B02C2E">
              <w:t>5</w:t>
            </w:r>
          </w:p>
        </w:tc>
        <w:tc>
          <w:tcPr>
            <w:tcW w:w="2363" w:type="dxa"/>
            <w:tcBorders>
              <w:top w:val="nil"/>
              <w:left w:val="nil"/>
              <w:bottom w:val="nil"/>
              <w:right w:val="nil"/>
            </w:tcBorders>
            <w:vAlign w:val="center"/>
          </w:tcPr>
          <w:p w14:paraId="3501B5F0" w14:textId="77777777" w:rsidR="0022250C" w:rsidRPr="00B02C2E" w:rsidRDefault="0022250C" w:rsidP="00A01704">
            <w:pPr>
              <w:pStyle w:val="Tabletext0"/>
              <w:jc w:val="center"/>
            </w:pPr>
            <w:r w:rsidRPr="00B02C2E">
              <w:t>Public hospital:</w:t>
            </w:r>
          </w:p>
          <w:p w14:paraId="1DAD79C1" w14:textId="77777777" w:rsidR="0022250C" w:rsidRPr="00B02C2E" w:rsidRDefault="0022250C" w:rsidP="00A01704">
            <w:pPr>
              <w:pStyle w:val="Tabletext0"/>
              <w:jc w:val="center"/>
            </w:pPr>
            <w:r w:rsidRPr="00B02C2E">
              <w:t>$</w:t>
            </w:r>
            <w:r w:rsidR="00B763C7">
              <w:rPr>
                <w:noProof/>
                <w:color w:val="000000"/>
                <w:highlight w:val="black"/>
              </w:rPr>
              <w:t>'''''''''''''''''''''''''</w:t>
            </w:r>
            <w:r w:rsidRPr="00B02C2E">
              <w:t xml:space="preserve"> ($</w:t>
            </w:r>
            <w:r w:rsidR="00B763C7">
              <w:rPr>
                <w:noProof/>
                <w:color w:val="000000"/>
                <w:highlight w:val="black"/>
              </w:rPr>
              <w:t>''''''''''''''''''''''</w:t>
            </w:r>
            <w:r w:rsidRPr="00B02C2E">
              <w:t xml:space="preserve">) </w:t>
            </w:r>
          </w:p>
          <w:p w14:paraId="2324921E" w14:textId="77777777" w:rsidR="0022250C" w:rsidRPr="00B02C2E" w:rsidRDefault="0022250C" w:rsidP="00A01704">
            <w:pPr>
              <w:pStyle w:val="Tabletext0"/>
              <w:jc w:val="center"/>
            </w:pPr>
            <w:r w:rsidRPr="00B02C2E">
              <w:t>Private hospital:</w:t>
            </w:r>
          </w:p>
          <w:p w14:paraId="4D065ACB" w14:textId="77777777" w:rsidR="0022250C" w:rsidRPr="00B02C2E" w:rsidRDefault="0022250C" w:rsidP="00A01704">
            <w:pPr>
              <w:pStyle w:val="Tabletext0"/>
              <w:jc w:val="center"/>
            </w:pPr>
            <w:r w:rsidRPr="00B02C2E">
              <w:t>$</w:t>
            </w:r>
            <w:r w:rsidR="00B763C7">
              <w:rPr>
                <w:noProof/>
                <w:color w:val="000000"/>
                <w:highlight w:val="black"/>
              </w:rPr>
              <w:t>''''''''''''''''''''''</w:t>
            </w:r>
            <w:r w:rsidRPr="00B02C2E">
              <w:t xml:space="preserve"> ($</w:t>
            </w:r>
            <w:r w:rsidR="00B763C7">
              <w:rPr>
                <w:noProof/>
                <w:color w:val="000000"/>
                <w:highlight w:val="black"/>
              </w:rPr>
              <w:t>'''''''''''''''''''''''</w:t>
            </w:r>
            <w:r w:rsidRPr="00B02C2E">
              <w:t>)</w:t>
            </w:r>
          </w:p>
        </w:tc>
        <w:tc>
          <w:tcPr>
            <w:tcW w:w="1839" w:type="dxa"/>
            <w:tcBorders>
              <w:left w:val="nil"/>
              <w:bottom w:val="nil"/>
              <w:right w:val="nil"/>
            </w:tcBorders>
          </w:tcPr>
          <w:p w14:paraId="07D60C0B" w14:textId="77777777" w:rsidR="0022250C" w:rsidRPr="00B02C2E" w:rsidRDefault="0022250C" w:rsidP="00A01704">
            <w:pPr>
              <w:pStyle w:val="Tabletext0"/>
              <w:jc w:val="center"/>
            </w:pPr>
            <w:r w:rsidRPr="00B02C2E">
              <w:t>Soliris</w:t>
            </w:r>
            <w:r w:rsidRPr="00B02C2E">
              <w:rPr>
                <w:vertAlign w:val="superscript"/>
              </w:rPr>
              <w:t>®</w:t>
            </w:r>
          </w:p>
          <w:p w14:paraId="3998C3DC" w14:textId="77777777" w:rsidR="0022250C" w:rsidRPr="00B02C2E" w:rsidRDefault="0022250C" w:rsidP="00A01704">
            <w:pPr>
              <w:pStyle w:val="Tabletext0"/>
              <w:jc w:val="center"/>
            </w:pPr>
            <w:r w:rsidRPr="00B02C2E">
              <w:t>Alexion</w:t>
            </w:r>
          </w:p>
        </w:tc>
      </w:tr>
      <w:tr w:rsidR="0022250C" w:rsidRPr="00B02C2E" w14:paraId="5345AC54"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35"/>
        </w:trPr>
        <w:tc>
          <w:tcPr>
            <w:tcW w:w="2127" w:type="dxa"/>
            <w:gridSpan w:val="2"/>
            <w:tcBorders>
              <w:top w:val="single" w:sz="4" w:space="0" w:color="auto"/>
              <w:left w:val="single" w:sz="4" w:space="0" w:color="auto"/>
              <w:bottom w:val="single" w:sz="4" w:space="0" w:color="auto"/>
              <w:right w:val="single" w:sz="4" w:space="0" w:color="auto"/>
            </w:tcBorders>
          </w:tcPr>
          <w:p w14:paraId="43CBC8E3"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Episodicity:</w:t>
            </w:r>
          </w:p>
        </w:tc>
        <w:tc>
          <w:tcPr>
            <w:tcW w:w="7109" w:type="dxa"/>
            <w:gridSpan w:val="6"/>
            <w:tcBorders>
              <w:top w:val="single" w:sz="4" w:space="0" w:color="auto"/>
              <w:left w:val="single" w:sz="4" w:space="0" w:color="auto"/>
              <w:bottom w:val="single" w:sz="4" w:space="0" w:color="auto"/>
              <w:right w:val="single" w:sz="4" w:space="0" w:color="auto"/>
            </w:tcBorders>
          </w:tcPr>
          <w:p w14:paraId="7BE675E4" w14:textId="77777777" w:rsidR="0022250C" w:rsidRPr="00B02C2E" w:rsidRDefault="0022250C" w:rsidP="001D6025">
            <w:pPr>
              <w:pStyle w:val="PBACTableText"/>
              <w:keepNext/>
              <w:keepLines/>
              <w:widowControl w:val="0"/>
              <w:spacing w:before="0" w:after="0"/>
              <w:rPr>
                <w:lang w:eastAsia="en-AU"/>
              </w:rPr>
            </w:pPr>
            <w:r w:rsidRPr="00B02C2E">
              <w:rPr>
                <w:lang w:eastAsia="en-AU"/>
              </w:rPr>
              <w:t>Relapsing</w:t>
            </w:r>
          </w:p>
        </w:tc>
      </w:tr>
      <w:tr w:rsidR="0022250C" w:rsidRPr="00B02C2E" w14:paraId="0AFF8276"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1"/>
        </w:trPr>
        <w:tc>
          <w:tcPr>
            <w:tcW w:w="2127" w:type="dxa"/>
            <w:gridSpan w:val="2"/>
            <w:tcBorders>
              <w:top w:val="single" w:sz="4" w:space="0" w:color="auto"/>
              <w:left w:val="single" w:sz="4" w:space="0" w:color="auto"/>
              <w:bottom w:val="single" w:sz="4" w:space="0" w:color="auto"/>
              <w:right w:val="single" w:sz="4" w:space="0" w:color="auto"/>
            </w:tcBorders>
          </w:tcPr>
          <w:p w14:paraId="32F10023"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Condition:</w:t>
            </w:r>
          </w:p>
        </w:tc>
        <w:tc>
          <w:tcPr>
            <w:tcW w:w="7109" w:type="dxa"/>
            <w:gridSpan w:val="6"/>
            <w:tcBorders>
              <w:top w:val="single" w:sz="4" w:space="0" w:color="auto"/>
              <w:left w:val="single" w:sz="4" w:space="0" w:color="auto"/>
              <w:bottom w:val="single" w:sz="4" w:space="0" w:color="auto"/>
              <w:right w:val="single" w:sz="4" w:space="0" w:color="auto"/>
            </w:tcBorders>
          </w:tcPr>
          <w:p w14:paraId="629F0E96" w14:textId="77777777" w:rsidR="0022250C" w:rsidRPr="00B02C2E" w:rsidRDefault="0022250C" w:rsidP="001D6025">
            <w:pPr>
              <w:pStyle w:val="PBACTableText"/>
              <w:keepNext/>
              <w:keepLines/>
              <w:widowControl w:val="0"/>
              <w:spacing w:before="0" w:after="0"/>
              <w:rPr>
                <w:lang w:eastAsia="en-AU"/>
              </w:rPr>
            </w:pPr>
            <w:r w:rsidRPr="00B02C2E">
              <w:rPr>
                <w:lang w:eastAsia="en-AU"/>
              </w:rPr>
              <w:t>Neuromyelitis optica spectrum disorder (NMOSD)</w:t>
            </w:r>
          </w:p>
        </w:tc>
      </w:tr>
      <w:tr w:rsidR="0022250C" w:rsidRPr="00B02C2E" w14:paraId="5E48988D"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2127" w:type="dxa"/>
            <w:gridSpan w:val="2"/>
            <w:tcBorders>
              <w:top w:val="single" w:sz="4" w:space="0" w:color="auto"/>
              <w:left w:val="single" w:sz="4" w:space="0" w:color="auto"/>
              <w:bottom w:val="single" w:sz="4" w:space="0" w:color="auto"/>
              <w:right w:val="single" w:sz="4" w:space="0" w:color="auto"/>
            </w:tcBorders>
          </w:tcPr>
          <w:p w14:paraId="073CA6E9"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PBS Indication:</w:t>
            </w:r>
          </w:p>
        </w:tc>
        <w:tc>
          <w:tcPr>
            <w:tcW w:w="7109" w:type="dxa"/>
            <w:gridSpan w:val="6"/>
            <w:tcBorders>
              <w:top w:val="single" w:sz="4" w:space="0" w:color="auto"/>
              <w:left w:val="single" w:sz="4" w:space="0" w:color="auto"/>
              <w:bottom w:val="single" w:sz="4" w:space="0" w:color="auto"/>
              <w:right w:val="single" w:sz="4" w:space="0" w:color="auto"/>
            </w:tcBorders>
          </w:tcPr>
          <w:p w14:paraId="3CDBFB68" w14:textId="77777777" w:rsidR="0022250C" w:rsidRPr="00B02C2E" w:rsidRDefault="0022250C" w:rsidP="001D6025">
            <w:pPr>
              <w:pStyle w:val="PBACTableText"/>
              <w:keepNext/>
              <w:keepLines/>
              <w:widowControl w:val="0"/>
              <w:spacing w:before="0" w:after="0"/>
              <w:rPr>
                <w:lang w:eastAsia="en-AU"/>
              </w:rPr>
            </w:pPr>
            <w:r w:rsidRPr="00B02C2E">
              <w:rPr>
                <w:lang w:eastAsia="en-AU"/>
              </w:rPr>
              <w:t xml:space="preserve">Patients with NMOSD </w:t>
            </w:r>
          </w:p>
        </w:tc>
      </w:tr>
      <w:tr w:rsidR="0022250C" w:rsidRPr="00B02C2E" w14:paraId="0F6C2C49"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2127" w:type="dxa"/>
            <w:gridSpan w:val="2"/>
            <w:tcBorders>
              <w:top w:val="single" w:sz="4" w:space="0" w:color="auto"/>
              <w:left w:val="single" w:sz="4" w:space="0" w:color="auto"/>
              <w:bottom w:val="single" w:sz="4" w:space="0" w:color="auto"/>
              <w:right w:val="single" w:sz="4" w:space="0" w:color="auto"/>
            </w:tcBorders>
          </w:tcPr>
          <w:p w14:paraId="221135E9"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Treatment phase:</w:t>
            </w:r>
          </w:p>
        </w:tc>
        <w:tc>
          <w:tcPr>
            <w:tcW w:w="7109" w:type="dxa"/>
            <w:gridSpan w:val="6"/>
            <w:tcBorders>
              <w:top w:val="single" w:sz="4" w:space="0" w:color="auto"/>
              <w:left w:val="single" w:sz="4" w:space="0" w:color="auto"/>
              <w:bottom w:val="single" w:sz="4" w:space="0" w:color="auto"/>
              <w:right w:val="single" w:sz="4" w:space="0" w:color="auto"/>
            </w:tcBorders>
          </w:tcPr>
          <w:p w14:paraId="094DF993" w14:textId="77777777" w:rsidR="0022250C" w:rsidRPr="00B02C2E" w:rsidRDefault="0022250C" w:rsidP="001D6025">
            <w:pPr>
              <w:pStyle w:val="PBACTableText"/>
              <w:keepNext/>
              <w:keepLines/>
              <w:widowControl w:val="0"/>
              <w:spacing w:before="0" w:after="0"/>
              <w:rPr>
                <w:lang w:eastAsia="en-AU"/>
              </w:rPr>
            </w:pPr>
            <w:r w:rsidRPr="00B02C2E">
              <w:rPr>
                <w:lang w:eastAsia="en-AU"/>
              </w:rPr>
              <w:t>Initial</w:t>
            </w:r>
          </w:p>
        </w:tc>
      </w:tr>
      <w:tr w:rsidR="0022250C" w:rsidRPr="00B02C2E" w14:paraId="0CD5E944"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37"/>
        </w:trPr>
        <w:tc>
          <w:tcPr>
            <w:tcW w:w="2127" w:type="dxa"/>
            <w:gridSpan w:val="2"/>
            <w:tcBorders>
              <w:top w:val="single" w:sz="4" w:space="0" w:color="auto"/>
              <w:left w:val="single" w:sz="4" w:space="0" w:color="auto"/>
              <w:bottom w:val="single" w:sz="4" w:space="0" w:color="auto"/>
              <w:right w:val="single" w:sz="4" w:space="0" w:color="auto"/>
            </w:tcBorders>
          </w:tcPr>
          <w:p w14:paraId="43EBA29E"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Restriction:</w:t>
            </w:r>
          </w:p>
        </w:tc>
        <w:tc>
          <w:tcPr>
            <w:tcW w:w="7109" w:type="dxa"/>
            <w:gridSpan w:val="6"/>
            <w:tcBorders>
              <w:top w:val="single" w:sz="4" w:space="0" w:color="auto"/>
              <w:left w:val="single" w:sz="4" w:space="0" w:color="auto"/>
              <w:bottom w:val="single" w:sz="4" w:space="0" w:color="auto"/>
              <w:right w:val="single" w:sz="4" w:space="0" w:color="auto"/>
            </w:tcBorders>
          </w:tcPr>
          <w:p w14:paraId="41CA66C8" w14:textId="77777777" w:rsidR="0022250C" w:rsidRPr="00B02C2E" w:rsidRDefault="0022250C" w:rsidP="001D6025">
            <w:pPr>
              <w:pStyle w:val="PBACTableText"/>
              <w:keepNext/>
              <w:keepLines/>
              <w:widowControl w:val="0"/>
              <w:spacing w:before="0" w:after="0"/>
              <w:rPr>
                <w:lang w:eastAsia="en-AU"/>
              </w:rPr>
            </w:pPr>
            <w:r w:rsidRPr="00B02C2E">
              <w:rPr>
                <w:lang w:eastAsia="en-AU"/>
              </w:rPr>
              <w:fldChar w:fldCharType="begin">
                <w:ffData>
                  <w:name w:val=""/>
                  <w:enabled/>
                  <w:calcOnExit w:val="0"/>
                  <w:checkBox>
                    <w:sizeAuto/>
                    <w:default w:val="1"/>
                  </w:checkBox>
                </w:ffData>
              </w:fldChar>
            </w:r>
            <w:r w:rsidRPr="00B02C2E">
              <w:rPr>
                <w:lang w:eastAsia="en-AU"/>
              </w:rPr>
              <w:instrText xml:space="preserve"> FORMCHECKBOX </w:instrText>
            </w:r>
            <w:r w:rsidR="006E4171">
              <w:rPr>
                <w:lang w:eastAsia="en-AU"/>
              </w:rPr>
            </w:r>
            <w:r w:rsidR="006E4171">
              <w:rPr>
                <w:lang w:eastAsia="en-AU"/>
              </w:rPr>
              <w:fldChar w:fldCharType="separate"/>
            </w:r>
            <w:r w:rsidRPr="00B02C2E">
              <w:rPr>
                <w:lang w:eastAsia="en-AU"/>
              </w:rPr>
              <w:fldChar w:fldCharType="end"/>
            </w:r>
            <w:r w:rsidRPr="00B02C2E">
              <w:rPr>
                <w:lang w:eastAsia="en-AU"/>
              </w:rPr>
              <w:t>Authority Required - In Writing</w:t>
            </w:r>
          </w:p>
        </w:tc>
      </w:tr>
      <w:tr w:rsidR="0022250C" w:rsidRPr="00B02C2E" w14:paraId="2C4B7DCE"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
        </w:trPr>
        <w:tc>
          <w:tcPr>
            <w:tcW w:w="2127" w:type="dxa"/>
            <w:gridSpan w:val="2"/>
            <w:tcBorders>
              <w:top w:val="single" w:sz="4" w:space="0" w:color="auto"/>
              <w:left w:val="single" w:sz="4" w:space="0" w:color="auto"/>
              <w:bottom w:val="single" w:sz="4" w:space="0" w:color="auto"/>
              <w:right w:val="single" w:sz="4" w:space="0" w:color="auto"/>
            </w:tcBorders>
          </w:tcPr>
          <w:p w14:paraId="05628AAE"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Treatment criteria:</w:t>
            </w:r>
          </w:p>
        </w:tc>
        <w:tc>
          <w:tcPr>
            <w:tcW w:w="7109" w:type="dxa"/>
            <w:gridSpan w:val="6"/>
            <w:tcBorders>
              <w:top w:val="single" w:sz="4" w:space="0" w:color="auto"/>
              <w:left w:val="single" w:sz="4" w:space="0" w:color="auto"/>
              <w:bottom w:val="single" w:sz="4" w:space="0" w:color="auto"/>
              <w:right w:val="single" w:sz="4" w:space="0" w:color="auto"/>
            </w:tcBorders>
          </w:tcPr>
          <w:p w14:paraId="306EF8CC" w14:textId="77777777" w:rsidR="0022250C" w:rsidRPr="00B02C2E" w:rsidRDefault="0022250C" w:rsidP="001D6025">
            <w:pPr>
              <w:pStyle w:val="PBACTableText"/>
              <w:keepNext/>
              <w:keepLines/>
              <w:widowControl w:val="0"/>
              <w:spacing w:before="0" w:after="0"/>
              <w:rPr>
                <w:lang w:eastAsia="en-AU"/>
              </w:rPr>
            </w:pPr>
            <w:r w:rsidRPr="00B02C2E">
              <w:rPr>
                <w:lang w:eastAsia="en-AU"/>
              </w:rPr>
              <w:t xml:space="preserve">Patient must be treated by a neurologist </w:t>
            </w:r>
          </w:p>
        </w:tc>
      </w:tr>
      <w:tr w:rsidR="0022250C" w:rsidRPr="00B02C2E" w14:paraId="34B19000"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2127" w:type="dxa"/>
            <w:gridSpan w:val="2"/>
            <w:tcBorders>
              <w:top w:val="single" w:sz="4" w:space="0" w:color="auto"/>
              <w:left w:val="single" w:sz="4" w:space="0" w:color="auto"/>
              <w:bottom w:val="single" w:sz="4" w:space="0" w:color="auto"/>
              <w:right w:val="single" w:sz="4" w:space="0" w:color="auto"/>
            </w:tcBorders>
          </w:tcPr>
          <w:p w14:paraId="67261D8D"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Clinical criteria:</w:t>
            </w:r>
          </w:p>
        </w:tc>
        <w:tc>
          <w:tcPr>
            <w:tcW w:w="7109" w:type="dxa"/>
            <w:gridSpan w:val="6"/>
            <w:tcBorders>
              <w:top w:val="single" w:sz="4" w:space="0" w:color="auto"/>
              <w:left w:val="single" w:sz="4" w:space="0" w:color="auto"/>
              <w:bottom w:val="single" w:sz="4" w:space="0" w:color="auto"/>
              <w:right w:val="single" w:sz="4" w:space="0" w:color="auto"/>
            </w:tcBorders>
          </w:tcPr>
          <w:p w14:paraId="3C48A2A2" w14:textId="77777777" w:rsidR="0022250C" w:rsidRPr="00B02C2E" w:rsidRDefault="0022250C" w:rsidP="001D6025">
            <w:pPr>
              <w:pStyle w:val="PBACTableText"/>
              <w:keepNext/>
              <w:keepLines/>
              <w:widowControl w:val="0"/>
              <w:spacing w:after="0"/>
              <w:rPr>
                <w:lang w:eastAsia="en-AU"/>
              </w:rPr>
            </w:pPr>
            <w:r w:rsidRPr="00B02C2E">
              <w:rPr>
                <w:lang w:eastAsia="en-AU"/>
              </w:rPr>
              <w:t xml:space="preserve">Patient must have a confirmed diagnosis of NMOSD with AQP4-IgG </w:t>
            </w:r>
          </w:p>
          <w:p w14:paraId="4993F6B8" w14:textId="77777777" w:rsidR="0022250C" w:rsidRPr="00B02C2E" w:rsidRDefault="0022250C" w:rsidP="001D6025">
            <w:pPr>
              <w:pStyle w:val="PBACTableText"/>
              <w:keepNext/>
              <w:keepLines/>
              <w:widowControl w:val="0"/>
              <w:spacing w:after="0"/>
              <w:rPr>
                <w:i/>
                <w:iCs/>
                <w:lang w:eastAsia="en-AU"/>
              </w:rPr>
            </w:pPr>
            <w:r w:rsidRPr="00B02C2E">
              <w:rPr>
                <w:i/>
                <w:iCs/>
                <w:lang w:eastAsia="en-AU"/>
              </w:rPr>
              <w:t xml:space="preserve">AND </w:t>
            </w:r>
          </w:p>
          <w:p w14:paraId="4C6CD0D4" w14:textId="77777777" w:rsidR="0022250C" w:rsidRPr="00B02C2E" w:rsidRDefault="0022250C" w:rsidP="001D6025">
            <w:pPr>
              <w:pStyle w:val="PBACTableText"/>
              <w:keepNext/>
              <w:keepLines/>
              <w:widowControl w:val="0"/>
              <w:spacing w:after="0"/>
              <w:rPr>
                <w:i/>
                <w:iCs/>
                <w:lang w:eastAsia="en-AU"/>
              </w:rPr>
            </w:pPr>
            <w:r w:rsidRPr="00B02C2E">
              <w:rPr>
                <w:i/>
                <w:iCs/>
                <w:lang w:eastAsia="en-AU"/>
              </w:rPr>
              <w:t xml:space="preserve">An Expanded Disability Status Scale (EDSS) score of 0–7 </w:t>
            </w:r>
          </w:p>
          <w:p w14:paraId="059422A5" w14:textId="77777777" w:rsidR="0022250C" w:rsidRPr="00B02C2E" w:rsidRDefault="0022250C" w:rsidP="001D6025">
            <w:pPr>
              <w:pStyle w:val="PBACTableText"/>
              <w:keepNext/>
              <w:keepLines/>
              <w:widowControl w:val="0"/>
              <w:spacing w:after="0"/>
              <w:rPr>
                <w:lang w:eastAsia="en-AU"/>
              </w:rPr>
            </w:pPr>
            <w:r w:rsidRPr="00B02C2E">
              <w:rPr>
                <w:lang w:eastAsia="en-AU"/>
              </w:rPr>
              <w:t>AND</w:t>
            </w:r>
          </w:p>
          <w:p w14:paraId="1F01CE50" w14:textId="77777777" w:rsidR="0022250C" w:rsidRPr="00B02C2E" w:rsidRDefault="0022250C" w:rsidP="001D6025">
            <w:pPr>
              <w:pStyle w:val="PBACTableText"/>
              <w:keepNext/>
              <w:keepLines/>
              <w:widowControl w:val="0"/>
              <w:spacing w:after="0"/>
              <w:rPr>
                <w:strike/>
                <w:lang w:eastAsia="en-AU"/>
              </w:rPr>
            </w:pPr>
            <w:r w:rsidRPr="00B02C2E">
              <w:rPr>
                <w:strike/>
                <w:lang w:eastAsia="en-AU"/>
              </w:rPr>
              <w:t>Patient must have had at least one relapse in the last 12 months with at least two relapses in the last 24 months</w:t>
            </w:r>
          </w:p>
          <w:p w14:paraId="235499A6" w14:textId="77777777" w:rsidR="0022250C" w:rsidRPr="00B02C2E" w:rsidRDefault="0022250C" w:rsidP="001D6025">
            <w:pPr>
              <w:pStyle w:val="PBACTableText"/>
              <w:keepNext/>
              <w:keepLines/>
              <w:widowControl w:val="0"/>
              <w:spacing w:after="0"/>
              <w:rPr>
                <w:i/>
                <w:iCs/>
                <w:lang w:eastAsia="en-AU"/>
              </w:rPr>
            </w:pPr>
            <w:r w:rsidRPr="00B02C2E">
              <w:rPr>
                <w:i/>
                <w:iCs/>
                <w:lang w:eastAsia="en-AU"/>
              </w:rPr>
              <w:t xml:space="preserve">Patient must have had at least two relapses in the last 12 months or three relapses in the last 24 months with at least one relapse in the previous 12 months despite treatment with immunosuppressive therapy </w:t>
            </w:r>
          </w:p>
          <w:p w14:paraId="7F972CD3" w14:textId="77777777" w:rsidR="0022250C" w:rsidRPr="00B02C2E" w:rsidRDefault="0022250C" w:rsidP="001D6025">
            <w:pPr>
              <w:pStyle w:val="PBACTableText"/>
              <w:keepNext/>
              <w:keepLines/>
              <w:widowControl w:val="0"/>
              <w:spacing w:after="0"/>
              <w:rPr>
                <w:lang w:eastAsia="en-AU"/>
              </w:rPr>
            </w:pPr>
            <w:r w:rsidRPr="00B02C2E">
              <w:rPr>
                <w:lang w:eastAsia="en-AU"/>
              </w:rPr>
              <w:t>OR</w:t>
            </w:r>
          </w:p>
          <w:p w14:paraId="659F8B58" w14:textId="77777777" w:rsidR="0022250C" w:rsidRPr="00B02C2E" w:rsidRDefault="0022250C" w:rsidP="001D6025">
            <w:pPr>
              <w:pStyle w:val="PBACTableText"/>
              <w:keepNext/>
              <w:keepLines/>
              <w:widowControl w:val="0"/>
              <w:spacing w:before="0" w:after="0"/>
              <w:rPr>
                <w:lang w:eastAsia="en-AU"/>
              </w:rPr>
            </w:pPr>
            <w:r w:rsidRPr="00B02C2E">
              <w:rPr>
                <w:lang w:eastAsia="en-AU"/>
              </w:rPr>
              <w:t>Patient must have experienced immunosuppression associated serious adverse event that requires treatment discontinuation and when switching to another immunosuppression therapy is clinically inappropriate</w:t>
            </w:r>
          </w:p>
        </w:tc>
      </w:tr>
      <w:tr w:rsidR="0022250C" w:rsidRPr="00B02C2E" w14:paraId="79010C1D"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2127" w:type="dxa"/>
            <w:gridSpan w:val="2"/>
            <w:tcBorders>
              <w:top w:val="single" w:sz="4" w:space="0" w:color="auto"/>
              <w:left w:val="single" w:sz="4" w:space="0" w:color="auto"/>
              <w:bottom w:val="single" w:sz="4" w:space="0" w:color="auto"/>
              <w:right w:val="single" w:sz="4" w:space="0" w:color="auto"/>
            </w:tcBorders>
          </w:tcPr>
          <w:p w14:paraId="1AEE3275"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Definitions</w:t>
            </w:r>
          </w:p>
        </w:tc>
        <w:tc>
          <w:tcPr>
            <w:tcW w:w="7109" w:type="dxa"/>
            <w:gridSpan w:val="6"/>
            <w:tcBorders>
              <w:top w:val="single" w:sz="4" w:space="0" w:color="auto"/>
              <w:left w:val="single" w:sz="4" w:space="0" w:color="auto"/>
              <w:bottom w:val="single" w:sz="4" w:space="0" w:color="auto"/>
              <w:right w:val="single" w:sz="4" w:space="0" w:color="auto"/>
            </w:tcBorders>
          </w:tcPr>
          <w:p w14:paraId="3F127FE8" w14:textId="77777777" w:rsidR="0022250C" w:rsidRPr="00B02C2E" w:rsidRDefault="0022250C" w:rsidP="001D6025">
            <w:pPr>
              <w:pStyle w:val="PBACTableText"/>
              <w:keepNext/>
              <w:keepLines/>
              <w:widowControl w:val="0"/>
              <w:spacing w:before="0" w:after="0"/>
              <w:rPr>
                <w:rFonts w:cs="Arial"/>
                <w:lang w:eastAsia="en-AU"/>
              </w:rPr>
            </w:pPr>
            <w:r w:rsidRPr="00B02C2E">
              <w:rPr>
                <w:rFonts w:cs="Arial"/>
                <w:lang w:eastAsia="en-AU"/>
              </w:rPr>
              <w:t>NMOSD with AQP4-IgG defined as:</w:t>
            </w:r>
          </w:p>
          <w:p w14:paraId="43C1B31C" w14:textId="77777777" w:rsidR="0022250C" w:rsidRPr="00B02C2E" w:rsidRDefault="0022250C" w:rsidP="001D6025">
            <w:pPr>
              <w:pStyle w:val="PBACTableText"/>
              <w:keepNext/>
              <w:keepLines/>
              <w:widowControl w:val="0"/>
              <w:spacing w:before="0" w:after="0"/>
              <w:rPr>
                <w:rFonts w:cs="Arial"/>
                <w:lang w:eastAsia="en-AU"/>
              </w:rPr>
            </w:pPr>
            <w:r w:rsidRPr="00B02C2E">
              <w:rPr>
                <w:rFonts w:cs="Arial"/>
                <w:lang w:eastAsia="en-AU"/>
              </w:rPr>
              <w:t xml:space="preserve">positive test for AQP4-IgG using best available detection method </w:t>
            </w:r>
          </w:p>
        </w:tc>
      </w:tr>
      <w:tr w:rsidR="0022250C" w:rsidRPr="00B02C2E" w14:paraId="2A1EDFBF" w14:textId="77777777" w:rsidTr="0015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0"/>
        </w:trPr>
        <w:tc>
          <w:tcPr>
            <w:tcW w:w="2127" w:type="dxa"/>
            <w:gridSpan w:val="2"/>
            <w:tcBorders>
              <w:top w:val="single" w:sz="4" w:space="0" w:color="auto"/>
              <w:left w:val="single" w:sz="4" w:space="0" w:color="auto"/>
              <w:bottom w:val="single" w:sz="4" w:space="0" w:color="auto"/>
              <w:right w:val="single" w:sz="4" w:space="0" w:color="auto"/>
            </w:tcBorders>
          </w:tcPr>
          <w:p w14:paraId="383AB7A9" w14:textId="77777777" w:rsidR="0022250C" w:rsidRPr="00B02C2E" w:rsidRDefault="0022250C" w:rsidP="001D6025">
            <w:pPr>
              <w:pStyle w:val="PBACTableText"/>
              <w:keepNext/>
              <w:keepLines/>
              <w:widowControl w:val="0"/>
              <w:spacing w:before="0" w:after="0"/>
              <w:rPr>
                <w:b/>
                <w:bCs/>
                <w:lang w:eastAsia="en-AU"/>
              </w:rPr>
            </w:pPr>
            <w:r w:rsidRPr="00B02C2E">
              <w:rPr>
                <w:b/>
                <w:bCs/>
                <w:lang w:eastAsia="en-AU"/>
              </w:rPr>
              <w:t>Prescriber Instructions</w:t>
            </w:r>
          </w:p>
        </w:tc>
        <w:tc>
          <w:tcPr>
            <w:tcW w:w="7109" w:type="dxa"/>
            <w:gridSpan w:val="6"/>
            <w:tcBorders>
              <w:top w:val="single" w:sz="4" w:space="0" w:color="auto"/>
              <w:left w:val="single" w:sz="4" w:space="0" w:color="auto"/>
              <w:bottom w:val="single" w:sz="4" w:space="0" w:color="auto"/>
              <w:right w:val="single" w:sz="4" w:space="0" w:color="auto"/>
            </w:tcBorders>
            <w:shd w:val="clear" w:color="auto" w:fill="auto"/>
          </w:tcPr>
          <w:p w14:paraId="3FA4A370" w14:textId="77777777" w:rsidR="0022250C" w:rsidRPr="00B02C2E" w:rsidRDefault="0022250C" w:rsidP="001D6025">
            <w:pPr>
              <w:pStyle w:val="PBACTableText"/>
              <w:keepNext/>
              <w:keepLines/>
              <w:widowControl w:val="0"/>
              <w:spacing w:before="0" w:after="0"/>
              <w:rPr>
                <w:rFonts w:cs="Arial"/>
                <w:i/>
                <w:iCs/>
                <w:lang w:eastAsia="en-AU"/>
              </w:rPr>
            </w:pPr>
            <w:r w:rsidRPr="00B02C2E">
              <w:rPr>
                <w:i/>
                <w:iCs/>
                <w:lang w:eastAsia="en-AU"/>
              </w:rPr>
              <w:t>This drug is not PBS-subsidised if it is prescribed to a public hospital inpatient</w:t>
            </w:r>
          </w:p>
        </w:tc>
      </w:tr>
    </w:tbl>
    <w:p w14:paraId="7D7A76FA" w14:textId="77777777" w:rsidR="0022250C" w:rsidRPr="00B02C2E" w:rsidRDefault="0022250C" w:rsidP="007C295A">
      <w:pPr>
        <w:pStyle w:val="TableFigureFooter"/>
      </w:pPr>
    </w:p>
    <w:p w14:paraId="5E3357CB" w14:textId="77777777" w:rsidR="00FA217F" w:rsidRPr="00B02C2E" w:rsidRDefault="005126D7" w:rsidP="004E18E9">
      <w:pPr>
        <w:pStyle w:val="ExecSumBodyText"/>
        <w:rPr>
          <w:color w:val="000000" w:themeColor="text1"/>
        </w:rPr>
      </w:pPr>
      <w:r w:rsidRPr="00B02C2E">
        <w:rPr>
          <w:color w:val="000000" w:themeColor="text1"/>
        </w:rPr>
        <w:t>T</w:t>
      </w:r>
      <w:r w:rsidR="00FA217F" w:rsidRPr="00B02C2E">
        <w:rPr>
          <w:color w:val="000000" w:themeColor="text1"/>
        </w:rPr>
        <w:t xml:space="preserve">he resubmission proposed a special pricing arrangement </w:t>
      </w:r>
      <w:r w:rsidR="006F3101" w:rsidRPr="00B02C2E">
        <w:rPr>
          <w:color w:val="000000" w:themeColor="text1"/>
        </w:rPr>
        <w:t xml:space="preserve">(SPA) </w:t>
      </w:r>
      <w:r w:rsidR="00FA217F" w:rsidRPr="00B02C2E">
        <w:rPr>
          <w:color w:val="000000" w:themeColor="text1"/>
        </w:rPr>
        <w:t xml:space="preserve">with an effective price based on a </w:t>
      </w:r>
      <w:r w:rsidR="00B763C7">
        <w:rPr>
          <w:noProof/>
          <w:color w:val="000000"/>
          <w:highlight w:val="black"/>
        </w:rPr>
        <w:t>''''''</w:t>
      </w:r>
      <w:r w:rsidR="00FA217F" w:rsidRPr="00B02C2E">
        <w:rPr>
          <w:color w:val="000000" w:themeColor="text1"/>
        </w:rPr>
        <w:t>% reduction from the published price. The published price per vial remained unchanged from the previous submission.</w:t>
      </w:r>
    </w:p>
    <w:p w14:paraId="72BBF410" w14:textId="77777777" w:rsidR="002424BF" w:rsidRPr="00B02C2E" w:rsidRDefault="002424BF" w:rsidP="002424BF">
      <w:pPr>
        <w:pStyle w:val="ExecSumBodyText"/>
        <w:rPr>
          <w:color w:val="000000" w:themeColor="text1"/>
        </w:rPr>
      </w:pPr>
      <w:r w:rsidRPr="00B02C2E">
        <w:t>The requested restriction is narrower than the current TGA indication, which covers a broad population of patients with AQP4</w:t>
      </w:r>
      <w:r w:rsidR="00DF06FF" w:rsidRPr="00B02C2E">
        <w:t>+</w:t>
      </w:r>
      <w:r w:rsidRPr="00B02C2E">
        <w:t xml:space="preserve"> NMOSD and does not specify the number of required relapses, EDSS, or adverse events from immunosuppressive therapies. </w:t>
      </w:r>
      <w:r w:rsidR="005D111E" w:rsidRPr="00B02C2E">
        <w:t>Although</w:t>
      </w:r>
      <w:r w:rsidRPr="00B02C2E">
        <w:t xml:space="preserve"> the TGA indication is limited to adult patients, the requested restriction does not include an age limit. A </w:t>
      </w:r>
      <w:r w:rsidRPr="00B02C2E">
        <w:rPr>
          <w:color w:val="000000" w:themeColor="text1"/>
        </w:rPr>
        <w:t>study of weight-based eculizumab dosing in paediatric patients with NMOSD is due for completion in November 2021 (ECU-NMO-303).</w:t>
      </w:r>
    </w:p>
    <w:p w14:paraId="2F8F0A8A" w14:textId="77777777" w:rsidR="00FA217F" w:rsidRPr="00B02C2E" w:rsidRDefault="00FA217F" w:rsidP="00155927">
      <w:pPr>
        <w:pStyle w:val="ExecSumBodyText"/>
      </w:pPr>
      <w:r w:rsidRPr="00B02C2E">
        <w:t xml:space="preserve">The requested restriction was revised to align with the PREVENT eligibility criteria in terms of frequency and number of prior relapses despite treatment with immunosuppressive therapies, and </w:t>
      </w:r>
      <w:r w:rsidR="002C4FDE" w:rsidRPr="00B02C2E">
        <w:t>in terms of</w:t>
      </w:r>
      <w:r w:rsidRPr="00B02C2E">
        <w:t xml:space="preserve"> EDSS score </w:t>
      </w:r>
      <w:r w:rsidR="00970FEC" w:rsidRPr="00B02C2E">
        <w:t xml:space="preserve">requiring a score </w:t>
      </w:r>
      <w:r w:rsidRPr="00B02C2E">
        <w:t>between 0 and 7</w:t>
      </w:r>
      <w:r w:rsidR="00970FEC" w:rsidRPr="00B02C2E">
        <w:t>. These changes were</w:t>
      </w:r>
      <w:r w:rsidRPr="00B02C2E">
        <w:t xml:space="preserve"> consistent with PBAC’s consideration of the November 2020 submission (para</w:t>
      </w:r>
      <w:r w:rsidR="004E04C6" w:rsidRPr="00B02C2E">
        <w:t>graph</w:t>
      </w:r>
      <w:r w:rsidRPr="00B02C2E">
        <w:t xml:space="preserve"> 7.4, </w:t>
      </w:r>
      <w:r w:rsidR="004E04C6" w:rsidRPr="00B02C2E">
        <w:t>e</w:t>
      </w:r>
      <w:r w:rsidRPr="00B02C2E">
        <w:t xml:space="preserve">culizumab </w:t>
      </w:r>
      <w:r w:rsidR="00155927" w:rsidRPr="00155927">
        <w:rPr>
          <w:color w:val="000000" w:themeColor="text1"/>
        </w:rPr>
        <w:t xml:space="preserve">Public Summary Document </w:t>
      </w:r>
      <w:r w:rsidR="00155927">
        <w:rPr>
          <w:color w:val="000000" w:themeColor="text1"/>
        </w:rPr>
        <w:t>(</w:t>
      </w:r>
      <w:r w:rsidRPr="00B02C2E">
        <w:t>PSD</w:t>
      </w:r>
      <w:r w:rsidR="00155927">
        <w:t>)</w:t>
      </w:r>
      <w:r w:rsidRPr="00B02C2E">
        <w:t>, November 2020). The proposed restriction would allow treatment of patients who had experienced prior immunosuppression-related serious adverse events, without needing to meet any relapse criteria, which is not consistent with the eligibility criteria of the PREVENT trial</w:t>
      </w:r>
      <w:r w:rsidR="007D06F1" w:rsidRPr="00B02C2E">
        <w:t xml:space="preserve"> </w:t>
      </w:r>
      <w:r w:rsidR="004D0CFD" w:rsidRPr="00B02C2E">
        <w:t>(</w:t>
      </w:r>
      <w:r w:rsidRPr="00B02C2E">
        <w:t>all patients</w:t>
      </w:r>
      <w:r w:rsidR="004D0CFD" w:rsidRPr="00B02C2E">
        <w:t xml:space="preserve"> were required</w:t>
      </w:r>
      <w:r w:rsidRPr="00B02C2E">
        <w:t xml:space="preserve"> to have frequent relapses regardless of prior treatment history</w:t>
      </w:r>
      <w:r w:rsidR="004D0CFD" w:rsidRPr="00B02C2E">
        <w:t>)</w:t>
      </w:r>
      <w:r w:rsidRPr="00B02C2E">
        <w:t>.</w:t>
      </w:r>
    </w:p>
    <w:p w14:paraId="1D942C5F" w14:textId="77777777" w:rsidR="00B73CAD" w:rsidRPr="00B02C2E" w:rsidRDefault="00931619" w:rsidP="00FA217F">
      <w:pPr>
        <w:pStyle w:val="ExecSumBodyText"/>
        <w:rPr>
          <w:color w:val="000000" w:themeColor="text1"/>
        </w:rPr>
      </w:pPr>
      <w:r w:rsidRPr="00B02C2E">
        <w:rPr>
          <w:color w:val="000000" w:themeColor="text1"/>
        </w:rPr>
        <w:t xml:space="preserve">If eculizumab is positioned as a last line therapy (see paragraphs 5.4 and 5.5) the ESC considered that the restriction would need to define the proposed patient population more clearly. </w:t>
      </w:r>
      <w:r w:rsidR="00B73CAD" w:rsidRPr="00B02C2E">
        <w:rPr>
          <w:color w:val="000000" w:themeColor="text1"/>
        </w:rPr>
        <w:t xml:space="preserve">The ESC noted that the </w:t>
      </w:r>
      <w:r w:rsidR="000741C3" w:rsidRPr="00B02C2E">
        <w:rPr>
          <w:color w:val="000000" w:themeColor="text1"/>
        </w:rPr>
        <w:t xml:space="preserve">restriction </w:t>
      </w:r>
      <w:r w:rsidRPr="00B02C2E">
        <w:rPr>
          <w:color w:val="000000" w:themeColor="text1"/>
        </w:rPr>
        <w:t xml:space="preserve">presented above </w:t>
      </w:r>
      <w:r w:rsidR="000741C3" w:rsidRPr="00B02C2E">
        <w:rPr>
          <w:color w:val="000000" w:themeColor="text1"/>
        </w:rPr>
        <w:t>potentially allows for relapses to occur in the context of suboptimal immunosuppressive therapies (e.g. glucocorticoids alone) and is therefore not explicit in the intent that patients need to fail all other potentially efficacious treatments (e.g. rituximab, other immunosuppressive therapies) before accessing eculizumab. In addition, the ESC noted that the proposed restriction should consider that (i) relapse in the context of rituximab use where there has been repopulation of B cells; and (ii) relapse soon after initiating any immunosuppression, does not always indicate drug failure.</w:t>
      </w:r>
    </w:p>
    <w:p w14:paraId="587702FD" w14:textId="77777777" w:rsidR="000741C3" w:rsidRPr="00B02C2E" w:rsidRDefault="000741C3" w:rsidP="00FA217F">
      <w:pPr>
        <w:pStyle w:val="ExecSumBodyText"/>
        <w:rPr>
          <w:color w:val="000000" w:themeColor="text1"/>
        </w:rPr>
      </w:pPr>
      <w:r w:rsidRPr="00B02C2E">
        <w:rPr>
          <w:color w:val="000000" w:themeColor="text1"/>
        </w:rPr>
        <w:t xml:space="preserve">The ESC </w:t>
      </w:r>
      <w:r w:rsidR="00931619" w:rsidRPr="00B02C2E">
        <w:rPr>
          <w:color w:val="000000" w:themeColor="text1"/>
        </w:rPr>
        <w:t xml:space="preserve">also </w:t>
      </w:r>
      <w:r w:rsidRPr="00B02C2E">
        <w:rPr>
          <w:color w:val="000000" w:themeColor="text1"/>
        </w:rPr>
        <w:t>considered that the definitions of ‘immunosuppression associated serious adverse event’ and ‘clinically appropriate’ should be clarified.</w:t>
      </w:r>
    </w:p>
    <w:p w14:paraId="68BA92E0" w14:textId="77777777" w:rsidR="00F23A02" w:rsidRPr="00B02C2E" w:rsidRDefault="00F23A02" w:rsidP="00FA217F">
      <w:pPr>
        <w:pStyle w:val="ExecSumBodyText"/>
        <w:rPr>
          <w:color w:val="000000" w:themeColor="text1"/>
        </w:rPr>
      </w:pPr>
      <w:r w:rsidRPr="00B02C2E">
        <w:rPr>
          <w:color w:val="000000" w:themeColor="text1"/>
        </w:rPr>
        <w:t>The pre-PBAC response provided revisions to the proposed restriction positioning eculizumab as a last-line treatment in patients who relapse</w:t>
      </w:r>
      <w:r w:rsidR="00497D56" w:rsidRPr="00B02C2E">
        <w:rPr>
          <w:color w:val="000000" w:themeColor="text1"/>
        </w:rPr>
        <w:t>d</w:t>
      </w:r>
      <w:r w:rsidRPr="00B02C2E">
        <w:rPr>
          <w:color w:val="000000" w:themeColor="text1"/>
        </w:rPr>
        <w:t xml:space="preserve"> ‘despite an adequate trial of other accessible preventative treatment for NMOSD including rituximab azathioprine and mycophenolate</w:t>
      </w:r>
      <w:r w:rsidR="00D83C1F" w:rsidRPr="00B02C2E">
        <w:rPr>
          <w:color w:val="000000" w:themeColor="text1"/>
        </w:rPr>
        <w:t>’. The revisions also define</w:t>
      </w:r>
      <w:r w:rsidR="001540FF" w:rsidRPr="00B02C2E">
        <w:rPr>
          <w:color w:val="000000" w:themeColor="text1"/>
        </w:rPr>
        <w:t>d</w:t>
      </w:r>
      <w:r w:rsidR="00D83C1F" w:rsidRPr="00B02C2E">
        <w:rPr>
          <w:color w:val="000000" w:themeColor="text1"/>
        </w:rPr>
        <w:t xml:space="preserve"> immunosuppressive associated adverse events as including:</w:t>
      </w:r>
    </w:p>
    <w:p w14:paraId="58A19BF3" w14:textId="77777777" w:rsidR="00D83C1F" w:rsidRPr="00B02C2E" w:rsidRDefault="00D83C1F" w:rsidP="00D83C1F">
      <w:pPr>
        <w:pStyle w:val="ExecSumBodyText"/>
        <w:numPr>
          <w:ilvl w:val="1"/>
          <w:numId w:val="30"/>
        </w:numPr>
        <w:ind w:left="1077" w:hanging="357"/>
        <w:rPr>
          <w:color w:val="000000" w:themeColor="text1"/>
        </w:rPr>
      </w:pPr>
      <w:r w:rsidRPr="00B02C2E">
        <w:rPr>
          <w:color w:val="000000" w:themeColor="text1"/>
        </w:rPr>
        <w:t>Immunosuppression associated recurrent skin cancer and other malignancies;</w:t>
      </w:r>
    </w:p>
    <w:p w14:paraId="4AE8ADCA" w14:textId="77777777" w:rsidR="00D83C1F" w:rsidRPr="00B02C2E" w:rsidRDefault="00D83C1F" w:rsidP="00D83C1F">
      <w:pPr>
        <w:pStyle w:val="ExecSumBodyText"/>
        <w:numPr>
          <w:ilvl w:val="1"/>
          <w:numId w:val="30"/>
        </w:numPr>
        <w:ind w:left="1077" w:hanging="357"/>
        <w:rPr>
          <w:color w:val="000000" w:themeColor="text1"/>
        </w:rPr>
      </w:pPr>
      <w:r w:rsidRPr="00B02C2E">
        <w:rPr>
          <w:color w:val="000000" w:themeColor="text1"/>
        </w:rPr>
        <w:t xml:space="preserve">recurrent immunosuppression associated infections such as shingles or cytomegalovirus; and </w:t>
      </w:r>
    </w:p>
    <w:p w14:paraId="5B600987" w14:textId="77777777" w:rsidR="00D83C1F" w:rsidRPr="00B02C2E" w:rsidRDefault="00D83C1F" w:rsidP="00D83C1F">
      <w:pPr>
        <w:pStyle w:val="ExecSumBodyText"/>
        <w:numPr>
          <w:ilvl w:val="1"/>
          <w:numId w:val="30"/>
        </w:numPr>
        <w:ind w:left="1077" w:hanging="357"/>
        <w:rPr>
          <w:color w:val="000000" w:themeColor="text1"/>
        </w:rPr>
      </w:pPr>
      <w:r w:rsidRPr="00B02C2E">
        <w:rPr>
          <w:color w:val="000000" w:themeColor="text1"/>
        </w:rPr>
        <w:t>hypogammaglobulinaemia resulting in recurring and/or serious bacterial infections such as those requiring intravenous antibiotics (in hospital treatment).</w:t>
      </w:r>
    </w:p>
    <w:p w14:paraId="0E5A7682" w14:textId="77777777" w:rsidR="00CC35EA" w:rsidRPr="00B02C2E" w:rsidRDefault="00FA217F" w:rsidP="009D6687">
      <w:pPr>
        <w:pStyle w:val="ExecSumBodyText"/>
        <w:rPr>
          <w:color w:val="000000" w:themeColor="text1"/>
        </w:rPr>
      </w:pPr>
      <w:r w:rsidRPr="00B02C2E">
        <w:rPr>
          <w:color w:val="000000" w:themeColor="text1"/>
        </w:rPr>
        <w:t>The requested restriction d</w:t>
      </w:r>
      <w:r w:rsidR="00497D56" w:rsidRPr="00B02C2E">
        <w:rPr>
          <w:color w:val="000000" w:themeColor="text1"/>
        </w:rPr>
        <w:t>id</w:t>
      </w:r>
      <w:r w:rsidRPr="00B02C2E">
        <w:rPr>
          <w:color w:val="000000" w:themeColor="text1"/>
        </w:rPr>
        <w:t xml:space="preserve"> not include any specific criteria for continuation of therapy. </w:t>
      </w:r>
    </w:p>
    <w:p w14:paraId="3F81135F" w14:textId="77777777" w:rsidR="00D73E8C" w:rsidRPr="00B02C2E" w:rsidRDefault="00D73E8C" w:rsidP="009D6687">
      <w:pPr>
        <w:pStyle w:val="ExecSumBodyText"/>
        <w:rPr>
          <w:color w:val="000000" w:themeColor="text1"/>
        </w:rPr>
      </w:pPr>
      <w:r w:rsidRPr="00B02C2E">
        <w:rPr>
          <w:color w:val="000000" w:themeColor="text1"/>
        </w:rPr>
        <w:t>Eculizumab is only being considered for outpatient use. Treatment of admitted patients (public and private) in public hospitals remains the responsibility of the states and territories.</w:t>
      </w:r>
      <w:r w:rsidR="00D83C1F" w:rsidRPr="00B02C2E">
        <w:rPr>
          <w:color w:val="000000" w:themeColor="text1"/>
        </w:rPr>
        <w:t xml:space="preserve"> The PBAC noted that the statement that ‘This drug is not PBS-subsidised in it is prescribed to a public hospital in-patient’ was added to the proposed restriction as advised in November 2020.</w:t>
      </w:r>
    </w:p>
    <w:p w14:paraId="55D0FB8D" w14:textId="77777777" w:rsidR="002B5574" w:rsidRPr="00B02C2E" w:rsidRDefault="00964D6C" w:rsidP="00155927">
      <w:pPr>
        <w:pStyle w:val="ExecSumBodyText"/>
      </w:pPr>
      <w:r w:rsidRPr="00B02C2E">
        <w:t xml:space="preserve">The </w:t>
      </w:r>
      <w:r w:rsidR="00155927" w:rsidRPr="00155927">
        <w:rPr>
          <w:color w:val="000000" w:themeColor="text1"/>
        </w:rPr>
        <w:t xml:space="preserve">Pre-Sub-Committee Response </w:t>
      </w:r>
      <w:r w:rsidR="00155927">
        <w:rPr>
          <w:color w:val="000000" w:themeColor="text1"/>
        </w:rPr>
        <w:t>(</w:t>
      </w:r>
      <w:r w:rsidRPr="00B02C2E">
        <w:t>PSCR</w:t>
      </w:r>
      <w:r w:rsidR="00155927">
        <w:t>)</w:t>
      </w:r>
      <w:r w:rsidRPr="00B02C2E">
        <w:t xml:space="preserve"> provided a reference source for the ED</w:t>
      </w:r>
      <w:r w:rsidR="003C154F" w:rsidRPr="00B02C2E">
        <w:t>S</w:t>
      </w:r>
      <w:r w:rsidRPr="00B02C2E">
        <w:t>S which is freely available for use in the restriction.</w:t>
      </w:r>
      <w:r w:rsidRPr="00B02C2E">
        <w:rPr>
          <w:rStyle w:val="FootnoteReference"/>
          <w:color w:val="000000" w:themeColor="text1"/>
        </w:rPr>
        <w:footnoteReference w:id="1"/>
      </w:r>
    </w:p>
    <w:p w14:paraId="4D4F3A78" w14:textId="77777777" w:rsidR="000748B8" w:rsidRPr="00B02C2E" w:rsidRDefault="000748B8" w:rsidP="000748B8">
      <w:pPr>
        <w:pStyle w:val="ExecSumBodyText"/>
        <w:numPr>
          <w:ilvl w:val="0"/>
          <w:numId w:val="0"/>
        </w:numPr>
        <w:ind w:left="720"/>
        <w:rPr>
          <w:i/>
          <w:iCs/>
          <w:color w:val="000000" w:themeColor="text1"/>
        </w:rPr>
      </w:pPr>
      <w:r w:rsidRPr="00B02C2E">
        <w:rPr>
          <w:i/>
          <w:iCs/>
          <w:color w:val="000000" w:themeColor="text1"/>
        </w:rPr>
        <w:t>For more detail on PBAC’s view, see section 7 PBAC outcome.</w:t>
      </w:r>
    </w:p>
    <w:p w14:paraId="7382FD29" w14:textId="77777777" w:rsidR="00B50DB8" w:rsidRPr="00B02C2E" w:rsidRDefault="00203181" w:rsidP="004E18E9">
      <w:pPr>
        <w:pStyle w:val="2-SectionHeading"/>
      </w:pPr>
      <w:bookmarkStart w:id="11" w:name="_Toc82079274"/>
      <w:r w:rsidRPr="00B02C2E">
        <w:t xml:space="preserve">Population and </w:t>
      </w:r>
      <w:r w:rsidR="008E0D3C" w:rsidRPr="00B02C2E">
        <w:t>d</w:t>
      </w:r>
      <w:r w:rsidRPr="00B02C2E">
        <w:t>isease</w:t>
      </w:r>
      <w:bookmarkEnd w:id="11"/>
    </w:p>
    <w:p w14:paraId="0336F97F" w14:textId="77777777" w:rsidR="00C45815" w:rsidRPr="00B02C2E" w:rsidRDefault="00C45815" w:rsidP="006778FB">
      <w:pPr>
        <w:pStyle w:val="ExecSumBodyText"/>
        <w:rPr>
          <w:color w:val="000000" w:themeColor="text1"/>
        </w:rPr>
      </w:pPr>
      <w:r w:rsidRPr="00B02C2E">
        <w:rPr>
          <w:color w:val="000000" w:themeColor="text1"/>
        </w:rPr>
        <w:t xml:space="preserve">Neuromyelitis optica spectrum disorders (NMOSD) are a collection of inflammatory disorders of the central nervous system that predominantly target the optic nerves and spinal cord and are associated with severe, immune-mediated demyelination and axonal damage. </w:t>
      </w:r>
    </w:p>
    <w:p w14:paraId="6F0E2A51" w14:textId="77777777" w:rsidR="00C45815" w:rsidRPr="00B02C2E" w:rsidRDefault="00C45815" w:rsidP="00C45815">
      <w:pPr>
        <w:pStyle w:val="ExecSumBodyText"/>
        <w:rPr>
          <w:color w:val="000000" w:themeColor="text1"/>
        </w:rPr>
      </w:pPr>
      <w:r w:rsidRPr="00B02C2E">
        <w:rPr>
          <w:color w:val="000000" w:themeColor="text1"/>
        </w:rPr>
        <w:t xml:space="preserve">Patients with NMOSD typically have a disease course characterised by acute clinical attacks (relapses) followed by partial/full recovery and periods of clinical stability (remissions). Relapses are unpredictable with respect to timing, frequency and severity and incomplete recovery can result in the accumulation of disability. </w:t>
      </w:r>
      <w:r w:rsidR="008922F5" w:rsidRPr="00B02C2E">
        <w:rPr>
          <w:color w:val="000000" w:themeColor="text1"/>
        </w:rPr>
        <w:t>The symptoms associated with relapse vary based on the location of the attack and can include visual loss/blindness, loss of colour vision, pain with eye movement, central scotoma, bilateral motor weakness, loss of sensation, paraesthesia, tonic spasms, neuropathic pain, bladder/bowel dysfunction, nausea, vomiting, vertigo, respiratory failure and prolonged hiccoughs.</w:t>
      </w:r>
    </w:p>
    <w:p w14:paraId="0D7A5393" w14:textId="77777777" w:rsidR="00C45815" w:rsidRPr="00B02C2E" w:rsidRDefault="00C45815" w:rsidP="006778FB">
      <w:pPr>
        <w:pStyle w:val="ExecSumBodyText"/>
        <w:rPr>
          <w:color w:val="000000" w:themeColor="text1"/>
        </w:rPr>
      </w:pPr>
      <w:r w:rsidRPr="00B02C2E">
        <w:rPr>
          <w:color w:val="000000" w:themeColor="text1"/>
        </w:rPr>
        <w:t xml:space="preserve">Relapses may be managed in the community setting or require hospitalisation depending on the severity of relapse. Acute management typically involves the use of high dose corticosteroids (oral or intravenous) with more severe or treatment-resistant relapses treated with plasma exchange. Intravenous immunoglobulin (IVIg) may also be used in patients failing other therapies. </w:t>
      </w:r>
    </w:p>
    <w:p w14:paraId="28E4F968" w14:textId="77777777" w:rsidR="00C45815" w:rsidRPr="00B02C2E" w:rsidRDefault="00C45815" w:rsidP="006778FB">
      <w:pPr>
        <w:pStyle w:val="ExecSumBodyText"/>
        <w:rPr>
          <w:color w:val="000000" w:themeColor="text1"/>
        </w:rPr>
      </w:pPr>
      <w:r w:rsidRPr="00B02C2E">
        <w:rPr>
          <w:color w:val="000000" w:themeColor="text1"/>
        </w:rPr>
        <w:t>There is disease-specific mortality associated with NMOSD, however rates vary substantially between studies.</w:t>
      </w:r>
      <w:r w:rsidR="007744C4" w:rsidRPr="00B02C2E">
        <w:t xml:space="preserve"> </w:t>
      </w:r>
      <w:r w:rsidR="007744C4" w:rsidRPr="00B02C2E">
        <w:rPr>
          <w:color w:val="000000" w:themeColor="text1"/>
        </w:rPr>
        <w:t xml:space="preserve">The mortality associated with NMOSD has substantially decreased over time with the inclusion of less severe patients under the diagnostic umbrella of NMOSD and the use of immunosuppressive therapy and plasma exchange. </w:t>
      </w:r>
      <w:r w:rsidRPr="00B02C2E">
        <w:rPr>
          <w:color w:val="000000" w:themeColor="text1"/>
        </w:rPr>
        <w:t xml:space="preserve"> </w:t>
      </w:r>
      <w:r w:rsidR="00671884" w:rsidRPr="00B02C2E">
        <w:rPr>
          <w:color w:val="000000" w:themeColor="text1"/>
        </w:rPr>
        <w:t>In November 2020 t</w:t>
      </w:r>
      <w:r w:rsidRPr="00B02C2E">
        <w:rPr>
          <w:color w:val="000000" w:themeColor="text1"/>
        </w:rPr>
        <w:t>he PBAC considered current mortality associated with NMOSD was unclear but appears to be low (para</w:t>
      </w:r>
      <w:r w:rsidR="004E04C6" w:rsidRPr="00B02C2E">
        <w:rPr>
          <w:color w:val="000000" w:themeColor="text1"/>
        </w:rPr>
        <w:t>graph</w:t>
      </w:r>
      <w:r w:rsidRPr="00B02C2E">
        <w:rPr>
          <w:color w:val="000000" w:themeColor="text1"/>
        </w:rPr>
        <w:t xml:space="preserve"> 4.6, </w:t>
      </w:r>
      <w:r w:rsidR="004E04C6" w:rsidRPr="00B02C2E">
        <w:rPr>
          <w:color w:val="000000" w:themeColor="text1"/>
        </w:rPr>
        <w:t>e</w:t>
      </w:r>
      <w:r w:rsidRPr="00B02C2E">
        <w:rPr>
          <w:color w:val="000000" w:themeColor="text1"/>
        </w:rPr>
        <w:t>culizumab PSD, November 2020).</w:t>
      </w:r>
    </w:p>
    <w:p w14:paraId="7340DDCD" w14:textId="77777777" w:rsidR="002B2478" w:rsidRPr="00B02C2E" w:rsidRDefault="002B2478" w:rsidP="002B2478">
      <w:pPr>
        <w:pStyle w:val="ExecSumBodyText"/>
      </w:pPr>
      <w:r w:rsidRPr="00B02C2E">
        <w:t>NMOSD was previously considered a variant of relapsing-remitting multiple sclerosis (RRMS) due to its similar clinical presentations but is now generally recognised as a separate clinical entity. Key differences between NMOSD and RRMS include the presence of AQP4 antibodies (observed in most NMOSD patients but not RRMS patients), the risk of converting to a secondary progressive disease course (rare in NMOSD but common in RRMS patients) and the efficacy of immunomodulatory treatments (many treatments used for RRMS appear to be non-effective or harmful in NMOSD).</w:t>
      </w:r>
    </w:p>
    <w:p w14:paraId="1A89E534" w14:textId="77777777" w:rsidR="002B2478" w:rsidRPr="00B02C2E" w:rsidRDefault="002B2478" w:rsidP="002B2478">
      <w:pPr>
        <w:pStyle w:val="ExecSumBodyText"/>
      </w:pPr>
      <w:r w:rsidRPr="00B02C2E">
        <w:t>Patients with NMOSD who are AQP4</w:t>
      </w:r>
      <w:r w:rsidR="006247D6" w:rsidRPr="00B02C2E">
        <w:t>+</w:t>
      </w:r>
      <w:r w:rsidRPr="00B02C2E">
        <w:t xml:space="preserve"> represent the largest subgroup of patients with NMOSD (70-90% of cases). This subgroup is characterised </w:t>
      </w:r>
      <w:r w:rsidR="00970FEC" w:rsidRPr="00B02C2E">
        <w:t xml:space="preserve">by a </w:t>
      </w:r>
      <w:r w:rsidRPr="00B02C2E">
        <w:t>high female to male ratio (up to 9:1) and a mean age at onset of approximately 40 years.</w:t>
      </w:r>
    </w:p>
    <w:p w14:paraId="372ACCBD" w14:textId="77777777" w:rsidR="00C45815" w:rsidRPr="00B02C2E" w:rsidRDefault="00C45815" w:rsidP="006778FB">
      <w:pPr>
        <w:pStyle w:val="ExecSumBodyText"/>
        <w:rPr>
          <w:color w:val="000000" w:themeColor="text1"/>
        </w:rPr>
      </w:pPr>
      <w:r w:rsidRPr="00B02C2E">
        <w:rPr>
          <w:color w:val="000000" w:themeColor="text1"/>
        </w:rPr>
        <w:t xml:space="preserve">The resubmission noted that antibody testing is currently reimbursed on the Medicare Benefits Schedule via item 71119 (detection of antibodies to tissue antigens not otherwise specified). However, a separate item number for AQP4 and MOG testing was </w:t>
      </w:r>
      <w:r w:rsidR="001C0A83" w:rsidRPr="00B02C2E">
        <w:rPr>
          <w:color w:val="000000" w:themeColor="text1"/>
        </w:rPr>
        <w:t>support</w:t>
      </w:r>
      <w:r w:rsidRPr="00B02C2E">
        <w:rPr>
          <w:color w:val="000000" w:themeColor="text1"/>
        </w:rPr>
        <w:t xml:space="preserve">ed by MSAC in July 2020 as the existing item subsidises AQP4/MOG testing at a lower level than charged by providers (MSAC Application 1582). </w:t>
      </w:r>
    </w:p>
    <w:p w14:paraId="7FFD481F" w14:textId="77777777" w:rsidR="00C45815" w:rsidRPr="00B02C2E" w:rsidRDefault="00C45815" w:rsidP="006778FB">
      <w:pPr>
        <w:pStyle w:val="ExecSumBodyText"/>
        <w:rPr>
          <w:color w:val="000000" w:themeColor="text1"/>
        </w:rPr>
      </w:pPr>
      <w:r w:rsidRPr="00B02C2E">
        <w:rPr>
          <w:color w:val="000000" w:themeColor="text1"/>
        </w:rPr>
        <w:t>The worldwide prevalence of NMOSD ranges from approximately 0.5 to 4 patients per 100,000 population. However, these estimates are highly variable given observed racial associations with NMOSD (higher in African and Asian [particularly Japanese] populations) and evolving diagnostic criteria.</w:t>
      </w:r>
    </w:p>
    <w:p w14:paraId="32C4C8D2" w14:textId="77777777" w:rsidR="00C45815" w:rsidRPr="00B02C2E" w:rsidRDefault="00C45815" w:rsidP="00C45815">
      <w:pPr>
        <w:pStyle w:val="ExecSumBodyText"/>
        <w:rPr>
          <w:color w:val="000000" w:themeColor="text1"/>
        </w:rPr>
      </w:pPr>
      <w:r w:rsidRPr="00B02C2E">
        <w:rPr>
          <w:color w:val="000000" w:themeColor="text1"/>
        </w:rPr>
        <w:t xml:space="preserve">The resubmission included a Personal Experience Expectation Knowledge (PEEK) study into NMOSD in Australia conducted by The Centre for Community Driven Research. </w:t>
      </w:r>
      <w:r w:rsidR="00970FEC" w:rsidRPr="00B02C2E">
        <w:rPr>
          <w:color w:val="000000" w:themeColor="text1"/>
        </w:rPr>
        <w:t>A</w:t>
      </w:r>
      <w:r w:rsidRPr="00B02C2E">
        <w:rPr>
          <w:color w:val="000000" w:themeColor="text1"/>
        </w:rPr>
        <w:t xml:space="preserve"> number of themes emerged from this study around the impact of living with NMOSD. In particular, people with NMOSD highlighted feelings of anxiety around disease progression, disease impacts on quality of life and mental health, concerns around caregiver burden, and effects on relationships. The most common response provided by participants was that the goal of treatment is to maintain their condition and prevent worsening or relapses (7/18, 39%).</w:t>
      </w:r>
    </w:p>
    <w:p w14:paraId="4258E7FF" w14:textId="77777777" w:rsidR="002D79E7" w:rsidRPr="00B02C2E" w:rsidRDefault="002D79E7" w:rsidP="00C45815">
      <w:pPr>
        <w:pStyle w:val="ExecSumBodyText"/>
        <w:rPr>
          <w:color w:val="000000" w:themeColor="text1"/>
        </w:rPr>
      </w:pPr>
      <w:r w:rsidRPr="00B02C2E">
        <w:t>Eculizumab is a monoclonal antibody that binds to the C5 terminal complement protein and inhibits it cleavage into pro-inflammatory components (C5a and C5b). It is presumed that the therapeutic effects of eculizumab are due to a reduction in inflammation although the exact mechanism of action in NMOSD is currently unknown.</w:t>
      </w:r>
    </w:p>
    <w:p w14:paraId="67C8F4F4" w14:textId="77777777" w:rsidR="00C226E2" w:rsidRPr="00B02C2E" w:rsidRDefault="00C226E2" w:rsidP="00C45815">
      <w:pPr>
        <w:pStyle w:val="ExecSumBodyText"/>
        <w:rPr>
          <w:color w:val="000000" w:themeColor="text1"/>
        </w:rPr>
      </w:pPr>
      <w:r w:rsidRPr="00B02C2E">
        <w:t>The resubmission positioned eculizumab as a second-line preventative therapy in AQP4</w:t>
      </w:r>
      <w:r w:rsidR="006247D6" w:rsidRPr="00B02C2E">
        <w:t>+</w:t>
      </w:r>
      <w:r w:rsidRPr="00B02C2E">
        <w:t xml:space="preserve"> NMOSD patients who experience frequent relapses despite best supportive care or who cannot use best supportive care due to a prior immunosuppressive event (e.g. malignancies, recurrent infections or hypogammaglobinaemia associated with immunosuppression). Best supportive care generally consists of low dose oral corticosteroids and/or other immunosuppressive agents (rituximab, azathioprine, mycophenolate mofetil, methotrexate or mitoxantrone). Local advice also indicated that some patients may also be managed with recurrent IVIg infusions.</w:t>
      </w:r>
      <w:r w:rsidR="00D83C1F" w:rsidRPr="00B02C2E">
        <w:t xml:space="preserve"> The pre-PBAC response positioned eculizumab as a last-line therapy when other treatment options, including rituximab, have failed.</w:t>
      </w:r>
    </w:p>
    <w:p w14:paraId="236A343F" w14:textId="77777777" w:rsidR="000748B8" w:rsidRPr="00B02C2E" w:rsidRDefault="000748B8" w:rsidP="000748B8">
      <w:pPr>
        <w:pStyle w:val="ExecSumBodyText"/>
        <w:numPr>
          <w:ilvl w:val="0"/>
          <w:numId w:val="0"/>
        </w:numPr>
        <w:ind w:left="720"/>
        <w:rPr>
          <w:i/>
          <w:iCs/>
          <w:color w:val="000000" w:themeColor="text1"/>
        </w:rPr>
      </w:pPr>
      <w:r w:rsidRPr="00B02C2E">
        <w:rPr>
          <w:i/>
          <w:iCs/>
        </w:rPr>
        <w:t>For more detail on PBAC’s view, see section 7 PBAC outcome.</w:t>
      </w:r>
    </w:p>
    <w:p w14:paraId="3C63152D" w14:textId="77777777" w:rsidR="00B50DB8" w:rsidRPr="00B02C2E" w:rsidRDefault="00B50DB8" w:rsidP="004E18E9">
      <w:pPr>
        <w:pStyle w:val="2-SectionHeading"/>
      </w:pPr>
      <w:bookmarkStart w:id="12" w:name="_Toc82079275"/>
      <w:r w:rsidRPr="00B02C2E">
        <w:t>Comparator</w:t>
      </w:r>
      <w:bookmarkEnd w:id="12"/>
    </w:p>
    <w:p w14:paraId="40303358" w14:textId="11B08E2C" w:rsidR="00C6294B" w:rsidRPr="00B02C2E" w:rsidRDefault="00C6294B" w:rsidP="00C6294B">
      <w:pPr>
        <w:pStyle w:val="ExecSumBodyText"/>
        <w:rPr>
          <w:snapToGrid/>
        </w:rPr>
      </w:pPr>
      <w:r w:rsidRPr="00B02C2E">
        <w:rPr>
          <w:snapToGrid/>
        </w:rPr>
        <w:t>The resubmission maintained that best supportive care, consisting of immunosuppressive therapies including azathioprine, rituximab, mycophenolate mofetil, chronic corticosteroid use and rarely, methotrexate, was the appropriate comparator. The PBAC previously considered that best supportive care may be a reasonable main comparator (para</w:t>
      </w:r>
      <w:r w:rsidR="004E04C6" w:rsidRPr="00B02C2E">
        <w:rPr>
          <w:snapToGrid/>
        </w:rPr>
        <w:t>graph</w:t>
      </w:r>
      <w:r w:rsidRPr="00B02C2E">
        <w:rPr>
          <w:snapToGrid/>
        </w:rPr>
        <w:t xml:space="preserve"> 5.3 </w:t>
      </w:r>
      <w:r w:rsidR="004E04C6" w:rsidRPr="00B02C2E">
        <w:rPr>
          <w:snapToGrid/>
        </w:rPr>
        <w:t>e</w:t>
      </w:r>
      <w:r w:rsidRPr="00B02C2E">
        <w:rPr>
          <w:snapToGrid/>
        </w:rPr>
        <w:t xml:space="preserve">culizumab PSD, November). However, the PBAC </w:t>
      </w:r>
      <w:r w:rsidR="00671884" w:rsidRPr="00B02C2E">
        <w:rPr>
          <w:snapToGrid/>
        </w:rPr>
        <w:t xml:space="preserve">also </w:t>
      </w:r>
      <w:r w:rsidRPr="00B02C2E">
        <w:rPr>
          <w:snapToGrid/>
        </w:rPr>
        <w:t>considered that rituximab, which is funded through some public hospitals as a preventative treatment for relapse, is a relevant comparator as (i) due to the incompatibilities between the mechanisms of action, eculizumab and rituximab will not be used in combination; and (ii) eculizumab is likely to replace use of rituximab in clinical practice (para</w:t>
      </w:r>
      <w:r w:rsidR="004E04C6" w:rsidRPr="00B02C2E">
        <w:rPr>
          <w:snapToGrid/>
        </w:rPr>
        <w:t>graph</w:t>
      </w:r>
      <w:r w:rsidRPr="00B02C2E">
        <w:rPr>
          <w:snapToGrid/>
        </w:rPr>
        <w:t xml:space="preserve"> 7.6, </w:t>
      </w:r>
      <w:r w:rsidR="004E04C6" w:rsidRPr="00B02C2E">
        <w:rPr>
          <w:snapToGrid/>
        </w:rPr>
        <w:t>e</w:t>
      </w:r>
      <w:r w:rsidRPr="00B02C2E">
        <w:rPr>
          <w:snapToGrid/>
        </w:rPr>
        <w:t>culizumab PSD, November 2020).</w:t>
      </w:r>
    </w:p>
    <w:p w14:paraId="142E8233" w14:textId="6E4AF555" w:rsidR="0050489C" w:rsidRPr="00B02C2E" w:rsidRDefault="00C6294B" w:rsidP="00C6294B">
      <w:pPr>
        <w:pStyle w:val="ExecSumBodyText"/>
        <w:rPr>
          <w:snapToGrid/>
        </w:rPr>
      </w:pPr>
      <w:r w:rsidRPr="00B02C2E">
        <w:rPr>
          <w:snapToGrid/>
        </w:rPr>
        <w:t>The resubmission reiterated arguments from the initial submission, maintaining that rituximab was not an appropriate comparator because there was no universal access to rituximab in Australia. Additionally, the resubmission stated that as rituximab has not been approved by the TGA or by other regulatory agencies international</w:t>
      </w:r>
      <w:r w:rsidR="00C81E9F" w:rsidRPr="00B02C2E">
        <w:rPr>
          <w:snapToGrid/>
        </w:rPr>
        <w:t>ly</w:t>
      </w:r>
      <w:r w:rsidRPr="00B02C2E">
        <w:rPr>
          <w:snapToGrid/>
        </w:rPr>
        <w:t xml:space="preserve"> for the treatment of NMOSD, safety and effectiveness have not been established. </w:t>
      </w:r>
      <w:r w:rsidR="0050489C" w:rsidRPr="00B02C2E">
        <w:rPr>
          <w:snapToGrid/>
        </w:rPr>
        <w:t xml:space="preserve">The PSCR reiterated that rituximab is neither TGA registered </w:t>
      </w:r>
      <w:r w:rsidR="00AC3BB4">
        <w:rPr>
          <w:snapToGrid/>
        </w:rPr>
        <w:t>n</w:t>
      </w:r>
      <w:r w:rsidR="0050489C" w:rsidRPr="00B02C2E">
        <w:rPr>
          <w:snapToGrid/>
        </w:rPr>
        <w:t>or PBS reimbursed for patients with NMOSD and stated that this pose</w:t>
      </w:r>
      <w:r w:rsidR="00DF06FF" w:rsidRPr="00B02C2E">
        <w:rPr>
          <w:snapToGrid/>
        </w:rPr>
        <w:t>d</w:t>
      </w:r>
      <w:r w:rsidR="0050489C" w:rsidRPr="00B02C2E">
        <w:rPr>
          <w:snapToGrid/>
        </w:rPr>
        <w:t xml:space="preserve"> an equity of access issue. </w:t>
      </w:r>
      <w:r w:rsidR="00931619" w:rsidRPr="00B02C2E">
        <w:rPr>
          <w:snapToGrid/>
        </w:rPr>
        <w:t>The ESC noted that</w:t>
      </w:r>
      <w:r w:rsidR="00DF06FF" w:rsidRPr="00B02C2E">
        <w:rPr>
          <w:snapToGrid/>
        </w:rPr>
        <w:t xml:space="preserve">, although used </w:t>
      </w:r>
      <w:r w:rsidR="00931619" w:rsidRPr="00B02C2E">
        <w:rPr>
          <w:snapToGrid/>
        </w:rPr>
        <w:t xml:space="preserve">off-label in NMOSD patients, </w:t>
      </w:r>
      <w:r w:rsidR="00DF06FF" w:rsidRPr="00B02C2E">
        <w:rPr>
          <w:snapToGrid/>
        </w:rPr>
        <w:t xml:space="preserve">rituximab is </w:t>
      </w:r>
      <w:r w:rsidR="00931619" w:rsidRPr="00B02C2E">
        <w:rPr>
          <w:snapToGrid/>
        </w:rPr>
        <w:t xml:space="preserve">considered </w:t>
      </w:r>
      <w:r w:rsidR="00DF06FF" w:rsidRPr="00B02C2E">
        <w:rPr>
          <w:snapToGrid/>
        </w:rPr>
        <w:t xml:space="preserve">to be </w:t>
      </w:r>
      <w:r w:rsidR="00931619" w:rsidRPr="00B02C2E">
        <w:rPr>
          <w:snapToGrid/>
        </w:rPr>
        <w:t>standard of care in the treatment of this condition.</w:t>
      </w:r>
      <w:r w:rsidR="0050489C" w:rsidRPr="00B02C2E">
        <w:rPr>
          <w:snapToGrid/>
        </w:rPr>
        <w:t xml:space="preserve"> In addition, the ESC noted that biosimilar versions of rituximab were available which </w:t>
      </w:r>
      <w:r w:rsidR="0053078C" w:rsidRPr="00B02C2E">
        <w:rPr>
          <w:snapToGrid/>
        </w:rPr>
        <w:t>at least partly overcome</w:t>
      </w:r>
      <w:r w:rsidR="0050489C" w:rsidRPr="00B02C2E">
        <w:rPr>
          <w:snapToGrid/>
        </w:rPr>
        <w:t xml:space="preserve"> the equity of access issues described.</w:t>
      </w:r>
      <w:r w:rsidRPr="00B02C2E">
        <w:rPr>
          <w:snapToGrid/>
        </w:rPr>
        <w:t xml:space="preserve"> </w:t>
      </w:r>
      <w:r w:rsidR="00D83C1F" w:rsidRPr="00B02C2E">
        <w:rPr>
          <w:snapToGrid/>
        </w:rPr>
        <w:t xml:space="preserve">The pre-PBAC response noted that the September 2021 PBAC recommendation that rituximab have an unrestricted listing, meant that rituximab </w:t>
      </w:r>
      <w:r w:rsidR="00CD2AF3" w:rsidRPr="00B02C2E">
        <w:rPr>
          <w:snapToGrid/>
        </w:rPr>
        <w:t>would soon be available on the PBS for patients with NMOSD.</w:t>
      </w:r>
    </w:p>
    <w:p w14:paraId="5745A017" w14:textId="77777777" w:rsidR="00C6294B" w:rsidRPr="00B02C2E" w:rsidRDefault="00EA6071" w:rsidP="0000224E">
      <w:pPr>
        <w:pStyle w:val="ExecSumBodyText"/>
        <w:rPr>
          <w:snapToGrid/>
        </w:rPr>
      </w:pPr>
      <w:r w:rsidRPr="00B02C2E">
        <w:rPr>
          <w:snapToGrid/>
        </w:rPr>
        <w:t xml:space="preserve">The resubmission stated that </w:t>
      </w:r>
      <w:r w:rsidR="00C6294B" w:rsidRPr="00B02C2E">
        <w:rPr>
          <w:snapToGrid/>
        </w:rPr>
        <w:t xml:space="preserve">the proposed restriction for eculizumab is in frequently relapsing patients with AQP4+ NMOSD </w:t>
      </w:r>
      <w:r w:rsidR="003F4E11" w:rsidRPr="00B02C2E">
        <w:t xml:space="preserve">not responding to other immunosuppressive treatments, which included rituximab. Therefore, eculizumab is positioned after rituximab treatment as a last line therapy and will not be used at the same point in the treatment algorithm. </w:t>
      </w:r>
    </w:p>
    <w:p w14:paraId="251B69B9" w14:textId="77777777" w:rsidR="003F4E11" w:rsidRPr="00B02C2E" w:rsidRDefault="003F4E11" w:rsidP="00C6294B">
      <w:pPr>
        <w:pStyle w:val="ExecSumBodyText"/>
        <w:rPr>
          <w:snapToGrid/>
        </w:rPr>
      </w:pPr>
      <w:r w:rsidRPr="00B02C2E">
        <w:t>The ESC considered that if eculizumab was to be used as a last line therapy when all other treatment options, including an adequate trial of rituximab, had failed, then:</w:t>
      </w:r>
    </w:p>
    <w:p w14:paraId="27B3B01B" w14:textId="30E7A5FD" w:rsidR="003F4E11" w:rsidRPr="00B02C2E" w:rsidRDefault="003F4E11" w:rsidP="00587590">
      <w:pPr>
        <w:pStyle w:val="ListParagraph"/>
        <w:numPr>
          <w:ilvl w:val="0"/>
          <w:numId w:val="17"/>
        </w:numPr>
        <w:ind w:left="1077" w:hanging="357"/>
      </w:pPr>
      <w:r w:rsidRPr="00B02C2E">
        <w:t xml:space="preserve">the population of the PREVENT trial was not applicable </w:t>
      </w:r>
      <w:r w:rsidR="0050489C" w:rsidRPr="00B02C2E">
        <w:t>as the trial population was not representative of patients receiving last line therapy</w:t>
      </w:r>
      <w:r w:rsidR="002A6266" w:rsidRPr="00B02C2E">
        <w:t>, noting that the inclusion criteria did not require relapses to occur while on treatment and baseline therapies included glucocorticoids alone and no treatment</w:t>
      </w:r>
      <w:r w:rsidR="0050489C" w:rsidRPr="00B02C2E">
        <w:t xml:space="preserve"> </w:t>
      </w:r>
      <w:r w:rsidRPr="00B02C2E">
        <w:t xml:space="preserve">(see Table </w:t>
      </w:r>
      <w:r w:rsidR="00EA6071" w:rsidRPr="00B02C2E">
        <w:t>3</w:t>
      </w:r>
      <w:r w:rsidRPr="00B02C2E">
        <w:t>)</w:t>
      </w:r>
      <w:r w:rsidR="0050489C" w:rsidRPr="00B02C2E">
        <w:t xml:space="preserve">. </w:t>
      </w:r>
      <w:r w:rsidR="00DE04D4" w:rsidRPr="00B02C2E">
        <w:t xml:space="preserve">The pre-PBAC response stated that the majority of patients were pre-treated with a range of immunosuppressive therapies, noting that </w:t>
      </w:r>
      <w:r w:rsidR="00CD2AF3" w:rsidRPr="00B02C2E">
        <w:t>93%</w:t>
      </w:r>
      <w:r w:rsidR="00DE04D4" w:rsidRPr="00B02C2E">
        <w:t xml:space="preserve"> of patients</w:t>
      </w:r>
      <w:r w:rsidR="00CD2AF3" w:rsidRPr="00B02C2E">
        <w:t xml:space="preserve"> received supportive immunosuppressive therapies for NMOSD prior to entering the PREVENT trial and more than 75% of patients were receiving immunosuppressive therapies at the time of their historical relapses. </w:t>
      </w:r>
      <w:r w:rsidR="00CE3BD6" w:rsidRPr="00B02C2E">
        <w:t>The ESC also noted that evidence supporting the likely efficacy of eculizumab when used in the last line population would need to be presented</w:t>
      </w:r>
    </w:p>
    <w:p w14:paraId="3377C3BE" w14:textId="77777777" w:rsidR="003F4E11" w:rsidRPr="00B02C2E" w:rsidRDefault="003F4E11" w:rsidP="00587590">
      <w:pPr>
        <w:pStyle w:val="ListParagraph"/>
        <w:numPr>
          <w:ilvl w:val="0"/>
          <w:numId w:val="17"/>
        </w:numPr>
        <w:ind w:left="1077" w:hanging="357"/>
      </w:pPr>
      <w:r w:rsidRPr="00B02C2E">
        <w:t xml:space="preserve">the restriction would </w:t>
      </w:r>
      <w:r w:rsidR="00FC3535" w:rsidRPr="00B02C2E">
        <w:t>need to define the proposed patient population</w:t>
      </w:r>
      <w:r w:rsidR="00931619" w:rsidRPr="00B02C2E">
        <w:t xml:space="preserve"> more clearly (see paragraph</w:t>
      </w:r>
      <w:r w:rsidR="00CD2AF3" w:rsidRPr="00B02C2E">
        <w:t>s</w:t>
      </w:r>
      <w:r w:rsidR="00931619" w:rsidRPr="00B02C2E">
        <w:t xml:space="preserve"> 3.</w:t>
      </w:r>
      <w:r w:rsidR="00CD2AF3" w:rsidRPr="00B02C2E">
        <w:t>5 to 3.7</w:t>
      </w:r>
      <w:r w:rsidR="00931619" w:rsidRPr="00B02C2E">
        <w:t>)</w:t>
      </w:r>
      <w:r w:rsidRPr="00B02C2E">
        <w:t>.</w:t>
      </w:r>
    </w:p>
    <w:p w14:paraId="149D11E3" w14:textId="77777777" w:rsidR="009449A5" w:rsidRPr="00B02C2E" w:rsidRDefault="009449A5" w:rsidP="009449A5">
      <w:pPr>
        <w:ind w:left="720"/>
      </w:pPr>
    </w:p>
    <w:p w14:paraId="68C3FE57" w14:textId="77777777" w:rsidR="009449A5" w:rsidRPr="00B02C2E" w:rsidRDefault="009449A5" w:rsidP="00C6294B">
      <w:pPr>
        <w:pStyle w:val="ExecSumBodyText"/>
        <w:rPr>
          <w:snapToGrid/>
        </w:rPr>
      </w:pPr>
      <w:r w:rsidRPr="00B02C2E">
        <w:rPr>
          <w:snapToGrid/>
        </w:rPr>
        <w:t>If the positioning of eculizumab was as an alternative to immunosuppressive therapies in more severe cases of NMOSD, then the ESC considered that a comparison with rituximab would be valid.</w:t>
      </w:r>
      <w:r w:rsidR="00D432C1" w:rsidRPr="00B02C2E">
        <w:rPr>
          <w:snapToGrid/>
        </w:rPr>
        <w:t xml:space="preserve"> The pre-PBAC response stated that the available evidence for rituximab in NMOSD was poor and does not inform the magnitude of effect relative to best supportive care.</w:t>
      </w:r>
    </w:p>
    <w:p w14:paraId="42013762" w14:textId="77777777" w:rsidR="009449A5" w:rsidRPr="00B02C2E" w:rsidRDefault="009449A5" w:rsidP="00EA6071">
      <w:pPr>
        <w:pStyle w:val="TableHeading"/>
        <w:spacing w:after="0"/>
      </w:pPr>
      <w:r w:rsidRPr="00B02C2E">
        <w:t xml:space="preserve">Table </w:t>
      </w:r>
      <w:r w:rsidR="00EA6071" w:rsidRPr="00B02C2E">
        <w:t>3</w:t>
      </w:r>
      <w:r w:rsidRPr="00B02C2E">
        <w:t>: Prior therapies of patients in the PREVENT trial at baseline</w:t>
      </w:r>
    </w:p>
    <w:tbl>
      <w:tblPr>
        <w:tblStyle w:val="TableGrid"/>
        <w:tblW w:w="0" w:type="auto"/>
        <w:tblLook w:val="04A0" w:firstRow="1" w:lastRow="0" w:firstColumn="1" w:lastColumn="0" w:noHBand="0" w:noVBand="1"/>
        <w:tblCaption w:val="Table 3: Prior therapies of patients in the PREVENT trial at baseline"/>
      </w:tblPr>
      <w:tblGrid>
        <w:gridCol w:w="3539"/>
        <w:gridCol w:w="1843"/>
        <w:gridCol w:w="1843"/>
        <w:gridCol w:w="1792"/>
      </w:tblGrid>
      <w:tr w:rsidR="009449A5" w:rsidRPr="00B02C2E" w14:paraId="592B4BB8" w14:textId="77777777" w:rsidTr="00AA0DC3">
        <w:trPr>
          <w:tblHeader/>
        </w:trPr>
        <w:tc>
          <w:tcPr>
            <w:tcW w:w="3539" w:type="dxa"/>
          </w:tcPr>
          <w:p w14:paraId="43B67408" w14:textId="77777777" w:rsidR="009449A5" w:rsidRPr="00B02C2E" w:rsidRDefault="009449A5" w:rsidP="009449A5">
            <w:pPr>
              <w:pStyle w:val="ExecSumBodyText"/>
              <w:numPr>
                <w:ilvl w:val="0"/>
                <w:numId w:val="0"/>
              </w:numPr>
              <w:spacing w:after="0"/>
              <w:jc w:val="left"/>
              <w:rPr>
                <w:rFonts w:ascii="Arial Narrow" w:hAnsi="Arial Narrow"/>
                <w:b/>
                <w:bCs/>
                <w:snapToGrid/>
                <w:sz w:val="20"/>
                <w:szCs w:val="20"/>
              </w:rPr>
            </w:pPr>
          </w:p>
        </w:tc>
        <w:tc>
          <w:tcPr>
            <w:tcW w:w="1843" w:type="dxa"/>
          </w:tcPr>
          <w:p w14:paraId="498E310B"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Eculizumab</w:t>
            </w:r>
          </w:p>
          <w:p w14:paraId="6EFC608A"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(N = 96)</w:t>
            </w:r>
          </w:p>
        </w:tc>
        <w:tc>
          <w:tcPr>
            <w:tcW w:w="1843" w:type="dxa"/>
          </w:tcPr>
          <w:p w14:paraId="63107D66"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Placebo</w:t>
            </w:r>
          </w:p>
          <w:p w14:paraId="0AA7A838"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(N = 47)</w:t>
            </w:r>
          </w:p>
        </w:tc>
        <w:tc>
          <w:tcPr>
            <w:tcW w:w="1792" w:type="dxa"/>
          </w:tcPr>
          <w:p w14:paraId="5CED30FA"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All patients</w:t>
            </w:r>
          </w:p>
          <w:p w14:paraId="127CCF59" w14:textId="77777777" w:rsidR="009449A5" w:rsidRPr="00B02C2E" w:rsidRDefault="009449A5" w:rsidP="009449A5">
            <w:pPr>
              <w:pStyle w:val="ExecSumBodyText"/>
              <w:numPr>
                <w:ilvl w:val="0"/>
                <w:numId w:val="0"/>
              </w:numPr>
              <w:spacing w:after="0"/>
              <w:jc w:val="center"/>
              <w:rPr>
                <w:rFonts w:ascii="Arial Narrow" w:hAnsi="Arial Narrow"/>
                <w:b/>
                <w:bCs/>
                <w:snapToGrid/>
                <w:sz w:val="20"/>
                <w:szCs w:val="20"/>
              </w:rPr>
            </w:pPr>
            <w:r w:rsidRPr="00B02C2E">
              <w:rPr>
                <w:rFonts w:ascii="Arial Narrow" w:hAnsi="Arial Narrow"/>
                <w:b/>
                <w:bCs/>
                <w:snapToGrid/>
                <w:sz w:val="20"/>
                <w:szCs w:val="20"/>
              </w:rPr>
              <w:t>(N = 143)</w:t>
            </w:r>
          </w:p>
        </w:tc>
      </w:tr>
      <w:tr w:rsidR="009449A5" w:rsidRPr="00B02C2E" w14:paraId="563B4706" w14:textId="77777777" w:rsidTr="009449A5">
        <w:tc>
          <w:tcPr>
            <w:tcW w:w="3539" w:type="dxa"/>
          </w:tcPr>
          <w:p w14:paraId="6D04A922"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None</w:t>
            </w:r>
          </w:p>
        </w:tc>
        <w:tc>
          <w:tcPr>
            <w:tcW w:w="1843" w:type="dxa"/>
          </w:tcPr>
          <w:p w14:paraId="66D96EA4"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21 (22%)</w:t>
            </w:r>
          </w:p>
        </w:tc>
        <w:tc>
          <w:tcPr>
            <w:tcW w:w="1843" w:type="dxa"/>
          </w:tcPr>
          <w:p w14:paraId="3E767BFE"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13 (28%)</w:t>
            </w:r>
          </w:p>
        </w:tc>
        <w:tc>
          <w:tcPr>
            <w:tcW w:w="1792" w:type="dxa"/>
          </w:tcPr>
          <w:p w14:paraId="627FA71F"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34 (24%)</w:t>
            </w:r>
          </w:p>
        </w:tc>
      </w:tr>
      <w:tr w:rsidR="009449A5" w:rsidRPr="00B02C2E" w14:paraId="06E9E8F7" w14:textId="77777777" w:rsidTr="009449A5">
        <w:tc>
          <w:tcPr>
            <w:tcW w:w="3539" w:type="dxa"/>
          </w:tcPr>
          <w:p w14:paraId="3B208733"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Glucocorticoids alone</w:t>
            </w:r>
          </w:p>
        </w:tc>
        <w:tc>
          <w:tcPr>
            <w:tcW w:w="1843" w:type="dxa"/>
          </w:tcPr>
          <w:p w14:paraId="69EF7715"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16 (17%)</w:t>
            </w:r>
          </w:p>
        </w:tc>
        <w:tc>
          <w:tcPr>
            <w:tcW w:w="1843" w:type="dxa"/>
          </w:tcPr>
          <w:p w14:paraId="22B84C61"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11 (23%)</w:t>
            </w:r>
          </w:p>
        </w:tc>
        <w:tc>
          <w:tcPr>
            <w:tcW w:w="1792" w:type="dxa"/>
          </w:tcPr>
          <w:p w14:paraId="1356E05C"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27 (19%)</w:t>
            </w:r>
          </w:p>
        </w:tc>
      </w:tr>
      <w:tr w:rsidR="009449A5" w:rsidRPr="00B02C2E" w14:paraId="14BA71E0" w14:textId="77777777" w:rsidTr="009449A5">
        <w:tc>
          <w:tcPr>
            <w:tcW w:w="3539" w:type="dxa"/>
          </w:tcPr>
          <w:p w14:paraId="569B0067"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 xml:space="preserve">Azathioprine +/- glucocorticoids </w:t>
            </w:r>
          </w:p>
        </w:tc>
        <w:tc>
          <w:tcPr>
            <w:tcW w:w="1843" w:type="dxa"/>
          </w:tcPr>
          <w:p w14:paraId="136B63DC"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37 (39%)</w:t>
            </w:r>
          </w:p>
        </w:tc>
        <w:tc>
          <w:tcPr>
            <w:tcW w:w="1843" w:type="dxa"/>
          </w:tcPr>
          <w:p w14:paraId="19E2ACBE"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13 (28%)</w:t>
            </w:r>
          </w:p>
        </w:tc>
        <w:tc>
          <w:tcPr>
            <w:tcW w:w="1792" w:type="dxa"/>
          </w:tcPr>
          <w:p w14:paraId="2809A2E2"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50 (35%)</w:t>
            </w:r>
          </w:p>
        </w:tc>
      </w:tr>
      <w:tr w:rsidR="009449A5" w:rsidRPr="00B02C2E" w14:paraId="69183129" w14:textId="77777777" w:rsidTr="009449A5">
        <w:tc>
          <w:tcPr>
            <w:tcW w:w="3539" w:type="dxa"/>
          </w:tcPr>
          <w:p w14:paraId="4FAF5393"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Mycophenolate mofetil +/- glucocorticoids</w:t>
            </w:r>
          </w:p>
        </w:tc>
        <w:tc>
          <w:tcPr>
            <w:tcW w:w="1843" w:type="dxa"/>
          </w:tcPr>
          <w:p w14:paraId="142606E5"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17 (18%)</w:t>
            </w:r>
          </w:p>
        </w:tc>
        <w:tc>
          <w:tcPr>
            <w:tcW w:w="1843" w:type="dxa"/>
          </w:tcPr>
          <w:p w14:paraId="11E34687"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8 (17%)</w:t>
            </w:r>
          </w:p>
        </w:tc>
        <w:tc>
          <w:tcPr>
            <w:tcW w:w="1792" w:type="dxa"/>
          </w:tcPr>
          <w:p w14:paraId="57155985"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25 (17%)</w:t>
            </w:r>
          </w:p>
        </w:tc>
      </w:tr>
      <w:tr w:rsidR="009449A5" w:rsidRPr="00B02C2E" w14:paraId="59F01B0E" w14:textId="77777777" w:rsidTr="009449A5">
        <w:tc>
          <w:tcPr>
            <w:tcW w:w="3539" w:type="dxa"/>
          </w:tcPr>
          <w:p w14:paraId="6022D6AC"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Other drug +/- glucocorticoids</w:t>
            </w:r>
          </w:p>
        </w:tc>
        <w:tc>
          <w:tcPr>
            <w:tcW w:w="1843" w:type="dxa"/>
          </w:tcPr>
          <w:p w14:paraId="33926A17"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5 (5%)</w:t>
            </w:r>
          </w:p>
        </w:tc>
        <w:tc>
          <w:tcPr>
            <w:tcW w:w="1843" w:type="dxa"/>
          </w:tcPr>
          <w:p w14:paraId="12FCB386"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 (4%)</w:t>
            </w:r>
          </w:p>
        </w:tc>
        <w:tc>
          <w:tcPr>
            <w:tcW w:w="1792" w:type="dxa"/>
          </w:tcPr>
          <w:p w14:paraId="037FD3E1"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7 (5%)</w:t>
            </w:r>
          </w:p>
        </w:tc>
      </w:tr>
      <w:tr w:rsidR="009449A5" w:rsidRPr="00B02C2E" w14:paraId="13C876C7" w14:textId="77777777" w:rsidTr="009449A5">
        <w:tc>
          <w:tcPr>
            <w:tcW w:w="3539" w:type="dxa"/>
          </w:tcPr>
          <w:p w14:paraId="6B4ACA64" w14:textId="77777777" w:rsidR="009449A5" w:rsidRPr="00B02C2E" w:rsidRDefault="009449A5" w:rsidP="009449A5">
            <w:pPr>
              <w:pStyle w:val="ExecSumBodyText"/>
              <w:numPr>
                <w:ilvl w:val="0"/>
                <w:numId w:val="0"/>
              </w:numPr>
              <w:spacing w:after="0"/>
              <w:jc w:val="left"/>
              <w:rPr>
                <w:rFonts w:ascii="Arial Narrow" w:hAnsi="Arial Narrow"/>
                <w:snapToGrid/>
                <w:sz w:val="20"/>
                <w:szCs w:val="20"/>
              </w:rPr>
            </w:pPr>
            <w:r w:rsidRPr="00B02C2E">
              <w:rPr>
                <w:rFonts w:ascii="Arial Narrow" w:hAnsi="Arial Narrow"/>
                <w:snapToGrid/>
                <w:sz w:val="20"/>
                <w:szCs w:val="20"/>
              </w:rPr>
              <w:t>Rituximab</w:t>
            </w:r>
          </w:p>
        </w:tc>
        <w:tc>
          <w:tcPr>
            <w:tcW w:w="1843" w:type="dxa"/>
          </w:tcPr>
          <w:p w14:paraId="2F434428"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26 (27%)</w:t>
            </w:r>
          </w:p>
        </w:tc>
        <w:tc>
          <w:tcPr>
            <w:tcW w:w="1843" w:type="dxa"/>
          </w:tcPr>
          <w:p w14:paraId="429A86AD"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20 (43%)</w:t>
            </w:r>
          </w:p>
        </w:tc>
        <w:tc>
          <w:tcPr>
            <w:tcW w:w="1792" w:type="dxa"/>
          </w:tcPr>
          <w:p w14:paraId="3D2D7403" w14:textId="77777777" w:rsidR="009449A5" w:rsidRPr="00B02C2E" w:rsidRDefault="009449A5" w:rsidP="009449A5">
            <w:pPr>
              <w:pStyle w:val="ExecSumBodyText"/>
              <w:numPr>
                <w:ilvl w:val="0"/>
                <w:numId w:val="0"/>
              </w:numPr>
              <w:spacing w:after="0"/>
              <w:jc w:val="center"/>
              <w:rPr>
                <w:rFonts w:ascii="Arial Narrow" w:hAnsi="Arial Narrow"/>
                <w:snapToGrid/>
                <w:sz w:val="20"/>
                <w:szCs w:val="20"/>
              </w:rPr>
            </w:pPr>
            <w:r w:rsidRPr="00B02C2E">
              <w:rPr>
                <w:rFonts w:ascii="Arial Narrow" w:hAnsi="Arial Narrow"/>
                <w:snapToGrid/>
                <w:sz w:val="20"/>
                <w:szCs w:val="20"/>
              </w:rPr>
              <w:t>46 (32%)</w:t>
            </w:r>
          </w:p>
        </w:tc>
      </w:tr>
    </w:tbl>
    <w:p w14:paraId="0C81620C" w14:textId="77777777" w:rsidR="009449A5" w:rsidRPr="00B02C2E" w:rsidRDefault="009449A5" w:rsidP="009449A5">
      <w:pPr>
        <w:pStyle w:val="TableFooter"/>
        <w:rPr>
          <w:snapToGrid/>
        </w:rPr>
      </w:pPr>
      <w:r w:rsidRPr="00B02C2E">
        <w:rPr>
          <w:snapToGrid/>
        </w:rPr>
        <w:t>Source: Table 1, p619 of Pittock et al, Eculizumab in AQP4 NMOSD, NEJM, 2019;381(7)</w:t>
      </w:r>
    </w:p>
    <w:p w14:paraId="5A9B3136" w14:textId="77777777" w:rsidR="009449A5" w:rsidRPr="00B02C2E" w:rsidRDefault="009449A5" w:rsidP="009449A5"/>
    <w:p w14:paraId="0EBBD011" w14:textId="77777777" w:rsidR="00C6294B" w:rsidRPr="00B02C2E" w:rsidRDefault="00C6294B" w:rsidP="00C6294B">
      <w:pPr>
        <w:pStyle w:val="ExecSumBodyText"/>
        <w:rPr>
          <w:snapToGrid/>
        </w:rPr>
      </w:pPr>
      <w:r w:rsidRPr="00B02C2E">
        <w:rPr>
          <w:snapToGrid/>
        </w:rPr>
        <w:t>The resubmission noted that since the initial eculizumab submission in November</w:t>
      </w:r>
      <w:r w:rsidR="005126D7" w:rsidRPr="00B02C2E">
        <w:rPr>
          <w:snapToGrid/>
        </w:rPr>
        <w:t> </w:t>
      </w:r>
      <w:r w:rsidRPr="00B02C2E">
        <w:rPr>
          <w:snapToGrid/>
        </w:rPr>
        <w:t>2020</w:t>
      </w:r>
      <w:r w:rsidR="005126D7" w:rsidRPr="00B02C2E">
        <w:rPr>
          <w:snapToGrid/>
        </w:rPr>
        <w:t>,</w:t>
      </w:r>
      <w:r w:rsidRPr="00B02C2E">
        <w:rPr>
          <w:snapToGrid/>
        </w:rPr>
        <w:t xml:space="preserve"> satralizumab has been registered on the ARTG for the treatment of adults with NMOSD who have AQP4+ status as monotherapy or in combination with immunosuppressive </w:t>
      </w:r>
      <w:r w:rsidR="00BA638E" w:rsidRPr="00B02C2E">
        <w:rPr>
          <w:snapToGrid/>
        </w:rPr>
        <w:t>therapies and</w:t>
      </w:r>
      <w:r w:rsidRPr="00B02C2E">
        <w:rPr>
          <w:snapToGrid/>
        </w:rPr>
        <w:t xml:space="preserve"> is therefore a potential near-market comparator. </w:t>
      </w:r>
    </w:p>
    <w:p w14:paraId="5629E1C8" w14:textId="77777777" w:rsidR="000748B8" w:rsidRPr="00B02C2E" w:rsidRDefault="000748B8" w:rsidP="000748B8">
      <w:pPr>
        <w:pStyle w:val="ExecSumBodyText"/>
        <w:numPr>
          <w:ilvl w:val="0"/>
          <w:numId w:val="0"/>
        </w:numPr>
        <w:ind w:left="720"/>
        <w:rPr>
          <w:i/>
          <w:iCs/>
          <w:snapToGrid/>
        </w:rPr>
      </w:pPr>
      <w:r w:rsidRPr="00B02C2E">
        <w:rPr>
          <w:i/>
          <w:iCs/>
          <w:snapToGrid/>
        </w:rPr>
        <w:t>For more detail on PBAC’s view, see section 7 PBAC outcome.</w:t>
      </w:r>
    </w:p>
    <w:p w14:paraId="1FC7AC0C" w14:textId="77777777" w:rsidR="00223D5A" w:rsidRPr="00B02C2E" w:rsidRDefault="00223D5A" w:rsidP="00223D5A">
      <w:pPr>
        <w:pStyle w:val="2-SectionHeading"/>
        <w:numPr>
          <w:ilvl w:val="0"/>
          <w:numId w:val="1"/>
        </w:numPr>
      </w:pPr>
      <w:bookmarkStart w:id="13" w:name="_Toc82079276"/>
      <w:bookmarkStart w:id="14" w:name="_Toc22897640"/>
      <w:r w:rsidRPr="00B02C2E">
        <w:t>Consideration of the evidence</w:t>
      </w:r>
      <w:bookmarkEnd w:id="13"/>
    </w:p>
    <w:p w14:paraId="4A1FFB89" w14:textId="77777777" w:rsidR="000748B8" w:rsidRPr="00B02C2E" w:rsidRDefault="000748B8" w:rsidP="000748B8">
      <w:pPr>
        <w:pStyle w:val="3-SubsectionHeading"/>
      </w:pPr>
      <w:bookmarkStart w:id="15" w:name="_Hlk76375935"/>
      <w:bookmarkStart w:id="16" w:name="_Toc82079277"/>
      <w:r w:rsidRPr="00B02C2E">
        <w:t>Sponsor hearing</w:t>
      </w:r>
    </w:p>
    <w:p w14:paraId="480192EE" w14:textId="6647BAC0" w:rsidR="000748B8" w:rsidRPr="00B02C2E" w:rsidRDefault="000748B8" w:rsidP="00C52562">
      <w:pPr>
        <w:widowControl w:val="0"/>
        <w:numPr>
          <w:ilvl w:val="1"/>
          <w:numId w:val="1"/>
        </w:numPr>
        <w:spacing w:after="120"/>
        <w:rPr>
          <w:rFonts w:cs="Calibri"/>
          <w:bCs/>
          <w:snapToGrid w:val="0"/>
        </w:rPr>
      </w:pPr>
      <w:bookmarkStart w:id="17" w:name="_Hlk76382586"/>
      <w:r w:rsidRPr="00B02C2E">
        <w:rPr>
          <w:rFonts w:asciiTheme="minorHAnsi" w:hAnsiTheme="minorHAnsi"/>
          <w:bCs/>
          <w:snapToGrid w:val="0"/>
        </w:rPr>
        <w:t xml:space="preserve">The sponsor requested a hearing for this item. The clinician presented clinical case studies and discussed the natural history of the disease, </w:t>
      </w:r>
      <w:r w:rsidR="00C52562" w:rsidRPr="00B02C2E">
        <w:rPr>
          <w:rFonts w:asciiTheme="minorHAnsi" w:hAnsiTheme="minorHAnsi"/>
          <w:bCs/>
          <w:snapToGrid w:val="0"/>
        </w:rPr>
        <w:t xml:space="preserve">advising that relapses in NMOSD were common and that 50% of patients are wheelchair bound or blind by 5 years. The clinician also discussed the </w:t>
      </w:r>
      <w:r w:rsidR="001818EC" w:rsidRPr="00B02C2E">
        <w:rPr>
          <w:rFonts w:asciiTheme="minorHAnsi" w:hAnsiTheme="minorHAnsi"/>
          <w:bCs/>
          <w:snapToGrid w:val="0"/>
        </w:rPr>
        <w:t>use of rituximab in patients with NMOSD, advising that some patients</w:t>
      </w:r>
      <w:r w:rsidR="00C52562" w:rsidRPr="00B02C2E">
        <w:rPr>
          <w:rFonts w:asciiTheme="minorHAnsi" w:hAnsiTheme="minorHAnsi"/>
          <w:bCs/>
          <w:snapToGrid w:val="0"/>
        </w:rPr>
        <w:t xml:space="preserve"> were refractory to rituximab. </w:t>
      </w:r>
      <w:bookmarkEnd w:id="17"/>
    </w:p>
    <w:p w14:paraId="7F6E9E55" w14:textId="77777777" w:rsidR="000748B8" w:rsidRPr="00B02C2E" w:rsidRDefault="000748B8" w:rsidP="000748B8">
      <w:pPr>
        <w:pStyle w:val="3-SubsectionHeading"/>
      </w:pPr>
      <w:r w:rsidRPr="00B02C2E">
        <w:t>Consumer comments</w:t>
      </w:r>
    </w:p>
    <w:p w14:paraId="51BD15F8" w14:textId="68D438C8" w:rsidR="000748B8" w:rsidRPr="00B02C2E" w:rsidRDefault="000748B8" w:rsidP="000748B8">
      <w:pPr>
        <w:widowControl w:val="0"/>
        <w:numPr>
          <w:ilvl w:val="1"/>
          <w:numId w:val="1"/>
        </w:numPr>
        <w:spacing w:after="120"/>
        <w:rPr>
          <w:rFonts w:asciiTheme="minorHAnsi" w:hAnsiTheme="minorHAnsi"/>
          <w:bCs/>
          <w:snapToGrid w:val="0"/>
        </w:rPr>
      </w:pPr>
      <w:bookmarkStart w:id="18" w:name="_Hlk76382618"/>
      <w:r w:rsidRPr="00B02C2E">
        <w:rPr>
          <w:rFonts w:asciiTheme="minorHAnsi" w:hAnsiTheme="minorHAnsi"/>
          <w:bCs/>
          <w:snapToGrid w:val="0"/>
        </w:rPr>
        <w:t>The PBAC noted and welcomed the input from health care professionals (</w:t>
      </w:r>
      <w:r w:rsidR="00C52562" w:rsidRPr="00B02C2E">
        <w:rPr>
          <w:rFonts w:asciiTheme="minorHAnsi" w:hAnsiTheme="minorHAnsi"/>
          <w:bCs/>
          <w:snapToGrid w:val="0"/>
        </w:rPr>
        <w:t>8</w:t>
      </w:r>
      <w:r w:rsidRPr="00B02C2E">
        <w:rPr>
          <w:rFonts w:asciiTheme="minorHAnsi" w:hAnsiTheme="minorHAnsi"/>
          <w:bCs/>
          <w:snapToGrid w:val="0"/>
        </w:rPr>
        <w:t>) and organisations (</w:t>
      </w:r>
      <w:r w:rsidR="00C52562" w:rsidRPr="00B02C2E">
        <w:rPr>
          <w:rFonts w:asciiTheme="minorHAnsi" w:hAnsiTheme="minorHAnsi"/>
          <w:bCs/>
          <w:snapToGrid w:val="0"/>
        </w:rPr>
        <w:t>2</w:t>
      </w:r>
      <w:r w:rsidRPr="00B02C2E">
        <w:rPr>
          <w:rFonts w:asciiTheme="minorHAnsi" w:hAnsiTheme="minorHAnsi"/>
          <w:bCs/>
          <w:snapToGrid w:val="0"/>
        </w:rPr>
        <w:t xml:space="preserve">) via the Consumer Comments facility on the PBS website. The comments </w:t>
      </w:r>
      <w:r w:rsidR="00C52562" w:rsidRPr="00B02C2E">
        <w:rPr>
          <w:rFonts w:asciiTheme="minorHAnsi" w:hAnsiTheme="minorHAnsi"/>
          <w:bCs/>
          <w:snapToGrid w:val="0"/>
        </w:rPr>
        <w:t xml:space="preserve">from health care professionals </w:t>
      </w:r>
      <w:r w:rsidRPr="00B02C2E">
        <w:rPr>
          <w:rFonts w:asciiTheme="minorHAnsi" w:hAnsiTheme="minorHAnsi"/>
          <w:bCs/>
          <w:snapToGrid w:val="0"/>
        </w:rPr>
        <w:t xml:space="preserve">described </w:t>
      </w:r>
      <w:r w:rsidR="00C52562" w:rsidRPr="00B02C2E">
        <w:rPr>
          <w:rFonts w:asciiTheme="minorHAnsi" w:hAnsiTheme="minorHAnsi"/>
          <w:bCs/>
          <w:snapToGrid w:val="0"/>
        </w:rPr>
        <w:t>the clinical need for new, effective treatments for NMOSD</w:t>
      </w:r>
      <w:r w:rsidR="004354AD" w:rsidRPr="00B02C2E">
        <w:rPr>
          <w:rFonts w:asciiTheme="minorHAnsi" w:hAnsiTheme="minorHAnsi"/>
          <w:bCs/>
          <w:snapToGrid w:val="0"/>
        </w:rPr>
        <w:t xml:space="preserve"> such as eculizumab and noted </w:t>
      </w:r>
      <w:r w:rsidR="00C52562" w:rsidRPr="00B02C2E">
        <w:rPr>
          <w:rFonts w:asciiTheme="minorHAnsi" w:hAnsiTheme="minorHAnsi"/>
          <w:bCs/>
          <w:snapToGrid w:val="0"/>
        </w:rPr>
        <w:t>th</w:t>
      </w:r>
      <w:r w:rsidR="004354AD" w:rsidRPr="00B02C2E">
        <w:rPr>
          <w:rFonts w:asciiTheme="minorHAnsi" w:hAnsiTheme="minorHAnsi"/>
          <w:bCs/>
          <w:snapToGrid w:val="0"/>
        </w:rPr>
        <w:t>at eculizumab was associated with fewer side effects than other available treatments. The health care professionals also described the nature of the disease progression and provided case studies as examples.</w:t>
      </w:r>
      <w:r w:rsidRPr="00B02C2E">
        <w:rPr>
          <w:rFonts w:asciiTheme="minorHAnsi" w:hAnsiTheme="minorHAnsi"/>
          <w:bCs/>
          <w:snapToGrid w:val="0"/>
        </w:rPr>
        <w:t xml:space="preserve"> </w:t>
      </w:r>
    </w:p>
    <w:p w14:paraId="5E00A4EE" w14:textId="77777777" w:rsidR="000748B8" w:rsidRPr="00B02C2E" w:rsidRDefault="000748B8" w:rsidP="000748B8">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 xml:space="preserve">The PBAC noted the advice received from </w:t>
      </w:r>
      <w:r w:rsidR="004354AD" w:rsidRPr="00B02C2E">
        <w:rPr>
          <w:rFonts w:asciiTheme="minorHAnsi" w:hAnsiTheme="minorHAnsi"/>
          <w:bCs/>
          <w:snapToGrid w:val="0"/>
        </w:rPr>
        <w:t>MS Australia which highlighted the differences between multiple sclerosis (MS) and NMOSD, including the fact that NMOSD relapses are generally more severe, last longer and occur more often than MS relapses and that most patients do not recover completely from relapses. MS Australia also noted that there was a clinical need for effective NMOSD treatments, particularly in the approximately 25% of patients who continue to relapse on rituximab. Advice was also received from the Centre for Community-Driven Research</w:t>
      </w:r>
      <w:r w:rsidRPr="00B02C2E">
        <w:rPr>
          <w:rFonts w:asciiTheme="minorHAnsi" w:hAnsiTheme="minorHAnsi"/>
          <w:bCs/>
          <w:snapToGrid w:val="0"/>
        </w:rPr>
        <w:t xml:space="preserve"> </w:t>
      </w:r>
      <w:r w:rsidR="004354AD" w:rsidRPr="00B02C2E">
        <w:rPr>
          <w:rFonts w:asciiTheme="minorHAnsi" w:hAnsiTheme="minorHAnsi"/>
          <w:bCs/>
          <w:snapToGrid w:val="0"/>
        </w:rPr>
        <w:t xml:space="preserve">which </w:t>
      </w:r>
      <w:r w:rsidR="00D83C1F" w:rsidRPr="00B02C2E">
        <w:rPr>
          <w:rFonts w:asciiTheme="minorHAnsi" w:hAnsiTheme="minorHAnsi"/>
          <w:bCs/>
          <w:snapToGrid w:val="0"/>
        </w:rPr>
        <w:t xml:space="preserve">was included in the resubmission and is described in paragraph 4.9. </w:t>
      </w:r>
    </w:p>
    <w:bookmarkEnd w:id="15"/>
    <w:bookmarkEnd w:id="18"/>
    <w:p w14:paraId="59C4367F" w14:textId="77777777" w:rsidR="00B60939" w:rsidRPr="00B02C2E" w:rsidRDefault="00B60939" w:rsidP="002E4F02">
      <w:pPr>
        <w:pStyle w:val="3-SubsectionHeading"/>
      </w:pPr>
      <w:r w:rsidRPr="00B02C2E">
        <w:t xml:space="preserve">Clinical </w:t>
      </w:r>
      <w:r w:rsidR="00D5243B" w:rsidRPr="00B02C2E">
        <w:t>studies</w:t>
      </w:r>
      <w:bookmarkEnd w:id="14"/>
      <w:bookmarkEnd w:id="16"/>
    </w:p>
    <w:p w14:paraId="576B7F86" w14:textId="77777777" w:rsidR="00E4107E" w:rsidRPr="00B02C2E" w:rsidRDefault="00E4107E" w:rsidP="00E4107E">
      <w:pPr>
        <w:pStyle w:val="ExecSumBodyText"/>
      </w:pPr>
      <w:r w:rsidRPr="00B02C2E">
        <w:t>The resubmission was based on the following evidence:</w:t>
      </w:r>
    </w:p>
    <w:p w14:paraId="52082C44" w14:textId="77777777" w:rsidR="00E4107E" w:rsidRPr="00B02C2E" w:rsidRDefault="00E4107E" w:rsidP="00587590">
      <w:pPr>
        <w:pStyle w:val="ExecSumBodyText"/>
        <w:numPr>
          <w:ilvl w:val="1"/>
          <w:numId w:val="5"/>
        </w:numPr>
        <w:ind w:left="1077" w:hanging="357"/>
        <w:contextualSpacing/>
      </w:pPr>
      <w:r w:rsidRPr="00B02C2E">
        <w:t>A head-to-head randomised trial comparing eculizumab to placebo in patients with AQP4</w:t>
      </w:r>
      <w:r w:rsidR="00DF06FF" w:rsidRPr="00B02C2E">
        <w:t>+</w:t>
      </w:r>
      <w:r w:rsidRPr="00B02C2E">
        <w:t xml:space="preserve"> NMOSD (PREVENT), which was presented in the original submission, with additional studies presented as supportive data:</w:t>
      </w:r>
    </w:p>
    <w:p w14:paraId="1E971ED2" w14:textId="7033D8D0" w:rsidR="00E4107E" w:rsidRPr="00B02C2E" w:rsidRDefault="00E4107E" w:rsidP="00587590">
      <w:pPr>
        <w:pStyle w:val="ExecSumBodyText"/>
        <w:numPr>
          <w:ilvl w:val="1"/>
          <w:numId w:val="6"/>
        </w:numPr>
        <w:ind w:left="1434" w:hanging="357"/>
        <w:contextualSpacing/>
      </w:pPr>
      <w:r w:rsidRPr="00B02C2E">
        <w:t>an open-label extension study of patients previously enrolled in the PREVENT trial (ECU-NMO-302), with an updated data cut (July 2019) compared with the original submission</w:t>
      </w:r>
      <w:r w:rsidR="00970FEC" w:rsidRPr="00B02C2E">
        <w:t xml:space="preserve"> (</w:t>
      </w:r>
      <w:r w:rsidR="00805E5A" w:rsidRPr="00B02C2E">
        <w:t>October</w:t>
      </w:r>
      <w:r w:rsidR="00970FEC" w:rsidRPr="00B02C2E">
        <w:t xml:space="preserve"> 2018)</w:t>
      </w:r>
    </w:p>
    <w:p w14:paraId="26862A45" w14:textId="10119ED3" w:rsidR="00E4107E" w:rsidRPr="00B02C2E" w:rsidRDefault="00E4107E" w:rsidP="00587590">
      <w:pPr>
        <w:pStyle w:val="ExecSumBodyText"/>
        <w:numPr>
          <w:ilvl w:val="1"/>
          <w:numId w:val="6"/>
        </w:numPr>
        <w:ind w:left="1434" w:hanging="357"/>
        <w:contextualSpacing/>
      </w:pPr>
      <w:r w:rsidRPr="00B02C2E">
        <w:t xml:space="preserve">a combined analysis of the PREVENT trial and the open label extension study (ECU-NMO-302; published in Wingerchuk et al., 2019) </w:t>
      </w:r>
    </w:p>
    <w:p w14:paraId="04105397" w14:textId="50DF35BD" w:rsidR="00E4107E" w:rsidRPr="00B02C2E" w:rsidRDefault="00E4107E" w:rsidP="00587590">
      <w:pPr>
        <w:pStyle w:val="ExecSumBodyText"/>
        <w:numPr>
          <w:ilvl w:val="1"/>
          <w:numId w:val="6"/>
        </w:numPr>
        <w:ind w:left="1434" w:hanging="357"/>
        <w:contextualSpacing/>
      </w:pPr>
      <w:r w:rsidRPr="00B02C2E">
        <w:t>a single arm study including NMOSD AQP4+ patients treated with eculizumab at a lower than recommended dose (Pittock et al., 2013)</w:t>
      </w:r>
    </w:p>
    <w:p w14:paraId="01637604" w14:textId="689A2935" w:rsidR="00C53CC9" w:rsidRPr="00B02C2E" w:rsidRDefault="00C53CC9" w:rsidP="00587590">
      <w:pPr>
        <w:pStyle w:val="ExecSumBodyText"/>
        <w:numPr>
          <w:ilvl w:val="1"/>
          <w:numId w:val="5"/>
        </w:numPr>
        <w:spacing w:before="120"/>
        <w:ind w:left="1077" w:hanging="357"/>
        <w:contextualSpacing/>
      </w:pPr>
      <w:r w:rsidRPr="00B02C2E">
        <w:t xml:space="preserve">A systematic review summarising the results of two RCTs of rituximab for the treatment of NMOSD (Appendix A of the resubmission). During the evaluation, five </w:t>
      </w:r>
      <w:r w:rsidR="002115D9" w:rsidRPr="00B02C2E">
        <w:t xml:space="preserve">additional </w:t>
      </w:r>
      <w:r w:rsidRPr="00B02C2E">
        <w:t>published systematic reviews of rituximab in NMOSD were identified</w:t>
      </w:r>
    </w:p>
    <w:p w14:paraId="5FB326BB" w14:textId="77777777" w:rsidR="00E4107E" w:rsidRPr="00B02C2E" w:rsidRDefault="00C53CC9" w:rsidP="00587590">
      <w:pPr>
        <w:pStyle w:val="ExecSumBodyText"/>
        <w:numPr>
          <w:ilvl w:val="1"/>
          <w:numId w:val="5"/>
        </w:numPr>
        <w:ind w:left="1077" w:hanging="357"/>
      </w:pPr>
      <w:r w:rsidRPr="00B02C2E">
        <w:t>A systematic review summarising the results of two RCTs of satralizumab for the treatment of NMOSD, and an indirect comparison of eculizumab versus satralizumab (Appendix B of the resubmission).</w:t>
      </w:r>
    </w:p>
    <w:p w14:paraId="76E1C560" w14:textId="77777777" w:rsidR="00E4107E" w:rsidRPr="00B02C2E" w:rsidRDefault="00E4107E" w:rsidP="00C6294B">
      <w:pPr>
        <w:pStyle w:val="ExecSumBodyText"/>
      </w:pPr>
      <w:r w:rsidRPr="00B02C2E">
        <w:t>Details of the included studies are provided in the table below.</w:t>
      </w:r>
    </w:p>
    <w:p w14:paraId="4E5DD954" w14:textId="77777777" w:rsidR="00E4107E" w:rsidRPr="00B02C2E" w:rsidRDefault="00E4107E" w:rsidP="00553B44">
      <w:pPr>
        <w:keepNext/>
        <w:rPr>
          <w:rFonts w:ascii="Arial Narrow" w:hAnsi="Arial Narrow"/>
          <w:b/>
          <w:bCs/>
          <w:sz w:val="20"/>
          <w:szCs w:val="20"/>
        </w:rPr>
      </w:pPr>
      <w:r w:rsidRPr="00B02C2E">
        <w:rPr>
          <w:rStyle w:val="CommentReference"/>
          <w:rFonts w:ascii="Arial Narrow" w:hAnsi="Arial Narrow"/>
          <w:b/>
          <w:bCs/>
          <w:sz w:val="20"/>
          <w:szCs w:val="20"/>
        </w:rPr>
        <w:t xml:space="preserve">Table </w:t>
      </w:r>
      <w:r w:rsidR="00EA6071" w:rsidRPr="00B02C2E">
        <w:rPr>
          <w:rStyle w:val="CommentReference"/>
          <w:rFonts w:ascii="Arial Narrow" w:hAnsi="Arial Narrow"/>
          <w:b/>
          <w:bCs/>
          <w:sz w:val="20"/>
          <w:szCs w:val="20"/>
        </w:rPr>
        <w:t>4</w:t>
      </w:r>
      <w:r w:rsidRPr="00B02C2E">
        <w:rPr>
          <w:rStyle w:val="CommentReference"/>
          <w:rFonts w:ascii="Arial Narrow" w:hAnsi="Arial Narrow"/>
          <w:b/>
          <w:bCs/>
          <w:sz w:val="20"/>
          <w:szCs w:val="20"/>
        </w:rPr>
        <w:t>: Trials and associated reports presented in the resubmission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5"/>
        <w:gridCol w:w="4487"/>
        <w:gridCol w:w="2953"/>
      </w:tblGrid>
      <w:tr w:rsidR="00E4107E" w:rsidRPr="00B02C2E" w14:paraId="1D08F451" w14:textId="77777777" w:rsidTr="00553B44">
        <w:trPr>
          <w:cantSplit/>
          <w:tblHeader/>
        </w:trPr>
        <w:tc>
          <w:tcPr>
            <w:tcW w:w="941" w:type="pct"/>
            <w:tcBorders>
              <w:bottom w:val="single" w:sz="4" w:space="0" w:color="auto"/>
            </w:tcBorders>
            <w:vAlign w:val="center"/>
          </w:tcPr>
          <w:p w14:paraId="01674343" w14:textId="77777777" w:rsidR="00E4107E" w:rsidRPr="00B02C2E" w:rsidRDefault="00E4107E" w:rsidP="00553B44">
            <w:pPr>
              <w:pStyle w:val="Tabletext0"/>
              <w:keepNext/>
              <w:rPr>
                <w:b/>
              </w:rPr>
            </w:pPr>
            <w:r w:rsidRPr="00B02C2E">
              <w:rPr>
                <w:b/>
              </w:rPr>
              <w:t>Trial ID</w:t>
            </w:r>
          </w:p>
        </w:tc>
        <w:tc>
          <w:tcPr>
            <w:tcW w:w="2448" w:type="pct"/>
            <w:tcBorders>
              <w:bottom w:val="single" w:sz="4" w:space="0" w:color="auto"/>
            </w:tcBorders>
            <w:vAlign w:val="center"/>
          </w:tcPr>
          <w:p w14:paraId="718C0959" w14:textId="77777777" w:rsidR="00E4107E" w:rsidRPr="00B02C2E" w:rsidRDefault="00E4107E" w:rsidP="00553B44">
            <w:pPr>
              <w:pStyle w:val="Tabletext0"/>
              <w:keepNext/>
              <w:jc w:val="center"/>
              <w:rPr>
                <w:b/>
              </w:rPr>
            </w:pPr>
            <w:r w:rsidRPr="00B02C2E">
              <w:rPr>
                <w:b/>
              </w:rPr>
              <w:t>Protocol title/ Publication title</w:t>
            </w:r>
          </w:p>
        </w:tc>
        <w:tc>
          <w:tcPr>
            <w:tcW w:w="1611" w:type="pct"/>
            <w:tcBorders>
              <w:bottom w:val="single" w:sz="4" w:space="0" w:color="auto"/>
            </w:tcBorders>
            <w:vAlign w:val="center"/>
          </w:tcPr>
          <w:p w14:paraId="244F9B63" w14:textId="77777777" w:rsidR="00E4107E" w:rsidRPr="00B02C2E" w:rsidRDefault="00E4107E" w:rsidP="00553B44">
            <w:pPr>
              <w:pStyle w:val="Tabletext0"/>
              <w:keepNext/>
              <w:jc w:val="center"/>
              <w:rPr>
                <w:b/>
              </w:rPr>
            </w:pPr>
            <w:r w:rsidRPr="00B02C2E">
              <w:rPr>
                <w:b/>
              </w:rPr>
              <w:t>Publication citation</w:t>
            </w:r>
          </w:p>
        </w:tc>
      </w:tr>
      <w:tr w:rsidR="00E4107E" w:rsidRPr="00B02C2E" w14:paraId="1932C9ED" w14:textId="77777777" w:rsidTr="00553B44">
        <w:trPr>
          <w:cantSplit/>
        </w:trPr>
        <w:tc>
          <w:tcPr>
            <w:tcW w:w="5000" w:type="pct"/>
            <w:gridSpan w:val="3"/>
            <w:tcBorders>
              <w:top w:val="single" w:sz="4" w:space="0" w:color="auto"/>
              <w:left w:val="single" w:sz="4" w:space="0" w:color="auto"/>
              <w:right w:val="single" w:sz="4" w:space="0" w:color="auto"/>
            </w:tcBorders>
            <w:vAlign w:val="center"/>
          </w:tcPr>
          <w:p w14:paraId="7B91889C" w14:textId="77777777" w:rsidR="00E4107E" w:rsidRPr="00B02C2E" w:rsidRDefault="00E4107E" w:rsidP="00553B44">
            <w:pPr>
              <w:pStyle w:val="Tabletext0"/>
              <w:keepNext/>
              <w:rPr>
                <w:b/>
                <w:bCs/>
                <w:szCs w:val="18"/>
              </w:rPr>
            </w:pPr>
            <w:r w:rsidRPr="00B02C2E">
              <w:rPr>
                <w:b/>
                <w:bCs/>
                <w:szCs w:val="18"/>
              </w:rPr>
              <w:t>Eculizumab studies</w:t>
            </w:r>
          </w:p>
        </w:tc>
      </w:tr>
      <w:tr w:rsidR="00E4107E" w:rsidRPr="00B02C2E" w14:paraId="615CEC70" w14:textId="77777777" w:rsidTr="00553B44">
        <w:trPr>
          <w:cantSplit/>
        </w:trPr>
        <w:tc>
          <w:tcPr>
            <w:tcW w:w="941" w:type="pct"/>
            <w:vMerge w:val="restart"/>
            <w:tcBorders>
              <w:top w:val="single" w:sz="4" w:space="0" w:color="auto"/>
              <w:left w:val="single" w:sz="4" w:space="0" w:color="auto"/>
              <w:right w:val="single" w:sz="4" w:space="0" w:color="auto"/>
            </w:tcBorders>
            <w:shd w:val="clear" w:color="auto" w:fill="auto"/>
            <w:vAlign w:val="center"/>
          </w:tcPr>
          <w:p w14:paraId="4C794950" w14:textId="77777777" w:rsidR="00E4107E" w:rsidRPr="00B02C2E" w:rsidRDefault="00E4107E" w:rsidP="00553B44">
            <w:pPr>
              <w:pStyle w:val="Tabletext0"/>
              <w:keepNext/>
            </w:pPr>
            <w:r w:rsidRPr="00B02C2E">
              <w:t>PREVENT</w:t>
            </w:r>
          </w:p>
          <w:p w14:paraId="63FE4F16" w14:textId="77777777" w:rsidR="00E4107E" w:rsidRPr="00B02C2E" w:rsidRDefault="00E4107E" w:rsidP="00553B44">
            <w:pPr>
              <w:pStyle w:val="Tabletext0"/>
              <w:keepNext/>
            </w:pPr>
            <w:r w:rsidRPr="00B02C2E">
              <w:t>(ECU-NMO-301)</w:t>
            </w: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2E2CF4B5" w14:textId="77777777" w:rsidR="00E4107E" w:rsidRPr="00B02C2E" w:rsidRDefault="00E4107E" w:rsidP="00553B44">
            <w:pPr>
              <w:pStyle w:val="Tabletext0"/>
              <w:keepNext/>
              <w:rPr>
                <w:szCs w:val="18"/>
              </w:rPr>
            </w:pPr>
            <w:r w:rsidRPr="00B02C2E">
              <w:rPr>
                <w:iCs/>
              </w:rPr>
              <w:t>Alexion (2018). ECU-NMO-301 clinical study report. A randomized, double-blind, placebo controlled, multi-center trial to evaluate the safety and efficacy of eculizumab in patients with relapsing neuromyelitis optica</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0DB484F2" w14:textId="77777777" w:rsidR="00E4107E" w:rsidRPr="00B02C2E" w:rsidRDefault="00E4107E" w:rsidP="00553B44">
            <w:pPr>
              <w:pStyle w:val="Tabletext0"/>
              <w:keepNext/>
            </w:pPr>
            <w:r w:rsidRPr="00B02C2E">
              <w:t>Internal study report</w:t>
            </w:r>
          </w:p>
        </w:tc>
      </w:tr>
      <w:tr w:rsidR="00E4107E" w:rsidRPr="00B02C2E" w14:paraId="5B317EA7" w14:textId="77777777" w:rsidTr="00553B44">
        <w:trPr>
          <w:cantSplit/>
        </w:trPr>
        <w:tc>
          <w:tcPr>
            <w:tcW w:w="941" w:type="pct"/>
            <w:vMerge/>
            <w:tcBorders>
              <w:left w:val="single" w:sz="4" w:space="0" w:color="auto"/>
              <w:right w:val="single" w:sz="4" w:space="0" w:color="auto"/>
            </w:tcBorders>
            <w:shd w:val="clear" w:color="auto" w:fill="auto"/>
            <w:vAlign w:val="center"/>
          </w:tcPr>
          <w:p w14:paraId="44E76B30" w14:textId="77777777" w:rsidR="00E4107E" w:rsidRPr="00B02C2E" w:rsidRDefault="00E4107E" w:rsidP="00553B44">
            <w:pPr>
              <w:pStyle w:val="Tabletext0"/>
              <w:keepNext/>
            </w:pP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7D07FCDB" w14:textId="77777777" w:rsidR="00E4107E" w:rsidRPr="00B02C2E" w:rsidRDefault="00E4107E" w:rsidP="00553B44">
            <w:pPr>
              <w:pStyle w:val="Tabletext0"/>
              <w:keepNext/>
              <w:rPr>
                <w:szCs w:val="18"/>
              </w:rPr>
            </w:pPr>
            <w:r w:rsidRPr="00B02C2E">
              <w:rPr>
                <w:szCs w:val="18"/>
              </w:rPr>
              <w:t xml:space="preserve">Pittock, SJ et al (2019). Eculizumab in aquaporin-4-positive neuromyelitis optica spectrum disorder. </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367C5765" w14:textId="77777777" w:rsidR="00E4107E" w:rsidRPr="00B02C2E" w:rsidRDefault="00E4107E" w:rsidP="00553B44">
            <w:pPr>
              <w:pStyle w:val="Tabletext0"/>
              <w:keepNext/>
            </w:pPr>
            <w:r w:rsidRPr="00B02C2E">
              <w:rPr>
                <w:szCs w:val="18"/>
              </w:rPr>
              <w:t>New England Journal of Medicine, 381: 614-625</w:t>
            </w:r>
          </w:p>
        </w:tc>
      </w:tr>
      <w:tr w:rsidR="00E4107E" w:rsidRPr="00B02C2E" w14:paraId="64316E38" w14:textId="77777777" w:rsidTr="00553B44">
        <w:trPr>
          <w:cantSplit/>
        </w:trPr>
        <w:tc>
          <w:tcPr>
            <w:tcW w:w="941" w:type="pct"/>
            <w:vMerge/>
            <w:tcBorders>
              <w:left w:val="single" w:sz="4" w:space="0" w:color="auto"/>
              <w:right w:val="single" w:sz="4" w:space="0" w:color="auto"/>
            </w:tcBorders>
            <w:shd w:val="clear" w:color="auto" w:fill="auto"/>
            <w:vAlign w:val="center"/>
          </w:tcPr>
          <w:p w14:paraId="14D4B904" w14:textId="77777777" w:rsidR="00E4107E" w:rsidRPr="00B02C2E" w:rsidRDefault="00E4107E" w:rsidP="00553B44">
            <w:pPr>
              <w:pStyle w:val="Tabletext0"/>
              <w:keepNext/>
            </w:pP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3FCA9AF5" w14:textId="77777777" w:rsidR="00E4107E" w:rsidRPr="00B02C2E" w:rsidRDefault="00E4107E" w:rsidP="00553B44">
            <w:pPr>
              <w:pStyle w:val="Tabletext0"/>
              <w:keepNext/>
              <w:rPr>
                <w:szCs w:val="18"/>
              </w:rPr>
            </w:pPr>
            <w:r w:rsidRPr="00B02C2E">
              <w:rPr>
                <w:szCs w:val="18"/>
              </w:rPr>
              <w:t>A randomised, double-blind, placebo-controlled, multi-center trial to evaluate the safety and efficacy of eculizumab in patients with relapsing neuromyelitis optica</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5AA76DF0" w14:textId="77777777" w:rsidR="00E4107E" w:rsidRPr="00B02C2E" w:rsidRDefault="00E4107E" w:rsidP="00553B44">
            <w:pPr>
              <w:pStyle w:val="Tabletext0"/>
              <w:keepNext/>
              <w:rPr>
                <w:szCs w:val="18"/>
              </w:rPr>
            </w:pPr>
            <w:r w:rsidRPr="00B02C2E">
              <w:rPr>
                <w:szCs w:val="18"/>
              </w:rPr>
              <w:t>Clinical trial registry; NCT01892345, EUCTR 2013-001150-10</w:t>
            </w:r>
          </w:p>
        </w:tc>
      </w:tr>
      <w:tr w:rsidR="00E4107E" w:rsidRPr="00B02C2E" w14:paraId="2DE3CC14" w14:textId="77777777" w:rsidTr="00553B44">
        <w:trPr>
          <w:cantSplit/>
        </w:trPr>
        <w:tc>
          <w:tcPr>
            <w:tcW w:w="941" w:type="pct"/>
            <w:vMerge w:val="restart"/>
            <w:tcBorders>
              <w:left w:val="single" w:sz="4" w:space="0" w:color="auto"/>
              <w:right w:val="single" w:sz="4" w:space="0" w:color="auto"/>
            </w:tcBorders>
            <w:shd w:val="clear" w:color="auto" w:fill="auto"/>
            <w:vAlign w:val="center"/>
          </w:tcPr>
          <w:p w14:paraId="575E58F9" w14:textId="77777777" w:rsidR="00E4107E" w:rsidRPr="00B02C2E" w:rsidRDefault="00E4107E" w:rsidP="00553B44">
            <w:pPr>
              <w:pStyle w:val="Tabletext0"/>
              <w:keepNext/>
            </w:pPr>
            <w:r w:rsidRPr="00B02C2E">
              <w:t>ECU-NMO-302</w:t>
            </w: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5988213F" w14:textId="77777777" w:rsidR="00E4107E" w:rsidRPr="00B02C2E" w:rsidRDefault="00E4107E" w:rsidP="00553B44">
            <w:pPr>
              <w:pStyle w:val="Tabletext0"/>
              <w:keepNext/>
              <w:rPr>
                <w:szCs w:val="18"/>
              </w:rPr>
            </w:pPr>
            <w:r w:rsidRPr="00B02C2E">
              <w:rPr>
                <w:szCs w:val="18"/>
              </w:rPr>
              <w:t>Alexion (2018). ECU-NMO-302 clinical study report. A phase III, open-label, extension trial of ECU-NMO-301 to evaluate the safety and efficacy of eculizumab in patients with relapsing neuromyelitis optica (NMO). Nov 2018.</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56705117" w14:textId="77777777" w:rsidR="00E4107E" w:rsidRPr="00B02C2E" w:rsidRDefault="00E4107E" w:rsidP="00553B44">
            <w:pPr>
              <w:pStyle w:val="Tabletext0"/>
              <w:keepNext/>
              <w:rPr>
                <w:szCs w:val="18"/>
              </w:rPr>
            </w:pPr>
            <w:r w:rsidRPr="00B02C2E">
              <w:t>Interim internal study report</w:t>
            </w:r>
          </w:p>
        </w:tc>
      </w:tr>
      <w:tr w:rsidR="00E4107E" w:rsidRPr="00B02C2E" w14:paraId="2C559F82" w14:textId="77777777" w:rsidTr="00553B44">
        <w:trPr>
          <w:cantSplit/>
        </w:trPr>
        <w:tc>
          <w:tcPr>
            <w:tcW w:w="941" w:type="pct"/>
            <w:vMerge/>
            <w:tcBorders>
              <w:left w:val="single" w:sz="4" w:space="0" w:color="auto"/>
              <w:right w:val="single" w:sz="4" w:space="0" w:color="auto"/>
            </w:tcBorders>
            <w:shd w:val="clear" w:color="auto" w:fill="auto"/>
            <w:vAlign w:val="center"/>
          </w:tcPr>
          <w:p w14:paraId="1718E440" w14:textId="77777777" w:rsidR="00E4107E" w:rsidRPr="00B02C2E" w:rsidRDefault="00E4107E" w:rsidP="00553B44">
            <w:pPr>
              <w:pStyle w:val="Tabletext0"/>
              <w:keepNext/>
            </w:pPr>
          </w:p>
        </w:tc>
        <w:tc>
          <w:tcPr>
            <w:tcW w:w="2448" w:type="pct"/>
            <w:tcBorders>
              <w:top w:val="single" w:sz="4" w:space="0" w:color="auto"/>
              <w:left w:val="single" w:sz="4" w:space="0" w:color="auto"/>
              <w:bottom w:val="single" w:sz="4" w:space="0" w:color="auto"/>
              <w:right w:val="single" w:sz="4" w:space="0" w:color="auto"/>
            </w:tcBorders>
            <w:shd w:val="clear" w:color="auto" w:fill="auto"/>
          </w:tcPr>
          <w:p w14:paraId="30F91B94" w14:textId="77777777" w:rsidR="00E4107E" w:rsidRPr="00B02C2E" w:rsidRDefault="00E4107E" w:rsidP="00553B44">
            <w:pPr>
              <w:pStyle w:val="Tabletext0"/>
              <w:keepNext/>
              <w:rPr>
                <w:szCs w:val="18"/>
              </w:rPr>
            </w:pPr>
            <w:r w:rsidRPr="00B02C2E">
              <w:rPr>
                <w:iCs/>
              </w:rPr>
              <w:t xml:space="preserve">Wingerchuk et al (2019). Long-term safety and effectiveness of eculizumab in neuromyelitis optica spectrum disorder. </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5FA3DCAC" w14:textId="77777777" w:rsidR="00E4107E" w:rsidRPr="00B02C2E" w:rsidRDefault="00E4107E" w:rsidP="00553B44">
            <w:pPr>
              <w:pStyle w:val="Tabletext0"/>
              <w:keepNext/>
              <w:rPr>
                <w:szCs w:val="18"/>
              </w:rPr>
            </w:pPr>
            <w:r w:rsidRPr="00B02C2E">
              <w:rPr>
                <w:iCs/>
              </w:rPr>
              <w:t>ECTRIMS 2019 conference abstract (abstract no. 142)</w:t>
            </w:r>
          </w:p>
        </w:tc>
      </w:tr>
      <w:tr w:rsidR="00E4107E" w:rsidRPr="00B02C2E" w14:paraId="5A5B81CB" w14:textId="77777777" w:rsidTr="00553B44">
        <w:trPr>
          <w:cantSplit/>
        </w:trPr>
        <w:tc>
          <w:tcPr>
            <w:tcW w:w="941" w:type="pct"/>
            <w:vMerge/>
            <w:tcBorders>
              <w:left w:val="single" w:sz="4" w:space="0" w:color="auto"/>
              <w:right w:val="single" w:sz="4" w:space="0" w:color="auto"/>
            </w:tcBorders>
            <w:shd w:val="clear" w:color="auto" w:fill="auto"/>
            <w:vAlign w:val="center"/>
          </w:tcPr>
          <w:p w14:paraId="6BD4FCB7" w14:textId="77777777" w:rsidR="00E4107E" w:rsidRPr="00B02C2E" w:rsidRDefault="00E4107E" w:rsidP="00553B44">
            <w:pPr>
              <w:pStyle w:val="Tabletext0"/>
              <w:keepNext/>
            </w:pP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64EFE50D" w14:textId="77777777" w:rsidR="00E4107E" w:rsidRPr="00B02C2E" w:rsidRDefault="00E4107E" w:rsidP="00553B44">
            <w:pPr>
              <w:pStyle w:val="Tabletext0"/>
              <w:keepNext/>
              <w:rPr>
                <w:szCs w:val="18"/>
              </w:rPr>
            </w:pPr>
            <w:r w:rsidRPr="00B02C2E">
              <w:rPr>
                <w:szCs w:val="18"/>
              </w:rPr>
              <w:t>An Open-Label Extension Trial of Eculizumab in Relapsing NMO Patients.</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14:paraId="62330534" w14:textId="77777777" w:rsidR="00E4107E" w:rsidRPr="00B02C2E" w:rsidRDefault="00E4107E" w:rsidP="00553B44">
            <w:pPr>
              <w:pStyle w:val="Tabletext0"/>
              <w:keepNext/>
              <w:rPr>
                <w:szCs w:val="18"/>
              </w:rPr>
            </w:pPr>
            <w:r w:rsidRPr="00B02C2E">
              <w:rPr>
                <w:szCs w:val="18"/>
              </w:rPr>
              <w:t>Clinical trial registry; NCT02003144</w:t>
            </w:r>
          </w:p>
        </w:tc>
      </w:tr>
      <w:tr w:rsidR="00E4107E" w:rsidRPr="00B02C2E" w14:paraId="255CA419" w14:textId="77777777" w:rsidTr="00553B44">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38F23CA" w14:textId="77777777" w:rsidR="00E4107E" w:rsidRPr="00B02C2E" w:rsidRDefault="00E4107E" w:rsidP="00A01704">
            <w:pPr>
              <w:pStyle w:val="Tabletext0"/>
              <w:rPr>
                <w:b/>
                <w:bCs/>
                <w:szCs w:val="18"/>
              </w:rPr>
            </w:pPr>
            <w:r w:rsidRPr="00B02C2E">
              <w:rPr>
                <w:b/>
                <w:bCs/>
                <w:szCs w:val="18"/>
              </w:rPr>
              <w:t>Rituximab</w:t>
            </w:r>
          </w:p>
        </w:tc>
      </w:tr>
      <w:tr w:rsidR="00E4107E" w:rsidRPr="00B02C2E" w14:paraId="649D5073" w14:textId="77777777" w:rsidTr="00553B44">
        <w:trPr>
          <w:cantSplit/>
        </w:trPr>
        <w:tc>
          <w:tcPr>
            <w:tcW w:w="941" w:type="pct"/>
            <w:vMerge w:val="restart"/>
            <w:tcBorders>
              <w:top w:val="single" w:sz="4" w:space="0" w:color="auto"/>
              <w:left w:val="single" w:sz="4" w:space="0" w:color="auto"/>
              <w:right w:val="single" w:sz="4" w:space="0" w:color="auto"/>
            </w:tcBorders>
            <w:vAlign w:val="center"/>
          </w:tcPr>
          <w:p w14:paraId="6E1010E5" w14:textId="77777777" w:rsidR="00E4107E" w:rsidRPr="00B02C2E" w:rsidRDefault="00E4107E" w:rsidP="00A01704">
            <w:pPr>
              <w:pStyle w:val="Tabletext0"/>
            </w:pPr>
            <w:r w:rsidRPr="00B02C2E">
              <w:t>Nikoo (2017)</w:t>
            </w:r>
          </w:p>
        </w:tc>
        <w:tc>
          <w:tcPr>
            <w:tcW w:w="2448" w:type="pct"/>
          </w:tcPr>
          <w:p w14:paraId="79651BC5" w14:textId="77777777" w:rsidR="00E4107E" w:rsidRPr="00B02C2E" w:rsidRDefault="00E4107E" w:rsidP="00A01704">
            <w:pPr>
              <w:pStyle w:val="Tabletext0"/>
              <w:rPr>
                <w:szCs w:val="18"/>
                <w:lang w:eastAsia="en-AU"/>
              </w:rPr>
            </w:pPr>
            <w:r w:rsidRPr="00B02C2E">
              <w:t xml:space="preserve">Nikoo Z, Badihian S, Shaygannejad V, Asgari N, Ashtari F. Comparison of the efficacy of azathioprine and rituximab in neuromyelitis optica spectrum disorder: a randomized clinical trial. </w:t>
            </w:r>
          </w:p>
        </w:tc>
        <w:tc>
          <w:tcPr>
            <w:tcW w:w="1611" w:type="pct"/>
            <w:vAlign w:val="center"/>
          </w:tcPr>
          <w:p w14:paraId="36E75B10" w14:textId="77777777" w:rsidR="00E4107E" w:rsidRPr="00B02C2E" w:rsidRDefault="00E4107E" w:rsidP="00A01704">
            <w:pPr>
              <w:pStyle w:val="Tabletext0"/>
              <w:rPr>
                <w:szCs w:val="18"/>
              </w:rPr>
            </w:pPr>
            <w:r w:rsidRPr="00B02C2E">
              <w:t>Journal of Neurology. 2017; 264(9): 2003-9.</w:t>
            </w:r>
          </w:p>
        </w:tc>
      </w:tr>
      <w:tr w:rsidR="00E4107E" w:rsidRPr="00B02C2E" w14:paraId="7EDAFDE5" w14:textId="77777777" w:rsidTr="00553B44">
        <w:trPr>
          <w:cantSplit/>
        </w:trPr>
        <w:tc>
          <w:tcPr>
            <w:tcW w:w="941" w:type="pct"/>
            <w:vMerge/>
            <w:tcBorders>
              <w:left w:val="single" w:sz="4" w:space="0" w:color="auto"/>
              <w:bottom w:val="single" w:sz="4" w:space="0" w:color="auto"/>
              <w:right w:val="single" w:sz="4" w:space="0" w:color="auto"/>
            </w:tcBorders>
            <w:vAlign w:val="center"/>
          </w:tcPr>
          <w:p w14:paraId="02242B3D" w14:textId="77777777" w:rsidR="00E4107E" w:rsidRPr="00B02C2E" w:rsidRDefault="00E4107E" w:rsidP="00A01704">
            <w:pPr>
              <w:pStyle w:val="Tabletext0"/>
            </w:pPr>
          </w:p>
        </w:tc>
        <w:tc>
          <w:tcPr>
            <w:tcW w:w="2448" w:type="pct"/>
          </w:tcPr>
          <w:p w14:paraId="409B865F" w14:textId="77777777" w:rsidR="00E4107E" w:rsidRPr="00B02C2E" w:rsidRDefault="00E4107E" w:rsidP="00A01704">
            <w:pPr>
              <w:pStyle w:val="Tabletext0"/>
              <w:rPr>
                <w:szCs w:val="18"/>
                <w:lang w:eastAsia="en-AU"/>
              </w:rPr>
            </w:pPr>
            <w:r w:rsidRPr="00B02C2E">
              <w:t xml:space="preserve">Comparison of Clinical Effects of Azathioprine and Rituximab NMO-SD Patients. </w:t>
            </w:r>
          </w:p>
        </w:tc>
        <w:tc>
          <w:tcPr>
            <w:tcW w:w="1611" w:type="pct"/>
            <w:vAlign w:val="center"/>
          </w:tcPr>
          <w:p w14:paraId="297EC1BB" w14:textId="77777777" w:rsidR="00E4107E" w:rsidRPr="00B02C2E" w:rsidRDefault="00E4107E" w:rsidP="00A01704">
            <w:pPr>
              <w:pStyle w:val="Tabletext0"/>
              <w:rPr>
                <w:szCs w:val="18"/>
              </w:rPr>
            </w:pPr>
            <w:r w:rsidRPr="00B02C2E">
              <w:t>Clinical trial registry; NCT03002038</w:t>
            </w:r>
          </w:p>
        </w:tc>
      </w:tr>
      <w:tr w:rsidR="00E4107E" w:rsidRPr="00B02C2E" w14:paraId="2A435EC6"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324B27AA" w14:textId="77777777" w:rsidR="00E4107E" w:rsidRPr="00B02C2E" w:rsidRDefault="00E4107E" w:rsidP="00A01704">
            <w:pPr>
              <w:pStyle w:val="Tabletext0"/>
            </w:pPr>
            <w:r w:rsidRPr="00B02C2E">
              <w:t>RIN-1</w:t>
            </w:r>
          </w:p>
        </w:tc>
        <w:tc>
          <w:tcPr>
            <w:tcW w:w="2448" w:type="pct"/>
            <w:tcBorders>
              <w:top w:val="single" w:sz="4" w:space="0" w:color="auto"/>
              <w:left w:val="single" w:sz="4" w:space="0" w:color="auto"/>
              <w:bottom w:val="single" w:sz="4" w:space="0" w:color="auto"/>
              <w:right w:val="single" w:sz="4" w:space="0" w:color="auto"/>
            </w:tcBorders>
            <w:vAlign w:val="center"/>
          </w:tcPr>
          <w:p w14:paraId="083D66C6" w14:textId="77777777" w:rsidR="00E4107E" w:rsidRPr="00B02C2E" w:rsidRDefault="00E4107E" w:rsidP="00A01704">
            <w:pPr>
              <w:pStyle w:val="Tabletext0"/>
              <w:rPr>
                <w:szCs w:val="18"/>
                <w:lang w:eastAsia="en-AU"/>
              </w:rPr>
            </w:pPr>
            <w:r w:rsidRPr="00B02C2E">
              <w:rPr>
                <w:szCs w:val="18"/>
                <w:lang w:eastAsia="en-AU"/>
              </w:rPr>
              <w:t xml:space="preserve">Tahara M, Oeda T, Okada K, Kiriyama T, Ochi K, Maruyama H, et al. Safety and efficacy of rituximab in neuromyelitis optica spectrum disorders (RIN-1 study): a multicentre, randomised, double-blind, placebo-controlled trial. </w:t>
            </w:r>
          </w:p>
        </w:tc>
        <w:tc>
          <w:tcPr>
            <w:tcW w:w="1611" w:type="pct"/>
            <w:tcBorders>
              <w:top w:val="single" w:sz="4" w:space="0" w:color="auto"/>
              <w:left w:val="single" w:sz="4" w:space="0" w:color="auto"/>
              <w:bottom w:val="single" w:sz="4" w:space="0" w:color="auto"/>
              <w:right w:val="single" w:sz="4" w:space="0" w:color="auto"/>
            </w:tcBorders>
            <w:vAlign w:val="center"/>
          </w:tcPr>
          <w:p w14:paraId="369C6E61" w14:textId="77777777" w:rsidR="00E4107E" w:rsidRPr="00B02C2E" w:rsidRDefault="00E4107E" w:rsidP="00A01704">
            <w:pPr>
              <w:pStyle w:val="Tabletext0"/>
              <w:rPr>
                <w:szCs w:val="18"/>
              </w:rPr>
            </w:pPr>
            <w:r w:rsidRPr="00B02C2E">
              <w:rPr>
                <w:szCs w:val="18"/>
                <w:lang w:eastAsia="en-AU"/>
              </w:rPr>
              <w:t>The Lancet Neurology. 2020;19(4):298-306.</w:t>
            </w:r>
          </w:p>
        </w:tc>
      </w:tr>
      <w:tr w:rsidR="00E4107E" w:rsidRPr="00B02C2E" w14:paraId="3E69E3F1"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75979C1B" w14:textId="77777777" w:rsidR="00E4107E" w:rsidRPr="00B02C2E" w:rsidRDefault="00E4107E" w:rsidP="00A01704">
            <w:pPr>
              <w:pStyle w:val="Tabletext0"/>
            </w:pPr>
            <w:r w:rsidRPr="00B02C2E">
              <w:t>Wang (2021)</w:t>
            </w:r>
          </w:p>
        </w:tc>
        <w:tc>
          <w:tcPr>
            <w:tcW w:w="2448" w:type="pct"/>
            <w:tcBorders>
              <w:top w:val="single" w:sz="4" w:space="0" w:color="auto"/>
              <w:left w:val="single" w:sz="4" w:space="0" w:color="auto"/>
              <w:bottom w:val="single" w:sz="4" w:space="0" w:color="auto"/>
              <w:right w:val="single" w:sz="4" w:space="0" w:color="auto"/>
            </w:tcBorders>
            <w:vAlign w:val="center"/>
          </w:tcPr>
          <w:p w14:paraId="544CB144" w14:textId="77777777" w:rsidR="00E4107E" w:rsidRPr="00B02C2E" w:rsidRDefault="00E4107E" w:rsidP="00A01704">
            <w:pPr>
              <w:pStyle w:val="Tabletext0"/>
              <w:rPr>
                <w:szCs w:val="18"/>
                <w:lang w:eastAsia="en-AU"/>
              </w:rPr>
            </w:pPr>
            <w:r w:rsidRPr="00B02C2E">
              <w:rPr>
                <w:szCs w:val="18"/>
                <w:lang w:eastAsia="en-AU"/>
              </w:rPr>
              <w:t xml:space="preserve">Wang Y, Chang H, Zhang X, Yin L. Efficacy of rituximab in the treatment of neuromyelitis optica spectrum disorders: An update systematic review and meta -analysis. </w:t>
            </w:r>
          </w:p>
        </w:tc>
        <w:tc>
          <w:tcPr>
            <w:tcW w:w="1611" w:type="pct"/>
            <w:tcBorders>
              <w:top w:val="single" w:sz="4" w:space="0" w:color="auto"/>
              <w:left w:val="single" w:sz="4" w:space="0" w:color="auto"/>
              <w:bottom w:val="single" w:sz="4" w:space="0" w:color="auto"/>
              <w:right w:val="single" w:sz="4" w:space="0" w:color="auto"/>
            </w:tcBorders>
            <w:vAlign w:val="center"/>
          </w:tcPr>
          <w:p w14:paraId="1D39687A" w14:textId="77777777" w:rsidR="00E4107E" w:rsidRPr="00B02C2E" w:rsidRDefault="00E4107E" w:rsidP="00A01704">
            <w:pPr>
              <w:pStyle w:val="Tabletext0"/>
              <w:rPr>
                <w:szCs w:val="18"/>
                <w:lang w:eastAsia="en-AU"/>
              </w:rPr>
            </w:pPr>
            <w:r w:rsidRPr="00B02C2E">
              <w:rPr>
                <w:szCs w:val="18"/>
                <w:lang w:eastAsia="en-AU"/>
              </w:rPr>
              <w:t>Multiple Sclerosis and Related Disorders. 2021; 50:102843.</w:t>
            </w:r>
          </w:p>
        </w:tc>
      </w:tr>
      <w:tr w:rsidR="00E4107E" w:rsidRPr="00B02C2E" w14:paraId="3D82E549"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7F5A634C" w14:textId="77777777" w:rsidR="00E4107E" w:rsidRPr="00B02C2E" w:rsidRDefault="00E4107E" w:rsidP="00A01704">
            <w:pPr>
              <w:pStyle w:val="Tabletext0"/>
            </w:pPr>
            <w:r w:rsidRPr="00B02C2E">
              <w:t>Mirmosayyeb (2021)</w:t>
            </w:r>
          </w:p>
        </w:tc>
        <w:tc>
          <w:tcPr>
            <w:tcW w:w="2448" w:type="pct"/>
            <w:tcBorders>
              <w:top w:val="single" w:sz="4" w:space="0" w:color="auto"/>
              <w:left w:val="single" w:sz="4" w:space="0" w:color="auto"/>
              <w:bottom w:val="single" w:sz="4" w:space="0" w:color="auto"/>
              <w:right w:val="single" w:sz="4" w:space="0" w:color="auto"/>
            </w:tcBorders>
            <w:vAlign w:val="center"/>
          </w:tcPr>
          <w:p w14:paraId="49A05724" w14:textId="77777777" w:rsidR="00E4107E" w:rsidRPr="00B02C2E" w:rsidRDefault="00E4107E" w:rsidP="00A01704">
            <w:pPr>
              <w:pStyle w:val="Tabletext0"/>
              <w:rPr>
                <w:szCs w:val="18"/>
                <w:lang w:eastAsia="en-AU"/>
              </w:rPr>
            </w:pPr>
            <w:r w:rsidRPr="00B02C2E">
              <w:rPr>
                <w:szCs w:val="18"/>
                <w:lang w:eastAsia="en-AU"/>
              </w:rPr>
              <w:t xml:space="preserve">Mirmosayyeb O, Shaygannejad V, Barzegar M, Nehzat N, Ghajarzadeh M. Efficacy and safety of rituximab in treating patients with Neuromyelitis optica spectrum disorder (NMOSD): A systematic review and meta-analysis. </w:t>
            </w:r>
          </w:p>
        </w:tc>
        <w:tc>
          <w:tcPr>
            <w:tcW w:w="1611" w:type="pct"/>
            <w:tcBorders>
              <w:top w:val="single" w:sz="4" w:space="0" w:color="auto"/>
              <w:left w:val="single" w:sz="4" w:space="0" w:color="auto"/>
              <w:bottom w:val="single" w:sz="4" w:space="0" w:color="auto"/>
              <w:right w:val="single" w:sz="4" w:space="0" w:color="auto"/>
            </w:tcBorders>
            <w:vAlign w:val="center"/>
          </w:tcPr>
          <w:p w14:paraId="273BD5B9" w14:textId="77777777" w:rsidR="00E4107E" w:rsidRPr="00B02C2E" w:rsidRDefault="00E4107E" w:rsidP="00A01704">
            <w:pPr>
              <w:pStyle w:val="Tabletext0"/>
              <w:rPr>
                <w:szCs w:val="18"/>
                <w:lang w:eastAsia="en-AU"/>
              </w:rPr>
            </w:pPr>
            <w:r w:rsidRPr="00B02C2E">
              <w:rPr>
                <w:szCs w:val="18"/>
                <w:lang w:eastAsia="en-AU"/>
              </w:rPr>
              <w:t>Autoimmunity Reviews. 2021; 20(2):102727.</w:t>
            </w:r>
          </w:p>
        </w:tc>
      </w:tr>
      <w:tr w:rsidR="00E4107E" w:rsidRPr="00B02C2E" w14:paraId="1628A4CE"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61A2FB82" w14:textId="77777777" w:rsidR="00E4107E" w:rsidRPr="00B02C2E" w:rsidRDefault="00E4107E" w:rsidP="00A01704">
            <w:pPr>
              <w:pStyle w:val="Tabletext0"/>
            </w:pPr>
            <w:r w:rsidRPr="00B02C2E">
              <w:t>Damato (2016)</w:t>
            </w:r>
          </w:p>
        </w:tc>
        <w:tc>
          <w:tcPr>
            <w:tcW w:w="2448" w:type="pct"/>
            <w:tcBorders>
              <w:top w:val="single" w:sz="4" w:space="0" w:color="auto"/>
              <w:left w:val="single" w:sz="4" w:space="0" w:color="auto"/>
              <w:bottom w:val="single" w:sz="4" w:space="0" w:color="auto"/>
              <w:right w:val="single" w:sz="4" w:space="0" w:color="auto"/>
            </w:tcBorders>
            <w:vAlign w:val="center"/>
          </w:tcPr>
          <w:p w14:paraId="449789D6" w14:textId="77777777" w:rsidR="00E4107E" w:rsidRPr="00B02C2E" w:rsidRDefault="00E4107E" w:rsidP="00A01704">
            <w:pPr>
              <w:pStyle w:val="Tabletext0"/>
              <w:rPr>
                <w:szCs w:val="18"/>
                <w:lang w:eastAsia="en-AU"/>
              </w:rPr>
            </w:pPr>
            <w:r w:rsidRPr="00B02C2E">
              <w:rPr>
                <w:szCs w:val="18"/>
                <w:lang w:eastAsia="en-AU"/>
              </w:rPr>
              <w:t>Damato V, Evoli A, Iorio R. Efficacy and Safety of Rituximab Therapy in Neuromyelitis Optica Spectrum Disorders: A Systematic Review and Meta-analysis.</w:t>
            </w:r>
          </w:p>
        </w:tc>
        <w:tc>
          <w:tcPr>
            <w:tcW w:w="1611" w:type="pct"/>
            <w:tcBorders>
              <w:top w:val="single" w:sz="4" w:space="0" w:color="auto"/>
              <w:left w:val="single" w:sz="4" w:space="0" w:color="auto"/>
              <w:bottom w:val="single" w:sz="4" w:space="0" w:color="auto"/>
              <w:right w:val="single" w:sz="4" w:space="0" w:color="auto"/>
            </w:tcBorders>
            <w:vAlign w:val="center"/>
          </w:tcPr>
          <w:p w14:paraId="048FA7E5" w14:textId="77777777" w:rsidR="00E4107E" w:rsidRPr="00B02C2E" w:rsidRDefault="00E4107E" w:rsidP="00A01704">
            <w:pPr>
              <w:pStyle w:val="Tabletext0"/>
              <w:rPr>
                <w:szCs w:val="18"/>
                <w:lang w:eastAsia="en-AU"/>
              </w:rPr>
            </w:pPr>
            <w:r w:rsidRPr="00B02C2E">
              <w:rPr>
                <w:szCs w:val="18"/>
                <w:lang w:eastAsia="en-AU"/>
              </w:rPr>
              <w:t>JAMA Neurology. 2016; 73(11):1342-1348</w:t>
            </w:r>
          </w:p>
        </w:tc>
      </w:tr>
      <w:tr w:rsidR="00E4107E" w:rsidRPr="00B02C2E" w14:paraId="27FF89CD"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3047378C" w14:textId="77777777" w:rsidR="00E4107E" w:rsidRPr="00B02C2E" w:rsidRDefault="00E4107E" w:rsidP="00A01704">
            <w:pPr>
              <w:pStyle w:val="Tabletext0"/>
            </w:pPr>
            <w:r w:rsidRPr="00B02C2E">
              <w:t>Huang (2019)</w:t>
            </w:r>
          </w:p>
        </w:tc>
        <w:tc>
          <w:tcPr>
            <w:tcW w:w="2448" w:type="pct"/>
            <w:tcBorders>
              <w:top w:val="single" w:sz="4" w:space="0" w:color="auto"/>
              <w:left w:val="single" w:sz="4" w:space="0" w:color="auto"/>
              <w:bottom w:val="single" w:sz="4" w:space="0" w:color="auto"/>
              <w:right w:val="single" w:sz="4" w:space="0" w:color="auto"/>
            </w:tcBorders>
            <w:vAlign w:val="center"/>
          </w:tcPr>
          <w:p w14:paraId="372ABEFE" w14:textId="77777777" w:rsidR="00E4107E" w:rsidRPr="00B02C2E" w:rsidRDefault="00E4107E" w:rsidP="00A01704">
            <w:pPr>
              <w:pStyle w:val="Tabletext0"/>
              <w:rPr>
                <w:szCs w:val="18"/>
                <w:lang w:eastAsia="en-AU"/>
              </w:rPr>
            </w:pPr>
            <w:r w:rsidRPr="00B02C2E">
              <w:rPr>
                <w:szCs w:val="18"/>
                <w:lang w:eastAsia="en-AU"/>
              </w:rPr>
              <w:t xml:space="preserve">Huang W, Wang L, Zhang B, Zhou L, Zhang T, Quan C. Effectiveness and tolerability of immunosuppressants and monoclonal antibodies in preventive treatment of neuromyelitis optica spectrum disorders: A systematic review and network meta-analysis. </w:t>
            </w:r>
          </w:p>
        </w:tc>
        <w:tc>
          <w:tcPr>
            <w:tcW w:w="1611" w:type="pct"/>
            <w:tcBorders>
              <w:top w:val="single" w:sz="4" w:space="0" w:color="auto"/>
              <w:left w:val="single" w:sz="4" w:space="0" w:color="auto"/>
              <w:bottom w:val="single" w:sz="4" w:space="0" w:color="auto"/>
              <w:right w:val="single" w:sz="4" w:space="0" w:color="auto"/>
            </w:tcBorders>
            <w:vAlign w:val="center"/>
          </w:tcPr>
          <w:p w14:paraId="7DEDD489" w14:textId="77777777" w:rsidR="00E4107E" w:rsidRPr="00B02C2E" w:rsidRDefault="00E4107E" w:rsidP="00A01704">
            <w:pPr>
              <w:pStyle w:val="Tabletext0"/>
              <w:rPr>
                <w:szCs w:val="18"/>
                <w:lang w:eastAsia="en-AU"/>
              </w:rPr>
            </w:pPr>
            <w:r w:rsidRPr="00B02C2E">
              <w:rPr>
                <w:szCs w:val="18"/>
                <w:lang w:eastAsia="en-AU"/>
              </w:rPr>
              <w:t>Multiple Sclerosis and Related Disorders. 2019; 35:246-252.</w:t>
            </w:r>
          </w:p>
        </w:tc>
      </w:tr>
      <w:tr w:rsidR="00E4107E" w:rsidRPr="00B02C2E" w14:paraId="3346FEB0" w14:textId="77777777" w:rsidTr="00553B44">
        <w:trPr>
          <w:cantSplit/>
        </w:trPr>
        <w:tc>
          <w:tcPr>
            <w:tcW w:w="941" w:type="pct"/>
            <w:tcBorders>
              <w:top w:val="single" w:sz="4" w:space="0" w:color="auto"/>
              <w:left w:val="single" w:sz="4" w:space="0" w:color="auto"/>
              <w:bottom w:val="single" w:sz="4" w:space="0" w:color="auto"/>
              <w:right w:val="single" w:sz="4" w:space="0" w:color="auto"/>
            </w:tcBorders>
            <w:vAlign w:val="center"/>
          </w:tcPr>
          <w:p w14:paraId="11564508" w14:textId="77777777" w:rsidR="00E4107E" w:rsidRPr="00B02C2E" w:rsidRDefault="00E4107E" w:rsidP="00A01704">
            <w:pPr>
              <w:pStyle w:val="Tabletext0"/>
            </w:pPr>
            <w:r w:rsidRPr="00B02C2E">
              <w:t>Gao (2019)</w:t>
            </w:r>
          </w:p>
        </w:tc>
        <w:tc>
          <w:tcPr>
            <w:tcW w:w="2448" w:type="pct"/>
            <w:tcBorders>
              <w:top w:val="single" w:sz="4" w:space="0" w:color="auto"/>
              <w:left w:val="single" w:sz="4" w:space="0" w:color="auto"/>
              <w:bottom w:val="single" w:sz="4" w:space="0" w:color="auto"/>
              <w:right w:val="single" w:sz="4" w:space="0" w:color="auto"/>
            </w:tcBorders>
            <w:vAlign w:val="center"/>
          </w:tcPr>
          <w:p w14:paraId="35A3094A" w14:textId="77777777" w:rsidR="00E4107E" w:rsidRPr="00B02C2E" w:rsidRDefault="00E4107E" w:rsidP="00A01704">
            <w:pPr>
              <w:pStyle w:val="Tabletext0"/>
              <w:rPr>
                <w:szCs w:val="18"/>
                <w:lang w:eastAsia="en-AU"/>
              </w:rPr>
            </w:pPr>
            <w:r w:rsidRPr="00B02C2E">
              <w:rPr>
                <w:szCs w:val="18"/>
                <w:lang w:eastAsia="en-AU"/>
              </w:rPr>
              <w:t xml:space="preserve">Gao F, Chai B, Gu C, Wu R, Dong T, Yao Y, Zhang Y. Effectiveness of rituximab in neuromyelitis optica: a meta-analysis. </w:t>
            </w:r>
          </w:p>
        </w:tc>
        <w:tc>
          <w:tcPr>
            <w:tcW w:w="1611" w:type="pct"/>
            <w:tcBorders>
              <w:top w:val="single" w:sz="4" w:space="0" w:color="auto"/>
              <w:left w:val="single" w:sz="4" w:space="0" w:color="auto"/>
              <w:bottom w:val="single" w:sz="4" w:space="0" w:color="auto"/>
              <w:right w:val="single" w:sz="4" w:space="0" w:color="auto"/>
            </w:tcBorders>
            <w:vAlign w:val="center"/>
          </w:tcPr>
          <w:p w14:paraId="4AA83D5D" w14:textId="77777777" w:rsidR="00E4107E" w:rsidRPr="00B02C2E" w:rsidRDefault="00E4107E" w:rsidP="00A01704">
            <w:pPr>
              <w:pStyle w:val="Tabletext0"/>
              <w:rPr>
                <w:szCs w:val="18"/>
                <w:lang w:eastAsia="en-AU"/>
              </w:rPr>
            </w:pPr>
            <w:r w:rsidRPr="00B02C2E">
              <w:rPr>
                <w:szCs w:val="18"/>
                <w:lang w:eastAsia="en-AU"/>
              </w:rPr>
              <w:t>BMC Neurology. 2019;19(1):36.</w:t>
            </w:r>
          </w:p>
        </w:tc>
      </w:tr>
      <w:tr w:rsidR="00E4107E" w:rsidRPr="00B02C2E" w14:paraId="7951C4E4" w14:textId="77777777" w:rsidTr="00553B44">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5A580FA" w14:textId="77777777" w:rsidR="00E4107E" w:rsidRPr="00B02C2E" w:rsidRDefault="00E4107E" w:rsidP="007C295A">
            <w:pPr>
              <w:pStyle w:val="Tabletext0"/>
              <w:keepNext/>
              <w:rPr>
                <w:b/>
                <w:bCs/>
                <w:szCs w:val="18"/>
              </w:rPr>
            </w:pPr>
            <w:r w:rsidRPr="00B02C2E">
              <w:rPr>
                <w:b/>
                <w:bCs/>
              </w:rPr>
              <w:t>Satralizumab</w:t>
            </w:r>
          </w:p>
        </w:tc>
      </w:tr>
      <w:tr w:rsidR="00E4107E" w:rsidRPr="00B02C2E" w14:paraId="3655FCA1" w14:textId="77777777" w:rsidTr="00553B44">
        <w:trPr>
          <w:cantSplit/>
        </w:trPr>
        <w:tc>
          <w:tcPr>
            <w:tcW w:w="941" w:type="pct"/>
            <w:vMerge w:val="restart"/>
            <w:tcBorders>
              <w:top w:val="single" w:sz="4" w:space="0" w:color="auto"/>
              <w:left w:val="single" w:sz="4" w:space="0" w:color="auto"/>
              <w:right w:val="single" w:sz="4" w:space="0" w:color="auto"/>
            </w:tcBorders>
            <w:vAlign w:val="center"/>
          </w:tcPr>
          <w:p w14:paraId="50FB695F" w14:textId="77777777" w:rsidR="00E4107E" w:rsidRPr="00B02C2E" w:rsidRDefault="00E4107E" w:rsidP="00A01704">
            <w:pPr>
              <w:pStyle w:val="Tabletext0"/>
            </w:pPr>
            <w:r w:rsidRPr="00B02C2E">
              <w:t>SAkuraSky</w:t>
            </w:r>
          </w:p>
        </w:tc>
        <w:tc>
          <w:tcPr>
            <w:tcW w:w="2448" w:type="pct"/>
            <w:tcBorders>
              <w:top w:val="single" w:sz="4" w:space="0" w:color="auto"/>
              <w:left w:val="single" w:sz="4" w:space="0" w:color="auto"/>
              <w:bottom w:val="single" w:sz="4" w:space="0" w:color="auto"/>
              <w:right w:val="single" w:sz="4" w:space="0" w:color="auto"/>
            </w:tcBorders>
            <w:vAlign w:val="center"/>
          </w:tcPr>
          <w:p w14:paraId="580635CE" w14:textId="77777777" w:rsidR="00E4107E" w:rsidRPr="00B02C2E" w:rsidRDefault="00E4107E" w:rsidP="00A01704">
            <w:pPr>
              <w:pStyle w:val="Tabletext0"/>
              <w:rPr>
                <w:szCs w:val="18"/>
                <w:lang w:eastAsia="en-AU"/>
              </w:rPr>
            </w:pPr>
            <w:r w:rsidRPr="00B02C2E">
              <w:rPr>
                <w:szCs w:val="18"/>
                <w:lang w:eastAsia="en-AU"/>
              </w:rPr>
              <w:t xml:space="preserve">Yamamura et al. Trial of Satralizumab in Neuromyelitis Optica Spectrum Disorder. </w:t>
            </w:r>
          </w:p>
        </w:tc>
        <w:tc>
          <w:tcPr>
            <w:tcW w:w="1611" w:type="pct"/>
            <w:tcBorders>
              <w:top w:val="single" w:sz="4" w:space="0" w:color="auto"/>
              <w:left w:val="single" w:sz="4" w:space="0" w:color="auto"/>
              <w:bottom w:val="single" w:sz="4" w:space="0" w:color="auto"/>
              <w:right w:val="single" w:sz="4" w:space="0" w:color="auto"/>
            </w:tcBorders>
            <w:vAlign w:val="center"/>
          </w:tcPr>
          <w:p w14:paraId="014B06F1" w14:textId="77777777" w:rsidR="00E4107E" w:rsidRPr="00B02C2E" w:rsidRDefault="00E4107E" w:rsidP="00A01704">
            <w:pPr>
              <w:pStyle w:val="Tabletext0"/>
              <w:rPr>
                <w:szCs w:val="18"/>
              </w:rPr>
            </w:pPr>
            <w:r w:rsidRPr="00B02C2E">
              <w:rPr>
                <w:szCs w:val="18"/>
                <w:lang w:eastAsia="en-AU"/>
              </w:rPr>
              <w:t>New England Journal of Medicine. 2019; 381:2114-24.</w:t>
            </w:r>
          </w:p>
        </w:tc>
      </w:tr>
      <w:tr w:rsidR="00E4107E" w:rsidRPr="00B02C2E" w14:paraId="367FB1E1" w14:textId="77777777" w:rsidTr="00553B44">
        <w:trPr>
          <w:cantSplit/>
        </w:trPr>
        <w:tc>
          <w:tcPr>
            <w:tcW w:w="941" w:type="pct"/>
            <w:vMerge/>
            <w:tcBorders>
              <w:left w:val="single" w:sz="4" w:space="0" w:color="auto"/>
              <w:bottom w:val="single" w:sz="4" w:space="0" w:color="auto"/>
              <w:right w:val="single" w:sz="4" w:space="0" w:color="auto"/>
            </w:tcBorders>
            <w:vAlign w:val="center"/>
          </w:tcPr>
          <w:p w14:paraId="1BC9855B" w14:textId="77777777" w:rsidR="00E4107E" w:rsidRPr="00B02C2E" w:rsidRDefault="00E4107E" w:rsidP="00A01704">
            <w:pPr>
              <w:pStyle w:val="Tabletext0"/>
            </w:pPr>
          </w:p>
        </w:tc>
        <w:tc>
          <w:tcPr>
            <w:tcW w:w="2448" w:type="pct"/>
            <w:tcBorders>
              <w:top w:val="single" w:sz="4" w:space="0" w:color="auto"/>
              <w:left w:val="single" w:sz="4" w:space="0" w:color="auto"/>
              <w:bottom w:val="single" w:sz="4" w:space="0" w:color="auto"/>
              <w:right w:val="single" w:sz="4" w:space="0" w:color="auto"/>
            </w:tcBorders>
            <w:vAlign w:val="center"/>
          </w:tcPr>
          <w:p w14:paraId="1D0DC356" w14:textId="77777777" w:rsidR="00E4107E" w:rsidRPr="00B02C2E" w:rsidRDefault="00E4107E" w:rsidP="00A01704">
            <w:pPr>
              <w:pStyle w:val="Tabletext0"/>
              <w:rPr>
                <w:szCs w:val="18"/>
                <w:lang w:eastAsia="en-AU"/>
              </w:rPr>
            </w:pPr>
            <w:r w:rsidRPr="00B02C2E">
              <w:rPr>
                <w:szCs w:val="18"/>
                <w:lang w:eastAsia="en-AU"/>
              </w:rPr>
              <w:t>Efficacy and Safety Study of Satralizumab (SA237) as Add-on Therapy to Treat Participants With Neuromyelitis Optica (NMO) and NMO Spectrum Disorder (NMOSD)</w:t>
            </w:r>
          </w:p>
        </w:tc>
        <w:tc>
          <w:tcPr>
            <w:tcW w:w="1611" w:type="pct"/>
            <w:tcBorders>
              <w:top w:val="single" w:sz="4" w:space="0" w:color="auto"/>
              <w:left w:val="single" w:sz="4" w:space="0" w:color="auto"/>
              <w:bottom w:val="single" w:sz="4" w:space="0" w:color="auto"/>
              <w:right w:val="single" w:sz="4" w:space="0" w:color="auto"/>
            </w:tcBorders>
            <w:vAlign w:val="center"/>
          </w:tcPr>
          <w:p w14:paraId="340B7476" w14:textId="77777777" w:rsidR="00E4107E" w:rsidRPr="00B02C2E" w:rsidRDefault="00E4107E" w:rsidP="00A01704">
            <w:pPr>
              <w:pStyle w:val="Tabletext0"/>
              <w:rPr>
                <w:szCs w:val="18"/>
              </w:rPr>
            </w:pPr>
            <w:r w:rsidRPr="00B02C2E">
              <w:rPr>
                <w:szCs w:val="18"/>
              </w:rPr>
              <w:t xml:space="preserve">Clinical trial registry; </w:t>
            </w:r>
            <w:r w:rsidRPr="00B02C2E">
              <w:rPr>
                <w:szCs w:val="18"/>
                <w:lang w:eastAsia="en-AU"/>
              </w:rPr>
              <w:t>NCT02028884</w:t>
            </w:r>
          </w:p>
        </w:tc>
      </w:tr>
      <w:tr w:rsidR="00E4107E" w:rsidRPr="00B02C2E" w14:paraId="2F872E01" w14:textId="77777777" w:rsidTr="00553B44">
        <w:trPr>
          <w:cantSplit/>
        </w:trPr>
        <w:tc>
          <w:tcPr>
            <w:tcW w:w="941" w:type="pct"/>
            <w:vMerge w:val="restart"/>
            <w:tcBorders>
              <w:top w:val="single" w:sz="4" w:space="0" w:color="auto"/>
              <w:left w:val="single" w:sz="4" w:space="0" w:color="auto"/>
              <w:right w:val="single" w:sz="4" w:space="0" w:color="auto"/>
            </w:tcBorders>
            <w:vAlign w:val="center"/>
          </w:tcPr>
          <w:p w14:paraId="5BD7C480" w14:textId="77777777" w:rsidR="00E4107E" w:rsidRPr="00B02C2E" w:rsidRDefault="00E4107E" w:rsidP="00A01704">
            <w:pPr>
              <w:pStyle w:val="Tabletext0"/>
            </w:pPr>
            <w:r w:rsidRPr="00B02C2E">
              <w:t>SAkuraStar</w:t>
            </w:r>
          </w:p>
        </w:tc>
        <w:tc>
          <w:tcPr>
            <w:tcW w:w="2448" w:type="pct"/>
            <w:tcBorders>
              <w:top w:val="single" w:sz="4" w:space="0" w:color="auto"/>
              <w:left w:val="single" w:sz="4" w:space="0" w:color="auto"/>
              <w:bottom w:val="single" w:sz="4" w:space="0" w:color="auto"/>
              <w:right w:val="single" w:sz="4" w:space="0" w:color="auto"/>
            </w:tcBorders>
            <w:vAlign w:val="center"/>
          </w:tcPr>
          <w:p w14:paraId="7F9A5270" w14:textId="77777777" w:rsidR="00E4107E" w:rsidRPr="00B02C2E" w:rsidRDefault="00E4107E" w:rsidP="00A01704">
            <w:pPr>
              <w:pStyle w:val="Tabletext0"/>
              <w:rPr>
                <w:szCs w:val="18"/>
                <w:lang w:eastAsia="en-AU"/>
              </w:rPr>
            </w:pPr>
            <w:r w:rsidRPr="00B02C2E">
              <w:rPr>
                <w:szCs w:val="18"/>
                <w:lang w:eastAsia="en-AU"/>
              </w:rPr>
              <w:t xml:space="preserve">Traboulsee et al. Safety and efficacy of satralizumab monotherapy in neuromyelitis optica spectrum disorder: a randomised, double-blind, multicentre, placebo-controlled phase 3 trial. </w:t>
            </w:r>
          </w:p>
        </w:tc>
        <w:tc>
          <w:tcPr>
            <w:tcW w:w="1611" w:type="pct"/>
            <w:tcBorders>
              <w:top w:val="single" w:sz="4" w:space="0" w:color="auto"/>
              <w:left w:val="single" w:sz="4" w:space="0" w:color="auto"/>
              <w:bottom w:val="single" w:sz="4" w:space="0" w:color="auto"/>
              <w:right w:val="single" w:sz="4" w:space="0" w:color="auto"/>
            </w:tcBorders>
            <w:vAlign w:val="center"/>
          </w:tcPr>
          <w:p w14:paraId="5E59A120" w14:textId="77777777" w:rsidR="00E4107E" w:rsidRPr="00B02C2E" w:rsidRDefault="00E4107E" w:rsidP="00A01704">
            <w:pPr>
              <w:pStyle w:val="Tabletext0"/>
              <w:rPr>
                <w:szCs w:val="18"/>
              </w:rPr>
            </w:pPr>
            <w:r w:rsidRPr="00B02C2E">
              <w:rPr>
                <w:szCs w:val="18"/>
                <w:lang w:eastAsia="en-AU"/>
              </w:rPr>
              <w:t>The Lancet Neurology. 2019; 19: 402–12.</w:t>
            </w:r>
          </w:p>
        </w:tc>
      </w:tr>
      <w:tr w:rsidR="00E4107E" w:rsidRPr="00B02C2E" w14:paraId="7BA9C18B" w14:textId="77777777" w:rsidTr="00553B44">
        <w:trPr>
          <w:cantSplit/>
        </w:trPr>
        <w:tc>
          <w:tcPr>
            <w:tcW w:w="941" w:type="pct"/>
            <w:vMerge/>
            <w:tcBorders>
              <w:left w:val="single" w:sz="4" w:space="0" w:color="auto"/>
              <w:bottom w:val="single" w:sz="4" w:space="0" w:color="auto"/>
              <w:right w:val="single" w:sz="4" w:space="0" w:color="auto"/>
            </w:tcBorders>
            <w:vAlign w:val="center"/>
          </w:tcPr>
          <w:p w14:paraId="6FFCACFC" w14:textId="77777777" w:rsidR="00E4107E" w:rsidRPr="00B02C2E" w:rsidRDefault="00E4107E" w:rsidP="00A01704">
            <w:pPr>
              <w:pStyle w:val="Tabletext0"/>
            </w:pPr>
          </w:p>
        </w:tc>
        <w:tc>
          <w:tcPr>
            <w:tcW w:w="2448" w:type="pct"/>
            <w:tcBorders>
              <w:top w:val="single" w:sz="4" w:space="0" w:color="auto"/>
              <w:left w:val="single" w:sz="4" w:space="0" w:color="auto"/>
              <w:bottom w:val="single" w:sz="4" w:space="0" w:color="auto"/>
              <w:right w:val="single" w:sz="4" w:space="0" w:color="auto"/>
            </w:tcBorders>
            <w:vAlign w:val="center"/>
          </w:tcPr>
          <w:p w14:paraId="4B852A78" w14:textId="77777777" w:rsidR="00E4107E" w:rsidRPr="00B02C2E" w:rsidRDefault="00E4107E" w:rsidP="00A01704">
            <w:pPr>
              <w:pStyle w:val="Tabletext0"/>
              <w:rPr>
                <w:szCs w:val="18"/>
                <w:lang w:eastAsia="en-AU"/>
              </w:rPr>
            </w:pPr>
            <w:r w:rsidRPr="00B02C2E">
              <w:rPr>
                <w:szCs w:val="18"/>
                <w:lang w:eastAsia="en-AU"/>
              </w:rPr>
              <w:t>Efficacy and Safety Study of Satralizumab (SA237) as Monotherapy to Treat Participants With Neuromyelitis Optica (NMO) and Neuromyelitis Optica Spectrum Disorder (NMOSD)</w:t>
            </w:r>
          </w:p>
        </w:tc>
        <w:tc>
          <w:tcPr>
            <w:tcW w:w="1611" w:type="pct"/>
            <w:tcBorders>
              <w:top w:val="single" w:sz="4" w:space="0" w:color="auto"/>
              <w:left w:val="single" w:sz="4" w:space="0" w:color="auto"/>
              <w:bottom w:val="single" w:sz="4" w:space="0" w:color="auto"/>
              <w:right w:val="single" w:sz="4" w:space="0" w:color="auto"/>
            </w:tcBorders>
            <w:vAlign w:val="center"/>
          </w:tcPr>
          <w:p w14:paraId="4EBB1F3A" w14:textId="77777777" w:rsidR="00E4107E" w:rsidRPr="00B02C2E" w:rsidRDefault="00E4107E" w:rsidP="00A01704">
            <w:pPr>
              <w:pStyle w:val="Tabletext0"/>
              <w:rPr>
                <w:szCs w:val="18"/>
              </w:rPr>
            </w:pPr>
            <w:r w:rsidRPr="00B02C2E">
              <w:rPr>
                <w:szCs w:val="18"/>
              </w:rPr>
              <w:t xml:space="preserve">Clinical trial registry; </w:t>
            </w:r>
            <w:r w:rsidRPr="00B02C2E">
              <w:rPr>
                <w:szCs w:val="18"/>
                <w:lang w:eastAsia="en-AU"/>
              </w:rPr>
              <w:t>NCT02073279</w:t>
            </w:r>
          </w:p>
        </w:tc>
      </w:tr>
    </w:tbl>
    <w:p w14:paraId="3A72EAA8" w14:textId="77777777" w:rsidR="00E4107E" w:rsidRPr="00B02C2E" w:rsidRDefault="00E4107E" w:rsidP="007C295A">
      <w:pPr>
        <w:pStyle w:val="TableFigureFooter"/>
      </w:pPr>
      <w:r w:rsidRPr="00B02C2E">
        <w:t xml:space="preserve">Source: the resubmission; </w:t>
      </w:r>
      <w:r w:rsidRPr="00B02C2E">
        <w:rPr>
          <w:i/>
          <w:iCs/>
        </w:rPr>
        <w:t>additional sources identified during the evaluation</w:t>
      </w:r>
    </w:p>
    <w:p w14:paraId="65A0FDEE" w14:textId="77777777" w:rsidR="00E4107E" w:rsidRPr="00B02C2E" w:rsidRDefault="00E4107E" w:rsidP="007C295A">
      <w:pPr>
        <w:pStyle w:val="TableFigureFooter"/>
        <w:rPr>
          <w:sz w:val="20"/>
        </w:rPr>
      </w:pPr>
      <w:r w:rsidRPr="00B02C2E">
        <w:t>Note: Abstracts of studies with full publications are not presented</w:t>
      </w:r>
    </w:p>
    <w:p w14:paraId="6C3A7790" w14:textId="77777777" w:rsidR="007F1017" w:rsidRPr="00B02C2E" w:rsidRDefault="008F120A" w:rsidP="00EC5836">
      <w:pPr>
        <w:pStyle w:val="ExecSumBodyText"/>
        <w:rPr>
          <w:color w:val="0066FF"/>
        </w:rPr>
      </w:pPr>
      <w:r w:rsidRPr="00B02C2E">
        <w:t xml:space="preserve">The key features of the </w:t>
      </w:r>
      <w:r w:rsidR="00616F7A" w:rsidRPr="00B02C2E">
        <w:t>PREVENT trial</w:t>
      </w:r>
      <w:r w:rsidRPr="00B02C2E">
        <w:t xml:space="preserve"> are summarised in the table below.</w:t>
      </w:r>
      <w:r w:rsidR="00BC591F" w:rsidRPr="00B02C2E">
        <w:t xml:space="preserve"> </w:t>
      </w:r>
    </w:p>
    <w:p w14:paraId="1A09C2EE" w14:textId="77777777" w:rsidR="00616F7A" w:rsidRPr="00B02C2E" w:rsidRDefault="00616F7A" w:rsidP="00616F7A">
      <w:pPr>
        <w:pStyle w:val="TableFigureCaption"/>
      </w:pPr>
      <w:r w:rsidRPr="00B02C2E">
        <w:t xml:space="preserve">Table </w:t>
      </w:r>
      <w:r w:rsidR="00EA6071" w:rsidRPr="00B02C2E">
        <w:t>5</w:t>
      </w:r>
      <w:r w:rsidRPr="00B02C2E">
        <w:t>: Key features of the included evidence</w:t>
      </w:r>
    </w:p>
    <w:tbl>
      <w:tblPr>
        <w:tblpPr w:leftFromText="180" w:rightFromText="180" w:vertAnchor="text"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1"/>
        <w:gridCol w:w="617"/>
        <w:gridCol w:w="1523"/>
        <w:gridCol w:w="994"/>
        <w:gridCol w:w="1422"/>
        <w:gridCol w:w="1527"/>
        <w:gridCol w:w="2234"/>
      </w:tblGrid>
      <w:tr w:rsidR="00616F7A" w:rsidRPr="00B02C2E" w14:paraId="2381939C" w14:textId="77777777" w:rsidTr="00CE3BD6">
        <w:trPr>
          <w:cantSplit/>
          <w:tblHeader/>
        </w:trPr>
        <w:tc>
          <w:tcPr>
            <w:tcW w:w="484" w:type="pct"/>
            <w:shd w:val="clear" w:color="auto" w:fill="auto"/>
            <w:vAlign w:val="center"/>
          </w:tcPr>
          <w:p w14:paraId="0387E26E" w14:textId="77777777" w:rsidR="00616F7A" w:rsidRPr="00B02C2E" w:rsidRDefault="00616F7A" w:rsidP="00616F7A">
            <w:pPr>
              <w:pStyle w:val="Tableheadingrow"/>
              <w:rPr>
                <w:lang w:val="en-AU"/>
              </w:rPr>
            </w:pPr>
            <w:r w:rsidRPr="00B02C2E">
              <w:rPr>
                <w:lang w:val="en-AU"/>
              </w:rPr>
              <w:t>Trial</w:t>
            </w:r>
          </w:p>
        </w:tc>
        <w:tc>
          <w:tcPr>
            <w:tcW w:w="335" w:type="pct"/>
            <w:shd w:val="clear" w:color="auto" w:fill="auto"/>
            <w:vAlign w:val="center"/>
          </w:tcPr>
          <w:p w14:paraId="0F0651C2" w14:textId="77777777" w:rsidR="00616F7A" w:rsidRPr="00B02C2E" w:rsidRDefault="00616F7A" w:rsidP="00616F7A">
            <w:pPr>
              <w:pStyle w:val="Tableheadingrow"/>
              <w:jc w:val="center"/>
              <w:rPr>
                <w:lang w:val="en-AU"/>
              </w:rPr>
            </w:pPr>
            <w:r w:rsidRPr="00B02C2E">
              <w:rPr>
                <w:lang w:val="en-AU"/>
              </w:rPr>
              <w:t>N</w:t>
            </w:r>
          </w:p>
        </w:tc>
        <w:tc>
          <w:tcPr>
            <w:tcW w:w="827" w:type="pct"/>
            <w:shd w:val="clear" w:color="auto" w:fill="auto"/>
            <w:vAlign w:val="center"/>
          </w:tcPr>
          <w:p w14:paraId="007B3102" w14:textId="77777777" w:rsidR="00616F7A" w:rsidRPr="00B02C2E" w:rsidRDefault="00616F7A" w:rsidP="00616F7A">
            <w:pPr>
              <w:pStyle w:val="Tableheadingrow"/>
              <w:jc w:val="center"/>
              <w:rPr>
                <w:lang w:val="en-AU"/>
              </w:rPr>
            </w:pPr>
            <w:r w:rsidRPr="00B02C2E">
              <w:rPr>
                <w:lang w:val="en-AU"/>
              </w:rPr>
              <w:t>Design/ duration</w:t>
            </w:r>
          </w:p>
        </w:tc>
        <w:tc>
          <w:tcPr>
            <w:tcW w:w="540" w:type="pct"/>
            <w:shd w:val="clear" w:color="auto" w:fill="auto"/>
            <w:vAlign w:val="center"/>
          </w:tcPr>
          <w:p w14:paraId="1113CFAE" w14:textId="77777777" w:rsidR="00616F7A" w:rsidRPr="00B02C2E" w:rsidRDefault="00616F7A" w:rsidP="00616F7A">
            <w:pPr>
              <w:pStyle w:val="Tableheadingrow"/>
              <w:jc w:val="center"/>
              <w:rPr>
                <w:lang w:val="en-AU"/>
              </w:rPr>
            </w:pPr>
            <w:r w:rsidRPr="00B02C2E">
              <w:rPr>
                <w:lang w:val="en-AU"/>
              </w:rPr>
              <w:t>Risk of bias</w:t>
            </w:r>
          </w:p>
        </w:tc>
        <w:tc>
          <w:tcPr>
            <w:tcW w:w="772" w:type="pct"/>
            <w:shd w:val="clear" w:color="auto" w:fill="auto"/>
            <w:vAlign w:val="center"/>
          </w:tcPr>
          <w:p w14:paraId="4012F14C" w14:textId="77777777" w:rsidR="00616F7A" w:rsidRPr="00B02C2E" w:rsidRDefault="00616F7A" w:rsidP="00616F7A">
            <w:pPr>
              <w:pStyle w:val="Tableheadingrow"/>
              <w:jc w:val="center"/>
              <w:rPr>
                <w:lang w:val="en-AU"/>
              </w:rPr>
            </w:pPr>
            <w:r w:rsidRPr="00B02C2E">
              <w:rPr>
                <w:lang w:val="en-AU"/>
              </w:rPr>
              <w:t>Patient population</w:t>
            </w:r>
          </w:p>
        </w:tc>
        <w:tc>
          <w:tcPr>
            <w:tcW w:w="829" w:type="pct"/>
            <w:shd w:val="clear" w:color="auto" w:fill="auto"/>
            <w:vAlign w:val="center"/>
          </w:tcPr>
          <w:p w14:paraId="31BFC099" w14:textId="77777777" w:rsidR="00616F7A" w:rsidRPr="00B02C2E" w:rsidRDefault="00616F7A" w:rsidP="00616F7A">
            <w:pPr>
              <w:pStyle w:val="Tableheadingrow"/>
              <w:jc w:val="center"/>
              <w:rPr>
                <w:lang w:val="en-AU"/>
              </w:rPr>
            </w:pPr>
            <w:r w:rsidRPr="00B02C2E">
              <w:rPr>
                <w:lang w:val="en-AU"/>
              </w:rPr>
              <w:t>Outcomes</w:t>
            </w:r>
          </w:p>
        </w:tc>
        <w:tc>
          <w:tcPr>
            <w:tcW w:w="1213" w:type="pct"/>
            <w:shd w:val="clear" w:color="auto" w:fill="auto"/>
            <w:vAlign w:val="center"/>
          </w:tcPr>
          <w:p w14:paraId="244C706C" w14:textId="77777777" w:rsidR="00616F7A" w:rsidRPr="00B02C2E" w:rsidRDefault="00616F7A" w:rsidP="00616F7A">
            <w:pPr>
              <w:pStyle w:val="Tableheadingrow"/>
              <w:jc w:val="center"/>
              <w:rPr>
                <w:lang w:val="en-AU"/>
              </w:rPr>
            </w:pPr>
            <w:r w:rsidRPr="00B02C2E">
              <w:rPr>
                <w:lang w:val="en-AU"/>
              </w:rPr>
              <w:t>Use in modelled evaluation</w:t>
            </w:r>
          </w:p>
        </w:tc>
      </w:tr>
      <w:tr w:rsidR="00616F7A" w:rsidRPr="00B02C2E" w14:paraId="0EF81277" w14:textId="77777777" w:rsidTr="00CE3BD6">
        <w:trPr>
          <w:cantSplit/>
        </w:trPr>
        <w:tc>
          <w:tcPr>
            <w:tcW w:w="5000" w:type="pct"/>
            <w:gridSpan w:val="7"/>
            <w:shd w:val="clear" w:color="auto" w:fill="auto"/>
            <w:vAlign w:val="center"/>
          </w:tcPr>
          <w:p w14:paraId="3D08A03D" w14:textId="77777777" w:rsidR="00616F7A" w:rsidRPr="00B02C2E" w:rsidRDefault="00616F7A" w:rsidP="00616F7A">
            <w:pPr>
              <w:pStyle w:val="Tableheadingrow"/>
              <w:rPr>
                <w:lang w:val="en-AU"/>
              </w:rPr>
            </w:pPr>
            <w:r w:rsidRPr="00B02C2E">
              <w:rPr>
                <w:lang w:val="en-AU"/>
              </w:rPr>
              <w:t>Eculizumab vs. placebo</w:t>
            </w:r>
          </w:p>
        </w:tc>
      </w:tr>
      <w:tr w:rsidR="00616F7A" w:rsidRPr="00B02C2E" w14:paraId="06DBF98B" w14:textId="77777777" w:rsidTr="00CE3BD6">
        <w:trPr>
          <w:cantSplit/>
        </w:trPr>
        <w:tc>
          <w:tcPr>
            <w:tcW w:w="484" w:type="pct"/>
            <w:shd w:val="clear" w:color="auto" w:fill="auto"/>
            <w:vAlign w:val="center"/>
          </w:tcPr>
          <w:p w14:paraId="5DE90B96" w14:textId="77777777" w:rsidR="00616F7A" w:rsidRPr="00B02C2E" w:rsidRDefault="00616F7A" w:rsidP="00616F7A">
            <w:pPr>
              <w:pStyle w:val="TableText"/>
            </w:pPr>
            <w:r w:rsidRPr="00B02C2E">
              <w:t>PREVENT</w:t>
            </w:r>
          </w:p>
        </w:tc>
        <w:tc>
          <w:tcPr>
            <w:tcW w:w="335" w:type="pct"/>
            <w:shd w:val="clear" w:color="auto" w:fill="auto"/>
            <w:vAlign w:val="center"/>
          </w:tcPr>
          <w:p w14:paraId="506E67B6" w14:textId="77777777" w:rsidR="00616F7A" w:rsidRPr="00B02C2E" w:rsidRDefault="00616F7A" w:rsidP="00616F7A">
            <w:pPr>
              <w:pStyle w:val="TableText"/>
              <w:jc w:val="center"/>
            </w:pPr>
            <w:r w:rsidRPr="00B02C2E">
              <w:t>143</w:t>
            </w:r>
          </w:p>
        </w:tc>
        <w:tc>
          <w:tcPr>
            <w:tcW w:w="827" w:type="pct"/>
            <w:shd w:val="clear" w:color="auto" w:fill="auto"/>
            <w:vAlign w:val="center"/>
          </w:tcPr>
          <w:p w14:paraId="368D9260" w14:textId="77777777" w:rsidR="00616F7A" w:rsidRPr="00B02C2E" w:rsidRDefault="00616F7A" w:rsidP="00616F7A">
            <w:pPr>
              <w:pStyle w:val="TableText"/>
              <w:jc w:val="center"/>
            </w:pPr>
            <w:r w:rsidRPr="00B02C2E">
              <w:t>Multicentre, randomised, double-blind.</w:t>
            </w:r>
          </w:p>
          <w:p w14:paraId="70353DDF" w14:textId="77777777" w:rsidR="00616F7A" w:rsidRPr="00B02C2E" w:rsidRDefault="00616F7A" w:rsidP="00616F7A">
            <w:pPr>
              <w:pStyle w:val="TableText"/>
              <w:jc w:val="center"/>
            </w:pPr>
            <w:r w:rsidRPr="00B02C2E">
              <w:t xml:space="preserve">Ecu: 1.8 years; Pbo: 1.1 years </w:t>
            </w:r>
          </w:p>
        </w:tc>
        <w:tc>
          <w:tcPr>
            <w:tcW w:w="540" w:type="pct"/>
            <w:shd w:val="clear" w:color="auto" w:fill="auto"/>
            <w:vAlign w:val="center"/>
          </w:tcPr>
          <w:p w14:paraId="45937B6A" w14:textId="77777777" w:rsidR="00616F7A" w:rsidRPr="00B02C2E" w:rsidRDefault="00616F7A" w:rsidP="00616F7A">
            <w:pPr>
              <w:pStyle w:val="TableText"/>
              <w:jc w:val="center"/>
              <w:rPr>
                <w:iCs/>
              </w:rPr>
            </w:pPr>
            <w:r w:rsidRPr="00B02C2E">
              <w:rPr>
                <w:iCs/>
              </w:rPr>
              <w:t>Unclear</w:t>
            </w:r>
          </w:p>
        </w:tc>
        <w:tc>
          <w:tcPr>
            <w:tcW w:w="772" w:type="pct"/>
            <w:shd w:val="clear" w:color="auto" w:fill="auto"/>
            <w:vAlign w:val="center"/>
          </w:tcPr>
          <w:p w14:paraId="45F25E76" w14:textId="77777777" w:rsidR="00616F7A" w:rsidRPr="00B02C2E" w:rsidRDefault="00616F7A" w:rsidP="00616F7A">
            <w:pPr>
              <w:pStyle w:val="TableText"/>
              <w:jc w:val="center"/>
            </w:pPr>
            <w:r w:rsidRPr="00B02C2E">
              <w:t>NMOSD patients with frequent relapses who are AQP4+</w:t>
            </w:r>
          </w:p>
        </w:tc>
        <w:tc>
          <w:tcPr>
            <w:tcW w:w="829" w:type="pct"/>
            <w:shd w:val="clear" w:color="auto" w:fill="auto"/>
            <w:vAlign w:val="center"/>
          </w:tcPr>
          <w:p w14:paraId="7E1E9D3F" w14:textId="77777777" w:rsidR="00616F7A" w:rsidRPr="00B02C2E" w:rsidRDefault="00616F7A" w:rsidP="00616F7A">
            <w:pPr>
              <w:pStyle w:val="TableText"/>
              <w:jc w:val="center"/>
            </w:pPr>
            <w:r w:rsidRPr="00B02C2E">
              <w:t>Time to first relapse, relapse rate, disability progression, quality of life</w:t>
            </w:r>
          </w:p>
        </w:tc>
        <w:tc>
          <w:tcPr>
            <w:tcW w:w="1213" w:type="pct"/>
            <w:shd w:val="clear" w:color="auto" w:fill="auto"/>
            <w:vAlign w:val="center"/>
          </w:tcPr>
          <w:p w14:paraId="7783658E" w14:textId="77777777" w:rsidR="00616F7A" w:rsidRPr="00B02C2E" w:rsidRDefault="00616F7A" w:rsidP="00616F7A">
            <w:pPr>
              <w:pStyle w:val="TableText"/>
              <w:jc w:val="center"/>
            </w:pPr>
            <w:r w:rsidRPr="00B02C2E">
              <w:t>Risk of relapse, treatment efficacy, treatment discontinuation, health state utility values</w:t>
            </w:r>
          </w:p>
        </w:tc>
      </w:tr>
    </w:tbl>
    <w:p w14:paraId="4000EDD6" w14:textId="77777777" w:rsidR="00616F7A" w:rsidRPr="00B02C2E" w:rsidRDefault="00616F7A" w:rsidP="00616F7A">
      <w:pPr>
        <w:pStyle w:val="TableFigureFooter"/>
      </w:pPr>
      <w:r w:rsidRPr="00B02C2E">
        <w:t>Source: the resubmission</w:t>
      </w:r>
    </w:p>
    <w:p w14:paraId="7EB10840" w14:textId="77777777" w:rsidR="00616F7A" w:rsidRPr="00B02C2E" w:rsidRDefault="000A4C34" w:rsidP="000A4C34">
      <w:pPr>
        <w:pStyle w:val="TableFigureFooter"/>
      </w:pPr>
      <w:r w:rsidRPr="00B02C2E">
        <w:t xml:space="preserve">Abbreviations: </w:t>
      </w:r>
      <w:r w:rsidR="00616F7A" w:rsidRPr="00B02C2E">
        <w:t>AQP4+</w:t>
      </w:r>
      <w:r w:rsidRPr="00B02C2E">
        <w:t>,</w:t>
      </w:r>
      <w:r w:rsidR="00616F7A" w:rsidRPr="00B02C2E">
        <w:t xml:space="preserve"> aquaporin-4 positive; Ecu</w:t>
      </w:r>
      <w:r w:rsidRPr="00B02C2E">
        <w:t>,</w:t>
      </w:r>
      <w:r w:rsidR="00616F7A" w:rsidRPr="00B02C2E">
        <w:t xml:space="preserve"> eculizumab; NMOSD</w:t>
      </w:r>
      <w:r w:rsidRPr="00B02C2E">
        <w:t>,</w:t>
      </w:r>
      <w:r w:rsidR="00616F7A" w:rsidRPr="00B02C2E">
        <w:t xml:space="preserve"> neuromyelitis optica spectrum disorder</w:t>
      </w:r>
      <w:r w:rsidRPr="00B02C2E">
        <w:t xml:space="preserve">; </w:t>
      </w:r>
      <w:r w:rsidR="00616F7A" w:rsidRPr="00B02C2E">
        <w:t>Pbo</w:t>
      </w:r>
      <w:r w:rsidRPr="00B02C2E">
        <w:t>,</w:t>
      </w:r>
      <w:r w:rsidR="00616F7A" w:rsidRPr="00B02C2E">
        <w:t xml:space="preserve"> placebo</w:t>
      </w:r>
    </w:p>
    <w:p w14:paraId="68967376" w14:textId="77777777" w:rsidR="00620C25" w:rsidRPr="00B02C2E" w:rsidRDefault="00616F7A" w:rsidP="00EC5836">
      <w:pPr>
        <w:pStyle w:val="ExecSumBodyText"/>
        <w:rPr>
          <w:color w:val="000000" w:themeColor="text1"/>
        </w:rPr>
      </w:pPr>
      <w:r w:rsidRPr="00B02C2E">
        <w:rPr>
          <w:color w:val="000000" w:themeColor="text1"/>
        </w:rPr>
        <w:t>In its consideration of the November 2020 submission, the PBAC noted that the key limitations of the PREVENT trial included the significant number of protocol changes, the higher proportion of patients who discontinued treatment in the eculizumab arm (16.7%) compared to in the placebo arm (6.4%) and the large number of protocol violations (</w:t>
      </w:r>
      <w:r w:rsidR="004E04C6" w:rsidRPr="00B02C2E">
        <w:rPr>
          <w:color w:val="000000" w:themeColor="text1"/>
        </w:rPr>
        <w:t xml:space="preserve">paragraph </w:t>
      </w:r>
      <w:r w:rsidRPr="00B02C2E">
        <w:rPr>
          <w:color w:val="000000" w:themeColor="text1"/>
        </w:rPr>
        <w:t xml:space="preserve">7.7, </w:t>
      </w:r>
      <w:r w:rsidR="004E04C6" w:rsidRPr="00B02C2E">
        <w:rPr>
          <w:color w:val="000000" w:themeColor="text1"/>
        </w:rPr>
        <w:t>e</w:t>
      </w:r>
      <w:r w:rsidRPr="00B02C2E">
        <w:rPr>
          <w:color w:val="000000" w:themeColor="text1"/>
        </w:rPr>
        <w:t>culizumab PSD, November 2020).</w:t>
      </w:r>
    </w:p>
    <w:p w14:paraId="6ED86B94" w14:textId="77777777" w:rsidR="00581698" w:rsidRPr="00B02C2E" w:rsidRDefault="00581698" w:rsidP="00EC5836">
      <w:pPr>
        <w:pStyle w:val="ExecSumBodyText"/>
        <w:rPr>
          <w:color w:val="000000" w:themeColor="text1"/>
        </w:rPr>
      </w:pPr>
      <w:r w:rsidRPr="00B02C2E">
        <w:rPr>
          <w:color w:val="000000" w:themeColor="text1"/>
        </w:rPr>
        <w:t xml:space="preserve">Patients included in the PREVENT trial were required to have frequent relapses regardless of any prior history of immunosuppressive events. This was inconsistent with the proposed PBS population, which did not specify any relapse criteria for the subgroup of patients with prior immunosuppressive events. </w:t>
      </w:r>
      <w:r w:rsidR="002A6307" w:rsidRPr="00B02C2E">
        <w:rPr>
          <w:color w:val="000000" w:themeColor="text1"/>
        </w:rPr>
        <w:t xml:space="preserve">If there is a </w:t>
      </w:r>
      <w:r w:rsidRPr="00B02C2E">
        <w:rPr>
          <w:color w:val="000000" w:themeColor="text1"/>
        </w:rPr>
        <w:t>lower absolute risk of relapse in this population</w:t>
      </w:r>
      <w:r w:rsidR="002A6307" w:rsidRPr="00B02C2E">
        <w:rPr>
          <w:color w:val="000000" w:themeColor="text1"/>
        </w:rPr>
        <w:t>, it</w:t>
      </w:r>
      <w:r w:rsidRPr="00B02C2E">
        <w:rPr>
          <w:color w:val="000000" w:themeColor="text1"/>
        </w:rPr>
        <w:t xml:space="preserve"> is likely </w:t>
      </w:r>
      <w:r w:rsidR="002A6307" w:rsidRPr="00B02C2E">
        <w:rPr>
          <w:color w:val="000000" w:themeColor="text1"/>
        </w:rPr>
        <w:t>that t</w:t>
      </w:r>
      <w:r w:rsidRPr="00B02C2E">
        <w:rPr>
          <w:color w:val="000000" w:themeColor="text1"/>
        </w:rPr>
        <w:t>he magnitude of benefit associated with eculizumab treatment</w:t>
      </w:r>
      <w:r w:rsidR="002A6307" w:rsidRPr="00B02C2E">
        <w:rPr>
          <w:color w:val="000000" w:themeColor="text1"/>
        </w:rPr>
        <w:t xml:space="preserve"> will be reduced.</w:t>
      </w:r>
    </w:p>
    <w:p w14:paraId="7FA3F450" w14:textId="77777777" w:rsidR="00581698" w:rsidRPr="00B02C2E" w:rsidRDefault="002A6307" w:rsidP="00EC5836">
      <w:pPr>
        <w:pStyle w:val="ExecSumBodyText"/>
        <w:rPr>
          <w:color w:val="000000" w:themeColor="text1"/>
        </w:rPr>
      </w:pPr>
      <w:r w:rsidRPr="00B02C2E">
        <w:rPr>
          <w:color w:val="000000" w:themeColor="text1"/>
        </w:rPr>
        <w:t>R</w:t>
      </w:r>
      <w:r w:rsidR="00581698" w:rsidRPr="00B02C2E">
        <w:rPr>
          <w:color w:val="000000" w:themeColor="text1"/>
        </w:rPr>
        <w:t xml:space="preserve">ituximab was not permitted as a background immunosuppressive therapy in the PREVENT trial due to conflicting mechanisms of action with eculizumab. The </w:t>
      </w:r>
      <w:r w:rsidRPr="00B02C2E">
        <w:rPr>
          <w:color w:val="000000" w:themeColor="text1"/>
        </w:rPr>
        <w:t>re</w:t>
      </w:r>
      <w:r w:rsidR="00581698" w:rsidRPr="00B02C2E">
        <w:rPr>
          <w:color w:val="000000" w:themeColor="text1"/>
        </w:rPr>
        <w:t xml:space="preserve">submission acknowledged that this was not representative of best supportive care in Australia, which can include the use of rituximab treatment. However, the </w:t>
      </w:r>
      <w:r w:rsidRPr="00B02C2E">
        <w:rPr>
          <w:color w:val="000000" w:themeColor="text1"/>
        </w:rPr>
        <w:t>re</w:t>
      </w:r>
      <w:r w:rsidR="00581698" w:rsidRPr="00B02C2E">
        <w:rPr>
          <w:color w:val="000000" w:themeColor="text1"/>
        </w:rPr>
        <w:t xml:space="preserve">submission argued that treatment outcomes in the placebo arm would broadly generalisable to clinical practice as many patients had stopped rituximab treatment prior to </w:t>
      </w:r>
      <w:r w:rsidR="004E7C1A" w:rsidRPr="00B02C2E">
        <w:rPr>
          <w:color w:val="000000" w:themeColor="text1"/>
        </w:rPr>
        <w:t>enrolment</w:t>
      </w:r>
      <w:r w:rsidR="00581698" w:rsidRPr="00B02C2E">
        <w:rPr>
          <w:color w:val="000000" w:themeColor="text1"/>
        </w:rPr>
        <w:t xml:space="preserve">, prior rituximab use was not a treatment effect modifier, and relapse rates while using eculizumab were lower than historical relapse rates that included patients using rituximab. Available published data suggest that rituximab is an effective treatment for NMOSD and there may be clinically important differences amongst existing immunotherapies (Damato 2016, Huang 2019, Gao 2019, Nikoo 2017, </w:t>
      </w:r>
      <w:r w:rsidRPr="00B02C2E">
        <w:rPr>
          <w:color w:val="000000" w:themeColor="text1"/>
        </w:rPr>
        <w:t>Wang 2021</w:t>
      </w:r>
      <w:r w:rsidR="00581698" w:rsidRPr="00B02C2E">
        <w:rPr>
          <w:color w:val="000000" w:themeColor="text1"/>
        </w:rPr>
        <w:t>). Additionally, the submission did not address the optimisation of background therapies and it is unclear whether the intensity of background treatment (no therapy, monotherapy, combination therapy) was representative of Australian clinical practice.</w:t>
      </w:r>
    </w:p>
    <w:p w14:paraId="4FE0A277" w14:textId="77777777" w:rsidR="00B60939" w:rsidRPr="00B02C2E" w:rsidRDefault="00B60939" w:rsidP="00EC5836">
      <w:pPr>
        <w:pStyle w:val="3-SubsectionHeading"/>
      </w:pPr>
      <w:bookmarkStart w:id="19" w:name="_Toc22897641"/>
      <w:bookmarkStart w:id="20" w:name="_Toc82079278"/>
      <w:r w:rsidRPr="00B02C2E">
        <w:t>Comparative effectiveness</w:t>
      </w:r>
      <w:bookmarkEnd w:id="19"/>
      <w:bookmarkEnd w:id="20"/>
    </w:p>
    <w:p w14:paraId="77C57D61" w14:textId="77777777" w:rsidR="002A6307" w:rsidRPr="00B02C2E" w:rsidRDefault="002A6307" w:rsidP="00EC5836">
      <w:pPr>
        <w:pStyle w:val="ExecSumBodyText"/>
        <w:rPr>
          <w:color w:val="000000" w:themeColor="text1"/>
        </w:rPr>
      </w:pPr>
      <w:r w:rsidRPr="00B02C2E">
        <w:rPr>
          <w:snapToGrid/>
          <w:color w:val="000000" w:themeColor="text1"/>
        </w:rPr>
        <w:t xml:space="preserve">The </w:t>
      </w:r>
      <w:r w:rsidR="00CE3BD6" w:rsidRPr="00B02C2E">
        <w:rPr>
          <w:snapToGrid/>
          <w:color w:val="000000" w:themeColor="text1"/>
        </w:rPr>
        <w:t xml:space="preserve">key </w:t>
      </w:r>
      <w:r w:rsidRPr="00B02C2E">
        <w:rPr>
          <w:snapToGrid/>
          <w:color w:val="000000" w:themeColor="text1"/>
        </w:rPr>
        <w:t xml:space="preserve">results of the PREVENT trial </w:t>
      </w:r>
      <w:r w:rsidR="00CE3BD6" w:rsidRPr="00B02C2E">
        <w:rPr>
          <w:snapToGrid/>
          <w:color w:val="000000" w:themeColor="text1"/>
        </w:rPr>
        <w:t>we</w:t>
      </w:r>
      <w:r w:rsidRPr="00B02C2E">
        <w:rPr>
          <w:snapToGrid/>
          <w:color w:val="000000" w:themeColor="text1"/>
        </w:rPr>
        <w:t>re unchanged</w:t>
      </w:r>
      <w:r w:rsidR="00CE3BD6" w:rsidRPr="00B02C2E">
        <w:rPr>
          <w:snapToGrid/>
          <w:color w:val="000000" w:themeColor="text1"/>
        </w:rPr>
        <w:t xml:space="preserve"> in the resubmission. </w:t>
      </w:r>
    </w:p>
    <w:p w14:paraId="6E67DD62" w14:textId="77777777" w:rsidR="00471D86" w:rsidRPr="00B02C2E" w:rsidRDefault="00471D86" w:rsidP="000B1DAE">
      <w:pPr>
        <w:pStyle w:val="ExecSumBodyText"/>
        <w:contextualSpacing/>
        <w:rPr>
          <w:color w:val="000000" w:themeColor="text1"/>
        </w:rPr>
      </w:pPr>
      <w:r w:rsidRPr="00B02C2E">
        <w:rPr>
          <w:color w:val="000000" w:themeColor="text1"/>
        </w:rPr>
        <w:t xml:space="preserve">Compared with the November 2020 submission, key changes in </w:t>
      </w:r>
      <w:r w:rsidR="00F01FB5" w:rsidRPr="00B02C2E">
        <w:rPr>
          <w:color w:val="000000" w:themeColor="text1"/>
        </w:rPr>
        <w:t>the clinical evidence presented</w:t>
      </w:r>
      <w:r w:rsidRPr="00B02C2E">
        <w:rPr>
          <w:color w:val="000000" w:themeColor="text1"/>
        </w:rPr>
        <w:t xml:space="preserve"> included:</w:t>
      </w:r>
    </w:p>
    <w:p w14:paraId="21A4EF37" w14:textId="7402D62B" w:rsidR="00471D86" w:rsidRPr="00B02C2E" w:rsidRDefault="006F3101" w:rsidP="00587590">
      <w:pPr>
        <w:pStyle w:val="ExecSumBodyText"/>
        <w:numPr>
          <w:ilvl w:val="1"/>
          <w:numId w:val="10"/>
        </w:numPr>
        <w:ind w:left="1077" w:hanging="357"/>
        <w:contextualSpacing/>
        <w:rPr>
          <w:color w:val="000000" w:themeColor="text1"/>
        </w:rPr>
      </w:pPr>
      <w:r w:rsidRPr="00B02C2E">
        <w:rPr>
          <w:color w:val="000000" w:themeColor="text1"/>
        </w:rPr>
        <w:t>p</w:t>
      </w:r>
      <w:r w:rsidR="00471D86" w:rsidRPr="00B02C2E">
        <w:rPr>
          <w:color w:val="000000" w:themeColor="text1"/>
        </w:rPr>
        <w:t>ost-hoc subgroup analyses based on the PREVENT trial, that were not available in the original trial report</w:t>
      </w:r>
    </w:p>
    <w:p w14:paraId="4F79D923" w14:textId="5AB141A4" w:rsidR="00471D86" w:rsidRPr="00B02C2E" w:rsidRDefault="006F3101" w:rsidP="00587590">
      <w:pPr>
        <w:pStyle w:val="ExecSumBodyText"/>
        <w:numPr>
          <w:ilvl w:val="1"/>
          <w:numId w:val="10"/>
        </w:numPr>
        <w:ind w:left="1077" w:hanging="357"/>
        <w:contextualSpacing/>
        <w:rPr>
          <w:color w:val="000000" w:themeColor="text1"/>
        </w:rPr>
      </w:pPr>
      <w:r w:rsidRPr="00B02C2E">
        <w:rPr>
          <w:color w:val="000000" w:themeColor="text1"/>
        </w:rPr>
        <w:t>a</w:t>
      </w:r>
      <w:r w:rsidR="00471D86" w:rsidRPr="00B02C2E">
        <w:rPr>
          <w:color w:val="000000" w:themeColor="text1"/>
        </w:rPr>
        <w:t xml:space="preserve"> new interim analysis of the ECU-NMO-302 open label extension study (data cut July 2019</w:t>
      </w:r>
      <w:r w:rsidR="00CE3BD6" w:rsidRPr="00B02C2E">
        <w:rPr>
          <w:color w:val="000000" w:themeColor="text1"/>
        </w:rPr>
        <w:t>, as compared to October 2018 in the original submission</w:t>
      </w:r>
      <w:r w:rsidR="00471D86" w:rsidRPr="00B02C2E">
        <w:rPr>
          <w:color w:val="000000" w:themeColor="text1"/>
        </w:rPr>
        <w:t>)</w:t>
      </w:r>
    </w:p>
    <w:p w14:paraId="108BEA7C" w14:textId="77777777" w:rsidR="00471D86" w:rsidRPr="00B02C2E" w:rsidRDefault="006F3101" w:rsidP="00587590">
      <w:pPr>
        <w:pStyle w:val="ExecSumBodyText"/>
        <w:numPr>
          <w:ilvl w:val="1"/>
          <w:numId w:val="10"/>
        </w:numPr>
        <w:ind w:left="1077" w:hanging="357"/>
        <w:rPr>
          <w:color w:val="000000" w:themeColor="text1"/>
        </w:rPr>
      </w:pPr>
      <w:r w:rsidRPr="00B02C2E">
        <w:rPr>
          <w:color w:val="000000" w:themeColor="text1"/>
        </w:rPr>
        <w:t>s</w:t>
      </w:r>
      <w:r w:rsidR="00471D86" w:rsidRPr="00B02C2E">
        <w:rPr>
          <w:color w:val="000000" w:themeColor="text1"/>
        </w:rPr>
        <w:t>ystematic reviews summarising the evidence for rituximab and satralizumab for the treatment of NMOSD, and an indirect comparison of eculizumab versus satralizumab were included.</w:t>
      </w:r>
    </w:p>
    <w:p w14:paraId="62AF578F" w14:textId="77777777" w:rsidR="002A6307" w:rsidRPr="00B02C2E" w:rsidRDefault="002A6307" w:rsidP="002A6307">
      <w:pPr>
        <w:pStyle w:val="ExecSumBodyText"/>
      </w:pPr>
      <w:r w:rsidRPr="00B02C2E">
        <w:t>The time to first adjudicated relapse with eculizumab and placebo in the PREVENT trial is presented below.</w:t>
      </w:r>
    </w:p>
    <w:p w14:paraId="7BBEF1D8" w14:textId="77777777" w:rsidR="002A6307" w:rsidRPr="00B02C2E" w:rsidRDefault="002A6307" w:rsidP="002A6307">
      <w:pPr>
        <w:pStyle w:val="Tableheadingrow"/>
        <w:rPr>
          <w:lang w:val="en-AU"/>
        </w:rPr>
      </w:pPr>
      <w:r w:rsidRPr="00B02C2E">
        <w:rPr>
          <w:lang w:val="en-AU"/>
        </w:rPr>
        <w:t>Figure 1: Kaplan-Meier curve for the time to first adjudicated relapse in the PREVENT trial</w:t>
      </w:r>
    </w:p>
    <w:p w14:paraId="6750F70F" w14:textId="77777777" w:rsidR="002A6307" w:rsidRPr="00B02C2E" w:rsidRDefault="002A6307" w:rsidP="002A6307">
      <w:pPr>
        <w:pStyle w:val="TableFooter"/>
      </w:pPr>
      <w:r w:rsidRPr="00B02C2E">
        <w:rPr>
          <w:noProof/>
          <w:lang w:eastAsia="en-AU"/>
        </w:rPr>
        <w:drawing>
          <wp:inline distT="0" distB="0" distL="0" distR="0" wp14:anchorId="38444D49" wp14:editId="06D9AC53">
            <wp:extent cx="5653405" cy="2347913"/>
            <wp:effectExtent l="0" t="0" r="4445" b="0"/>
            <wp:docPr id="13" name="Picture 13" title="Figure 1: Kaplan-Meier curve for the time to first adjudicated relapse in the PREVEN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400"/>
                    <a:stretch/>
                  </pic:blipFill>
                  <pic:spPr bwMode="auto">
                    <a:xfrm>
                      <a:off x="0" y="0"/>
                      <a:ext cx="5653405" cy="2347913"/>
                    </a:xfrm>
                    <a:prstGeom prst="rect">
                      <a:avLst/>
                    </a:prstGeom>
                    <a:noFill/>
                    <a:ln>
                      <a:noFill/>
                    </a:ln>
                    <a:extLst>
                      <a:ext uri="{53640926-AAD7-44D8-BBD7-CCE9431645EC}">
                        <a14:shadowObscured xmlns:a14="http://schemas.microsoft.com/office/drawing/2010/main"/>
                      </a:ext>
                    </a:extLst>
                  </pic:spPr>
                </pic:pic>
              </a:graphicData>
            </a:graphic>
          </wp:inline>
        </w:drawing>
      </w:r>
    </w:p>
    <w:p w14:paraId="2822E393" w14:textId="77777777" w:rsidR="002A6307" w:rsidRPr="00B02C2E" w:rsidRDefault="002A6307" w:rsidP="002A6307">
      <w:pPr>
        <w:pStyle w:val="TableFooter"/>
      </w:pPr>
      <w:r w:rsidRPr="00B02C2E">
        <w:t>Source: Figure 1 of the eculizumab product information</w:t>
      </w:r>
    </w:p>
    <w:p w14:paraId="5D81522C" w14:textId="77777777" w:rsidR="002A6307" w:rsidRPr="00B02C2E" w:rsidRDefault="008621C7" w:rsidP="008621C7">
      <w:pPr>
        <w:pStyle w:val="TableFooter"/>
        <w:spacing w:after="120"/>
      </w:pPr>
      <w:r w:rsidRPr="00B02C2E">
        <w:t xml:space="preserve">Abbreviations: </w:t>
      </w:r>
      <w:r w:rsidR="002A6307" w:rsidRPr="00B02C2E">
        <w:t>CI</w:t>
      </w:r>
      <w:r w:rsidRPr="00B02C2E">
        <w:t>,</w:t>
      </w:r>
      <w:r w:rsidR="002A6307" w:rsidRPr="00B02C2E">
        <w:t xml:space="preserve"> confidence interval</w:t>
      </w:r>
    </w:p>
    <w:p w14:paraId="453A3EAC" w14:textId="77777777" w:rsidR="002A6307" w:rsidRPr="00B02C2E" w:rsidRDefault="002A6307" w:rsidP="002A6307">
      <w:pPr>
        <w:pStyle w:val="ExecSumBodyText"/>
      </w:pPr>
      <w:r w:rsidRPr="00B02C2E">
        <w:t>Treatment with eculizumab was associated with a statistically significant improvement in the time to first adjudicated relapse compared to placebo (</w:t>
      </w:r>
      <w:r w:rsidR="00CE3BD6" w:rsidRPr="00B02C2E">
        <w:t>h</w:t>
      </w:r>
      <w:r w:rsidRPr="00B02C2E">
        <w:t xml:space="preserve">azard ratio (HR) = 0.058; 95% confidence interval (CI): 0.017, 0.197). </w:t>
      </w:r>
    </w:p>
    <w:p w14:paraId="66831A68" w14:textId="77777777" w:rsidR="002A6307" w:rsidRPr="00B02C2E" w:rsidRDefault="002A6307" w:rsidP="002A6307">
      <w:pPr>
        <w:pStyle w:val="ExecSumBodyText"/>
      </w:pPr>
      <w:r w:rsidRPr="00B02C2E">
        <w:t>A comparison of annualised relapse rates between eculizumab and placebo in the PREVENT trial is summarised below.</w:t>
      </w:r>
    </w:p>
    <w:p w14:paraId="4E990463" w14:textId="77777777" w:rsidR="002A6307" w:rsidRPr="00B02C2E" w:rsidRDefault="002A6307" w:rsidP="002A6307">
      <w:pPr>
        <w:pStyle w:val="Tableheadingrow"/>
        <w:rPr>
          <w:lang w:val="en-AU"/>
        </w:rPr>
      </w:pPr>
      <w:r w:rsidRPr="00B02C2E">
        <w:rPr>
          <w:lang w:val="en-AU"/>
        </w:rPr>
        <w:t xml:space="preserve">Table </w:t>
      </w:r>
      <w:r w:rsidR="00EA6071" w:rsidRPr="00B02C2E">
        <w:rPr>
          <w:lang w:val="en-AU"/>
        </w:rPr>
        <w:t>6</w:t>
      </w:r>
      <w:r w:rsidRPr="00B02C2E">
        <w:rPr>
          <w:lang w:val="en-AU"/>
        </w:rPr>
        <w:t>: Annualised relapse rates reported in the PREVENT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321"/>
        <w:gridCol w:w="1849"/>
        <w:gridCol w:w="1435"/>
        <w:gridCol w:w="1435"/>
      </w:tblGrid>
      <w:tr w:rsidR="002A6307" w:rsidRPr="00B02C2E" w14:paraId="3436539D" w14:textId="77777777" w:rsidTr="000748B8">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266D" w14:textId="77777777" w:rsidR="002A6307" w:rsidRPr="00B02C2E" w:rsidRDefault="002A6307" w:rsidP="00A01704">
            <w:pPr>
              <w:pStyle w:val="TableText"/>
              <w:widowControl w:val="0"/>
            </w:pPr>
            <w:r w:rsidRPr="00B02C2E">
              <w:rPr>
                <w:b/>
              </w:rPr>
              <w:t>Outcome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02FB" w14:textId="77777777" w:rsidR="002A6307" w:rsidRPr="00B02C2E" w:rsidRDefault="002A6307" w:rsidP="00A01704">
            <w:pPr>
              <w:pStyle w:val="TableText"/>
              <w:widowControl w:val="0"/>
              <w:jc w:val="center"/>
            </w:pPr>
            <w:r w:rsidRPr="00B02C2E">
              <w:rPr>
                <w:b/>
              </w:rPr>
              <w:t>Number of relapses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3CC39CA" w14:textId="77777777" w:rsidR="002A6307" w:rsidRPr="00B02C2E" w:rsidRDefault="002A6307" w:rsidP="00A01704">
            <w:pPr>
              <w:pStyle w:val="TableText"/>
              <w:widowControl w:val="0"/>
              <w:jc w:val="center"/>
              <w:rPr>
                <w:b/>
              </w:rPr>
            </w:pPr>
            <w:r w:rsidRPr="00B02C2E">
              <w:rPr>
                <w:b/>
              </w:rPr>
              <w:t>Patient years of follow-up</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CD1D5B9" w14:textId="77777777" w:rsidR="002A6307" w:rsidRPr="00B02C2E" w:rsidRDefault="002A6307" w:rsidP="00A01704">
            <w:pPr>
              <w:pStyle w:val="TableText"/>
              <w:widowControl w:val="0"/>
              <w:jc w:val="center"/>
              <w:rPr>
                <w:b/>
              </w:rPr>
            </w:pPr>
            <w:r w:rsidRPr="00B02C2E">
              <w:rPr>
                <w:b/>
              </w:rPr>
              <w:t>Annualised relapse rate (95% CI)</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900DDCB" w14:textId="77777777" w:rsidR="002A6307" w:rsidRPr="00B02C2E" w:rsidRDefault="002A6307" w:rsidP="00A01704">
            <w:pPr>
              <w:pStyle w:val="TableText"/>
              <w:widowControl w:val="0"/>
              <w:jc w:val="center"/>
              <w:rPr>
                <w:b/>
              </w:rPr>
            </w:pPr>
            <w:r w:rsidRPr="00B02C2E">
              <w:rPr>
                <w:b/>
              </w:rPr>
              <w:t xml:space="preserve">Rate ratio </w:t>
            </w:r>
          </w:p>
          <w:p w14:paraId="11498872" w14:textId="77777777" w:rsidR="002A6307" w:rsidRPr="00B02C2E" w:rsidRDefault="002A6307" w:rsidP="00A01704">
            <w:pPr>
              <w:pStyle w:val="TableText"/>
              <w:widowControl w:val="0"/>
              <w:jc w:val="center"/>
              <w:rPr>
                <w:b/>
              </w:rPr>
            </w:pPr>
            <w:r w:rsidRPr="00B02C2E">
              <w:rPr>
                <w:b/>
              </w:rPr>
              <w:t>(95% CI)</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D042CC5" w14:textId="77777777" w:rsidR="002A6307" w:rsidRPr="00B02C2E" w:rsidRDefault="002A6307" w:rsidP="00A01704">
            <w:pPr>
              <w:pStyle w:val="TableText"/>
              <w:widowControl w:val="0"/>
              <w:jc w:val="center"/>
              <w:rPr>
                <w:b/>
              </w:rPr>
            </w:pPr>
            <w:r w:rsidRPr="00B02C2E">
              <w:rPr>
                <w:b/>
              </w:rPr>
              <w:t>P-value</w:t>
            </w:r>
          </w:p>
        </w:tc>
      </w:tr>
      <w:tr w:rsidR="002A6307" w:rsidRPr="00B02C2E" w14:paraId="63FB14E6" w14:textId="77777777" w:rsidTr="000748B8">
        <w:trPr>
          <w:trHeight w:val="70"/>
        </w:trPr>
        <w:tc>
          <w:tcPr>
            <w:tcW w:w="90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3283E8" w14:textId="77777777" w:rsidR="002A6307" w:rsidRPr="00B02C2E" w:rsidRDefault="002A6307" w:rsidP="00A01704">
            <w:pPr>
              <w:pStyle w:val="TableText"/>
              <w:widowControl w:val="0"/>
              <w:rPr>
                <w:b/>
              </w:rPr>
            </w:pPr>
            <w:r w:rsidRPr="00B02C2E">
              <w:rPr>
                <w:b/>
              </w:rPr>
              <w:t>Adjudicated relapses</w:t>
            </w:r>
          </w:p>
        </w:tc>
      </w:tr>
      <w:tr w:rsidR="002A6307" w:rsidRPr="00B02C2E" w14:paraId="109657DB" w14:textId="77777777" w:rsidTr="000748B8">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5DAF8B" w14:textId="77777777" w:rsidR="002A6307" w:rsidRPr="00B02C2E" w:rsidRDefault="002A6307" w:rsidP="00A01704">
            <w:pPr>
              <w:pStyle w:val="TableText"/>
              <w:widowControl w:val="0"/>
            </w:pPr>
            <w:r w:rsidRPr="00B02C2E">
              <w:t>Eculizumab (N = 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24483A" w14:textId="77777777" w:rsidR="002A6307" w:rsidRPr="00B02C2E" w:rsidRDefault="002A6307" w:rsidP="00A01704">
            <w:pPr>
              <w:pStyle w:val="TableText"/>
              <w:widowControl w:val="0"/>
              <w:jc w:val="center"/>
            </w:pPr>
            <w:r w:rsidRPr="00B02C2E">
              <w:t>3</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F3C604" w14:textId="77777777" w:rsidR="002A6307" w:rsidRPr="00B02C2E" w:rsidRDefault="002A6307" w:rsidP="00A01704">
            <w:pPr>
              <w:pStyle w:val="TableText"/>
              <w:widowControl w:val="0"/>
              <w:jc w:val="center"/>
            </w:pPr>
            <w:r w:rsidRPr="00B02C2E">
              <w:t>171.32</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C006556" w14:textId="77777777" w:rsidR="002A6307" w:rsidRPr="00B02C2E" w:rsidRDefault="002A6307" w:rsidP="00A01704">
            <w:pPr>
              <w:pStyle w:val="TableText"/>
              <w:widowControl w:val="0"/>
              <w:jc w:val="center"/>
            </w:pPr>
            <w:r w:rsidRPr="00B02C2E">
              <w:t>0.016 (0.005, 0.050)</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463C84EF" w14:textId="77777777" w:rsidR="002A6307" w:rsidRPr="00B02C2E" w:rsidRDefault="002A6307" w:rsidP="00A01704">
            <w:pPr>
              <w:pStyle w:val="TableText"/>
              <w:widowControl w:val="0"/>
              <w:jc w:val="center"/>
            </w:pPr>
            <w:r w:rsidRPr="00B02C2E">
              <w:t xml:space="preserve">0.045 </w:t>
            </w:r>
          </w:p>
          <w:p w14:paraId="1AC4A5DC" w14:textId="77777777" w:rsidR="002A6307" w:rsidRPr="00B02C2E" w:rsidRDefault="002A6307" w:rsidP="00A01704">
            <w:pPr>
              <w:pStyle w:val="TableText"/>
              <w:widowControl w:val="0"/>
              <w:jc w:val="center"/>
            </w:pPr>
            <w:r w:rsidRPr="00B02C2E">
              <w:t>(0.013, 0.151)</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051BA505" w14:textId="77777777" w:rsidR="002A6307" w:rsidRPr="00B02C2E" w:rsidRDefault="002A6307" w:rsidP="00A01704">
            <w:pPr>
              <w:pStyle w:val="TableText"/>
              <w:widowControl w:val="0"/>
              <w:jc w:val="center"/>
            </w:pPr>
            <w:r w:rsidRPr="00B02C2E">
              <w:t>&lt; 0.0001</w:t>
            </w:r>
          </w:p>
        </w:tc>
      </w:tr>
      <w:tr w:rsidR="002A6307" w:rsidRPr="00B02C2E" w14:paraId="223042B2" w14:textId="77777777" w:rsidTr="000748B8">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53862" w14:textId="77777777" w:rsidR="002A6307" w:rsidRPr="00B02C2E" w:rsidRDefault="002A6307" w:rsidP="00A01704">
            <w:pPr>
              <w:pStyle w:val="TableText"/>
              <w:widowControl w:val="0"/>
            </w:pPr>
            <w:r w:rsidRPr="00B02C2E">
              <w:t>Placebo (N = 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100E9" w14:textId="77777777" w:rsidR="002A6307" w:rsidRPr="00B02C2E" w:rsidRDefault="002A6307" w:rsidP="00A01704">
            <w:pPr>
              <w:pStyle w:val="TableText"/>
              <w:widowControl w:val="0"/>
              <w:jc w:val="center"/>
            </w:pPr>
            <w:r w:rsidRPr="00B02C2E">
              <w:t>21</w:t>
            </w:r>
            <w:r w:rsidR="00230ACC" w:rsidRPr="00B02C2E">
              <w:rPr>
                <w:vertAlign w:val="superscript"/>
              </w:rPr>
              <w:t>a</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1CCC77B" w14:textId="77777777" w:rsidR="002A6307" w:rsidRPr="00B02C2E" w:rsidRDefault="002A6307" w:rsidP="00A01704">
            <w:pPr>
              <w:pStyle w:val="TableText"/>
              <w:widowControl w:val="0"/>
              <w:jc w:val="center"/>
            </w:pPr>
            <w:r w:rsidRPr="00B02C2E">
              <w:t>52.41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80D958C" w14:textId="77777777" w:rsidR="002A6307" w:rsidRPr="00B02C2E" w:rsidRDefault="002A6307" w:rsidP="00A01704">
            <w:pPr>
              <w:pStyle w:val="TableText"/>
              <w:widowControl w:val="0"/>
              <w:jc w:val="center"/>
            </w:pPr>
            <w:r w:rsidRPr="00B02C2E">
              <w:t>0.350 (0.199, 0.616)</w:t>
            </w:r>
          </w:p>
        </w:tc>
        <w:tc>
          <w:tcPr>
            <w:tcW w:w="1435" w:type="dxa"/>
            <w:vMerge/>
            <w:tcBorders>
              <w:left w:val="single" w:sz="4" w:space="0" w:color="auto"/>
              <w:bottom w:val="single" w:sz="4" w:space="0" w:color="auto"/>
              <w:right w:val="single" w:sz="4" w:space="0" w:color="auto"/>
            </w:tcBorders>
            <w:shd w:val="clear" w:color="auto" w:fill="auto"/>
            <w:vAlign w:val="center"/>
          </w:tcPr>
          <w:p w14:paraId="5C2EE9DC" w14:textId="77777777" w:rsidR="002A6307" w:rsidRPr="00B02C2E" w:rsidRDefault="002A6307" w:rsidP="00A01704">
            <w:pPr>
              <w:pStyle w:val="TableText"/>
              <w:widowControl w:val="0"/>
              <w:jc w:val="center"/>
            </w:pPr>
          </w:p>
        </w:tc>
        <w:tc>
          <w:tcPr>
            <w:tcW w:w="1435" w:type="dxa"/>
            <w:vMerge/>
            <w:tcBorders>
              <w:left w:val="single" w:sz="4" w:space="0" w:color="auto"/>
              <w:bottom w:val="single" w:sz="4" w:space="0" w:color="auto"/>
              <w:right w:val="single" w:sz="4" w:space="0" w:color="auto"/>
            </w:tcBorders>
            <w:shd w:val="clear" w:color="auto" w:fill="auto"/>
            <w:vAlign w:val="center"/>
          </w:tcPr>
          <w:p w14:paraId="0ECE7A23" w14:textId="77777777" w:rsidR="002A6307" w:rsidRPr="00B02C2E" w:rsidRDefault="002A6307" w:rsidP="00A01704">
            <w:pPr>
              <w:pStyle w:val="TableText"/>
              <w:widowControl w:val="0"/>
              <w:jc w:val="center"/>
            </w:pPr>
          </w:p>
        </w:tc>
      </w:tr>
      <w:tr w:rsidR="002A6307" w:rsidRPr="00B02C2E" w14:paraId="0820FE89" w14:textId="77777777" w:rsidTr="000748B8">
        <w:trPr>
          <w:trHeight w:val="70"/>
        </w:trPr>
        <w:tc>
          <w:tcPr>
            <w:tcW w:w="90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7B600F" w14:textId="77777777" w:rsidR="002A6307" w:rsidRPr="00B02C2E" w:rsidRDefault="002A6307" w:rsidP="00A01704">
            <w:pPr>
              <w:pStyle w:val="TableText"/>
              <w:widowControl w:val="0"/>
              <w:rPr>
                <w:b/>
              </w:rPr>
            </w:pPr>
            <w:r w:rsidRPr="00B02C2E">
              <w:rPr>
                <w:b/>
              </w:rPr>
              <w:t>On-trial relapses (assessed by treating physician)</w:t>
            </w:r>
          </w:p>
        </w:tc>
      </w:tr>
      <w:tr w:rsidR="002A6307" w:rsidRPr="00B02C2E" w14:paraId="6FA514B7" w14:textId="77777777" w:rsidTr="000748B8">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D19480" w14:textId="77777777" w:rsidR="002A6307" w:rsidRPr="00B02C2E" w:rsidRDefault="002A6307" w:rsidP="00A01704">
            <w:pPr>
              <w:pStyle w:val="TableText"/>
              <w:widowControl w:val="0"/>
            </w:pPr>
            <w:r w:rsidRPr="00B02C2E">
              <w:t>Eculizumab (N = 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ADE53" w14:textId="77777777" w:rsidR="002A6307" w:rsidRPr="00B02C2E" w:rsidRDefault="002A6307" w:rsidP="00A01704">
            <w:pPr>
              <w:pStyle w:val="TableText"/>
              <w:widowControl w:val="0"/>
              <w:jc w:val="center"/>
            </w:pPr>
            <w:r w:rsidRPr="00B02C2E">
              <w:t>14</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86FD851" w14:textId="77777777" w:rsidR="002A6307" w:rsidRPr="00B02C2E" w:rsidRDefault="002A6307" w:rsidP="00A01704">
            <w:pPr>
              <w:pStyle w:val="TableText"/>
              <w:widowControl w:val="0"/>
              <w:jc w:val="center"/>
            </w:pPr>
            <w:r w:rsidRPr="00B02C2E">
              <w:t>171.32</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5CA5DD1" w14:textId="77777777" w:rsidR="002A6307" w:rsidRPr="00B02C2E" w:rsidRDefault="002A6307" w:rsidP="00A01704">
            <w:pPr>
              <w:pStyle w:val="TableText"/>
              <w:widowControl w:val="0"/>
              <w:jc w:val="center"/>
            </w:pPr>
            <w:r w:rsidRPr="00B02C2E">
              <w:t>0.066 (0.036, 0.120)</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0F7DCBDB" w14:textId="77777777" w:rsidR="002A6307" w:rsidRPr="00B02C2E" w:rsidRDefault="002A6307" w:rsidP="00A01704">
            <w:pPr>
              <w:pStyle w:val="TableText"/>
              <w:widowControl w:val="0"/>
              <w:jc w:val="center"/>
            </w:pPr>
            <w:r w:rsidRPr="00B02C2E">
              <w:t xml:space="preserve">0.147 </w:t>
            </w:r>
          </w:p>
          <w:p w14:paraId="68025B7C" w14:textId="77777777" w:rsidR="002A6307" w:rsidRPr="00B02C2E" w:rsidRDefault="002A6307" w:rsidP="00A01704">
            <w:pPr>
              <w:pStyle w:val="TableText"/>
              <w:widowControl w:val="0"/>
              <w:jc w:val="center"/>
            </w:pPr>
            <w:r w:rsidRPr="00B02C2E">
              <w:t>(0.078, 0.278)</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3D7C9676" w14:textId="77777777" w:rsidR="002A6307" w:rsidRPr="00B02C2E" w:rsidRDefault="002A6307" w:rsidP="00A01704">
            <w:pPr>
              <w:pStyle w:val="TableText"/>
              <w:widowControl w:val="0"/>
              <w:jc w:val="center"/>
            </w:pPr>
            <w:r w:rsidRPr="00B02C2E">
              <w:t>&lt; 0.0001</w:t>
            </w:r>
          </w:p>
        </w:tc>
      </w:tr>
      <w:tr w:rsidR="002A6307" w:rsidRPr="00B02C2E" w14:paraId="63E528C7" w14:textId="77777777" w:rsidTr="000748B8">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8A73E" w14:textId="77777777" w:rsidR="002A6307" w:rsidRPr="00B02C2E" w:rsidRDefault="002A6307" w:rsidP="00A01704">
            <w:pPr>
              <w:pStyle w:val="TableText"/>
              <w:widowControl w:val="0"/>
            </w:pPr>
            <w:r w:rsidRPr="00B02C2E">
              <w:t>Placebo (N = 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4CB9D" w14:textId="77777777" w:rsidR="002A6307" w:rsidRPr="00B02C2E" w:rsidRDefault="002A6307" w:rsidP="00A01704">
            <w:pPr>
              <w:pStyle w:val="TableText"/>
              <w:widowControl w:val="0"/>
              <w:jc w:val="center"/>
            </w:pPr>
            <w:r w:rsidRPr="00B02C2E">
              <w:t>31</w:t>
            </w:r>
            <w:r w:rsidR="00230ACC" w:rsidRPr="00B02C2E">
              <w:rPr>
                <w:vertAlign w:val="superscript"/>
              </w:rPr>
              <w:t>b</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D943AEC" w14:textId="77777777" w:rsidR="002A6307" w:rsidRPr="00B02C2E" w:rsidRDefault="002A6307" w:rsidP="00A01704">
            <w:pPr>
              <w:pStyle w:val="TableText"/>
              <w:widowControl w:val="0"/>
              <w:jc w:val="center"/>
            </w:pPr>
            <w:r w:rsidRPr="00B02C2E">
              <w:t>52.41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AA5575D" w14:textId="77777777" w:rsidR="002A6307" w:rsidRPr="00B02C2E" w:rsidRDefault="002A6307" w:rsidP="00A01704">
            <w:pPr>
              <w:pStyle w:val="TableText"/>
              <w:widowControl w:val="0"/>
              <w:jc w:val="center"/>
            </w:pPr>
            <w:r w:rsidRPr="00B02C2E">
              <w:t>0.446 (0.272, 0.732)</w:t>
            </w:r>
          </w:p>
        </w:tc>
        <w:tc>
          <w:tcPr>
            <w:tcW w:w="1435" w:type="dxa"/>
            <w:vMerge/>
            <w:tcBorders>
              <w:left w:val="single" w:sz="4" w:space="0" w:color="auto"/>
              <w:bottom w:val="single" w:sz="4" w:space="0" w:color="auto"/>
              <w:right w:val="single" w:sz="4" w:space="0" w:color="auto"/>
            </w:tcBorders>
            <w:shd w:val="clear" w:color="auto" w:fill="auto"/>
            <w:vAlign w:val="center"/>
          </w:tcPr>
          <w:p w14:paraId="54154647" w14:textId="77777777" w:rsidR="002A6307" w:rsidRPr="00B02C2E" w:rsidRDefault="002A6307" w:rsidP="00A01704">
            <w:pPr>
              <w:pStyle w:val="TableText"/>
              <w:widowControl w:val="0"/>
              <w:jc w:val="center"/>
            </w:pPr>
          </w:p>
        </w:tc>
        <w:tc>
          <w:tcPr>
            <w:tcW w:w="1435" w:type="dxa"/>
            <w:vMerge/>
            <w:tcBorders>
              <w:left w:val="single" w:sz="4" w:space="0" w:color="auto"/>
              <w:bottom w:val="single" w:sz="4" w:space="0" w:color="auto"/>
              <w:right w:val="single" w:sz="4" w:space="0" w:color="auto"/>
            </w:tcBorders>
            <w:shd w:val="clear" w:color="auto" w:fill="auto"/>
            <w:vAlign w:val="center"/>
          </w:tcPr>
          <w:p w14:paraId="4F35F42C" w14:textId="77777777" w:rsidR="002A6307" w:rsidRPr="00B02C2E" w:rsidRDefault="002A6307" w:rsidP="00A01704">
            <w:pPr>
              <w:pStyle w:val="TableText"/>
              <w:widowControl w:val="0"/>
              <w:jc w:val="center"/>
            </w:pPr>
          </w:p>
        </w:tc>
      </w:tr>
    </w:tbl>
    <w:p w14:paraId="695A509A" w14:textId="77777777" w:rsidR="002A6307" w:rsidRPr="00B02C2E" w:rsidRDefault="002A6307" w:rsidP="002A6307">
      <w:pPr>
        <w:pStyle w:val="TableFooter"/>
      </w:pPr>
      <w:r w:rsidRPr="00B02C2E">
        <w:t xml:space="preserve">Source: </w:t>
      </w:r>
      <w:r w:rsidR="00A43BF8" w:rsidRPr="00B02C2E">
        <w:t>Table 2-18 (p 72), Table 2-19 (p 72) of the resubmission</w:t>
      </w:r>
      <w:r w:rsidRPr="00B02C2E">
        <w:t>; Table 34 (p 119) of the PREVENT trial report</w:t>
      </w:r>
    </w:p>
    <w:p w14:paraId="48D31CE1" w14:textId="77777777" w:rsidR="002A6307" w:rsidRPr="00B02C2E" w:rsidRDefault="00A43BF8" w:rsidP="00230ACC">
      <w:pPr>
        <w:pStyle w:val="TableFooter"/>
      </w:pPr>
      <w:r w:rsidRPr="00B02C2E">
        <w:t xml:space="preserve">Abbreviations: </w:t>
      </w:r>
      <w:r w:rsidR="002A6307" w:rsidRPr="00B02C2E">
        <w:t>CI</w:t>
      </w:r>
      <w:r w:rsidRPr="00B02C2E">
        <w:t>,</w:t>
      </w:r>
      <w:r w:rsidR="002A6307" w:rsidRPr="00B02C2E">
        <w:t xml:space="preserve"> confidence interval</w:t>
      </w:r>
    </w:p>
    <w:p w14:paraId="6607C405" w14:textId="77777777" w:rsidR="00230ACC" w:rsidRPr="00B02C2E" w:rsidRDefault="00230ACC" w:rsidP="00230ACC">
      <w:pPr>
        <w:pStyle w:val="TableFooter"/>
      </w:pPr>
      <w:r w:rsidRPr="00B02C2E">
        <w:rPr>
          <w:vertAlign w:val="superscript"/>
        </w:rPr>
        <w:t>a</w:t>
      </w:r>
      <w:r w:rsidRPr="00B02C2E">
        <w:t xml:space="preserve"> One patient had two adjudicated on trial relapses.</w:t>
      </w:r>
    </w:p>
    <w:p w14:paraId="52F7DD51" w14:textId="77777777" w:rsidR="00230ACC" w:rsidRPr="00B02C2E" w:rsidRDefault="00230ACC" w:rsidP="00230ACC">
      <w:pPr>
        <w:pStyle w:val="TableFooter"/>
      </w:pPr>
      <w:r w:rsidRPr="00B02C2E">
        <w:rPr>
          <w:vertAlign w:val="superscript"/>
        </w:rPr>
        <w:t>b</w:t>
      </w:r>
      <w:r w:rsidRPr="00B02C2E">
        <w:t xml:space="preserve"> Two patients each had two adjudicated on-trial relapses</w:t>
      </w:r>
    </w:p>
    <w:p w14:paraId="09F23CAD" w14:textId="77777777" w:rsidR="00230ACC" w:rsidRPr="00B02C2E" w:rsidRDefault="00230ACC" w:rsidP="002A6307">
      <w:pPr>
        <w:pStyle w:val="TableFooter"/>
        <w:spacing w:after="120"/>
      </w:pPr>
    </w:p>
    <w:p w14:paraId="2D0E80EE" w14:textId="77777777" w:rsidR="002A6307" w:rsidRPr="00B02C2E" w:rsidRDefault="002A6307" w:rsidP="002A6307">
      <w:pPr>
        <w:pStyle w:val="ExecSumBodyText"/>
      </w:pPr>
      <w:r w:rsidRPr="00B02C2E">
        <w:t xml:space="preserve">Treatment with eculizumab was associated with a statistically significant reduction in adjudicated annualised relapse rate compared to placebo (rate ratio (RR) = 0.045; 95% CI: 0.013, 0.151). However, the difference between treatment arms was reduced when on-trial relapses were assessed by the treating physician (RR = 0.147; 95% CI: 0.078, 0.278). </w:t>
      </w:r>
    </w:p>
    <w:p w14:paraId="2074FA43" w14:textId="77777777" w:rsidR="002A6307" w:rsidRPr="00B02C2E" w:rsidRDefault="002A6307" w:rsidP="00DC12E1">
      <w:pPr>
        <w:pStyle w:val="ExecSumBodyText"/>
      </w:pPr>
      <w:r w:rsidRPr="00B02C2E">
        <w:t>Interim results of the longer-term extension study ECU-NMO-302 indicated a physician-assessed annualised relapse rate of 0.097 (18 relapses over 185.26 patient-years; Table 2-32 p105 of the resubmission, July 2019 data analysis) in patients treated with eculizumab</w:t>
      </w:r>
      <w:r w:rsidR="00805E5A" w:rsidRPr="00B02C2E">
        <w:t xml:space="preserve"> as compared to a relapse rate of 0.032 (9 relapses over 279.30 years) at the October 2018 data analysis</w:t>
      </w:r>
      <w:r w:rsidRPr="00B02C2E">
        <w:t>. Further analyses suggested a decrease in the on-trial physician-assessed annualised relapse rate, compared with the historical patient annualised relapse rate, for patients switching from placebo to eculizumab (0.137 vs. 2.164; Table 2-31 p104 of the resubmission, July 2019 data analysis).</w:t>
      </w:r>
    </w:p>
    <w:p w14:paraId="42B1A0F9" w14:textId="77777777" w:rsidR="002A6307" w:rsidRPr="00B02C2E" w:rsidRDefault="002A6307" w:rsidP="00DC12E1">
      <w:pPr>
        <w:pStyle w:val="ExecSumBodyText"/>
      </w:pPr>
      <w:r w:rsidRPr="00B02C2E">
        <w:t xml:space="preserve">The resubmission included a combined analysis of the PREVENT trial and the longer-term extension study ECU-NMO-302 from the July 2019 data cut. A total of 8/137 (5.8%) patients experienced 9 adjudicated on-trial relapses whilst being treated with eculizumab for over 358.80 patient-years, with an estimated adjudicated on-trial </w:t>
      </w:r>
      <w:r w:rsidR="00BC609A" w:rsidRPr="00B02C2E">
        <w:t>annualised relapse rate</w:t>
      </w:r>
      <w:r w:rsidRPr="00B02C2E">
        <w:t xml:space="preserve"> of 0.025, and the median change in </w:t>
      </w:r>
      <w:r w:rsidR="00BC609A" w:rsidRPr="00B02C2E">
        <w:t>annualised relapse rate</w:t>
      </w:r>
      <w:r w:rsidRPr="00B02C2E">
        <w:t xml:space="preserve"> between historical </w:t>
      </w:r>
      <w:r w:rsidR="00BC609A" w:rsidRPr="00B02C2E">
        <w:t>annualised relapse rate</w:t>
      </w:r>
      <w:r w:rsidRPr="00B02C2E">
        <w:t xml:space="preserve"> and eculizumab </w:t>
      </w:r>
      <w:r w:rsidR="00BC609A" w:rsidRPr="00B02C2E">
        <w:t>annualised relapse rate</w:t>
      </w:r>
      <w:r w:rsidRPr="00B02C2E">
        <w:t xml:space="preserve"> based on the combined set was </w:t>
      </w:r>
      <w:r w:rsidR="0022358E" w:rsidRPr="00B02C2E">
        <w:t>-</w:t>
      </w:r>
      <w:r w:rsidRPr="00B02C2E">
        <w:t>1.923 (</w:t>
      </w:r>
      <w:r w:rsidR="00BC609A" w:rsidRPr="00B02C2E">
        <w:t xml:space="preserve">range: </w:t>
      </w:r>
      <w:r w:rsidRPr="00B02C2E">
        <w:t>-6.38</w:t>
      </w:r>
      <w:r w:rsidR="00BC609A" w:rsidRPr="00B02C2E">
        <w:t xml:space="preserve"> to</w:t>
      </w:r>
      <w:r w:rsidRPr="00B02C2E">
        <w:t xml:space="preserve"> -0.62). </w:t>
      </w:r>
    </w:p>
    <w:p w14:paraId="337958FC" w14:textId="77777777" w:rsidR="002A6307" w:rsidRPr="00B02C2E" w:rsidRDefault="002A6307" w:rsidP="002A6307">
      <w:pPr>
        <w:pStyle w:val="ExecSumBodyText"/>
      </w:pPr>
      <w:r w:rsidRPr="00B02C2E">
        <w:t>There were no results from either the PREVENT study or the longer-term extension study that indicated that eculizumab substantially extends the lifespan of patients with NMOSD.</w:t>
      </w:r>
    </w:p>
    <w:p w14:paraId="51577DEF" w14:textId="77777777" w:rsidR="00DC12E1" w:rsidRPr="00B02C2E" w:rsidRDefault="00805E5A" w:rsidP="00550195">
      <w:pPr>
        <w:pStyle w:val="ExecSumBodyText"/>
      </w:pPr>
      <w:bookmarkStart w:id="21" w:name="_Hlk82005112"/>
      <w:r w:rsidRPr="00B02C2E">
        <w:t xml:space="preserve">The </w:t>
      </w:r>
      <w:r w:rsidR="002A6307" w:rsidRPr="00B02C2E">
        <w:t xml:space="preserve">comparison of disability and quality of life measures between eculizumab and placebo in the PREVENT trial </w:t>
      </w:r>
      <w:r w:rsidRPr="00B02C2E">
        <w:t>was unchanged in the resubmission</w:t>
      </w:r>
      <w:r w:rsidR="002A6307" w:rsidRPr="00B02C2E">
        <w:t>.</w:t>
      </w:r>
      <w:r w:rsidR="000E489E" w:rsidRPr="00B02C2E">
        <w:t xml:space="preserve"> </w:t>
      </w:r>
      <w:r w:rsidR="00DC12E1" w:rsidRPr="00B02C2E">
        <w:t xml:space="preserve">The PBAC </w:t>
      </w:r>
      <w:r w:rsidR="00DF30E0" w:rsidRPr="00B02C2E">
        <w:t xml:space="preserve">previously </w:t>
      </w:r>
      <w:r w:rsidR="00DC12E1" w:rsidRPr="00B02C2E">
        <w:t xml:space="preserve">noted that there were no statistically significant differences in disability or quality of life measures, but that the results generally favoured eculizumab. </w:t>
      </w:r>
      <w:r w:rsidR="00DF30E0" w:rsidRPr="00B02C2E">
        <w:t>In November 2020, t</w:t>
      </w:r>
      <w:r w:rsidR="00DC12E1" w:rsidRPr="00B02C2E">
        <w:t>he PBAC agreed with ESC that because patients completed the PREVENT trial six weeks after relapse, it was unclear whether the changes in disability progression represented temporary differences or permanent effects</w:t>
      </w:r>
      <w:r w:rsidR="00E3340A" w:rsidRPr="00B02C2E">
        <w:t xml:space="preserve"> </w:t>
      </w:r>
      <w:r w:rsidR="00DC12E1" w:rsidRPr="00B02C2E">
        <w:t>(para</w:t>
      </w:r>
      <w:r w:rsidR="004E04C6" w:rsidRPr="00B02C2E">
        <w:t>graph</w:t>
      </w:r>
      <w:r w:rsidR="00DC12E1" w:rsidRPr="00B02C2E">
        <w:t xml:space="preserve"> 7.10, </w:t>
      </w:r>
      <w:r w:rsidR="004E04C6" w:rsidRPr="00B02C2E">
        <w:t>e</w:t>
      </w:r>
      <w:r w:rsidR="00DC12E1" w:rsidRPr="00B02C2E">
        <w:t>culizumab PSD, November 2020).</w:t>
      </w:r>
    </w:p>
    <w:bookmarkEnd w:id="21"/>
    <w:p w14:paraId="2487111E" w14:textId="77777777" w:rsidR="00934988" w:rsidRPr="00B02C2E" w:rsidRDefault="002A6307" w:rsidP="00DC12E1">
      <w:pPr>
        <w:pStyle w:val="ExecSumBodyText"/>
      </w:pPr>
      <w:r w:rsidRPr="00B02C2E">
        <w:t>Data from the longer-term extension study suggested no further deterioration in disability or quality of life measures over time which was consistent with the low frequency of relapse.</w:t>
      </w:r>
    </w:p>
    <w:p w14:paraId="6CA876D3" w14:textId="77777777" w:rsidR="00DD1F7D" w:rsidRPr="00B02C2E" w:rsidRDefault="00DD1F7D" w:rsidP="00DD1F7D">
      <w:pPr>
        <w:pStyle w:val="ExecSumBodyText"/>
        <w:rPr>
          <w:rStyle w:val="TableFigureCaptionChar"/>
          <w:rFonts w:asciiTheme="minorHAnsi" w:eastAsia="Times New Roman" w:hAnsiTheme="minorHAnsi" w:cs="Arial"/>
          <w:b w:val="0"/>
          <w:bCs w:val="0"/>
        </w:rPr>
      </w:pPr>
      <w:r w:rsidRPr="00B02C2E">
        <w:rPr>
          <w:rStyle w:val="TableFigureCaptionChar"/>
          <w:rFonts w:asciiTheme="minorHAnsi" w:eastAsia="Times New Roman" w:hAnsiTheme="minorHAnsi" w:cs="Arial"/>
          <w:b w:val="0"/>
          <w:bCs w:val="0"/>
        </w:rPr>
        <w:t xml:space="preserve">The resubmission presented a summary of efficacy and safety data from two trials of rituximab in the treatment of NMOSD (Nikoo 2017 and RIN-1). Data from </w:t>
      </w:r>
      <w:r w:rsidR="00BA37DE" w:rsidRPr="00B02C2E">
        <w:rPr>
          <w:rStyle w:val="TableFigureCaptionChar"/>
          <w:rFonts w:asciiTheme="minorHAnsi" w:eastAsia="Times New Roman" w:hAnsiTheme="minorHAnsi" w:cs="Arial"/>
          <w:b w:val="0"/>
          <w:bCs w:val="0"/>
        </w:rPr>
        <w:t>several</w:t>
      </w:r>
      <w:r w:rsidRPr="00B02C2E">
        <w:rPr>
          <w:rStyle w:val="TableFigureCaptionChar"/>
          <w:rFonts w:asciiTheme="minorHAnsi" w:eastAsia="Times New Roman" w:hAnsiTheme="minorHAnsi" w:cs="Arial"/>
          <w:b w:val="0"/>
          <w:bCs w:val="0"/>
        </w:rPr>
        <w:t xml:space="preserve"> systematic reviews of trials and observational studies of rituximab in the treatment of NMOSD identified during the evaluation were also presented. Overall, the results of these studies suggested that the treatment of NMOSD patients with rituximab is associated with </w:t>
      </w:r>
      <w:r w:rsidR="00B7099D" w:rsidRPr="00B02C2E">
        <w:rPr>
          <w:rStyle w:val="TableFigureCaptionChar"/>
          <w:rFonts w:asciiTheme="minorHAnsi" w:eastAsia="Times New Roman" w:hAnsiTheme="minorHAnsi" w:cs="Arial"/>
          <w:b w:val="0"/>
          <w:bCs w:val="0"/>
        </w:rPr>
        <w:t xml:space="preserve">a </w:t>
      </w:r>
      <w:r w:rsidRPr="00B02C2E">
        <w:rPr>
          <w:rStyle w:val="TableFigureCaptionChar"/>
          <w:rFonts w:asciiTheme="minorHAnsi" w:eastAsia="Times New Roman" w:hAnsiTheme="minorHAnsi" w:cs="Arial"/>
          <w:b w:val="0"/>
          <w:bCs w:val="0"/>
        </w:rPr>
        <w:t xml:space="preserve">decreased number of relapses and disability improvement. Rituximab was also reasonably well tolerated by patients. Although rituximab appears to be effective for the treatment of NMOSD, the magnitude of the benefit </w:t>
      </w:r>
      <w:r w:rsidR="00BA37DE" w:rsidRPr="00B02C2E">
        <w:rPr>
          <w:rStyle w:val="TableFigureCaptionChar"/>
          <w:rFonts w:asciiTheme="minorHAnsi" w:eastAsia="Times New Roman" w:hAnsiTheme="minorHAnsi" w:cs="Arial"/>
          <w:b w:val="0"/>
          <w:bCs w:val="0"/>
        </w:rPr>
        <w:t>wa</w:t>
      </w:r>
      <w:r w:rsidRPr="00B02C2E">
        <w:rPr>
          <w:rStyle w:val="TableFigureCaptionChar"/>
          <w:rFonts w:asciiTheme="minorHAnsi" w:eastAsia="Times New Roman" w:hAnsiTheme="minorHAnsi" w:cs="Arial"/>
          <w:b w:val="0"/>
          <w:bCs w:val="0"/>
        </w:rPr>
        <w:t>s uncertain.</w:t>
      </w:r>
    </w:p>
    <w:p w14:paraId="15E36F12" w14:textId="41D797FA" w:rsidR="00DD1F7D" w:rsidRPr="00B02C2E" w:rsidRDefault="00DD1F7D" w:rsidP="00DD1F7D">
      <w:pPr>
        <w:pStyle w:val="ExecSumBodyText"/>
        <w:rPr>
          <w:rStyle w:val="TableFigureCaptionChar"/>
          <w:rFonts w:asciiTheme="minorHAnsi" w:eastAsia="Times New Roman" w:hAnsiTheme="minorHAnsi" w:cs="Arial"/>
          <w:b w:val="0"/>
          <w:bCs w:val="0"/>
        </w:rPr>
      </w:pPr>
      <w:r w:rsidRPr="00B02C2E">
        <w:rPr>
          <w:rStyle w:val="TableFigureCaptionChar"/>
          <w:rFonts w:asciiTheme="minorHAnsi" w:eastAsia="Times New Roman" w:hAnsiTheme="minorHAnsi" w:cs="Arial"/>
          <w:b w:val="0"/>
          <w:bCs w:val="0"/>
        </w:rPr>
        <w:t>The</w:t>
      </w:r>
      <w:r w:rsidR="00522718" w:rsidRPr="00B02C2E">
        <w:rPr>
          <w:rStyle w:val="TableFigureCaptionChar"/>
          <w:rFonts w:asciiTheme="minorHAnsi" w:eastAsia="Times New Roman" w:hAnsiTheme="minorHAnsi" w:cs="Arial"/>
          <w:b w:val="0"/>
          <w:bCs w:val="0"/>
        </w:rPr>
        <w:t xml:space="preserve"> resubmission </w:t>
      </w:r>
      <w:r w:rsidR="00CE3BD6" w:rsidRPr="00B02C2E">
        <w:rPr>
          <w:rStyle w:val="TableFigureCaptionChar"/>
          <w:rFonts w:asciiTheme="minorHAnsi" w:eastAsia="Times New Roman" w:hAnsiTheme="minorHAnsi" w:cs="Arial"/>
          <w:b w:val="0"/>
          <w:bCs w:val="0"/>
        </w:rPr>
        <w:t xml:space="preserve">stated </w:t>
      </w:r>
      <w:r w:rsidR="00522718" w:rsidRPr="00B02C2E">
        <w:rPr>
          <w:rStyle w:val="TableFigureCaptionChar"/>
          <w:rFonts w:asciiTheme="minorHAnsi" w:eastAsia="Times New Roman" w:hAnsiTheme="minorHAnsi" w:cs="Arial"/>
          <w:b w:val="0"/>
          <w:bCs w:val="0"/>
        </w:rPr>
        <w:t>that there</w:t>
      </w:r>
      <w:r w:rsidRPr="00B02C2E">
        <w:rPr>
          <w:rStyle w:val="TableFigureCaptionChar"/>
          <w:rFonts w:asciiTheme="minorHAnsi" w:eastAsia="Times New Roman" w:hAnsiTheme="minorHAnsi" w:cs="Arial"/>
          <w:b w:val="0"/>
          <w:bCs w:val="0"/>
        </w:rPr>
        <w:t xml:space="preserve"> were significant differences between the </w:t>
      </w:r>
      <w:r w:rsidR="00522718" w:rsidRPr="00B02C2E">
        <w:rPr>
          <w:rStyle w:val="TableFigureCaptionChar"/>
          <w:rFonts w:asciiTheme="minorHAnsi" w:eastAsia="Times New Roman" w:hAnsiTheme="minorHAnsi" w:cs="Arial"/>
          <w:b w:val="0"/>
          <w:bCs w:val="0"/>
        </w:rPr>
        <w:t xml:space="preserve">two </w:t>
      </w:r>
      <w:r w:rsidRPr="00B02C2E">
        <w:rPr>
          <w:rStyle w:val="TableFigureCaptionChar"/>
          <w:rFonts w:asciiTheme="minorHAnsi" w:eastAsia="Times New Roman" w:hAnsiTheme="minorHAnsi" w:cs="Arial"/>
          <w:b w:val="0"/>
          <w:bCs w:val="0"/>
        </w:rPr>
        <w:t>rituximab trials and the eculizumab trial which limited their exchangeability, such as the included populations and comparator arms</w:t>
      </w:r>
      <w:r w:rsidR="00CE3BD6" w:rsidRPr="00B02C2E">
        <w:rPr>
          <w:rStyle w:val="TableFigureCaptionChar"/>
          <w:rFonts w:asciiTheme="minorHAnsi" w:eastAsia="Times New Roman" w:hAnsiTheme="minorHAnsi" w:cs="Arial"/>
          <w:b w:val="0"/>
          <w:bCs w:val="0"/>
        </w:rPr>
        <w:t xml:space="preserve"> and t</w:t>
      </w:r>
      <w:r w:rsidRPr="00B02C2E">
        <w:rPr>
          <w:rStyle w:val="TableFigureCaptionChar"/>
          <w:rFonts w:asciiTheme="minorHAnsi" w:eastAsia="Times New Roman" w:hAnsiTheme="minorHAnsi" w:cs="Arial"/>
          <w:b w:val="0"/>
          <w:bCs w:val="0"/>
        </w:rPr>
        <w:t xml:space="preserve">herefore, an indirect comparison was not conducted. </w:t>
      </w:r>
      <w:r w:rsidR="00522718" w:rsidRPr="00B02C2E">
        <w:rPr>
          <w:rStyle w:val="TableFigureCaptionChar"/>
          <w:rFonts w:asciiTheme="minorHAnsi" w:eastAsia="Times New Roman" w:hAnsiTheme="minorHAnsi" w:cs="Arial"/>
          <w:b w:val="0"/>
          <w:bCs w:val="0"/>
        </w:rPr>
        <w:t>The ESC, noting the additional evidence sourced during evaluation, considered that there was an increasing breadth of literature to support the use of rituximab in NMOSD and that a comparison would be beneficial.</w:t>
      </w:r>
    </w:p>
    <w:p w14:paraId="5128C71A" w14:textId="77777777" w:rsidR="00B60939" w:rsidRPr="00B02C2E" w:rsidRDefault="00B60939" w:rsidP="00D86231">
      <w:pPr>
        <w:pStyle w:val="3-SubsectionHeading"/>
      </w:pPr>
      <w:bookmarkStart w:id="22" w:name="_Toc22897642"/>
      <w:bookmarkStart w:id="23" w:name="_Toc82079279"/>
      <w:r w:rsidRPr="00B02C2E">
        <w:t>Comparative harms</w:t>
      </w:r>
      <w:bookmarkEnd w:id="22"/>
      <w:bookmarkEnd w:id="23"/>
    </w:p>
    <w:p w14:paraId="246B07D0" w14:textId="77777777" w:rsidR="002B6CB6" w:rsidRPr="00B02C2E" w:rsidRDefault="002B6CB6" w:rsidP="00DC12E1">
      <w:pPr>
        <w:pStyle w:val="ExecSumBodyText"/>
        <w:rPr>
          <w:color w:val="000000" w:themeColor="text1"/>
        </w:rPr>
      </w:pPr>
      <w:r w:rsidRPr="00B02C2E">
        <w:rPr>
          <w:color w:val="000000" w:themeColor="text1"/>
        </w:rPr>
        <w:t xml:space="preserve">The resubmission did not present any new safety data. </w:t>
      </w:r>
    </w:p>
    <w:p w14:paraId="39178876" w14:textId="77777777" w:rsidR="00DC12E1" w:rsidRPr="00B02C2E" w:rsidRDefault="002B6CB6" w:rsidP="00DC12E1">
      <w:pPr>
        <w:pStyle w:val="ExecSumBodyText"/>
        <w:rPr>
          <w:color w:val="000000" w:themeColor="text1"/>
        </w:rPr>
      </w:pPr>
      <w:r w:rsidRPr="00B02C2E">
        <w:rPr>
          <w:color w:val="000000" w:themeColor="text1"/>
        </w:rPr>
        <w:t>In the PREVENT trial, t</w:t>
      </w:r>
      <w:r w:rsidR="00DC12E1" w:rsidRPr="00B02C2E">
        <w:rPr>
          <w:color w:val="000000" w:themeColor="text1"/>
        </w:rPr>
        <w:t>reatment with eculizumab was associated with a lower rate of adverse events compared to the placebo arm. The apparent difference in adverse event rates was primarily driven by the increased incidence of NMOSD-related events in the placebo arm.</w:t>
      </w:r>
    </w:p>
    <w:p w14:paraId="56DADECC" w14:textId="77777777" w:rsidR="00DC12E1" w:rsidRPr="00B02C2E" w:rsidRDefault="00DC12E1" w:rsidP="00DC12E1">
      <w:pPr>
        <w:pStyle w:val="ExecSumBodyText"/>
        <w:rPr>
          <w:color w:val="000000" w:themeColor="text1"/>
        </w:rPr>
      </w:pPr>
      <w:r w:rsidRPr="00B02C2E">
        <w:rPr>
          <w:color w:val="000000" w:themeColor="text1"/>
        </w:rPr>
        <w:t>The most frequently reported adverse events (&gt; 20 per 100 patient years) in either treatment arm were NMOSD complications, upper respiratory tract infection, headache, nasopharyngitis, nausea, urinary tract infection, diarrhoea and pain in extremity.</w:t>
      </w:r>
    </w:p>
    <w:p w14:paraId="25A22056" w14:textId="77777777" w:rsidR="005D26B4" w:rsidRPr="00B02C2E" w:rsidRDefault="00DC12E1" w:rsidP="00D86231">
      <w:pPr>
        <w:pStyle w:val="ExecSumBodyText"/>
        <w:rPr>
          <w:color w:val="000000" w:themeColor="text1"/>
        </w:rPr>
      </w:pPr>
      <w:r w:rsidRPr="00B02C2E">
        <w:rPr>
          <w:color w:val="000000" w:themeColor="text1"/>
        </w:rPr>
        <w:t xml:space="preserve">The adverse event profile reported in the PREVENT trial and extension </w:t>
      </w:r>
      <w:r w:rsidR="002B6CB6" w:rsidRPr="00B02C2E">
        <w:rPr>
          <w:color w:val="000000" w:themeColor="text1"/>
        </w:rPr>
        <w:t xml:space="preserve">study </w:t>
      </w:r>
      <w:r w:rsidRPr="00B02C2E">
        <w:rPr>
          <w:color w:val="000000" w:themeColor="text1"/>
        </w:rPr>
        <w:t xml:space="preserve">was consistent with the known safety profile of eculizumab.  </w:t>
      </w:r>
    </w:p>
    <w:p w14:paraId="57BF501E" w14:textId="77777777" w:rsidR="007F1017" w:rsidRPr="00B02C2E" w:rsidRDefault="007F1017" w:rsidP="00D86231">
      <w:pPr>
        <w:pStyle w:val="3-SubsectionHeading"/>
      </w:pPr>
      <w:bookmarkStart w:id="24" w:name="_Toc22897643"/>
      <w:bookmarkStart w:id="25" w:name="_Toc82079280"/>
      <w:r w:rsidRPr="00B02C2E">
        <w:t>Benefits/harms</w:t>
      </w:r>
      <w:bookmarkEnd w:id="24"/>
      <w:bookmarkEnd w:id="25"/>
    </w:p>
    <w:p w14:paraId="617176AC" w14:textId="77777777" w:rsidR="00DC12E1" w:rsidRPr="00B02C2E" w:rsidRDefault="00DC12E1" w:rsidP="00DC12E1">
      <w:pPr>
        <w:pStyle w:val="ExecSumBodyText"/>
        <w:numPr>
          <w:ilvl w:val="1"/>
          <w:numId w:val="1"/>
        </w:numPr>
      </w:pPr>
      <w:r w:rsidRPr="00B02C2E">
        <w:t>On the basis of direct evidence presented in the submission, for every 100 patients treated with eculizumab in comparison with placebo:</w:t>
      </w:r>
    </w:p>
    <w:p w14:paraId="58E29447" w14:textId="77777777" w:rsidR="00FC1884" w:rsidRPr="00B02C2E" w:rsidRDefault="00DC12E1" w:rsidP="00587590">
      <w:pPr>
        <w:pStyle w:val="Bulletpoints"/>
        <w:numPr>
          <w:ilvl w:val="0"/>
          <w:numId w:val="7"/>
        </w:numPr>
        <w:ind w:left="1077" w:hanging="357"/>
      </w:pPr>
      <w:r w:rsidRPr="00B02C2E">
        <w:t>There would be approximately 38 fewer physician assessed relapses per year</w:t>
      </w:r>
      <w:r w:rsidR="00902747" w:rsidRPr="00B02C2E">
        <w:t xml:space="preserve"> (see Table 6)</w:t>
      </w:r>
      <w:r w:rsidRPr="00B02C2E">
        <w:t>.</w:t>
      </w:r>
    </w:p>
    <w:p w14:paraId="075F41EF" w14:textId="77777777" w:rsidR="00B60939" w:rsidRPr="00B02C2E" w:rsidRDefault="00B60939" w:rsidP="00E9094A">
      <w:pPr>
        <w:pStyle w:val="3-SubsectionHeading"/>
      </w:pPr>
      <w:bookmarkStart w:id="26" w:name="_Toc22897644"/>
      <w:bookmarkStart w:id="27" w:name="_Toc82079281"/>
      <w:r w:rsidRPr="00B02C2E">
        <w:t>Clinical claim</w:t>
      </w:r>
      <w:bookmarkEnd w:id="26"/>
      <w:bookmarkEnd w:id="27"/>
    </w:p>
    <w:p w14:paraId="6C713501" w14:textId="77777777" w:rsidR="009959A5" w:rsidRPr="00B02C2E" w:rsidRDefault="009959A5" w:rsidP="001E5290">
      <w:pPr>
        <w:pStyle w:val="ExecSumBodyText"/>
        <w:rPr>
          <w:iCs/>
        </w:rPr>
      </w:pPr>
      <w:r w:rsidRPr="00B02C2E">
        <w:rPr>
          <w:iCs/>
        </w:rPr>
        <w:t xml:space="preserve">The resubmission described eculizumab as superior in terms of efficacy and non-inferior in terms of safety compared to placebo. The PBAC </w:t>
      </w:r>
      <w:r w:rsidR="001540FF" w:rsidRPr="00B02C2E">
        <w:rPr>
          <w:iCs/>
        </w:rPr>
        <w:t xml:space="preserve">again </w:t>
      </w:r>
      <w:r w:rsidRPr="00B02C2E">
        <w:rPr>
          <w:iCs/>
        </w:rPr>
        <w:t>considered that eculizumab was more effective than best supportive care in reducing relapses</w:t>
      </w:r>
      <w:r w:rsidR="00BA37DE" w:rsidRPr="00B02C2E">
        <w:rPr>
          <w:iCs/>
        </w:rPr>
        <w:t>;</w:t>
      </w:r>
      <w:r w:rsidRPr="00B02C2E">
        <w:rPr>
          <w:iCs/>
        </w:rPr>
        <w:t xml:space="preserve"> however</w:t>
      </w:r>
      <w:r w:rsidR="00BA37DE" w:rsidRPr="00B02C2E">
        <w:rPr>
          <w:iCs/>
        </w:rPr>
        <w:t>,</w:t>
      </w:r>
      <w:r w:rsidRPr="00B02C2E">
        <w:rPr>
          <w:iCs/>
        </w:rPr>
        <w:t xml:space="preserve"> the magnitude of this effect on disability progression and quality of life outcomes was highly uncertain. The PBAC considered that the claim of non-inferior comparative safety was reasonable.</w:t>
      </w:r>
    </w:p>
    <w:p w14:paraId="4E0B56A2" w14:textId="77777777" w:rsidR="0053003B" w:rsidRPr="00B02C2E" w:rsidRDefault="0053003B" w:rsidP="0053003B">
      <w:pPr>
        <w:pStyle w:val="ExecSumBodyText"/>
        <w:rPr>
          <w:iCs/>
        </w:rPr>
      </w:pPr>
      <w:r w:rsidRPr="00B02C2E">
        <w:rPr>
          <w:iCs/>
        </w:rPr>
        <w:t>A</w:t>
      </w:r>
      <w:r w:rsidR="00BA37DE" w:rsidRPr="00B02C2E">
        <w:rPr>
          <w:iCs/>
        </w:rPr>
        <w:t xml:space="preserve">s no new clinical data were presented for the comparison between eculizumab and </w:t>
      </w:r>
      <w:r w:rsidR="001540FF" w:rsidRPr="00B02C2E">
        <w:rPr>
          <w:iCs/>
        </w:rPr>
        <w:t>best supportive care</w:t>
      </w:r>
      <w:r w:rsidR="00BA37DE" w:rsidRPr="00B02C2E">
        <w:rPr>
          <w:iCs/>
        </w:rPr>
        <w:t xml:space="preserve">, </w:t>
      </w:r>
      <w:r w:rsidR="001540FF" w:rsidRPr="00B02C2E">
        <w:rPr>
          <w:iCs/>
        </w:rPr>
        <w:t xml:space="preserve">the PBAC noted that </w:t>
      </w:r>
      <w:r w:rsidR="00BA37DE" w:rsidRPr="00B02C2E">
        <w:rPr>
          <w:iCs/>
        </w:rPr>
        <w:t xml:space="preserve">a </w:t>
      </w:r>
      <w:r w:rsidRPr="00B02C2E">
        <w:rPr>
          <w:iCs/>
        </w:rPr>
        <w:t xml:space="preserve">number of </w:t>
      </w:r>
      <w:r w:rsidR="00F61A86" w:rsidRPr="00B02C2E">
        <w:rPr>
          <w:iCs/>
        </w:rPr>
        <w:t xml:space="preserve">issues </w:t>
      </w:r>
      <w:r w:rsidR="001540FF" w:rsidRPr="00B02C2E">
        <w:rPr>
          <w:iCs/>
        </w:rPr>
        <w:t>from November 2020</w:t>
      </w:r>
      <w:r w:rsidR="000B42AC" w:rsidRPr="00B02C2E">
        <w:rPr>
          <w:iCs/>
        </w:rPr>
        <w:t xml:space="preserve"> </w:t>
      </w:r>
      <w:r w:rsidRPr="00B02C2E">
        <w:rPr>
          <w:iCs/>
        </w:rPr>
        <w:t>remained unresolved in the resubmission</w:t>
      </w:r>
      <w:r w:rsidR="00BA37DE" w:rsidRPr="00B02C2E">
        <w:rPr>
          <w:iCs/>
        </w:rPr>
        <w:t xml:space="preserve"> including</w:t>
      </w:r>
      <w:r w:rsidRPr="00B02C2E">
        <w:rPr>
          <w:iCs/>
        </w:rPr>
        <w:t>:</w:t>
      </w:r>
    </w:p>
    <w:p w14:paraId="240754A7" w14:textId="77777777" w:rsidR="0053003B" w:rsidRPr="00B02C2E" w:rsidRDefault="0053003B" w:rsidP="00587590">
      <w:pPr>
        <w:pStyle w:val="ExecSumBodyText"/>
        <w:numPr>
          <w:ilvl w:val="1"/>
          <w:numId w:val="9"/>
        </w:numPr>
        <w:ind w:left="1077" w:hanging="357"/>
        <w:contextualSpacing/>
        <w:rPr>
          <w:iCs/>
        </w:rPr>
      </w:pPr>
      <w:r w:rsidRPr="00B02C2E">
        <w:rPr>
          <w:iCs/>
        </w:rPr>
        <w:t>Whether the results from the placebo arm of the PREVENT trial are representative of best supportive care. The current clinical data suggest that there may be clinically important differences amongst existing immunotherapies and the exclusion of rituximab from the placebo arm may affect the generalisability of results to clinical practice (para</w:t>
      </w:r>
      <w:r w:rsidR="004E04C6" w:rsidRPr="00B02C2E">
        <w:rPr>
          <w:iCs/>
        </w:rPr>
        <w:t>graph</w:t>
      </w:r>
      <w:r w:rsidRPr="00B02C2E">
        <w:rPr>
          <w:iCs/>
        </w:rPr>
        <w:t xml:space="preserve"> 7.6, </w:t>
      </w:r>
      <w:r w:rsidR="004E04C6" w:rsidRPr="00B02C2E">
        <w:rPr>
          <w:iCs/>
        </w:rPr>
        <w:t>e</w:t>
      </w:r>
      <w:r w:rsidRPr="00B02C2E">
        <w:rPr>
          <w:iCs/>
        </w:rPr>
        <w:t xml:space="preserve">culizumab PSD, November 2020). No new arguments relating to this were provided in the resubmission.  </w:t>
      </w:r>
    </w:p>
    <w:p w14:paraId="48474F4D" w14:textId="77777777" w:rsidR="0053003B" w:rsidRPr="00B02C2E" w:rsidRDefault="0053003B" w:rsidP="00587590">
      <w:pPr>
        <w:pStyle w:val="ExecSumBodyText"/>
        <w:numPr>
          <w:ilvl w:val="1"/>
          <w:numId w:val="9"/>
        </w:numPr>
        <w:ind w:left="1077" w:hanging="357"/>
        <w:contextualSpacing/>
        <w:rPr>
          <w:iCs/>
        </w:rPr>
      </w:pPr>
      <w:r w:rsidRPr="00B02C2E">
        <w:rPr>
          <w:iCs/>
        </w:rPr>
        <w:t>Whether the reduction in relapse frequency associated with eculizumab treatment will lead to a clinically important reduction in disability progression. There was limited follow-up of patients after a relapse during the PREVENT trial and it was unclear whether differences in disability/quality of life measures represent temporary differences (due to relapse) or permanent changes (due to disability progression) (para</w:t>
      </w:r>
      <w:r w:rsidR="004E04C6" w:rsidRPr="00B02C2E">
        <w:rPr>
          <w:iCs/>
        </w:rPr>
        <w:t>graph</w:t>
      </w:r>
      <w:r w:rsidRPr="00B02C2E">
        <w:rPr>
          <w:iCs/>
        </w:rPr>
        <w:t xml:space="preserve"> 7.10, </w:t>
      </w:r>
      <w:r w:rsidR="004E04C6" w:rsidRPr="00B02C2E">
        <w:rPr>
          <w:iCs/>
        </w:rPr>
        <w:t>e</w:t>
      </w:r>
      <w:r w:rsidRPr="00B02C2E">
        <w:rPr>
          <w:iCs/>
        </w:rPr>
        <w:t>culizumab PSD, November 2020). No new comparative data was provided to support a reduction in disability progression associated with treatment.</w:t>
      </w:r>
    </w:p>
    <w:p w14:paraId="72BA257F" w14:textId="77777777" w:rsidR="0053003B" w:rsidRPr="00B02C2E" w:rsidRDefault="0053003B" w:rsidP="00587590">
      <w:pPr>
        <w:pStyle w:val="ExecSumBodyText"/>
        <w:numPr>
          <w:ilvl w:val="1"/>
          <w:numId w:val="9"/>
        </w:numPr>
        <w:ind w:left="1077" w:hanging="357"/>
        <w:rPr>
          <w:iCs/>
        </w:rPr>
      </w:pPr>
      <w:r w:rsidRPr="00B02C2E">
        <w:rPr>
          <w:iCs/>
        </w:rPr>
        <w:t>Whether the reduction in relapse frequency associated with eculizumab treatment will result in a reduction in mortality or extended life for patients with NMOSD (para</w:t>
      </w:r>
      <w:r w:rsidR="004E04C6" w:rsidRPr="00B02C2E">
        <w:rPr>
          <w:iCs/>
        </w:rPr>
        <w:t>graph</w:t>
      </w:r>
      <w:r w:rsidRPr="00B02C2E">
        <w:rPr>
          <w:iCs/>
        </w:rPr>
        <w:t xml:space="preserve"> 7.10, </w:t>
      </w:r>
      <w:r w:rsidR="004E04C6" w:rsidRPr="00B02C2E">
        <w:rPr>
          <w:iCs/>
        </w:rPr>
        <w:t>e</w:t>
      </w:r>
      <w:r w:rsidRPr="00B02C2E">
        <w:rPr>
          <w:iCs/>
        </w:rPr>
        <w:t>culizumab PSD, November 2020). No new data was presented to support the assertion that by preventing relapses, eculizumab will reduce NMOSD-related mortality.</w:t>
      </w:r>
    </w:p>
    <w:p w14:paraId="6A3D61E2" w14:textId="77777777" w:rsidR="009959A5" w:rsidRPr="00B02C2E" w:rsidRDefault="009959A5" w:rsidP="00D003AB">
      <w:pPr>
        <w:pStyle w:val="ExecSumBodyText"/>
        <w:rPr>
          <w:iCs/>
        </w:rPr>
      </w:pPr>
      <w:r w:rsidRPr="00B02C2E">
        <w:rPr>
          <w:iCs/>
        </w:rPr>
        <w:t>The resubmission made no claim versus rituximab. The current clinical data suggest that there may be clinically important differences amongst existing immunotherapies, which should be considered</w:t>
      </w:r>
      <w:r w:rsidR="00CE3BD6" w:rsidRPr="00B02C2E">
        <w:rPr>
          <w:iCs/>
        </w:rPr>
        <w:t xml:space="preserve"> and the PBAC considered that a formal comparison would be informative</w:t>
      </w:r>
      <w:r w:rsidRPr="00B02C2E">
        <w:rPr>
          <w:iCs/>
        </w:rPr>
        <w:t>.</w:t>
      </w:r>
    </w:p>
    <w:p w14:paraId="4FE118E8" w14:textId="77777777" w:rsidR="00B60939" w:rsidRPr="00B02C2E" w:rsidRDefault="00B60939" w:rsidP="00E9094A">
      <w:pPr>
        <w:pStyle w:val="3-SubsectionHeading"/>
      </w:pPr>
      <w:bookmarkStart w:id="28" w:name="_Toc22897645"/>
      <w:bookmarkStart w:id="29" w:name="_Toc82079282"/>
      <w:r w:rsidRPr="00B02C2E">
        <w:t>Economic analysis</w:t>
      </w:r>
      <w:bookmarkEnd w:id="28"/>
      <w:bookmarkEnd w:id="29"/>
      <w:r w:rsidR="00491B3A" w:rsidRPr="00B02C2E">
        <w:t xml:space="preserve"> </w:t>
      </w:r>
    </w:p>
    <w:p w14:paraId="09855526" w14:textId="77777777" w:rsidR="001E5290" w:rsidRPr="00B02C2E" w:rsidRDefault="001E5290" w:rsidP="001E5290">
      <w:pPr>
        <w:pStyle w:val="ExecSumBodyText"/>
      </w:pPr>
      <w:r w:rsidRPr="00B02C2E">
        <w:t>The resubmission presented a stepped economic evaluation of eculizumab with best supportive care compared to best supportive care alone in patients with NMOSD</w:t>
      </w:r>
      <w:r w:rsidR="007E7F56" w:rsidRPr="00B02C2E">
        <w:t xml:space="preserve"> </w:t>
      </w:r>
      <w:r w:rsidRPr="00B02C2E">
        <w:t>who are AQP4</w:t>
      </w:r>
      <w:r w:rsidR="00DF06FF" w:rsidRPr="00B02C2E">
        <w:t>+</w:t>
      </w:r>
      <w:r w:rsidRPr="00B02C2E">
        <w:t xml:space="preserve"> </w:t>
      </w:r>
      <w:r w:rsidR="007E7F56" w:rsidRPr="00B02C2E">
        <w:t>with an EDSS score 0-7</w:t>
      </w:r>
      <w:r w:rsidRPr="00B02C2E">
        <w:t xml:space="preserve"> and who have frequent relapses. The economic evaluation was based on the PREVENT trial with additional modelled data. The economic evaluation was presented as a cost-effectiveness/cost-utility analysis.</w:t>
      </w:r>
    </w:p>
    <w:p w14:paraId="5B20569D" w14:textId="77777777" w:rsidR="008C5739" w:rsidRPr="00B02C2E" w:rsidRDefault="001E5290" w:rsidP="00214F44">
      <w:pPr>
        <w:pStyle w:val="ExecSumBodyText"/>
      </w:pPr>
      <w:r w:rsidRPr="00B02C2E">
        <w:t xml:space="preserve">The </w:t>
      </w:r>
      <w:r w:rsidR="007E7F56" w:rsidRPr="00B02C2E">
        <w:t>re</w:t>
      </w:r>
      <w:r w:rsidRPr="00B02C2E">
        <w:t>submission did not present an economic analysis for the use of eculizumab in patients with a prior immunosuppressive event</w:t>
      </w:r>
      <w:r w:rsidR="00856E63" w:rsidRPr="00B02C2E">
        <w:t xml:space="preserve"> (estimated to be 8.1% of people with NMOSD in the financial model)</w:t>
      </w:r>
      <w:r w:rsidRPr="00B02C2E">
        <w:t>.</w:t>
      </w:r>
      <w:r w:rsidR="008C5739" w:rsidRPr="00B02C2E">
        <w:rPr>
          <w:color w:val="0066FF"/>
        </w:rPr>
        <w:t xml:space="preserve">  </w:t>
      </w:r>
    </w:p>
    <w:p w14:paraId="02A7ADA4" w14:textId="77777777" w:rsidR="00214F44" w:rsidRPr="00B02C2E" w:rsidRDefault="00214F44" w:rsidP="003B0BF0">
      <w:pPr>
        <w:pStyle w:val="Tableheadingrow"/>
        <w:rPr>
          <w:lang w:val="en-AU"/>
        </w:rPr>
      </w:pPr>
      <w:r w:rsidRPr="00B02C2E">
        <w:rPr>
          <w:lang w:val="en-AU"/>
        </w:rPr>
        <w:t xml:space="preserve">Table </w:t>
      </w:r>
      <w:r w:rsidR="00EA6071" w:rsidRPr="00B02C2E">
        <w:rPr>
          <w:lang w:val="en-AU"/>
        </w:rPr>
        <w:t>7</w:t>
      </w:r>
      <w:r w:rsidRPr="00B02C2E">
        <w:rPr>
          <w:lang w:val="en-AU"/>
        </w:rPr>
        <w:t>: Key components of the economic evaluation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178"/>
      </w:tblGrid>
      <w:tr w:rsidR="00214F44" w:rsidRPr="00B02C2E" w14:paraId="53EC24FF" w14:textId="77777777" w:rsidTr="003B0BF0">
        <w:trPr>
          <w:cantSplit/>
          <w:tblHeader/>
        </w:trPr>
        <w:tc>
          <w:tcPr>
            <w:tcW w:w="1019" w:type="pct"/>
            <w:shd w:val="clear" w:color="auto" w:fill="auto"/>
          </w:tcPr>
          <w:p w14:paraId="75BD0F91" w14:textId="77777777" w:rsidR="00214F44" w:rsidRPr="00B02C2E" w:rsidRDefault="00214F44" w:rsidP="003B0BF0">
            <w:pPr>
              <w:pStyle w:val="TableText"/>
              <w:rPr>
                <w:b/>
              </w:rPr>
            </w:pPr>
            <w:r w:rsidRPr="00B02C2E">
              <w:rPr>
                <w:b/>
              </w:rPr>
              <w:t xml:space="preserve">Component </w:t>
            </w:r>
          </w:p>
        </w:tc>
        <w:tc>
          <w:tcPr>
            <w:tcW w:w="3981" w:type="pct"/>
            <w:shd w:val="clear" w:color="auto" w:fill="auto"/>
          </w:tcPr>
          <w:p w14:paraId="710B2736" w14:textId="77777777" w:rsidR="00214F44" w:rsidRPr="00B02C2E" w:rsidRDefault="00214F44" w:rsidP="003B0BF0">
            <w:pPr>
              <w:pStyle w:val="TableText"/>
              <w:rPr>
                <w:b/>
              </w:rPr>
            </w:pPr>
            <w:r w:rsidRPr="00B02C2E">
              <w:rPr>
                <w:b/>
              </w:rPr>
              <w:t>Description</w:t>
            </w:r>
          </w:p>
        </w:tc>
      </w:tr>
      <w:tr w:rsidR="00214F44" w:rsidRPr="00B02C2E" w14:paraId="46B652E4" w14:textId="77777777" w:rsidTr="003B0BF0">
        <w:trPr>
          <w:cantSplit/>
        </w:trPr>
        <w:tc>
          <w:tcPr>
            <w:tcW w:w="1019" w:type="pct"/>
            <w:shd w:val="clear" w:color="auto" w:fill="auto"/>
            <w:vAlign w:val="center"/>
          </w:tcPr>
          <w:p w14:paraId="25543782" w14:textId="77777777" w:rsidR="00214F44" w:rsidRPr="00B02C2E" w:rsidRDefault="00214F44" w:rsidP="003B0BF0">
            <w:pPr>
              <w:pStyle w:val="TableText"/>
            </w:pPr>
            <w:r w:rsidRPr="00B02C2E">
              <w:t xml:space="preserve">Type of analysis </w:t>
            </w:r>
          </w:p>
        </w:tc>
        <w:tc>
          <w:tcPr>
            <w:tcW w:w="3981" w:type="pct"/>
            <w:shd w:val="clear" w:color="auto" w:fill="auto"/>
            <w:vAlign w:val="center"/>
          </w:tcPr>
          <w:p w14:paraId="2AE24D25" w14:textId="77777777" w:rsidR="00214F44" w:rsidRPr="00B02C2E" w:rsidRDefault="00214F44" w:rsidP="003B0BF0">
            <w:pPr>
              <w:pStyle w:val="TableText"/>
              <w:rPr>
                <w:rFonts w:ascii="Times" w:eastAsia="Times New Roman" w:hAnsi="Times" w:cs="Times New Roman"/>
                <w:szCs w:val="20"/>
              </w:rPr>
            </w:pPr>
            <w:r w:rsidRPr="00B02C2E">
              <w:t>Cost-effectiveness analysis/cost-utility analysis</w:t>
            </w:r>
          </w:p>
        </w:tc>
      </w:tr>
      <w:tr w:rsidR="00214F44" w:rsidRPr="00B02C2E" w14:paraId="516DB42F" w14:textId="77777777" w:rsidTr="003B0BF0">
        <w:trPr>
          <w:cantSplit/>
        </w:trPr>
        <w:tc>
          <w:tcPr>
            <w:tcW w:w="1019" w:type="pct"/>
            <w:shd w:val="clear" w:color="auto" w:fill="auto"/>
            <w:vAlign w:val="center"/>
          </w:tcPr>
          <w:p w14:paraId="5B96D57C" w14:textId="77777777" w:rsidR="00214F44" w:rsidRPr="00B02C2E" w:rsidRDefault="00214F44" w:rsidP="003B0BF0">
            <w:pPr>
              <w:pStyle w:val="TableText"/>
              <w:rPr>
                <w:rFonts w:ascii="Times" w:eastAsia="Times New Roman" w:hAnsi="Times" w:cs="Times New Roman"/>
                <w:szCs w:val="20"/>
              </w:rPr>
            </w:pPr>
            <w:r w:rsidRPr="00B02C2E">
              <w:t>Outcomes</w:t>
            </w:r>
          </w:p>
        </w:tc>
        <w:tc>
          <w:tcPr>
            <w:tcW w:w="3981" w:type="pct"/>
            <w:shd w:val="clear" w:color="auto" w:fill="auto"/>
            <w:vAlign w:val="center"/>
          </w:tcPr>
          <w:p w14:paraId="4488DC06" w14:textId="77777777" w:rsidR="00214F44" w:rsidRPr="00B02C2E" w:rsidRDefault="00214F44" w:rsidP="003B0BF0">
            <w:pPr>
              <w:pStyle w:val="TableText"/>
            </w:pPr>
            <w:r w:rsidRPr="00B02C2E">
              <w:t>Patients without relapse; average number of relapses; life years; quality adjusted life years</w:t>
            </w:r>
          </w:p>
        </w:tc>
      </w:tr>
      <w:tr w:rsidR="00214F44" w:rsidRPr="00B02C2E" w14:paraId="0752A5F4" w14:textId="77777777" w:rsidTr="003B0BF0">
        <w:trPr>
          <w:cantSplit/>
        </w:trPr>
        <w:tc>
          <w:tcPr>
            <w:tcW w:w="1019" w:type="pct"/>
            <w:shd w:val="clear" w:color="auto" w:fill="auto"/>
            <w:vAlign w:val="center"/>
          </w:tcPr>
          <w:p w14:paraId="78A65F63" w14:textId="77777777" w:rsidR="00214F44" w:rsidRPr="00B02C2E" w:rsidRDefault="00214F44" w:rsidP="003B0BF0">
            <w:pPr>
              <w:pStyle w:val="TableText"/>
              <w:rPr>
                <w:rFonts w:ascii="Times" w:eastAsia="Times New Roman" w:hAnsi="Times" w:cs="Times New Roman"/>
                <w:szCs w:val="20"/>
              </w:rPr>
            </w:pPr>
            <w:r w:rsidRPr="00B02C2E">
              <w:t>Time horizon</w:t>
            </w:r>
          </w:p>
        </w:tc>
        <w:tc>
          <w:tcPr>
            <w:tcW w:w="3981" w:type="pct"/>
            <w:shd w:val="clear" w:color="auto" w:fill="auto"/>
            <w:vAlign w:val="center"/>
          </w:tcPr>
          <w:p w14:paraId="21A663E2" w14:textId="77777777" w:rsidR="00214F44" w:rsidRPr="00B02C2E" w:rsidRDefault="00214F44" w:rsidP="003B0BF0">
            <w:pPr>
              <w:pStyle w:val="TableText"/>
              <w:rPr>
                <w:rFonts w:ascii="Times" w:eastAsia="Times New Roman" w:hAnsi="Times" w:cs="Times New Roman"/>
                <w:szCs w:val="20"/>
              </w:rPr>
            </w:pPr>
            <w:r w:rsidRPr="00B02C2E">
              <w:t xml:space="preserve">53 years (lifetime), compared to 1-2 years in the PREVENT trial </w:t>
            </w:r>
          </w:p>
        </w:tc>
      </w:tr>
      <w:tr w:rsidR="00214F44" w:rsidRPr="00B02C2E" w14:paraId="045455FB" w14:textId="77777777" w:rsidTr="003B0BF0">
        <w:trPr>
          <w:cantSplit/>
        </w:trPr>
        <w:tc>
          <w:tcPr>
            <w:tcW w:w="1019" w:type="pct"/>
            <w:shd w:val="clear" w:color="auto" w:fill="auto"/>
            <w:vAlign w:val="center"/>
          </w:tcPr>
          <w:p w14:paraId="08B534BF" w14:textId="77777777" w:rsidR="00214F44" w:rsidRPr="00B02C2E" w:rsidRDefault="00214F44" w:rsidP="003B0BF0">
            <w:pPr>
              <w:pStyle w:val="TableText"/>
              <w:rPr>
                <w:rFonts w:ascii="Times" w:eastAsia="Times New Roman" w:hAnsi="Times" w:cs="Times New Roman"/>
                <w:szCs w:val="20"/>
              </w:rPr>
            </w:pPr>
            <w:r w:rsidRPr="00B02C2E">
              <w:t>Methods used to generate results</w:t>
            </w:r>
          </w:p>
        </w:tc>
        <w:tc>
          <w:tcPr>
            <w:tcW w:w="3981" w:type="pct"/>
            <w:shd w:val="clear" w:color="auto" w:fill="auto"/>
            <w:vAlign w:val="center"/>
          </w:tcPr>
          <w:p w14:paraId="2AB53238" w14:textId="77777777" w:rsidR="00214F44" w:rsidRPr="00B02C2E" w:rsidRDefault="00214F44" w:rsidP="003B0BF0">
            <w:pPr>
              <w:pStyle w:val="TableText"/>
              <w:rPr>
                <w:rFonts w:ascii="Times" w:eastAsia="Times New Roman" w:hAnsi="Times" w:cs="Times New Roman"/>
                <w:szCs w:val="20"/>
              </w:rPr>
            </w:pPr>
            <w:r w:rsidRPr="00B02C2E">
              <w:t>Markov cohort model (with half-cycle correction)</w:t>
            </w:r>
          </w:p>
        </w:tc>
      </w:tr>
      <w:tr w:rsidR="00214F44" w:rsidRPr="00B02C2E" w14:paraId="4E84DB3F" w14:textId="77777777" w:rsidTr="003B0BF0">
        <w:trPr>
          <w:cantSplit/>
        </w:trPr>
        <w:tc>
          <w:tcPr>
            <w:tcW w:w="1019" w:type="pct"/>
            <w:shd w:val="clear" w:color="auto" w:fill="auto"/>
            <w:vAlign w:val="center"/>
          </w:tcPr>
          <w:p w14:paraId="3273242C" w14:textId="77777777" w:rsidR="00214F44" w:rsidRPr="00B02C2E" w:rsidRDefault="00214F44" w:rsidP="003B0BF0">
            <w:pPr>
              <w:pStyle w:val="TableText"/>
            </w:pPr>
            <w:r w:rsidRPr="00B02C2E">
              <w:t>Treatments</w:t>
            </w:r>
          </w:p>
        </w:tc>
        <w:tc>
          <w:tcPr>
            <w:tcW w:w="3981" w:type="pct"/>
            <w:shd w:val="clear" w:color="auto" w:fill="auto"/>
            <w:vAlign w:val="center"/>
          </w:tcPr>
          <w:p w14:paraId="063F8959" w14:textId="77777777" w:rsidR="00214F44" w:rsidRPr="00B02C2E" w:rsidRDefault="00214F44" w:rsidP="003B0BF0">
            <w:pPr>
              <w:pStyle w:val="TableText"/>
            </w:pPr>
            <w:r w:rsidRPr="00B02C2E">
              <w:t>Eculizumab with best supportive care; best supportive care alone</w:t>
            </w:r>
          </w:p>
        </w:tc>
      </w:tr>
      <w:tr w:rsidR="00214F44" w:rsidRPr="00B02C2E" w14:paraId="6C6FFF4D" w14:textId="77777777" w:rsidTr="003B0BF0">
        <w:trPr>
          <w:cantSplit/>
        </w:trPr>
        <w:tc>
          <w:tcPr>
            <w:tcW w:w="1019" w:type="pct"/>
            <w:shd w:val="clear" w:color="auto" w:fill="auto"/>
            <w:vAlign w:val="center"/>
          </w:tcPr>
          <w:p w14:paraId="59DBD767" w14:textId="77777777" w:rsidR="00214F44" w:rsidRPr="00B02C2E" w:rsidRDefault="00214F44" w:rsidP="003B0BF0">
            <w:pPr>
              <w:pStyle w:val="TableText"/>
              <w:rPr>
                <w:rFonts w:ascii="Times" w:eastAsia="Times New Roman" w:hAnsi="Times" w:cs="Times New Roman"/>
                <w:szCs w:val="20"/>
              </w:rPr>
            </w:pPr>
            <w:r w:rsidRPr="00B02C2E">
              <w:t>Health states</w:t>
            </w:r>
          </w:p>
        </w:tc>
        <w:tc>
          <w:tcPr>
            <w:tcW w:w="3981" w:type="pct"/>
            <w:shd w:val="clear" w:color="auto" w:fill="auto"/>
            <w:vAlign w:val="center"/>
          </w:tcPr>
          <w:p w14:paraId="61E36A40" w14:textId="77777777" w:rsidR="00214F44" w:rsidRPr="00B02C2E" w:rsidRDefault="00214F44" w:rsidP="003B0BF0">
            <w:pPr>
              <w:pStyle w:val="TableText"/>
            </w:pPr>
            <w:r w:rsidRPr="00B02C2E">
              <w:t xml:space="preserve">Twenty health states defined by EDSS score (0-9) and treatment (eculizumab, best supportive care). Two death states defined as relapse-related death or general mortality </w:t>
            </w:r>
          </w:p>
        </w:tc>
      </w:tr>
      <w:tr w:rsidR="00214F44" w:rsidRPr="00B02C2E" w14:paraId="73D5E3F8" w14:textId="77777777" w:rsidTr="003B0BF0">
        <w:trPr>
          <w:cantSplit/>
        </w:trPr>
        <w:tc>
          <w:tcPr>
            <w:tcW w:w="1019" w:type="pct"/>
            <w:shd w:val="clear" w:color="auto" w:fill="auto"/>
            <w:vAlign w:val="center"/>
          </w:tcPr>
          <w:p w14:paraId="1FA215F3" w14:textId="77777777" w:rsidR="00214F44" w:rsidRPr="00B02C2E" w:rsidRDefault="00214F44" w:rsidP="003B0BF0">
            <w:pPr>
              <w:pStyle w:val="TableText"/>
              <w:rPr>
                <w:rFonts w:ascii="Times" w:eastAsia="Times New Roman" w:hAnsi="Times" w:cs="Times New Roman"/>
                <w:szCs w:val="20"/>
              </w:rPr>
            </w:pPr>
            <w:r w:rsidRPr="00B02C2E">
              <w:t>Cycle length</w:t>
            </w:r>
          </w:p>
        </w:tc>
        <w:tc>
          <w:tcPr>
            <w:tcW w:w="3981" w:type="pct"/>
            <w:shd w:val="clear" w:color="auto" w:fill="auto"/>
            <w:vAlign w:val="center"/>
          </w:tcPr>
          <w:p w14:paraId="2830D130" w14:textId="77777777" w:rsidR="00214F44" w:rsidRPr="00B02C2E" w:rsidRDefault="00214F44" w:rsidP="003B0BF0">
            <w:pPr>
              <w:pStyle w:val="TableText"/>
            </w:pPr>
            <w:r w:rsidRPr="00B02C2E">
              <w:t>Six-monthly</w:t>
            </w:r>
          </w:p>
        </w:tc>
      </w:tr>
      <w:tr w:rsidR="00214F44" w:rsidRPr="00B02C2E" w14:paraId="3C1185FC" w14:textId="77777777" w:rsidTr="003B0BF0">
        <w:trPr>
          <w:cantSplit/>
        </w:trPr>
        <w:tc>
          <w:tcPr>
            <w:tcW w:w="1019" w:type="pct"/>
            <w:shd w:val="clear" w:color="auto" w:fill="auto"/>
            <w:vAlign w:val="center"/>
          </w:tcPr>
          <w:p w14:paraId="6F979082" w14:textId="77777777" w:rsidR="00214F44" w:rsidRPr="00B02C2E" w:rsidRDefault="00214F44" w:rsidP="003B0BF0">
            <w:pPr>
              <w:pStyle w:val="TableText"/>
            </w:pPr>
            <w:r w:rsidRPr="00B02C2E">
              <w:t>Patient characteristics</w:t>
            </w:r>
          </w:p>
        </w:tc>
        <w:tc>
          <w:tcPr>
            <w:tcW w:w="3981" w:type="pct"/>
            <w:shd w:val="clear" w:color="auto" w:fill="auto"/>
            <w:vAlign w:val="center"/>
          </w:tcPr>
          <w:p w14:paraId="248FCF54" w14:textId="77777777" w:rsidR="00214F44" w:rsidRPr="00B02C2E" w:rsidRDefault="00214F44" w:rsidP="003B0BF0">
            <w:pPr>
              <w:pStyle w:val="TableText"/>
            </w:pPr>
            <w:r w:rsidRPr="00B02C2E">
              <w:t xml:space="preserve">Current age (47 years), gender (91% female) and distribution across EDSS health states </w:t>
            </w:r>
            <w:r w:rsidR="00A01704" w:rsidRPr="00B02C2E">
              <w:t xml:space="preserve">(0-7) </w:t>
            </w:r>
            <w:r w:rsidRPr="00B02C2E">
              <w:t xml:space="preserve">based on </w:t>
            </w:r>
            <w:r w:rsidR="00A01704" w:rsidRPr="00B02C2E">
              <w:t xml:space="preserve">those observed in the PREVENT trial, and in </w:t>
            </w:r>
            <w:r w:rsidRPr="00B02C2E">
              <w:t>a published observational study comparing the characteristics of definitive NMOSD, suspected NMOSD and multiple sclerosis populations attending Australian treatment centres (Bukhari 2020)</w:t>
            </w:r>
          </w:p>
        </w:tc>
      </w:tr>
      <w:tr w:rsidR="00214F44" w:rsidRPr="00B02C2E" w14:paraId="254AB4E5" w14:textId="77777777" w:rsidTr="003B0BF0">
        <w:trPr>
          <w:cantSplit/>
        </w:trPr>
        <w:tc>
          <w:tcPr>
            <w:tcW w:w="1019" w:type="pct"/>
            <w:shd w:val="clear" w:color="auto" w:fill="auto"/>
            <w:vAlign w:val="center"/>
          </w:tcPr>
          <w:p w14:paraId="074DDE6E" w14:textId="77777777" w:rsidR="00214F44" w:rsidRPr="00B02C2E" w:rsidRDefault="00214F44" w:rsidP="003B0BF0">
            <w:pPr>
              <w:pStyle w:val="TableText"/>
            </w:pPr>
            <w:r w:rsidRPr="00B02C2E">
              <w:t>Transition probabilit</w:t>
            </w:r>
            <w:r w:rsidR="007E7F56" w:rsidRPr="00B02C2E">
              <w:t>ies</w:t>
            </w:r>
            <w:r w:rsidRPr="00B02C2E">
              <w:t xml:space="preserve"> </w:t>
            </w:r>
          </w:p>
        </w:tc>
        <w:tc>
          <w:tcPr>
            <w:tcW w:w="3981" w:type="pct"/>
            <w:shd w:val="clear" w:color="auto" w:fill="auto"/>
            <w:vAlign w:val="center"/>
          </w:tcPr>
          <w:p w14:paraId="515AD92F" w14:textId="77777777" w:rsidR="00214F44" w:rsidRPr="00B02C2E" w:rsidRDefault="00214F44" w:rsidP="003B0BF0">
            <w:pPr>
              <w:pStyle w:val="TableText"/>
              <w:rPr>
                <w:szCs w:val="20"/>
              </w:rPr>
            </w:pPr>
            <w:r w:rsidRPr="00B02C2E">
              <w:rPr>
                <w:szCs w:val="20"/>
              </w:rPr>
              <w:t>Transition probabilities for treatment persistence, relapse events and disability progression were derived from PREVENT trial data</w:t>
            </w:r>
            <w:r w:rsidR="00A01704" w:rsidRPr="00B02C2E">
              <w:rPr>
                <w:szCs w:val="20"/>
              </w:rPr>
              <w:t xml:space="preserve"> and the open label extension study</w:t>
            </w:r>
            <w:r w:rsidRPr="00B02C2E">
              <w:rPr>
                <w:szCs w:val="20"/>
              </w:rPr>
              <w:t>. Transition probabilities for relapse-related death were based on published estimates (</w:t>
            </w:r>
            <w:r w:rsidR="00A01704" w:rsidRPr="00B02C2E">
              <w:rPr>
                <w:szCs w:val="20"/>
              </w:rPr>
              <w:t>Kitle</w:t>
            </w:r>
            <w:r w:rsidRPr="00B02C2E">
              <w:rPr>
                <w:szCs w:val="20"/>
              </w:rPr>
              <w:t>y 201</w:t>
            </w:r>
            <w:r w:rsidR="00A01704" w:rsidRPr="00B02C2E">
              <w:rPr>
                <w:szCs w:val="20"/>
              </w:rPr>
              <w:t>2</w:t>
            </w:r>
            <w:r w:rsidRPr="00B02C2E">
              <w:rPr>
                <w:szCs w:val="20"/>
              </w:rPr>
              <w:t xml:space="preserve">). Transition probabilities for general mortality were based on Australian life tables  </w:t>
            </w:r>
          </w:p>
        </w:tc>
      </w:tr>
      <w:tr w:rsidR="00214F44" w:rsidRPr="00B02C2E" w14:paraId="48C6AF96" w14:textId="77777777" w:rsidTr="003B0BF0">
        <w:trPr>
          <w:cantSplit/>
        </w:trPr>
        <w:tc>
          <w:tcPr>
            <w:tcW w:w="1019" w:type="pct"/>
            <w:shd w:val="clear" w:color="auto" w:fill="auto"/>
            <w:vAlign w:val="center"/>
          </w:tcPr>
          <w:p w14:paraId="3E0A8058" w14:textId="77777777" w:rsidR="00214F44" w:rsidRPr="00B02C2E" w:rsidRDefault="00214F44" w:rsidP="003B0BF0">
            <w:pPr>
              <w:pStyle w:val="TableText"/>
            </w:pPr>
            <w:r w:rsidRPr="00B02C2E">
              <w:t>Extrapolation method</w:t>
            </w:r>
          </w:p>
        </w:tc>
        <w:tc>
          <w:tcPr>
            <w:tcW w:w="3981" w:type="pct"/>
            <w:shd w:val="clear" w:color="auto" w:fill="auto"/>
            <w:vAlign w:val="center"/>
          </w:tcPr>
          <w:p w14:paraId="33EA90ED" w14:textId="77777777" w:rsidR="00214F44" w:rsidRPr="00B02C2E" w:rsidRDefault="00214F44" w:rsidP="003B0BF0">
            <w:pPr>
              <w:pStyle w:val="TableText"/>
            </w:pPr>
            <w:r w:rsidRPr="00B02C2E">
              <w:t>The probability of relapse, treatment efficacy and treatment persistence were assumed to remain constant over time</w:t>
            </w:r>
          </w:p>
        </w:tc>
      </w:tr>
      <w:tr w:rsidR="00214F44" w:rsidRPr="00B02C2E" w14:paraId="06F0FC23" w14:textId="77777777" w:rsidTr="003B0BF0">
        <w:trPr>
          <w:cantSplit/>
        </w:trPr>
        <w:tc>
          <w:tcPr>
            <w:tcW w:w="1019" w:type="pct"/>
            <w:shd w:val="clear" w:color="auto" w:fill="auto"/>
            <w:vAlign w:val="center"/>
          </w:tcPr>
          <w:p w14:paraId="094ADF05" w14:textId="77777777" w:rsidR="00214F44" w:rsidRPr="00B02C2E" w:rsidRDefault="00214F44" w:rsidP="003B0BF0">
            <w:pPr>
              <w:pStyle w:val="TableText"/>
            </w:pPr>
            <w:r w:rsidRPr="00B02C2E">
              <w:t>Utility values</w:t>
            </w:r>
          </w:p>
        </w:tc>
        <w:tc>
          <w:tcPr>
            <w:tcW w:w="3981" w:type="pct"/>
            <w:shd w:val="clear" w:color="auto" w:fill="auto"/>
            <w:vAlign w:val="center"/>
          </w:tcPr>
          <w:p w14:paraId="185A67E9" w14:textId="77777777" w:rsidR="00214F44" w:rsidRPr="00B02C2E" w:rsidRDefault="00214F44" w:rsidP="003B0BF0">
            <w:pPr>
              <w:pStyle w:val="Tabletext0"/>
              <w:keepNext/>
              <w:rPr>
                <w:rFonts w:eastAsia="Calibri"/>
              </w:rPr>
            </w:pPr>
            <w:r w:rsidRPr="00B02C2E">
              <w:rPr>
                <w:rFonts w:eastAsia="Calibri"/>
              </w:rPr>
              <w:t>Relapse disutility values were based on a published survey of multiple sclerosis patients in the UK using the EQ-5D-3L utility instrument (Or</w:t>
            </w:r>
            <w:r w:rsidR="00A01704" w:rsidRPr="00B02C2E">
              <w:rPr>
                <w:rFonts w:eastAsia="Calibri"/>
              </w:rPr>
              <w:t>m</w:t>
            </w:r>
            <w:r w:rsidRPr="00B02C2E">
              <w:rPr>
                <w:rFonts w:eastAsia="Calibri"/>
              </w:rPr>
              <w:t>e 2007)</w:t>
            </w:r>
          </w:p>
          <w:p w14:paraId="5F5105BF" w14:textId="77777777" w:rsidR="00214F44" w:rsidRPr="00B02C2E" w:rsidRDefault="00214F44" w:rsidP="003B0BF0">
            <w:pPr>
              <w:pStyle w:val="Tabletext0"/>
              <w:keepNext/>
              <w:rPr>
                <w:rFonts w:eastAsia="Calibri"/>
              </w:rPr>
            </w:pPr>
          </w:p>
          <w:p w14:paraId="425661C1" w14:textId="77777777" w:rsidR="00214F44" w:rsidRPr="00B02C2E" w:rsidRDefault="00214F44" w:rsidP="003B0BF0">
            <w:pPr>
              <w:pStyle w:val="TableText"/>
            </w:pPr>
            <w:r w:rsidRPr="00B02C2E">
              <w:rPr>
                <w:rFonts w:eastAsia="Calibri"/>
              </w:rPr>
              <w:t>Health state utilities were based on a post-hoc analysis of EQ-5D-3L data (UK weights) from both treatment arms in the PREVENT trial and ECU-NMO-302 extension.</w:t>
            </w:r>
          </w:p>
        </w:tc>
      </w:tr>
      <w:tr w:rsidR="00214F44" w:rsidRPr="00B02C2E" w14:paraId="1C9EF984" w14:textId="77777777" w:rsidTr="003B0BF0">
        <w:trPr>
          <w:cantSplit/>
        </w:trPr>
        <w:tc>
          <w:tcPr>
            <w:tcW w:w="1019" w:type="pct"/>
            <w:shd w:val="clear" w:color="auto" w:fill="auto"/>
            <w:vAlign w:val="center"/>
          </w:tcPr>
          <w:p w14:paraId="66058814" w14:textId="77777777" w:rsidR="00214F44" w:rsidRPr="00B02C2E" w:rsidRDefault="00214F44" w:rsidP="003B0BF0">
            <w:pPr>
              <w:pStyle w:val="TableText"/>
            </w:pPr>
            <w:r w:rsidRPr="00B02C2E">
              <w:t>Costs</w:t>
            </w:r>
          </w:p>
        </w:tc>
        <w:tc>
          <w:tcPr>
            <w:tcW w:w="3981" w:type="pct"/>
            <w:shd w:val="clear" w:color="auto" w:fill="auto"/>
            <w:vAlign w:val="center"/>
          </w:tcPr>
          <w:p w14:paraId="7D425E66" w14:textId="77777777" w:rsidR="00214F44" w:rsidRPr="00B02C2E" w:rsidRDefault="00214F44" w:rsidP="003B0BF0">
            <w:pPr>
              <w:pStyle w:val="TableText"/>
            </w:pPr>
            <w:r w:rsidRPr="00B02C2E">
              <w:t>Relapse costs were based on a poster presentation of US administrative claims data for NMOSD patients (Stafkey-Mailey 2016)</w:t>
            </w:r>
            <w:r w:rsidR="00A01704" w:rsidRPr="00B02C2E">
              <w:t>, and included costs of plasma exchange (both treatment arms), and supplementary dosing of eculizumab (eculizumab treatment arm) based on average use in the PREVENT trial</w:t>
            </w:r>
            <w:r w:rsidRPr="00B02C2E">
              <w:t>.</w:t>
            </w:r>
          </w:p>
          <w:p w14:paraId="762C67E9" w14:textId="77777777" w:rsidR="00214F44" w:rsidRPr="00B02C2E" w:rsidRDefault="00214F44" w:rsidP="003B0BF0">
            <w:pPr>
              <w:pStyle w:val="TableText"/>
            </w:pPr>
          </w:p>
          <w:p w14:paraId="209B5566" w14:textId="77777777" w:rsidR="00214F44" w:rsidRPr="00B02C2E" w:rsidRDefault="00214F44" w:rsidP="003B0BF0">
            <w:pPr>
              <w:pStyle w:val="TableText"/>
            </w:pPr>
            <w:r w:rsidRPr="00B02C2E">
              <w:t>Health state costs were based on a published observational study of Australian multiple sclerosis patients (Australian MS Longitudinal Study; Palmer 2011)</w:t>
            </w:r>
          </w:p>
          <w:p w14:paraId="0227F85C" w14:textId="77777777" w:rsidR="00214F44" w:rsidRPr="00B02C2E" w:rsidRDefault="00214F44" w:rsidP="003B0BF0">
            <w:pPr>
              <w:pStyle w:val="TableText"/>
            </w:pPr>
          </w:p>
          <w:p w14:paraId="526F8DC7" w14:textId="77777777" w:rsidR="00214F44" w:rsidRPr="00B02C2E" w:rsidRDefault="00214F44" w:rsidP="003B0BF0">
            <w:pPr>
              <w:pStyle w:val="Tabletext0"/>
              <w:keepNext/>
              <w:rPr>
                <w:rFonts w:eastAsia="Calibri"/>
              </w:rPr>
            </w:pPr>
            <w:r w:rsidRPr="00B02C2E">
              <w:t xml:space="preserve">Eculizumab drug costs were based on the proposed </w:t>
            </w:r>
            <w:r w:rsidR="00A01704" w:rsidRPr="00B02C2E">
              <w:t xml:space="preserve">effective </w:t>
            </w:r>
            <w:r w:rsidRPr="00B02C2E">
              <w:t xml:space="preserve">DPMQ. Treatment administration costs were estimated based on MBS costs for chemotherapy infusions. </w:t>
            </w:r>
          </w:p>
        </w:tc>
      </w:tr>
      <w:tr w:rsidR="00214F44" w:rsidRPr="00B02C2E" w14:paraId="3AD678DA" w14:textId="77777777" w:rsidTr="003B0BF0">
        <w:trPr>
          <w:cantSplit/>
        </w:trPr>
        <w:tc>
          <w:tcPr>
            <w:tcW w:w="1019" w:type="pct"/>
            <w:shd w:val="clear" w:color="auto" w:fill="auto"/>
            <w:vAlign w:val="center"/>
          </w:tcPr>
          <w:p w14:paraId="19D70EDA" w14:textId="77777777" w:rsidR="00214F44" w:rsidRPr="00B02C2E" w:rsidRDefault="00214F44" w:rsidP="003B0BF0">
            <w:pPr>
              <w:pStyle w:val="TableText"/>
            </w:pPr>
            <w:r w:rsidRPr="00B02C2E">
              <w:t>Discount rate</w:t>
            </w:r>
          </w:p>
        </w:tc>
        <w:tc>
          <w:tcPr>
            <w:tcW w:w="3981" w:type="pct"/>
            <w:shd w:val="clear" w:color="auto" w:fill="auto"/>
            <w:vAlign w:val="center"/>
          </w:tcPr>
          <w:p w14:paraId="6A618920" w14:textId="77777777" w:rsidR="00214F44" w:rsidRPr="00B02C2E" w:rsidRDefault="00214F44" w:rsidP="003B0BF0">
            <w:pPr>
              <w:pStyle w:val="TableText"/>
            </w:pPr>
            <w:r w:rsidRPr="00B02C2E">
              <w:t>5% for costs and outcomes</w:t>
            </w:r>
          </w:p>
        </w:tc>
      </w:tr>
      <w:tr w:rsidR="00214F44" w:rsidRPr="00B02C2E" w14:paraId="4CDB6EDB" w14:textId="77777777" w:rsidTr="003B0BF0">
        <w:trPr>
          <w:cantSplit/>
        </w:trPr>
        <w:tc>
          <w:tcPr>
            <w:tcW w:w="1019" w:type="pct"/>
            <w:shd w:val="clear" w:color="auto" w:fill="auto"/>
            <w:vAlign w:val="center"/>
          </w:tcPr>
          <w:p w14:paraId="50E71012" w14:textId="77777777" w:rsidR="00214F44" w:rsidRPr="00B02C2E" w:rsidRDefault="00214F44" w:rsidP="003B0BF0">
            <w:pPr>
              <w:pStyle w:val="TableText"/>
              <w:rPr>
                <w:rFonts w:ascii="Times" w:eastAsia="Times New Roman" w:hAnsi="Times" w:cs="Times New Roman"/>
                <w:szCs w:val="20"/>
              </w:rPr>
            </w:pPr>
            <w:r w:rsidRPr="00B02C2E">
              <w:t>Software package</w:t>
            </w:r>
          </w:p>
        </w:tc>
        <w:tc>
          <w:tcPr>
            <w:tcW w:w="3981" w:type="pct"/>
            <w:shd w:val="clear" w:color="auto" w:fill="auto"/>
            <w:vAlign w:val="center"/>
          </w:tcPr>
          <w:p w14:paraId="4B606A50" w14:textId="77777777" w:rsidR="00214F44" w:rsidRPr="00B02C2E" w:rsidRDefault="00214F44" w:rsidP="003B0BF0">
            <w:pPr>
              <w:pStyle w:val="TableText"/>
            </w:pPr>
            <w:r w:rsidRPr="00B02C2E">
              <w:t>TreeAge Pro Healthcare 2020</w:t>
            </w:r>
          </w:p>
        </w:tc>
      </w:tr>
    </w:tbl>
    <w:p w14:paraId="1938A1B3" w14:textId="77777777" w:rsidR="00214F44" w:rsidRPr="00B02C2E" w:rsidRDefault="00214F44" w:rsidP="00214F44">
      <w:pPr>
        <w:pStyle w:val="TableFooter"/>
      </w:pPr>
      <w:r w:rsidRPr="00B02C2E">
        <w:t xml:space="preserve">Source: the resubmission </w:t>
      </w:r>
    </w:p>
    <w:p w14:paraId="2CA01736" w14:textId="77777777" w:rsidR="00214F44" w:rsidRPr="00B02C2E" w:rsidRDefault="007E0AB3" w:rsidP="007E0AB3">
      <w:pPr>
        <w:pStyle w:val="TableFooter"/>
        <w:spacing w:after="120"/>
      </w:pPr>
      <w:r w:rsidRPr="00B02C2E">
        <w:t xml:space="preserve">Abbreviations: </w:t>
      </w:r>
      <w:r w:rsidR="00214F44" w:rsidRPr="00B02C2E">
        <w:t>DPMQ</w:t>
      </w:r>
      <w:r w:rsidRPr="00B02C2E">
        <w:t>,</w:t>
      </w:r>
      <w:r w:rsidR="00214F44" w:rsidRPr="00B02C2E">
        <w:t xml:space="preserve"> dispensed price per maximum quantity; EDSS</w:t>
      </w:r>
      <w:r w:rsidRPr="00B02C2E">
        <w:t>,</w:t>
      </w:r>
      <w:r w:rsidR="00214F44" w:rsidRPr="00B02C2E">
        <w:t xml:space="preserve"> Expanded Disability Status Scale; MBS</w:t>
      </w:r>
      <w:r w:rsidRPr="00B02C2E">
        <w:t>,</w:t>
      </w:r>
      <w:r w:rsidR="00214F44" w:rsidRPr="00B02C2E">
        <w:t xml:space="preserve"> Medicare Benefits Schedule; NMOSD</w:t>
      </w:r>
      <w:r w:rsidRPr="00B02C2E">
        <w:t>,</w:t>
      </w:r>
      <w:r w:rsidR="00214F44" w:rsidRPr="00B02C2E">
        <w:t xml:space="preserve"> neuromyelitis optica spectrum disorder; UK</w:t>
      </w:r>
      <w:r w:rsidRPr="00B02C2E">
        <w:t xml:space="preserve">, </w:t>
      </w:r>
      <w:r w:rsidR="00214F44" w:rsidRPr="00B02C2E">
        <w:t>United Kingdom; US</w:t>
      </w:r>
      <w:r w:rsidRPr="00B02C2E">
        <w:t>,</w:t>
      </w:r>
      <w:r w:rsidR="00214F44" w:rsidRPr="00B02C2E">
        <w:t xml:space="preserve"> United States</w:t>
      </w:r>
    </w:p>
    <w:p w14:paraId="14A73B86" w14:textId="77777777" w:rsidR="00A01704" w:rsidRPr="00B02C2E" w:rsidRDefault="007E0AB3" w:rsidP="00A01704">
      <w:pPr>
        <w:pStyle w:val="ExecSumBodyText"/>
        <w:rPr>
          <w:bCs/>
        </w:rPr>
      </w:pPr>
      <w:r w:rsidRPr="00B02C2E">
        <w:rPr>
          <w:bCs/>
        </w:rPr>
        <w:t xml:space="preserve">The structure of the model is largely unchanged from the previous submission. </w:t>
      </w:r>
      <w:r w:rsidR="00A01704" w:rsidRPr="00B02C2E">
        <w:rPr>
          <w:bCs/>
        </w:rPr>
        <w:t>Patients begin the model in various EDSS health states (0-7) based on the estimated distribution in the Australian NMOSD population. In each cycle, patients can have no event or experience a non-fatal relapse, fatal relapse or death due to general mortality. Patients experiencing a non-fatal relapse may suffer permanent disability progression and transition to a higher EDSS health state. Patients in the eculizumab treatment arm may discontinue treatment and revert to the same transition probabilities as the best supportive care arm.</w:t>
      </w:r>
    </w:p>
    <w:p w14:paraId="6EA35367" w14:textId="77777777" w:rsidR="00A01704" w:rsidRPr="00B02C2E" w:rsidRDefault="00E72FD0" w:rsidP="00A01704">
      <w:pPr>
        <w:pStyle w:val="ExecSumBodyText"/>
      </w:pPr>
      <w:r w:rsidRPr="00B02C2E">
        <w:rPr>
          <w:bCs/>
        </w:rPr>
        <w:t>In October 2020, t</w:t>
      </w:r>
      <w:r w:rsidR="00A01704" w:rsidRPr="00B02C2E">
        <w:rPr>
          <w:bCs/>
        </w:rPr>
        <w:t>he ESC noted that the economic model was overly complex with 20 health states and two death states</w:t>
      </w:r>
      <w:r w:rsidR="001F6EE3" w:rsidRPr="00B02C2E">
        <w:rPr>
          <w:bCs/>
        </w:rPr>
        <w:t xml:space="preserve"> </w:t>
      </w:r>
      <w:r w:rsidRPr="00B02C2E">
        <w:rPr>
          <w:bCs/>
        </w:rPr>
        <w:t>and</w:t>
      </w:r>
      <w:r w:rsidR="00A01704" w:rsidRPr="00B02C2E">
        <w:rPr>
          <w:bCs/>
        </w:rPr>
        <w:t xml:space="preserve"> considered it was unclear whether the EDSS health states adequately capture</w:t>
      </w:r>
      <w:r w:rsidRPr="00B02C2E">
        <w:rPr>
          <w:bCs/>
        </w:rPr>
        <w:t>d</w:t>
      </w:r>
      <w:r w:rsidR="00A01704" w:rsidRPr="00B02C2E">
        <w:rPr>
          <w:bCs/>
        </w:rPr>
        <w:t xml:space="preserve"> NMOSD-related disability, </w:t>
      </w:r>
      <w:r w:rsidRPr="00B02C2E">
        <w:rPr>
          <w:bCs/>
        </w:rPr>
        <w:t>noting that</w:t>
      </w:r>
      <w:r w:rsidR="00A01704" w:rsidRPr="00B02C2E">
        <w:rPr>
          <w:bCs/>
        </w:rPr>
        <w:t xml:space="preserve"> the probability of disability progression in the model was based on a small number of patients (23 patients</w:t>
      </w:r>
      <w:r w:rsidR="00B0186E" w:rsidRPr="00B02C2E">
        <w:rPr>
          <w:bCs/>
        </w:rPr>
        <w:t xml:space="preserve">; </w:t>
      </w:r>
      <w:r w:rsidR="00A01704" w:rsidRPr="00B02C2E">
        <w:rPr>
          <w:bCs/>
        </w:rPr>
        <w:t>para</w:t>
      </w:r>
      <w:r w:rsidR="004E04C6" w:rsidRPr="00B02C2E">
        <w:rPr>
          <w:bCs/>
        </w:rPr>
        <w:t>graph</w:t>
      </w:r>
      <w:r w:rsidR="00A01704" w:rsidRPr="00B02C2E">
        <w:rPr>
          <w:bCs/>
        </w:rPr>
        <w:t xml:space="preserve"> 6.30, </w:t>
      </w:r>
      <w:r w:rsidR="004E04C6" w:rsidRPr="00B02C2E">
        <w:rPr>
          <w:bCs/>
        </w:rPr>
        <w:t>e</w:t>
      </w:r>
      <w:r w:rsidR="00A01704" w:rsidRPr="00B02C2E">
        <w:rPr>
          <w:bCs/>
        </w:rPr>
        <w:t>culizumab PSD, November 2020).</w:t>
      </w:r>
    </w:p>
    <w:p w14:paraId="0AC37A73" w14:textId="77777777" w:rsidR="00B0186E" w:rsidRPr="00B02C2E" w:rsidRDefault="00B0186E" w:rsidP="00A01704">
      <w:pPr>
        <w:pStyle w:val="ExecSumBodyText"/>
      </w:pPr>
      <w:r w:rsidRPr="00B02C2E">
        <w:rPr>
          <w:bCs/>
        </w:rPr>
        <w:t xml:space="preserve">The </w:t>
      </w:r>
      <w:r w:rsidR="00FC3535" w:rsidRPr="00B02C2E">
        <w:rPr>
          <w:bCs/>
        </w:rPr>
        <w:t xml:space="preserve">ESC noted that the </w:t>
      </w:r>
      <w:r w:rsidRPr="00B02C2E">
        <w:rPr>
          <w:bCs/>
        </w:rPr>
        <w:t>key changes to the economic model include</w:t>
      </w:r>
      <w:r w:rsidR="00E72FD0" w:rsidRPr="00B02C2E">
        <w:rPr>
          <w:bCs/>
        </w:rPr>
        <w:t>d</w:t>
      </w:r>
      <w:r w:rsidRPr="00B02C2E">
        <w:rPr>
          <w:bCs/>
        </w:rPr>
        <w:t>:</w:t>
      </w:r>
    </w:p>
    <w:p w14:paraId="083D5424" w14:textId="77777777" w:rsidR="00994DE2" w:rsidRPr="00B02C2E" w:rsidRDefault="00F8133E" w:rsidP="00587590">
      <w:pPr>
        <w:pStyle w:val="ExecSumBodyText"/>
        <w:numPr>
          <w:ilvl w:val="1"/>
          <w:numId w:val="8"/>
        </w:numPr>
        <w:ind w:left="1077" w:hanging="357"/>
        <w:contextualSpacing/>
      </w:pPr>
      <w:bookmarkStart w:id="30" w:name="_Hlk81998979"/>
      <w:r w:rsidRPr="00B02C2E">
        <w:t>U</w:t>
      </w:r>
      <w:r w:rsidR="00994DE2" w:rsidRPr="00B02C2E">
        <w:t>se of physician assessed relapse rates, as opposed to adjudicated relapse rates used previously.</w:t>
      </w:r>
    </w:p>
    <w:bookmarkEnd w:id="30"/>
    <w:p w14:paraId="33D18BB2" w14:textId="77777777" w:rsidR="00994DE2" w:rsidRPr="00B02C2E" w:rsidRDefault="00F8133E" w:rsidP="00587590">
      <w:pPr>
        <w:pStyle w:val="ExecSumBodyText"/>
        <w:numPr>
          <w:ilvl w:val="1"/>
          <w:numId w:val="8"/>
        </w:numPr>
        <w:ind w:left="1077" w:hanging="357"/>
        <w:contextualSpacing/>
      </w:pPr>
      <w:r w:rsidRPr="00B02C2E">
        <w:t>T</w:t>
      </w:r>
      <w:r w:rsidR="00994DE2" w:rsidRPr="00B02C2E">
        <w:t>he proportion of patients with permanent disability following relapse has decreased</w:t>
      </w:r>
      <w:r w:rsidR="00536BC6" w:rsidRPr="00B02C2E">
        <w:t xml:space="preserve"> (from 0.435 to 0.30)</w:t>
      </w:r>
      <w:r w:rsidR="00994DE2" w:rsidRPr="00B02C2E">
        <w:t>, based on a post-hoc four-month follow up after relapse in the open label extension study.</w:t>
      </w:r>
    </w:p>
    <w:p w14:paraId="08E9025C" w14:textId="77777777" w:rsidR="00B0186E" w:rsidRPr="00B02C2E" w:rsidRDefault="00994DE2" w:rsidP="00587590">
      <w:pPr>
        <w:pStyle w:val="ExecSumBodyText"/>
        <w:numPr>
          <w:ilvl w:val="1"/>
          <w:numId w:val="8"/>
        </w:numPr>
        <w:spacing w:after="0"/>
        <w:ind w:left="1077" w:hanging="357"/>
      </w:pPr>
      <w:r w:rsidRPr="00B02C2E">
        <w:t>The risk of fatal relapse has been reduced</w:t>
      </w:r>
      <w:r w:rsidR="00A76109" w:rsidRPr="00B02C2E">
        <w:t xml:space="preserve"> (from 7% to 2.3% per relapse)</w:t>
      </w:r>
      <w:r w:rsidRPr="00B02C2E">
        <w:t>.</w:t>
      </w:r>
    </w:p>
    <w:p w14:paraId="6E0C3CF7" w14:textId="77777777" w:rsidR="002F22DD" w:rsidRPr="00B02C2E" w:rsidRDefault="002F22DD" w:rsidP="00587590">
      <w:pPr>
        <w:pStyle w:val="ExecSumBodyText"/>
        <w:numPr>
          <w:ilvl w:val="1"/>
          <w:numId w:val="8"/>
        </w:numPr>
        <w:ind w:left="1077" w:hanging="357"/>
      </w:pPr>
      <w:r w:rsidRPr="00B02C2E">
        <w:t>Cost of plasma exchange and associated supplementary dosing with eculizumab were included.</w:t>
      </w:r>
    </w:p>
    <w:p w14:paraId="668BBCC0" w14:textId="77777777" w:rsidR="00521C7F" w:rsidRPr="00B02C2E" w:rsidRDefault="002F22DD" w:rsidP="00A01704">
      <w:pPr>
        <w:pStyle w:val="ExecSumBodyText"/>
        <w:numPr>
          <w:ilvl w:val="1"/>
          <w:numId w:val="1"/>
        </w:numPr>
      </w:pPr>
      <w:r w:rsidRPr="00B02C2E">
        <w:t xml:space="preserve">The </w:t>
      </w:r>
      <w:r w:rsidR="00FC3535" w:rsidRPr="00B02C2E">
        <w:t xml:space="preserve">ESC noted that the </w:t>
      </w:r>
      <w:r w:rsidRPr="00B02C2E">
        <w:t xml:space="preserve">following </w:t>
      </w:r>
      <w:r w:rsidR="00521C7F" w:rsidRPr="00B02C2E">
        <w:t>changes requested by the PBAC in November 2020 were not made</w:t>
      </w:r>
      <w:r w:rsidR="00715A41" w:rsidRPr="00B02C2E">
        <w:t xml:space="preserve"> to the economic model</w:t>
      </w:r>
      <w:r w:rsidR="00521C7F" w:rsidRPr="00B02C2E">
        <w:t>:</w:t>
      </w:r>
    </w:p>
    <w:p w14:paraId="19D4F6AE" w14:textId="77777777" w:rsidR="00521C7F" w:rsidRPr="00B02C2E" w:rsidRDefault="00521C7F" w:rsidP="00587590">
      <w:pPr>
        <w:pStyle w:val="ExecSumBodyText"/>
        <w:numPr>
          <w:ilvl w:val="1"/>
          <w:numId w:val="8"/>
        </w:numPr>
        <w:ind w:left="1077" w:hanging="357"/>
        <w:contextualSpacing/>
      </w:pPr>
      <w:r w:rsidRPr="00B02C2E">
        <w:t>Relapse rate over time. Published estimates suggest that the risk of relapse decreases with time since onset (Kunchok 2020, Palace 2019)</w:t>
      </w:r>
      <w:r w:rsidR="00715A41" w:rsidRPr="00B02C2E">
        <w:t>;</w:t>
      </w:r>
      <w:r w:rsidRPr="00B02C2E">
        <w:t xml:space="preserve"> however</w:t>
      </w:r>
      <w:r w:rsidR="00715A41" w:rsidRPr="00B02C2E">
        <w:t>,</w:t>
      </w:r>
      <w:r w:rsidRPr="00B02C2E">
        <w:t xml:space="preserve"> relapse rates in the economic model </w:t>
      </w:r>
      <w:r w:rsidR="002F22DD" w:rsidRPr="00B02C2E">
        <w:t>remained</w:t>
      </w:r>
      <w:r w:rsidRPr="00B02C2E">
        <w:t xml:space="preserve"> constant over time. </w:t>
      </w:r>
    </w:p>
    <w:p w14:paraId="1A083E64" w14:textId="77777777" w:rsidR="00521C7F" w:rsidRPr="00B02C2E" w:rsidRDefault="00521C7F" w:rsidP="00587590">
      <w:pPr>
        <w:pStyle w:val="ExecSumBodyText"/>
        <w:numPr>
          <w:ilvl w:val="1"/>
          <w:numId w:val="8"/>
        </w:numPr>
        <w:ind w:left="1077" w:hanging="357"/>
        <w:contextualSpacing/>
      </w:pPr>
      <w:r w:rsidRPr="00B02C2E">
        <w:t xml:space="preserve">The economic model assumed constant efficacy over time. </w:t>
      </w:r>
      <w:r w:rsidR="007872D3" w:rsidRPr="00B02C2E">
        <w:t>In November 2020, t</w:t>
      </w:r>
      <w:r w:rsidRPr="00B02C2E">
        <w:t xml:space="preserve">he PBAC considered that this assumption could not be validated due to a lack of long-term data (Table 8, </w:t>
      </w:r>
      <w:r w:rsidR="00671884" w:rsidRPr="00B02C2E">
        <w:t>e</w:t>
      </w:r>
      <w:r w:rsidRPr="00B02C2E">
        <w:t>culizumab PSD, November 2020).</w:t>
      </w:r>
    </w:p>
    <w:p w14:paraId="494E3940" w14:textId="77777777" w:rsidR="00521C7F" w:rsidRPr="00B02C2E" w:rsidRDefault="00521C7F" w:rsidP="00587590">
      <w:pPr>
        <w:pStyle w:val="ExecSumBodyText"/>
        <w:numPr>
          <w:ilvl w:val="1"/>
          <w:numId w:val="8"/>
        </w:numPr>
        <w:ind w:left="1077" w:hanging="357"/>
        <w:contextualSpacing/>
      </w:pPr>
      <w:r w:rsidRPr="00B02C2E">
        <w:t xml:space="preserve">Health state utility values by EDSS stage were retained. </w:t>
      </w:r>
      <w:r w:rsidR="007872D3" w:rsidRPr="00B02C2E">
        <w:t>In October 2020, t</w:t>
      </w:r>
      <w:r w:rsidRPr="00B02C2E">
        <w:t>he ESC considered that the utilities resulting from regression analyses had better internal consistency.</w:t>
      </w:r>
    </w:p>
    <w:p w14:paraId="58F72B8F" w14:textId="77777777" w:rsidR="00521C7F" w:rsidRPr="00B02C2E" w:rsidRDefault="00521C7F" w:rsidP="00587590">
      <w:pPr>
        <w:pStyle w:val="ExecSumBodyText"/>
        <w:numPr>
          <w:ilvl w:val="1"/>
          <w:numId w:val="8"/>
        </w:numPr>
        <w:ind w:left="1077" w:hanging="357"/>
      </w:pPr>
      <w:r w:rsidRPr="00B02C2E">
        <w:t>Utility estimates based on trial data, which incorporate</w:t>
      </w:r>
      <w:r w:rsidR="00715A41" w:rsidRPr="00B02C2E">
        <w:t>d</w:t>
      </w:r>
      <w:r w:rsidRPr="00B02C2E">
        <w:t xml:space="preserve"> both relapse and disability progression</w:t>
      </w:r>
      <w:r w:rsidR="00715A41" w:rsidRPr="00B02C2E">
        <w:t>,</w:t>
      </w:r>
      <w:r w:rsidRPr="00B02C2E">
        <w:t xml:space="preserve"> double count</w:t>
      </w:r>
      <w:r w:rsidR="00715A41" w:rsidRPr="00B02C2E">
        <w:t>ed</w:t>
      </w:r>
      <w:r w:rsidRPr="00B02C2E">
        <w:t xml:space="preserve"> the QALY implications of relapse when a disutility impact of relapse </w:t>
      </w:r>
      <w:r w:rsidR="00715A41" w:rsidRPr="00B02C2E">
        <w:t>wa</w:t>
      </w:r>
      <w:r w:rsidRPr="00B02C2E">
        <w:t xml:space="preserve">s simultaneously modelled. The resubmission argued that this double counting </w:t>
      </w:r>
      <w:r w:rsidR="00715A41" w:rsidRPr="00B02C2E">
        <w:t xml:space="preserve">could </w:t>
      </w:r>
      <w:r w:rsidRPr="00B02C2E">
        <w:t xml:space="preserve">not be occurring because the two variables are separated in time. Although separated in time in the model, the quality of life impacts as measured in the trial (and which inform QALY estimates in the model) did not separately measure the impacts of relapse and disability progression. </w:t>
      </w:r>
    </w:p>
    <w:p w14:paraId="1D4EE897" w14:textId="77777777" w:rsidR="00A01704" w:rsidRPr="00B02C2E" w:rsidRDefault="00A01704" w:rsidP="00A01704">
      <w:pPr>
        <w:pStyle w:val="ExecSumBodyText"/>
        <w:numPr>
          <w:ilvl w:val="1"/>
          <w:numId w:val="1"/>
        </w:numPr>
      </w:pPr>
      <w:r w:rsidRPr="00B02C2E">
        <w:t>Key drivers of the economic model are summarised in the table below.</w:t>
      </w:r>
    </w:p>
    <w:p w14:paraId="773DA1F3" w14:textId="77777777" w:rsidR="00A01704" w:rsidRPr="00B02C2E" w:rsidRDefault="00A01704" w:rsidP="00A01704">
      <w:pPr>
        <w:pStyle w:val="TableFigureCaption"/>
      </w:pPr>
      <w:r w:rsidRPr="00B02C2E">
        <w:t xml:space="preserve">Table </w:t>
      </w:r>
      <w:r w:rsidR="00EA6071" w:rsidRPr="00B02C2E">
        <w:t>8</w:t>
      </w:r>
      <w:r w:rsidRPr="00B02C2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79"/>
        <w:gridCol w:w="1309"/>
      </w:tblGrid>
      <w:tr w:rsidR="00A01704" w:rsidRPr="00B02C2E" w14:paraId="500CA5A8" w14:textId="77777777" w:rsidTr="00B43EFD">
        <w:trPr>
          <w:cantSplit/>
          <w:tblHeader/>
        </w:trPr>
        <w:tc>
          <w:tcPr>
            <w:tcW w:w="626" w:type="pct"/>
            <w:shd w:val="clear" w:color="auto" w:fill="auto"/>
            <w:vAlign w:val="center"/>
          </w:tcPr>
          <w:p w14:paraId="127AD0DB" w14:textId="77777777" w:rsidR="00A01704" w:rsidRPr="00B02C2E" w:rsidRDefault="00A01704" w:rsidP="00E81D3E">
            <w:pPr>
              <w:pStyle w:val="Tableheadingrow"/>
              <w:keepNext w:val="0"/>
              <w:jc w:val="center"/>
              <w:rPr>
                <w:lang w:val="en-AU"/>
              </w:rPr>
            </w:pPr>
            <w:r w:rsidRPr="00B02C2E">
              <w:rPr>
                <w:lang w:val="en-AU"/>
              </w:rPr>
              <w:t>Description</w:t>
            </w:r>
          </w:p>
        </w:tc>
        <w:tc>
          <w:tcPr>
            <w:tcW w:w="3648" w:type="pct"/>
            <w:shd w:val="clear" w:color="auto" w:fill="auto"/>
            <w:vAlign w:val="center"/>
          </w:tcPr>
          <w:p w14:paraId="0CAB127D" w14:textId="77777777" w:rsidR="00A01704" w:rsidRPr="00B02C2E" w:rsidRDefault="00A01704" w:rsidP="00E81D3E">
            <w:pPr>
              <w:pStyle w:val="Tableheadingrow"/>
              <w:keepNext w:val="0"/>
              <w:jc w:val="center"/>
              <w:rPr>
                <w:lang w:val="en-AU"/>
              </w:rPr>
            </w:pPr>
            <w:r w:rsidRPr="00B02C2E">
              <w:rPr>
                <w:lang w:val="en-AU"/>
              </w:rPr>
              <w:t>Method/Value</w:t>
            </w:r>
          </w:p>
        </w:tc>
        <w:tc>
          <w:tcPr>
            <w:tcW w:w="726" w:type="pct"/>
            <w:shd w:val="clear" w:color="auto" w:fill="auto"/>
            <w:vAlign w:val="center"/>
          </w:tcPr>
          <w:p w14:paraId="19F11057" w14:textId="77777777" w:rsidR="00A01704" w:rsidRPr="00B02C2E" w:rsidRDefault="00A01704" w:rsidP="00E81D3E">
            <w:pPr>
              <w:pStyle w:val="Tableheadingrow"/>
              <w:keepNext w:val="0"/>
              <w:jc w:val="center"/>
              <w:rPr>
                <w:lang w:val="en-AU"/>
              </w:rPr>
            </w:pPr>
            <w:r w:rsidRPr="00B02C2E">
              <w:rPr>
                <w:lang w:val="en-AU"/>
              </w:rPr>
              <w:t>Impact</w:t>
            </w:r>
          </w:p>
        </w:tc>
      </w:tr>
      <w:tr w:rsidR="00534E74" w:rsidRPr="00B02C2E" w14:paraId="2A8AE0E0" w14:textId="77777777" w:rsidTr="00B43EFD">
        <w:trPr>
          <w:cantSplit/>
        </w:trPr>
        <w:tc>
          <w:tcPr>
            <w:tcW w:w="626" w:type="pct"/>
            <w:shd w:val="clear" w:color="auto" w:fill="auto"/>
            <w:vAlign w:val="center"/>
          </w:tcPr>
          <w:p w14:paraId="103C05E3" w14:textId="77777777" w:rsidR="00534E74" w:rsidRPr="00B02C2E" w:rsidRDefault="00534E74" w:rsidP="00E81D3E">
            <w:pPr>
              <w:pStyle w:val="TableText"/>
              <w:keepNext w:val="0"/>
            </w:pPr>
            <w:r w:rsidRPr="00B02C2E">
              <w:t>Time horizon</w:t>
            </w:r>
          </w:p>
        </w:tc>
        <w:tc>
          <w:tcPr>
            <w:tcW w:w="3648" w:type="pct"/>
            <w:shd w:val="clear" w:color="auto" w:fill="auto"/>
            <w:vAlign w:val="center"/>
          </w:tcPr>
          <w:p w14:paraId="69BA7F7F" w14:textId="77777777" w:rsidR="00534E74" w:rsidRPr="00B02C2E" w:rsidRDefault="00534E74" w:rsidP="00E81D3E">
            <w:pPr>
              <w:pStyle w:val="TableText"/>
              <w:keepNext w:val="0"/>
            </w:pPr>
            <w:r w:rsidRPr="00B02C2E">
              <w:t xml:space="preserve">The resubmission </w:t>
            </w:r>
            <w:r w:rsidR="00DF30E0" w:rsidRPr="00B02C2E">
              <w:t xml:space="preserve">again </w:t>
            </w:r>
            <w:r w:rsidRPr="00B02C2E">
              <w:t>used a 53</w:t>
            </w:r>
            <w:r w:rsidR="00715A41" w:rsidRPr="00B02C2E">
              <w:t>-</w:t>
            </w:r>
            <w:r w:rsidRPr="00B02C2E">
              <w:t xml:space="preserve">year (lifetime) time horizon. </w:t>
            </w:r>
            <w:r w:rsidR="004E04C6" w:rsidRPr="00B02C2E">
              <w:t xml:space="preserve">In November 2020 the </w:t>
            </w:r>
            <w:r w:rsidRPr="00B02C2E">
              <w:t>PBAC considered that the time horizon (compared w</w:t>
            </w:r>
            <w:r w:rsidR="00AD141B" w:rsidRPr="00B02C2E">
              <w:t>ith 1-2 years in the PREVENT trial) increased the uncertainty of the model</w:t>
            </w:r>
            <w:r w:rsidR="004E04C6" w:rsidRPr="00B02C2E">
              <w:t xml:space="preserve"> and </w:t>
            </w:r>
            <w:r w:rsidR="00AD141B" w:rsidRPr="00B02C2E">
              <w:t xml:space="preserve">noted that the majority of the incremental benefits occurred in the extrapolated period (para 7.15, </w:t>
            </w:r>
            <w:r w:rsidR="004E04C6" w:rsidRPr="00B02C2E">
              <w:t>e</w:t>
            </w:r>
            <w:r w:rsidR="00AD141B" w:rsidRPr="00B02C2E">
              <w:t>culizumab PSD, November 2020). In</w:t>
            </w:r>
            <w:r w:rsidRPr="00B02C2E">
              <w:t xml:space="preserve"> the </w:t>
            </w:r>
            <w:r w:rsidR="00AD141B" w:rsidRPr="00B02C2E">
              <w:t xml:space="preserve">current </w:t>
            </w:r>
            <w:r w:rsidRPr="00B02C2E">
              <w:t>model, 73.8% of incremental costs and 97.0% of incremental QALYs are generated in the extrapolated period beyond two years.</w:t>
            </w:r>
            <w:r w:rsidR="00AD141B" w:rsidRPr="00B02C2E">
              <w:t xml:space="preserve"> </w:t>
            </w:r>
            <w:r w:rsidR="00F33CAC" w:rsidRPr="00B02C2E">
              <w:t xml:space="preserve">The PBAC considered that the </w:t>
            </w:r>
            <w:r w:rsidR="00AD141B" w:rsidRPr="00B02C2E">
              <w:t>difference in life years gained and disability progression w</w:t>
            </w:r>
            <w:r w:rsidR="00F33CAC" w:rsidRPr="00B02C2E">
              <w:t>ere</w:t>
            </w:r>
            <w:r w:rsidR="00AD141B" w:rsidRPr="00B02C2E">
              <w:t xml:space="preserve"> not supported by the clinical evidence.</w:t>
            </w:r>
          </w:p>
        </w:tc>
        <w:tc>
          <w:tcPr>
            <w:tcW w:w="726" w:type="pct"/>
            <w:shd w:val="clear" w:color="auto" w:fill="auto"/>
            <w:vAlign w:val="center"/>
          </w:tcPr>
          <w:p w14:paraId="32BA2785" w14:textId="77777777" w:rsidR="00534E74" w:rsidRPr="00B02C2E" w:rsidRDefault="00534E74" w:rsidP="00E81D3E">
            <w:pPr>
              <w:pStyle w:val="TableText"/>
              <w:keepNext w:val="0"/>
              <w:jc w:val="center"/>
            </w:pPr>
            <w:r w:rsidRPr="00B02C2E">
              <w:t>High, favours eculizumab</w:t>
            </w:r>
          </w:p>
        </w:tc>
      </w:tr>
      <w:tr w:rsidR="00A01704" w:rsidRPr="00B02C2E" w14:paraId="4F3F28BE" w14:textId="77777777" w:rsidTr="00B43EFD">
        <w:trPr>
          <w:cantSplit/>
        </w:trPr>
        <w:tc>
          <w:tcPr>
            <w:tcW w:w="626" w:type="pct"/>
            <w:shd w:val="clear" w:color="auto" w:fill="auto"/>
            <w:vAlign w:val="center"/>
          </w:tcPr>
          <w:p w14:paraId="2CE1B6C3" w14:textId="77777777" w:rsidR="00A01704" w:rsidRPr="00B02C2E" w:rsidRDefault="00A01704" w:rsidP="00E81D3E">
            <w:pPr>
              <w:pStyle w:val="TableText"/>
              <w:keepNext w:val="0"/>
              <w:jc w:val="center"/>
            </w:pPr>
            <w:r w:rsidRPr="00B02C2E">
              <w:t>Relapse rate</w:t>
            </w:r>
          </w:p>
        </w:tc>
        <w:tc>
          <w:tcPr>
            <w:tcW w:w="3648" w:type="pct"/>
            <w:shd w:val="clear" w:color="auto" w:fill="auto"/>
            <w:vAlign w:val="center"/>
          </w:tcPr>
          <w:p w14:paraId="6A2D11F5" w14:textId="77777777" w:rsidR="00A01704" w:rsidRPr="00B02C2E" w:rsidRDefault="00A01704" w:rsidP="00E81D3E">
            <w:pPr>
              <w:pStyle w:val="TableText"/>
              <w:keepNext w:val="0"/>
            </w:pPr>
            <w:r w:rsidRPr="00B02C2E">
              <w:t xml:space="preserve">The </w:t>
            </w:r>
            <w:r w:rsidR="006914B9" w:rsidRPr="00B02C2E">
              <w:t>re</w:t>
            </w:r>
            <w:r w:rsidRPr="00B02C2E">
              <w:t xml:space="preserve">submission estimated the risk of relapse with best supportive care based on the </w:t>
            </w:r>
            <w:r w:rsidR="00B76803" w:rsidRPr="00B02C2E">
              <w:t>physician assessed</w:t>
            </w:r>
            <w:r w:rsidRPr="00B02C2E">
              <w:t xml:space="preserve"> relapse rate reported in the placebo arm of the PREVENT trial.</w:t>
            </w:r>
          </w:p>
          <w:p w14:paraId="5E16C9E8" w14:textId="77777777" w:rsidR="00A01704" w:rsidRPr="00B02C2E" w:rsidRDefault="00A01704" w:rsidP="00E81D3E">
            <w:pPr>
              <w:pStyle w:val="TableText"/>
              <w:keepNext w:val="0"/>
            </w:pPr>
          </w:p>
          <w:p w14:paraId="2B4CA452" w14:textId="77777777" w:rsidR="00A01704" w:rsidRPr="00B02C2E" w:rsidRDefault="00A01704" w:rsidP="00E81D3E">
            <w:pPr>
              <w:pStyle w:val="TableText"/>
              <w:keepNext w:val="0"/>
            </w:pPr>
            <w:r w:rsidRPr="00B02C2E">
              <w:t>It is unclear whether the relapse rate from the PREVENT trial population can be generalised to the PBS population</w:t>
            </w:r>
            <w:r w:rsidR="00B76803" w:rsidRPr="00B02C2E">
              <w:t>, given that</w:t>
            </w:r>
            <w:r w:rsidR="00480E7B" w:rsidRPr="00B02C2E">
              <w:t xml:space="preserve"> patients were enrolled in the trial during a peak phase in relapse activity with ongoing relapse frequency likely to be substantially lower in most patients. The reported on-trial annualised relapse rates in the PREVENT trial (eculizumab: 0.066; placebo: 0.446) and extension (eculizumab/eculizumab: 0.101; placebo/eculizumab: 0.134) were considerably lower than the historical estimates reported in the two years prior to enrolment in the PREVENT trial (all patients: 1.99). Additionally, historical estimates including all years prior to enrolment also suggested a lower event rate (Listing 16.2.4.4.3.5 of the PREVENT trial report). Although the restriction has been amended to include the same relapse criteria as the PREVENT trial,</w:t>
            </w:r>
            <w:r w:rsidRPr="00B02C2E">
              <w:t xml:space="preserve"> the PBS population </w:t>
            </w:r>
            <w:r w:rsidR="00480E7B" w:rsidRPr="00B02C2E">
              <w:t>may</w:t>
            </w:r>
            <w:r w:rsidRPr="00B02C2E">
              <w:t xml:space="preserve"> include lower risk patients who may not achieve the same magnitude of benefit as the trial population.</w:t>
            </w:r>
          </w:p>
          <w:p w14:paraId="3648ABDE" w14:textId="77777777" w:rsidR="00A01704" w:rsidRPr="00B02C2E" w:rsidRDefault="00A01704" w:rsidP="00E81D3E">
            <w:pPr>
              <w:pStyle w:val="TableText"/>
              <w:keepNext w:val="0"/>
            </w:pPr>
          </w:p>
          <w:p w14:paraId="1CF62177" w14:textId="77777777" w:rsidR="00A01704" w:rsidRPr="00B02C2E" w:rsidRDefault="00A01704" w:rsidP="00E81D3E">
            <w:pPr>
              <w:pStyle w:val="TableText"/>
              <w:keepNext w:val="0"/>
            </w:pPr>
            <w:r w:rsidRPr="00B02C2E">
              <w:t xml:space="preserve">It is unclear whether the </w:t>
            </w:r>
            <w:r w:rsidR="0044048C" w:rsidRPr="00B02C2E">
              <w:t xml:space="preserve">relapse rate in the </w:t>
            </w:r>
            <w:r w:rsidRPr="00B02C2E">
              <w:t xml:space="preserve">placebo arm of the PREVENT trial is representative of best supportive care in practice due to the exclusion of rituximab as a treatment option. </w:t>
            </w:r>
          </w:p>
          <w:p w14:paraId="296EA674" w14:textId="77777777" w:rsidR="00A01704" w:rsidRPr="00B02C2E" w:rsidRDefault="00A01704" w:rsidP="00E81D3E">
            <w:pPr>
              <w:pStyle w:val="TableText"/>
              <w:keepNext w:val="0"/>
            </w:pPr>
          </w:p>
          <w:p w14:paraId="14F469EA" w14:textId="77777777" w:rsidR="00A01704" w:rsidRPr="00B02C2E" w:rsidRDefault="00A01704" w:rsidP="00E81D3E">
            <w:pPr>
              <w:pStyle w:val="TableText"/>
              <w:keepNext w:val="0"/>
            </w:pPr>
            <w:r w:rsidRPr="00B02C2E">
              <w:t xml:space="preserve">The </w:t>
            </w:r>
            <w:r w:rsidR="006914B9" w:rsidRPr="00B02C2E">
              <w:t>re</w:t>
            </w:r>
            <w:r w:rsidRPr="00B02C2E">
              <w:t>submission assumed that the probability of relapse remained constant over time. This was inconsistent with the published literature, which indicates that the risk of relapse decreases with time since onset (Kunchock 2020, Palace 2019)</w:t>
            </w:r>
          </w:p>
        </w:tc>
        <w:tc>
          <w:tcPr>
            <w:tcW w:w="726" w:type="pct"/>
            <w:shd w:val="clear" w:color="auto" w:fill="auto"/>
            <w:vAlign w:val="center"/>
          </w:tcPr>
          <w:p w14:paraId="7F8FEB34" w14:textId="77777777" w:rsidR="00A01704" w:rsidRPr="00B02C2E" w:rsidRDefault="00A01704" w:rsidP="00E81D3E">
            <w:pPr>
              <w:pStyle w:val="TableText"/>
              <w:keepNext w:val="0"/>
              <w:jc w:val="center"/>
            </w:pPr>
            <w:r w:rsidRPr="00B02C2E">
              <w:t>High, favours eculizumab</w:t>
            </w:r>
          </w:p>
        </w:tc>
      </w:tr>
      <w:tr w:rsidR="00A01704" w:rsidRPr="00B02C2E" w14:paraId="57D27FDA" w14:textId="77777777" w:rsidTr="00B43EFD">
        <w:trPr>
          <w:cantSplit/>
        </w:trPr>
        <w:tc>
          <w:tcPr>
            <w:tcW w:w="626" w:type="pct"/>
            <w:shd w:val="clear" w:color="auto" w:fill="auto"/>
            <w:vAlign w:val="center"/>
          </w:tcPr>
          <w:p w14:paraId="450AEECB" w14:textId="77777777" w:rsidR="00A01704" w:rsidRPr="00B02C2E" w:rsidRDefault="00A01704" w:rsidP="00E81D3E">
            <w:pPr>
              <w:pStyle w:val="TableText"/>
              <w:keepNext w:val="0"/>
              <w:jc w:val="center"/>
            </w:pPr>
            <w:r w:rsidRPr="00B02C2E">
              <w:t>Treatment efficacy</w:t>
            </w:r>
          </w:p>
        </w:tc>
        <w:tc>
          <w:tcPr>
            <w:tcW w:w="3648" w:type="pct"/>
            <w:shd w:val="clear" w:color="auto" w:fill="auto"/>
            <w:vAlign w:val="center"/>
          </w:tcPr>
          <w:p w14:paraId="4F77BF8E" w14:textId="77777777" w:rsidR="00A01704" w:rsidRPr="00B02C2E" w:rsidRDefault="00A01704" w:rsidP="00E81D3E">
            <w:pPr>
              <w:pStyle w:val="TableText"/>
              <w:keepNext w:val="0"/>
            </w:pPr>
            <w:r w:rsidRPr="00B02C2E">
              <w:t xml:space="preserve">The </w:t>
            </w:r>
            <w:r w:rsidR="00480E7B" w:rsidRPr="00B02C2E">
              <w:t>re</w:t>
            </w:r>
            <w:r w:rsidRPr="00B02C2E">
              <w:t xml:space="preserve">submission estimated the risk of relapse in the eculizumab treatment arm by applying the </w:t>
            </w:r>
            <w:r w:rsidR="00480E7B" w:rsidRPr="00B02C2E">
              <w:t>rate</w:t>
            </w:r>
            <w:r w:rsidRPr="00B02C2E">
              <w:t xml:space="preserve"> ratio from the time to first </w:t>
            </w:r>
            <w:r w:rsidR="00480E7B" w:rsidRPr="00B02C2E">
              <w:t>physician assessed</w:t>
            </w:r>
            <w:r w:rsidRPr="00B02C2E">
              <w:t xml:space="preserve"> relapse in the PREVENT trial to the risk of relapse in the best supportive care arm</w:t>
            </w:r>
            <w:r w:rsidR="00480E7B" w:rsidRPr="00B02C2E">
              <w:t xml:space="preserve">. </w:t>
            </w:r>
            <w:r w:rsidRPr="00B02C2E">
              <w:t xml:space="preserve">The </w:t>
            </w:r>
            <w:r w:rsidR="00480E7B" w:rsidRPr="00B02C2E">
              <w:t>re</w:t>
            </w:r>
            <w:r w:rsidRPr="00B02C2E">
              <w:t>submission assumed constant treatment efficacy over time. This assumption could not be validated due to a lack of long-term data.</w:t>
            </w:r>
          </w:p>
        </w:tc>
        <w:tc>
          <w:tcPr>
            <w:tcW w:w="726" w:type="pct"/>
            <w:shd w:val="clear" w:color="auto" w:fill="auto"/>
            <w:vAlign w:val="center"/>
          </w:tcPr>
          <w:p w14:paraId="3FFC944F" w14:textId="77777777" w:rsidR="00A01704" w:rsidRPr="00B02C2E" w:rsidRDefault="00A01704" w:rsidP="00E81D3E">
            <w:pPr>
              <w:pStyle w:val="TableText"/>
              <w:keepNext w:val="0"/>
              <w:jc w:val="center"/>
            </w:pPr>
            <w:r w:rsidRPr="00B02C2E">
              <w:t>High, favours eculizumab</w:t>
            </w:r>
          </w:p>
        </w:tc>
      </w:tr>
      <w:tr w:rsidR="00A01704" w:rsidRPr="00B02C2E" w14:paraId="01F625E6" w14:textId="77777777" w:rsidTr="00B43EFD">
        <w:trPr>
          <w:cantSplit/>
        </w:trPr>
        <w:tc>
          <w:tcPr>
            <w:tcW w:w="626" w:type="pct"/>
            <w:shd w:val="clear" w:color="auto" w:fill="auto"/>
            <w:vAlign w:val="center"/>
          </w:tcPr>
          <w:p w14:paraId="417FB047" w14:textId="77777777" w:rsidR="00A01704" w:rsidRPr="00B02C2E" w:rsidRDefault="00A01704" w:rsidP="00E81D3E">
            <w:pPr>
              <w:pStyle w:val="TableText"/>
              <w:keepNext w:val="0"/>
              <w:jc w:val="center"/>
            </w:pPr>
            <w:r w:rsidRPr="00B02C2E">
              <w:t>Relapse mortality</w:t>
            </w:r>
          </w:p>
        </w:tc>
        <w:tc>
          <w:tcPr>
            <w:tcW w:w="3648" w:type="pct"/>
            <w:shd w:val="clear" w:color="auto" w:fill="auto"/>
            <w:vAlign w:val="center"/>
          </w:tcPr>
          <w:p w14:paraId="5A9A64B7" w14:textId="77777777" w:rsidR="00A01704" w:rsidRPr="00B02C2E" w:rsidRDefault="00A01704" w:rsidP="00E81D3E">
            <w:pPr>
              <w:pStyle w:val="TableText"/>
              <w:keepNext w:val="0"/>
            </w:pPr>
            <w:r w:rsidRPr="00B02C2E">
              <w:t xml:space="preserve">The </w:t>
            </w:r>
            <w:r w:rsidR="00480E7B" w:rsidRPr="00B02C2E">
              <w:t>re</w:t>
            </w:r>
            <w:r w:rsidRPr="00B02C2E">
              <w:t xml:space="preserve">submission assumed that </w:t>
            </w:r>
            <w:r w:rsidR="00480E7B" w:rsidRPr="00B02C2E">
              <w:t>2.3</w:t>
            </w:r>
            <w:r w:rsidRPr="00B02C2E">
              <w:t>% of relapses were fatal based on an observational study</w:t>
            </w:r>
            <w:r w:rsidR="00D034F6" w:rsidRPr="00B02C2E">
              <w:t>, which</w:t>
            </w:r>
            <w:r w:rsidRPr="00B02C2E">
              <w:t xml:space="preserve"> report</w:t>
            </w:r>
            <w:r w:rsidR="00D034F6" w:rsidRPr="00B02C2E">
              <w:t>ed</w:t>
            </w:r>
            <w:r w:rsidRPr="00B02C2E">
              <w:t xml:space="preserve"> </w:t>
            </w:r>
            <w:r w:rsidR="00480E7B" w:rsidRPr="00B02C2E">
              <w:t xml:space="preserve">5 NMOSD-related deaths in a </w:t>
            </w:r>
            <w:r w:rsidR="00D034F6" w:rsidRPr="00B02C2E">
              <w:t xml:space="preserve">Caucasian </w:t>
            </w:r>
            <w:r w:rsidR="00480E7B" w:rsidRPr="00B02C2E">
              <w:t>population w</w:t>
            </w:r>
            <w:r w:rsidR="00D034F6" w:rsidRPr="00B02C2E">
              <w:t>ho</w:t>
            </w:r>
            <w:r w:rsidR="00480E7B" w:rsidRPr="00B02C2E">
              <w:t xml:space="preserve"> experienced 221 relapses over the same period (Kitle</w:t>
            </w:r>
            <w:r w:rsidRPr="00B02C2E">
              <w:t>y 201</w:t>
            </w:r>
            <w:r w:rsidR="00480E7B" w:rsidRPr="00B02C2E">
              <w:t>2</w:t>
            </w:r>
            <w:r w:rsidRPr="00B02C2E">
              <w:t>)</w:t>
            </w:r>
          </w:p>
          <w:p w14:paraId="7016A0E9" w14:textId="77777777" w:rsidR="00A01704" w:rsidRPr="00B02C2E" w:rsidRDefault="00A01704" w:rsidP="00E81D3E">
            <w:pPr>
              <w:pStyle w:val="TableText"/>
              <w:keepNext w:val="0"/>
            </w:pPr>
          </w:p>
          <w:p w14:paraId="2F280215" w14:textId="77777777" w:rsidR="00A01704" w:rsidRPr="00B02C2E" w:rsidRDefault="00A01704" w:rsidP="00E81D3E">
            <w:pPr>
              <w:pStyle w:val="TableText"/>
              <w:keepNext w:val="0"/>
            </w:pPr>
            <w:r w:rsidRPr="00B02C2E">
              <w:t xml:space="preserve">The </w:t>
            </w:r>
            <w:r w:rsidR="006914B9" w:rsidRPr="00B02C2E">
              <w:t>re</w:t>
            </w:r>
            <w:r w:rsidRPr="00B02C2E">
              <w:t xml:space="preserve">submission inappropriately </w:t>
            </w:r>
            <w:r w:rsidR="006914B9" w:rsidRPr="00B02C2E">
              <w:t xml:space="preserve">assumed all NMOSD deaths reported in Kitley (2012) were associated with relapse. </w:t>
            </w:r>
            <w:r w:rsidR="00F33CAC" w:rsidRPr="00B02C2E">
              <w:t>The PBAC noted that i</w:t>
            </w:r>
            <w:r w:rsidR="006914B9" w:rsidRPr="00B02C2E">
              <w:t>nformation in the publication suggested only one of the five deaths reported was due to relapse (0.45% of all reported relapses), with the majority of deaths being associated with NMOSD disability.</w:t>
            </w:r>
          </w:p>
        </w:tc>
        <w:tc>
          <w:tcPr>
            <w:tcW w:w="726" w:type="pct"/>
            <w:shd w:val="clear" w:color="auto" w:fill="auto"/>
            <w:vAlign w:val="center"/>
          </w:tcPr>
          <w:p w14:paraId="2CE4A7C9" w14:textId="77777777" w:rsidR="00A01704" w:rsidRPr="00B02C2E" w:rsidRDefault="00A01704" w:rsidP="00E81D3E">
            <w:pPr>
              <w:pStyle w:val="TableText"/>
              <w:keepNext w:val="0"/>
              <w:jc w:val="center"/>
            </w:pPr>
            <w:r w:rsidRPr="00B02C2E">
              <w:t>High, favours eculizumab</w:t>
            </w:r>
          </w:p>
          <w:p w14:paraId="5B05A0C9" w14:textId="77777777" w:rsidR="00A01704" w:rsidRPr="00B02C2E" w:rsidRDefault="00A01704" w:rsidP="00E81D3E">
            <w:pPr>
              <w:pStyle w:val="TableText"/>
              <w:keepNext w:val="0"/>
              <w:jc w:val="center"/>
            </w:pPr>
          </w:p>
        </w:tc>
      </w:tr>
      <w:tr w:rsidR="00A01704" w:rsidRPr="00B02C2E" w14:paraId="1658CA3A" w14:textId="77777777" w:rsidTr="00B43EFD">
        <w:trPr>
          <w:cantSplit/>
        </w:trPr>
        <w:tc>
          <w:tcPr>
            <w:tcW w:w="626" w:type="pct"/>
            <w:shd w:val="clear" w:color="auto" w:fill="auto"/>
            <w:vAlign w:val="center"/>
          </w:tcPr>
          <w:p w14:paraId="5B18AB17" w14:textId="77777777" w:rsidR="00A01704" w:rsidRPr="00B02C2E" w:rsidRDefault="00A01704" w:rsidP="00E81D3E">
            <w:pPr>
              <w:pStyle w:val="TableText"/>
              <w:keepNext w:val="0"/>
              <w:jc w:val="center"/>
            </w:pPr>
            <w:r w:rsidRPr="00B02C2E">
              <w:t>Disability progression</w:t>
            </w:r>
          </w:p>
        </w:tc>
        <w:tc>
          <w:tcPr>
            <w:tcW w:w="3648" w:type="pct"/>
            <w:shd w:val="clear" w:color="auto" w:fill="auto"/>
            <w:vAlign w:val="center"/>
          </w:tcPr>
          <w:p w14:paraId="5C687696" w14:textId="77777777" w:rsidR="006E304B" w:rsidRPr="00B02C2E" w:rsidRDefault="00A01704" w:rsidP="00E81D3E">
            <w:pPr>
              <w:pStyle w:val="TableText"/>
              <w:keepNext w:val="0"/>
            </w:pPr>
            <w:r w:rsidRPr="00B02C2E">
              <w:t xml:space="preserve">The </w:t>
            </w:r>
            <w:r w:rsidR="006914B9" w:rsidRPr="00B02C2E">
              <w:t>re</w:t>
            </w:r>
            <w:r w:rsidRPr="00B02C2E">
              <w:t xml:space="preserve">submission estimated the probability of disability progression following relapse, based on a post-hoc analysis of EDSS scores at </w:t>
            </w:r>
            <w:r w:rsidR="006914B9" w:rsidRPr="00B02C2E">
              <w:t>120 days</w:t>
            </w:r>
            <w:r w:rsidRPr="00B02C2E">
              <w:t xml:space="preserve"> after relapse from both treatment arms in the PREVENT </w:t>
            </w:r>
            <w:r w:rsidR="00D176ED" w:rsidRPr="00B02C2E">
              <w:t>open label extension study</w:t>
            </w:r>
            <w:r w:rsidRPr="00B02C2E">
              <w:t xml:space="preserve">. </w:t>
            </w:r>
            <w:r w:rsidR="006E304B" w:rsidRPr="00B02C2E">
              <w:t xml:space="preserve">The mean change in EDSS post-relapse of 0.30 was interpreted in the model as a 30% probability of a one level worsening in EDSS score. This estimate was based on a relatively small number of patients (n=27). There was wide variability in the odds ratio of worsening in terms of EDSS score between relapsing and non-relapsing patients, and the difference between groups was not statistically significant. </w:t>
            </w:r>
          </w:p>
          <w:p w14:paraId="2E9A322F" w14:textId="77777777" w:rsidR="006E304B" w:rsidRPr="00B02C2E" w:rsidRDefault="006E304B" w:rsidP="00E81D3E">
            <w:pPr>
              <w:pStyle w:val="TableText"/>
              <w:keepNext w:val="0"/>
            </w:pPr>
          </w:p>
          <w:p w14:paraId="6C83F8CF" w14:textId="77777777" w:rsidR="00A01704" w:rsidRPr="00B02C2E" w:rsidRDefault="006E304B" w:rsidP="00E81D3E">
            <w:pPr>
              <w:pStyle w:val="TableText"/>
              <w:keepNext w:val="0"/>
            </w:pPr>
            <w:r w:rsidRPr="00B02C2E">
              <w:t xml:space="preserve">The </w:t>
            </w:r>
            <w:r w:rsidR="00F33CAC" w:rsidRPr="00B02C2E">
              <w:t xml:space="preserve">PBAC noted that the </w:t>
            </w:r>
            <w:r w:rsidRPr="00B02C2E">
              <w:t>assumption that an average change of 0.30 is equivalent to 30% of patients worsening a full step each relapse may not be appropriate. The conversion of mean change in EDSS reported in the PREVENT trial extension study into a single full step increment in the model had a major impact on the interpretation of disability progression (as it excluded improvement, half step worsening and multistep worsening) and therefore may not be a reasonable simplifying assumption.</w:t>
            </w:r>
          </w:p>
        </w:tc>
        <w:tc>
          <w:tcPr>
            <w:tcW w:w="726" w:type="pct"/>
            <w:shd w:val="clear" w:color="auto" w:fill="auto"/>
            <w:vAlign w:val="center"/>
          </w:tcPr>
          <w:p w14:paraId="1DECFED5" w14:textId="77777777" w:rsidR="00A01704" w:rsidRPr="00B02C2E" w:rsidRDefault="00A01704" w:rsidP="00E81D3E">
            <w:pPr>
              <w:pStyle w:val="TableText"/>
              <w:keepNext w:val="0"/>
              <w:jc w:val="center"/>
            </w:pPr>
            <w:r w:rsidRPr="00B02C2E">
              <w:t>High, favours eculizumab</w:t>
            </w:r>
          </w:p>
          <w:p w14:paraId="27F8FEEE" w14:textId="77777777" w:rsidR="00A01704" w:rsidRPr="00B02C2E" w:rsidRDefault="00A01704" w:rsidP="00E81D3E">
            <w:pPr>
              <w:pStyle w:val="TableText"/>
              <w:keepNext w:val="0"/>
              <w:jc w:val="center"/>
            </w:pPr>
          </w:p>
        </w:tc>
      </w:tr>
      <w:tr w:rsidR="00A01704" w:rsidRPr="00B02C2E" w14:paraId="6812E35F" w14:textId="77777777" w:rsidTr="00B43EFD">
        <w:trPr>
          <w:cantSplit/>
        </w:trPr>
        <w:tc>
          <w:tcPr>
            <w:tcW w:w="626" w:type="pct"/>
            <w:shd w:val="clear" w:color="auto" w:fill="auto"/>
            <w:vAlign w:val="center"/>
          </w:tcPr>
          <w:p w14:paraId="6752DDC6" w14:textId="77777777" w:rsidR="00A01704" w:rsidRPr="00B02C2E" w:rsidRDefault="00A01704" w:rsidP="00E81D3E">
            <w:pPr>
              <w:pStyle w:val="TableText"/>
              <w:keepNext w:val="0"/>
              <w:jc w:val="center"/>
            </w:pPr>
            <w:r w:rsidRPr="00B02C2E">
              <w:t>Health state utility values</w:t>
            </w:r>
          </w:p>
        </w:tc>
        <w:tc>
          <w:tcPr>
            <w:tcW w:w="3648" w:type="pct"/>
            <w:shd w:val="clear" w:color="auto" w:fill="auto"/>
            <w:vAlign w:val="center"/>
          </w:tcPr>
          <w:p w14:paraId="7112D270" w14:textId="77777777" w:rsidR="006E304B" w:rsidRPr="00B02C2E" w:rsidRDefault="002C4811" w:rsidP="00E81D3E">
            <w:pPr>
              <w:pStyle w:val="TableText"/>
              <w:keepNext w:val="0"/>
            </w:pPr>
            <w:r w:rsidRPr="00B02C2E">
              <w:t>In October 2020, t</w:t>
            </w:r>
            <w:r w:rsidR="006E304B" w:rsidRPr="00B02C2E">
              <w:t xml:space="preserve">he ESC noted that the utility values applied in the model were based on the PREVENT trial which had low sample numbers. This resulted in inconsistencies in the raw utility values between the different EDSS scores and the application of utility values &lt; 0 for EDSS scores ≥ 8. The ESC considered that the utilities resulting from the regression analyses had better internal consistency (Table 8, </w:t>
            </w:r>
            <w:r w:rsidR="00671884" w:rsidRPr="00B02C2E">
              <w:t>e</w:t>
            </w:r>
            <w:r w:rsidR="006E304B" w:rsidRPr="00B02C2E">
              <w:t xml:space="preserve">culizumab PSD, November 2020). The resubmission argued that the literature consistently shows large quality of life declines at high EDSS health states that are not captured by simple linear regressions. </w:t>
            </w:r>
          </w:p>
          <w:p w14:paraId="7A2006E6" w14:textId="77777777" w:rsidR="006E304B" w:rsidRPr="00B02C2E" w:rsidRDefault="006E304B" w:rsidP="00E81D3E">
            <w:pPr>
              <w:pStyle w:val="TableText"/>
              <w:keepNext w:val="0"/>
            </w:pPr>
          </w:p>
          <w:p w14:paraId="39B59B45" w14:textId="77777777" w:rsidR="00A01704" w:rsidRPr="00B02C2E" w:rsidRDefault="006E304B" w:rsidP="00E81D3E">
            <w:pPr>
              <w:pStyle w:val="TableText"/>
              <w:keepNext w:val="0"/>
            </w:pPr>
            <w:r w:rsidRPr="00B02C2E">
              <w:t xml:space="preserve">The inclusion of all EDSS observations regardless of relapse status was inappropriate as the EDSS measurements captured during an acute relapse may not be reflective of the underlying EDSS scores for each health state. Additionally, the model separately captures the disutility impact of relapses and therefore the inclusion of utility measurements during relapse in health states estimates will double-count the impact of these events. The resubmission argued that this cannot be occurring because the two variables (EDSS changes and acute QALY loss due to relapse) are separated in time. The resubmission has not appropriately addressed this </w:t>
            </w:r>
            <w:r w:rsidR="006B1AB8" w:rsidRPr="00B02C2E">
              <w:t>issue</w:t>
            </w:r>
            <w:r w:rsidRPr="00B02C2E">
              <w:t xml:space="preserve">. Although the modelled health state utilities and one-off utility decrement due to relapse are separated in the model, the quality of life measurements made during the PREVENT trial, upon which the utilities are based, </w:t>
            </w:r>
            <w:r w:rsidR="00786E31" w:rsidRPr="00B02C2E">
              <w:t>included</w:t>
            </w:r>
            <w:r w:rsidRPr="00B02C2E">
              <w:t xml:space="preserve"> both EDSS changes and relapses</w:t>
            </w:r>
            <w:r w:rsidR="00786E31" w:rsidRPr="00B02C2E">
              <w:t xml:space="preserve">. </w:t>
            </w:r>
            <w:r w:rsidR="007F058E" w:rsidRPr="00B02C2E">
              <w:t xml:space="preserve">Any differential </w:t>
            </w:r>
            <w:r w:rsidR="00786E31" w:rsidRPr="00B02C2E">
              <w:t>impacts</w:t>
            </w:r>
            <w:r w:rsidR="007F058E" w:rsidRPr="00B02C2E">
              <w:t xml:space="preserve"> of EDSS changes and relapse</w:t>
            </w:r>
            <w:r w:rsidRPr="00B02C2E">
              <w:t xml:space="preserve"> </w:t>
            </w:r>
            <w:r w:rsidR="007F058E" w:rsidRPr="00B02C2E">
              <w:t xml:space="preserve">on quality of life </w:t>
            </w:r>
            <w:r w:rsidRPr="00B02C2E">
              <w:t xml:space="preserve">can’t be separated using the available data. </w:t>
            </w:r>
          </w:p>
        </w:tc>
        <w:tc>
          <w:tcPr>
            <w:tcW w:w="726" w:type="pct"/>
            <w:shd w:val="clear" w:color="auto" w:fill="auto"/>
            <w:vAlign w:val="center"/>
          </w:tcPr>
          <w:p w14:paraId="07126755" w14:textId="77777777" w:rsidR="00A01704" w:rsidRPr="00B02C2E" w:rsidRDefault="00A01704" w:rsidP="00E81D3E">
            <w:pPr>
              <w:pStyle w:val="TableText"/>
              <w:keepNext w:val="0"/>
              <w:jc w:val="center"/>
            </w:pPr>
            <w:r w:rsidRPr="00B02C2E">
              <w:t>High, favours eculizumab</w:t>
            </w:r>
          </w:p>
        </w:tc>
      </w:tr>
    </w:tbl>
    <w:p w14:paraId="37A995E5" w14:textId="77777777" w:rsidR="00A01704" w:rsidRPr="00B02C2E" w:rsidRDefault="00A01704" w:rsidP="00A01704">
      <w:pPr>
        <w:pStyle w:val="TableFigureFooter"/>
      </w:pPr>
      <w:r w:rsidRPr="00B02C2E">
        <w:t>Source: Constructed during the evaluation</w:t>
      </w:r>
    </w:p>
    <w:p w14:paraId="7FE8389F" w14:textId="77777777" w:rsidR="00A01704" w:rsidRPr="00B02C2E" w:rsidRDefault="007F058E" w:rsidP="00A01704">
      <w:pPr>
        <w:pStyle w:val="TableFigureFooter"/>
      </w:pPr>
      <w:r w:rsidRPr="00B02C2E">
        <w:t xml:space="preserve">Abbreviations: </w:t>
      </w:r>
      <w:r w:rsidR="00A01704" w:rsidRPr="00B02C2E">
        <w:t>EDSS</w:t>
      </w:r>
      <w:r w:rsidRPr="00B02C2E">
        <w:t>,</w:t>
      </w:r>
      <w:r w:rsidR="00A01704" w:rsidRPr="00B02C2E">
        <w:t xml:space="preserve"> Expanded Disability Status Scale; NMOSD</w:t>
      </w:r>
      <w:r w:rsidRPr="00B02C2E">
        <w:t>,</w:t>
      </w:r>
      <w:r w:rsidR="00A01704" w:rsidRPr="00B02C2E">
        <w:t xml:space="preserve"> neuromyelitis optica spectrum disorder; PBS</w:t>
      </w:r>
      <w:r w:rsidRPr="00B02C2E">
        <w:t>,</w:t>
      </w:r>
      <w:r w:rsidR="00A01704" w:rsidRPr="00B02C2E">
        <w:t xml:space="preserve"> Pharmaceutical Benefits Scheme</w:t>
      </w:r>
    </w:p>
    <w:p w14:paraId="0AD12214" w14:textId="77777777" w:rsidR="00A01704" w:rsidRPr="00B02C2E" w:rsidRDefault="00AD141B" w:rsidP="002E1071">
      <w:pPr>
        <w:pStyle w:val="ExecSumBodyText"/>
        <w:rPr>
          <w:color w:val="000000" w:themeColor="text1"/>
        </w:rPr>
      </w:pPr>
      <w:r w:rsidRPr="00B02C2E">
        <w:rPr>
          <w:color w:val="000000" w:themeColor="text1"/>
        </w:rPr>
        <w:t>The changes to the economic model presented in the resubmission were applied stepwise, starting from the base case of the November 2020 model, summarised in the table below.</w:t>
      </w:r>
    </w:p>
    <w:p w14:paraId="1415058D" w14:textId="77777777" w:rsidR="00AD141B" w:rsidRPr="00B02C2E" w:rsidRDefault="00AD141B" w:rsidP="003B0BF0">
      <w:pPr>
        <w:pStyle w:val="TableHeading"/>
        <w:widowControl w:val="0"/>
        <w:spacing w:after="0"/>
        <w:jc w:val="both"/>
      </w:pPr>
      <w:r w:rsidRPr="00B02C2E">
        <w:t xml:space="preserve">Table </w:t>
      </w:r>
      <w:r w:rsidR="00EA6071" w:rsidRPr="00B02C2E">
        <w:t>9</w:t>
      </w:r>
      <w:r w:rsidRPr="00B02C2E">
        <w:t>: Stepped changes from model presented in the November 2020 submission to resubmission</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AD141B" w:rsidRPr="00B02C2E" w14:paraId="1E9C1046" w14:textId="77777777" w:rsidTr="00004B02">
        <w:trPr>
          <w:trHeight w:val="469"/>
          <w:tblHeader/>
        </w:trPr>
        <w:tc>
          <w:tcPr>
            <w:tcW w:w="1406" w:type="pct"/>
            <w:vAlign w:val="center"/>
          </w:tcPr>
          <w:p w14:paraId="0582B31D" w14:textId="77777777" w:rsidR="00AD141B" w:rsidRPr="00B02C2E" w:rsidRDefault="00AD141B" w:rsidP="003B0BF0">
            <w:pPr>
              <w:pStyle w:val="TableText"/>
              <w:widowControl w:val="0"/>
              <w:jc w:val="center"/>
              <w:rPr>
                <w:b/>
              </w:rPr>
            </w:pPr>
            <w:r w:rsidRPr="00B02C2E">
              <w:rPr>
                <w:b/>
              </w:rPr>
              <w:t>Type of resource item</w:t>
            </w:r>
          </w:p>
        </w:tc>
        <w:tc>
          <w:tcPr>
            <w:tcW w:w="1079" w:type="pct"/>
            <w:vAlign w:val="center"/>
          </w:tcPr>
          <w:p w14:paraId="021E1E8E" w14:textId="77777777" w:rsidR="00AD141B" w:rsidRPr="00B02C2E" w:rsidRDefault="00AD141B" w:rsidP="003B0BF0">
            <w:pPr>
              <w:pStyle w:val="TableText"/>
              <w:widowControl w:val="0"/>
              <w:jc w:val="center"/>
              <w:rPr>
                <w:b/>
              </w:rPr>
            </w:pPr>
            <w:r w:rsidRPr="00B02C2E">
              <w:rPr>
                <w:b/>
              </w:rPr>
              <w:t>Eculizumab</w:t>
            </w:r>
          </w:p>
        </w:tc>
        <w:tc>
          <w:tcPr>
            <w:tcW w:w="1080" w:type="pct"/>
            <w:vAlign w:val="center"/>
          </w:tcPr>
          <w:p w14:paraId="5886D7D8" w14:textId="77777777" w:rsidR="00AD141B" w:rsidRPr="00B02C2E" w:rsidRDefault="00AD141B" w:rsidP="003B0BF0">
            <w:pPr>
              <w:pStyle w:val="TableText"/>
              <w:widowControl w:val="0"/>
              <w:jc w:val="center"/>
              <w:rPr>
                <w:b/>
              </w:rPr>
            </w:pPr>
            <w:r w:rsidRPr="00B02C2E">
              <w:rPr>
                <w:b/>
              </w:rPr>
              <w:t>Best supportive care</w:t>
            </w:r>
          </w:p>
        </w:tc>
        <w:tc>
          <w:tcPr>
            <w:tcW w:w="1435" w:type="pct"/>
          </w:tcPr>
          <w:p w14:paraId="48136465" w14:textId="77777777" w:rsidR="00AD141B" w:rsidRPr="00B02C2E" w:rsidRDefault="00AD141B" w:rsidP="003B0BF0">
            <w:pPr>
              <w:pStyle w:val="TableText"/>
              <w:widowControl w:val="0"/>
              <w:jc w:val="center"/>
              <w:rPr>
                <w:b/>
              </w:rPr>
            </w:pPr>
            <w:r w:rsidRPr="00B02C2E">
              <w:rPr>
                <w:b/>
              </w:rPr>
              <w:t xml:space="preserve">Incremental </w:t>
            </w:r>
          </w:p>
          <w:p w14:paraId="2AFF48E4" w14:textId="77777777" w:rsidR="00AD141B" w:rsidRPr="00B02C2E" w:rsidRDefault="00AD141B" w:rsidP="003B0BF0">
            <w:pPr>
              <w:pStyle w:val="TableText"/>
              <w:widowControl w:val="0"/>
              <w:jc w:val="center"/>
              <w:rPr>
                <w:b/>
              </w:rPr>
            </w:pPr>
            <w:r w:rsidRPr="00B02C2E">
              <w:rPr>
                <w:b/>
              </w:rPr>
              <w:t>difference</w:t>
            </w:r>
          </w:p>
        </w:tc>
      </w:tr>
      <w:tr w:rsidR="00AD141B" w:rsidRPr="00B02C2E" w14:paraId="13C41994" w14:textId="77777777" w:rsidTr="000748B8">
        <w:tc>
          <w:tcPr>
            <w:tcW w:w="5000" w:type="pct"/>
            <w:gridSpan w:val="4"/>
            <w:shd w:val="clear" w:color="auto" w:fill="auto"/>
          </w:tcPr>
          <w:p w14:paraId="6428FECE" w14:textId="77777777" w:rsidR="00AD141B" w:rsidRPr="00B02C2E" w:rsidRDefault="002C4811" w:rsidP="003B0BF0">
            <w:pPr>
              <w:pStyle w:val="TableText"/>
              <w:widowControl w:val="0"/>
              <w:jc w:val="both"/>
              <w:rPr>
                <w:b/>
              </w:rPr>
            </w:pPr>
            <w:r w:rsidRPr="00B02C2E">
              <w:rPr>
                <w:b/>
              </w:rPr>
              <w:t xml:space="preserve">November 2020 </w:t>
            </w:r>
            <w:r w:rsidR="00AD141B" w:rsidRPr="00B02C2E">
              <w:rPr>
                <w:b/>
              </w:rPr>
              <w:t>submission base case</w:t>
            </w:r>
          </w:p>
        </w:tc>
      </w:tr>
      <w:tr w:rsidR="00AD141B" w:rsidRPr="00B02C2E" w14:paraId="26D39ABB" w14:textId="77777777" w:rsidTr="000748B8">
        <w:tc>
          <w:tcPr>
            <w:tcW w:w="1406" w:type="pct"/>
            <w:shd w:val="clear" w:color="auto" w:fill="auto"/>
          </w:tcPr>
          <w:p w14:paraId="6515F617" w14:textId="77777777" w:rsidR="00AD141B" w:rsidRPr="00B02C2E" w:rsidRDefault="00AD141B" w:rsidP="003B0BF0">
            <w:pPr>
              <w:pStyle w:val="TableText"/>
              <w:widowControl w:val="0"/>
            </w:pPr>
            <w:r w:rsidRPr="00B02C2E">
              <w:t>Costs</w:t>
            </w:r>
            <w:r w:rsidR="00D83CBE">
              <w:t xml:space="preserve"> ($)</w:t>
            </w:r>
          </w:p>
        </w:tc>
        <w:tc>
          <w:tcPr>
            <w:tcW w:w="1079" w:type="pct"/>
            <w:shd w:val="clear" w:color="auto" w:fill="auto"/>
            <w:vAlign w:val="bottom"/>
          </w:tcPr>
          <w:p w14:paraId="168EBA75" w14:textId="77777777" w:rsidR="00AD141B" w:rsidRPr="00B763C7" w:rsidRDefault="00B763C7" w:rsidP="003B0BF0">
            <w:pPr>
              <w:pStyle w:val="TableText"/>
              <w:widowControl w:val="0"/>
              <w:jc w:val="center"/>
              <w:rPr>
                <w:highlight w:val="black"/>
              </w:rPr>
            </w:pPr>
            <w:r>
              <w:rPr>
                <w:noProof/>
                <w:color w:val="000000"/>
                <w:highlight w:val="black"/>
              </w:rPr>
              <w:t>''''''''''''''''''''''''</w:t>
            </w:r>
          </w:p>
        </w:tc>
        <w:tc>
          <w:tcPr>
            <w:tcW w:w="1080" w:type="pct"/>
            <w:shd w:val="clear" w:color="auto" w:fill="auto"/>
            <w:vAlign w:val="bottom"/>
          </w:tcPr>
          <w:p w14:paraId="7C93D5C5" w14:textId="77777777" w:rsidR="00AD141B" w:rsidRPr="00B02C2E" w:rsidRDefault="00AD141B" w:rsidP="003B0BF0">
            <w:pPr>
              <w:pStyle w:val="TableText"/>
              <w:widowControl w:val="0"/>
              <w:jc w:val="center"/>
            </w:pPr>
            <w:r w:rsidRPr="00B02C2E">
              <w:t>$177,188</w:t>
            </w:r>
          </w:p>
        </w:tc>
        <w:tc>
          <w:tcPr>
            <w:tcW w:w="1435" w:type="pct"/>
            <w:shd w:val="clear" w:color="auto" w:fill="auto"/>
            <w:vAlign w:val="center"/>
          </w:tcPr>
          <w:p w14:paraId="4E7CDA68" w14:textId="77777777" w:rsidR="00AD141B" w:rsidRPr="00B763C7" w:rsidRDefault="00B763C7" w:rsidP="003B0BF0">
            <w:pPr>
              <w:pStyle w:val="TableText"/>
              <w:widowControl w:val="0"/>
              <w:jc w:val="center"/>
              <w:rPr>
                <w:highlight w:val="black"/>
              </w:rPr>
            </w:pPr>
            <w:r>
              <w:rPr>
                <w:noProof/>
                <w:color w:val="000000"/>
                <w:highlight w:val="black"/>
              </w:rPr>
              <w:t>''''''''''''''''''''''''''</w:t>
            </w:r>
          </w:p>
        </w:tc>
      </w:tr>
      <w:tr w:rsidR="00AD141B" w:rsidRPr="00B02C2E" w14:paraId="6E4B4DCF" w14:textId="77777777" w:rsidTr="000748B8">
        <w:tc>
          <w:tcPr>
            <w:tcW w:w="1406" w:type="pct"/>
            <w:shd w:val="clear" w:color="auto" w:fill="auto"/>
          </w:tcPr>
          <w:p w14:paraId="1EE3AE55" w14:textId="77777777" w:rsidR="00AD141B" w:rsidRPr="00B02C2E" w:rsidRDefault="00AD141B" w:rsidP="003B0BF0">
            <w:pPr>
              <w:pStyle w:val="TableText"/>
              <w:widowControl w:val="0"/>
            </w:pPr>
            <w:r w:rsidRPr="00B02C2E">
              <w:t>QALYs</w:t>
            </w:r>
          </w:p>
        </w:tc>
        <w:tc>
          <w:tcPr>
            <w:tcW w:w="1079" w:type="pct"/>
            <w:shd w:val="clear" w:color="auto" w:fill="auto"/>
            <w:vAlign w:val="bottom"/>
          </w:tcPr>
          <w:p w14:paraId="1FA3C7C6" w14:textId="77777777" w:rsidR="00AD141B" w:rsidRPr="00B02C2E" w:rsidRDefault="00AD141B" w:rsidP="003B0BF0">
            <w:pPr>
              <w:pStyle w:val="TableText"/>
              <w:widowControl w:val="0"/>
              <w:jc w:val="center"/>
            </w:pPr>
            <w:r w:rsidRPr="00B02C2E">
              <w:t>7.1480</w:t>
            </w:r>
          </w:p>
        </w:tc>
        <w:tc>
          <w:tcPr>
            <w:tcW w:w="1080" w:type="pct"/>
            <w:shd w:val="clear" w:color="auto" w:fill="auto"/>
            <w:vAlign w:val="bottom"/>
          </w:tcPr>
          <w:p w14:paraId="6933C90D" w14:textId="77777777" w:rsidR="00AD141B" w:rsidRPr="00D83CBE" w:rsidRDefault="00AD141B" w:rsidP="00D83CBE">
            <w:pPr>
              <w:pStyle w:val="TableText"/>
              <w:widowControl w:val="0"/>
              <w:jc w:val="center"/>
              <w:rPr>
                <w:vertAlign w:val="superscript"/>
              </w:rPr>
            </w:pPr>
            <w:r w:rsidRPr="00B02C2E">
              <w:t>5.2822</w:t>
            </w:r>
          </w:p>
        </w:tc>
        <w:tc>
          <w:tcPr>
            <w:tcW w:w="1435" w:type="pct"/>
            <w:shd w:val="clear" w:color="auto" w:fill="auto"/>
            <w:vAlign w:val="center"/>
          </w:tcPr>
          <w:p w14:paraId="02B4D490" w14:textId="77777777" w:rsidR="00AD141B" w:rsidRPr="00B02C2E" w:rsidRDefault="00AD141B" w:rsidP="003B0BF0">
            <w:pPr>
              <w:pStyle w:val="TableText"/>
              <w:widowControl w:val="0"/>
              <w:jc w:val="center"/>
            </w:pPr>
            <w:r w:rsidRPr="00B02C2E">
              <w:t>1.8658</w:t>
            </w:r>
          </w:p>
        </w:tc>
      </w:tr>
      <w:tr w:rsidR="00AD141B" w:rsidRPr="00B02C2E" w14:paraId="1CD87452" w14:textId="77777777" w:rsidTr="000748B8">
        <w:tc>
          <w:tcPr>
            <w:tcW w:w="3565" w:type="pct"/>
            <w:gridSpan w:val="3"/>
            <w:shd w:val="clear" w:color="auto" w:fill="auto"/>
          </w:tcPr>
          <w:p w14:paraId="59F4F290" w14:textId="77777777" w:rsidR="00AD141B" w:rsidRPr="00B02C2E" w:rsidRDefault="00AD141B" w:rsidP="003B0BF0">
            <w:pPr>
              <w:pStyle w:val="TableText"/>
              <w:widowControl w:val="0"/>
              <w:jc w:val="right"/>
              <w:rPr>
                <w:b/>
              </w:rPr>
            </w:pPr>
            <w:r w:rsidRPr="00B02C2E">
              <w:rPr>
                <w:b/>
              </w:rPr>
              <w:t>Incremental cost per QALY gained</w:t>
            </w:r>
          </w:p>
        </w:tc>
        <w:tc>
          <w:tcPr>
            <w:tcW w:w="1435" w:type="pct"/>
            <w:shd w:val="clear" w:color="auto" w:fill="auto"/>
            <w:vAlign w:val="center"/>
          </w:tcPr>
          <w:p w14:paraId="250A7287" w14:textId="77777777" w:rsidR="00AD141B" w:rsidRPr="00B02C2E" w:rsidRDefault="00B763C7" w:rsidP="003B0BF0">
            <w:pPr>
              <w:pStyle w:val="TableText"/>
              <w:widowControl w:val="0"/>
              <w:jc w:val="center"/>
            </w:pPr>
            <w:r>
              <w:rPr>
                <w:noProof/>
                <w:color w:val="000000"/>
                <w:highlight w:val="black"/>
              </w:rPr>
              <w:t>''''''''''''''''''''''''''''</w:t>
            </w:r>
            <w:r w:rsidR="00D83CBE">
              <w:rPr>
                <w:vertAlign w:val="superscript"/>
              </w:rPr>
              <w:t>1</w:t>
            </w:r>
          </w:p>
        </w:tc>
      </w:tr>
      <w:tr w:rsidR="00AD141B" w:rsidRPr="00B02C2E" w14:paraId="2952B3BD" w14:textId="77777777" w:rsidTr="00550195">
        <w:tc>
          <w:tcPr>
            <w:tcW w:w="5000" w:type="pct"/>
            <w:gridSpan w:val="4"/>
          </w:tcPr>
          <w:p w14:paraId="36F32802" w14:textId="77777777" w:rsidR="00AD141B" w:rsidRPr="00B02C2E" w:rsidRDefault="00AD141B" w:rsidP="003B0BF0">
            <w:pPr>
              <w:pStyle w:val="TableText"/>
              <w:keepLines/>
              <w:widowControl w:val="0"/>
              <w:jc w:val="both"/>
              <w:rPr>
                <w:b/>
              </w:rPr>
            </w:pPr>
            <w:r w:rsidRPr="00B02C2E">
              <w:rPr>
                <w:b/>
              </w:rPr>
              <w:t>Remove patients with EDSS 8 and 9 at model entry</w:t>
            </w:r>
          </w:p>
        </w:tc>
      </w:tr>
      <w:tr w:rsidR="00AD141B" w:rsidRPr="00B02C2E" w14:paraId="523815C9" w14:textId="77777777" w:rsidTr="00550195">
        <w:tc>
          <w:tcPr>
            <w:tcW w:w="1406" w:type="pct"/>
          </w:tcPr>
          <w:p w14:paraId="64C6196C" w14:textId="77777777" w:rsidR="00AD141B" w:rsidRPr="00B02C2E" w:rsidRDefault="00AD141B" w:rsidP="003B0BF0">
            <w:pPr>
              <w:pStyle w:val="TableText"/>
              <w:keepLines/>
              <w:widowControl w:val="0"/>
            </w:pPr>
            <w:r w:rsidRPr="00B02C2E">
              <w:t>Costs</w:t>
            </w:r>
            <w:r w:rsidR="00D83CBE">
              <w:t xml:space="preserve"> ($)</w:t>
            </w:r>
          </w:p>
        </w:tc>
        <w:tc>
          <w:tcPr>
            <w:tcW w:w="1079" w:type="pct"/>
            <w:vAlign w:val="bottom"/>
          </w:tcPr>
          <w:p w14:paraId="1ECA342E" w14:textId="77777777" w:rsidR="00AD141B" w:rsidRPr="00B763C7" w:rsidRDefault="00B763C7" w:rsidP="003B0BF0">
            <w:pPr>
              <w:pStyle w:val="TableText"/>
              <w:keepLines/>
              <w:widowControl w:val="0"/>
              <w:jc w:val="center"/>
              <w:rPr>
                <w:highlight w:val="black"/>
              </w:rPr>
            </w:pPr>
            <w:r>
              <w:rPr>
                <w:noProof/>
                <w:color w:val="000000"/>
                <w:highlight w:val="black"/>
              </w:rPr>
              <w:t>''''''''''''''''''''''''''</w:t>
            </w:r>
          </w:p>
        </w:tc>
        <w:tc>
          <w:tcPr>
            <w:tcW w:w="1080" w:type="pct"/>
            <w:vAlign w:val="bottom"/>
          </w:tcPr>
          <w:p w14:paraId="4E408A6C" w14:textId="77777777" w:rsidR="00AD141B" w:rsidRPr="00B02C2E" w:rsidRDefault="00AD141B" w:rsidP="003B0BF0">
            <w:pPr>
              <w:pStyle w:val="TableText"/>
              <w:keepLines/>
              <w:widowControl w:val="0"/>
              <w:jc w:val="center"/>
            </w:pPr>
            <w:r w:rsidRPr="00B02C2E">
              <w:t>$169,632</w:t>
            </w:r>
          </w:p>
        </w:tc>
        <w:tc>
          <w:tcPr>
            <w:tcW w:w="1435" w:type="pct"/>
            <w:vAlign w:val="center"/>
          </w:tcPr>
          <w:p w14:paraId="1D0B368A" w14:textId="77777777" w:rsidR="00AD141B" w:rsidRPr="00B763C7" w:rsidRDefault="00B763C7" w:rsidP="003B0BF0">
            <w:pPr>
              <w:pStyle w:val="TableText"/>
              <w:keepLines/>
              <w:widowControl w:val="0"/>
              <w:jc w:val="center"/>
              <w:rPr>
                <w:highlight w:val="black"/>
              </w:rPr>
            </w:pPr>
            <w:r>
              <w:rPr>
                <w:noProof/>
                <w:color w:val="000000"/>
                <w:highlight w:val="black"/>
              </w:rPr>
              <w:t>''''''''''''''''''''''''''</w:t>
            </w:r>
          </w:p>
        </w:tc>
      </w:tr>
      <w:tr w:rsidR="00AD141B" w:rsidRPr="00B02C2E" w14:paraId="292F84CF" w14:textId="77777777" w:rsidTr="00550195">
        <w:tc>
          <w:tcPr>
            <w:tcW w:w="1406" w:type="pct"/>
          </w:tcPr>
          <w:p w14:paraId="4CA8AF10" w14:textId="77777777" w:rsidR="00AD141B" w:rsidRPr="00B02C2E" w:rsidRDefault="00AD141B" w:rsidP="003B0BF0">
            <w:pPr>
              <w:pStyle w:val="TableText"/>
              <w:widowControl w:val="0"/>
            </w:pPr>
            <w:r w:rsidRPr="00B02C2E">
              <w:t>QALYs</w:t>
            </w:r>
          </w:p>
        </w:tc>
        <w:tc>
          <w:tcPr>
            <w:tcW w:w="1079" w:type="pct"/>
            <w:vAlign w:val="bottom"/>
          </w:tcPr>
          <w:p w14:paraId="7E50D9FE" w14:textId="77777777" w:rsidR="00AD141B" w:rsidRPr="00B02C2E" w:rsidRDefault="00AD141B" w:rsidP="003B0BF0">
            <w:pPr>
              <w:pStyle w:val="TableText"/>
              <w:widowControl w:val="0"/>
              <w:jc w:val="center"/>
            </w:pPr>
            <w:r w:rsidRPr="00B02C2E">
              <w:t>7.5696</w:t>
            </w:r>
          </w:p>
        </w:tc>
        <w:tc>
          <w:tcPr>
            <w:tcW w:w="1080" w:type="pct"/>
            <w:vAlign w:val="bottom"/>
          </w:tcPr>
          <w:p w14:paraId="7EC7D5AA" w14:textId="77777777" w:rsidR="00AD141B" w:rsidRPr="00B02C2E" w:rsidRDefault="00AD141B" w:rsidP="003B0BF0">
            <w:pPr>
              <w:pStyle w:val="TableText"/>
              <w:widowControl w:val="0"/>
              <w:jc w:val="center"/>
            </w:pPr>
            <w:r w:rsidRPr="00B02C2E">
              <w:t>5.5976</w:t>
            </w:r>
          </w:p>
        </w:tc>
        <w:tc>
          <w:tcPr>
            <w:tcW w:w="1435" w:type="pct"/>
            <w:vAlign w:val="center"/>
          </w:tcPr>
          <w:p w14:paraId="535CC647" w14:textId="77777777" w:rsidR="00AD141B" w:rsidRPr="00B02C2E" w:rsidRDefault="00AD141B" w:rsidP="003B0BF0">
            <w:pPr>
              <w:pStyle w:val="TableText"/>
              <w:widowControl w:val="0"/>
              <w:jc w:val="center"/>
            </w:pPr>
            <w:r w:rsidRPr="00B02C2E">
              <w:t>1.9720</w:t>
            </w:r>
          </w:p>
        </w:tc>
      </w:tr>
      <w:tr w:rsidR="00AD141B" w:rsidRPr="00B02C2E" w14:paraId="52E029E5" w14:textId="77777777" w:rsidTr="00550195">
        <w:tc>
          <w:tcPr>
            <w:tcW w:w="3565" w:type="pct"/>
            <w:gridSpan w:val="3"/>
          </w:tcPr>
          <w:p w14:paraId="1F06CC12" w14:textId="77777777" w:rsidR="00AD141B" w:rsidRPr="00B02C2E" w:rsidRDefault="00AD141B" w:rsidP="003B0BF0">
            <w:pPr>
              <w:pStyle w:val="TableText"/>
              <w:widowControl w:val="0"/>
              <w:jc w:val="right"/>
              <w:rPr>
                <w:b/>
              </w:rPr>
            </w:pPr>
            <w:r w:rsidRPr="00B02C2E">
              <w:rPr>
                <w:b/>
              </w:rPr>
              <w:t>Incremental cost per QALY gained</w:t>
            </w:r>
          </w:p>
        </w:tc>
        <w:tc>
          <w:tcPr>
            <w:tcW w:w="1435" w:type="pct"/>
            <w:vAlign w:val="center"/>
          </w:tcPr>
          <w:p w14:paraId="62CFA455" w14:textId="77777777" w:rsidR="00AD141B" w:rsidRPr="00B02C2E" w:rsidRDefault="00B763C7" w:rsidP="003B0BF0">
            <w:pPr>
              <w:pStyle w:val="TableText"/>
              <w:widowControl w:val="0"/>
              <w:jc w:val="center"/>
            </w:pPr>
            <w:r>
              <w:rPr>
                <w:noProof/>
                <w:color w:val="000000"/>
                <w:highlight w:val="black"/>
              </w:rPr>
              <w:t>''''''''''''''''''''''''</w:t>
            </w:r>
            <w:r w:rsidR="00D83CBE">
              <w:rPr>
                <w:vertAlign w:val="superscript"/>
              </w:rPr>
              <w:t>1</w:t>
            </w:r>
          </w:p>
        </w:tc>
      </w:tr>
      <w:tr w:rsidR="00AD141B" w:rsidRPr="00B02C2E" w14:paraId="21A1628C" w14:textId="77777777" w:rsidTr="00550195">
        <w:tc>
          <w:tcPr>
            <w:tcW w:w="5000" w:type="pct"/>
            <w:gridSpan w:val="4"/>
          </w:tcPr>
          <w:p w14:paraId="7CB407EF" w14:textId="77777777" w:rsidR="00AD141B" w:rsidRPr="00B02C2E" w:rsidRDefault="00AD141B" w:rsidP="003B0BF0">
            <w:pPr>
              <w:pStyle w:val="TableText"/>
              <w:widowControl w:val="0"/>
              <w:jc w:val="both"/>
              <w:rPr>
                <w:b/>
              </w:rPr>
            </w:pPr>
            <w:r w:rsidRPr="00B02C2E">
              <w:rPr>
                <w:b/>
              </w:rPr>
              <w:t>Physician determined relapses (original submission based on adjudicated relapses)</w:t>
            </w:r>
          </w:p>
        </w:tc>
      </w:tr>
      <w:tr w:rsidR="00AD141B" w:rsidRPr="00B02C2E" w14:paraId="7B17B715" w14:textId="77777777" w:rsidTr="00550195">
        <w:tc>
          <w:tcPr>
            <w:tcW w:w="1406" w:type="pct"/>
          </w:tcPr>
          <w:p w14:paraId="474E5F1D" w14:textId="77777777" w:rsidR="00AD141B" w:rsidRPr="00B02C2E" w:rsidRDefault="00AD141B" w:rsidP="00550195">
            <w:pPr>
              <w:pStyle w:val="TableText"/>
              <w:keepNext w:val="0"/>
              <w:widowControl w:val="0"/>
            </w:pPr>
            <w:r w:rsidRPr="00B02C2E">
              <w:t>Costs</w:t>
            </w:r>
            <w:r w:rsidR="00D83CBE">
              <w:t xml:space="preserve"> ($)</w:t>
            </w:r>
          </w:p>
        </w:tc>
        <w:tc>
          <w:tcPr>
            <w:tcW w:w="1079" w:type="pct"/>
            <w:vAlign w:val="bottom"/>
          </w:tcPr>
          <w:p w14:paraId="24A3B59A" w14:textId="77777777" w:rsidR="00AD141B" w:rsidRPr="00B763C7" w:rsidRDefault="00B763C7" w:rsidP="00550195">
            <w:pPr>
              <w:pStyle w:val="TableText"/>
              <w:keepNext w:val="0"/>
              <w:widowControl w:val="0"/>
              <w:jc w:val="center"/>
              <w:rPr>
                <w:highlight w:val="black"/>
              </w:rPr>
            </w:pPr>
            <w:r>
              <w:rPr>
                <w:noProof/>
                <w:color w:val="000000"/>
                <w:highlight w:val="black"/>
              </w:rPr>
              <w:t>''''''''''''''''''''''''''''</w:t>
            </w:r>
          </w:p>
        </w:tc>
        <w:tc>
          <w:tcPr>
            <w:tcW w:w="1080" w:type="pct"/>
            <w:vAlign w:val="bottom"/>
          </w:tcPr>
          <w:p w14:paraId="377A9529" w14:textId="77777777" w:rsidR="00AD141B" w:rsidRPr="00B02C2E" w:rsidRDefault="00AD141B" w:rsidP="00550195">
            <w:pPr>
              <w:pStyle w:val="TableText"/>
              <w:widowControl w:val="0"/>
              <w:jc w:val="center"/>
            </w:pPr>
            <w:r w:rsidRPr="00B02C2E">
              <w:t>$176,521</w:t>
            </w:r>
          </w:p>
        </w:tc>
        <w:tc>
          <w:tcPr>
            <w:tcW w:w="1435" w:type="pct"/>
            <w:vAlign w:val="center"/>
          </w:tcPr>
          <w:p w14:paraId="74B912EB" w14:textId="77777777" w:rsidR="00AD141B" w:rsidRPr="00B763C7" w:rsidRDefault="00B763C7" w:rsidP="00550195">
            <w:pPr>
              <w:pStyle w:val="TableText"/>
              <w:keepNext w:val="0"/>
              <w:widowControl w:val="0"/>
              <w:jc w:val="center"/>
              <w:rPr>
                <w:highlight w:val="black"/>
              </w:rPr>
            </w:pPr>
            <w:r>
              <w:rPr>
                <w:noProof/>
                <w:color w:val="000000"/>
                <w:highlight w:val="black"/>
              </w:rPr>
              <w:t>'''''''''''''''''''''''''''</w:t>
            </w:r>
          </w:p>
        </w:tc>
      </w:tr>
      <w:tr w:rsidR="00AD141B" w:rsidRPr="00B02C2E" w14:paraId="1B6CC5C5" w14:textId="77777777" w:rsidTr="00550195">
        <w:tc>
          <w:tcPr>
            <w:tcW w:w="1406" w:type="pct"/>
          </w:tcPr>
          <w:p w14:paraId="57D78841" w14:textId="77777777" w:rsidR="00AD141B" w:rsidRPr="00B02C2E" w:rsidRDefault="00AD141B" w:rsidP="00550195">
            <w:pPr>
              <w:pStyle w:val="TableText"/>
              <w:keepNext w:val="0"/>
              <w:widowControl w:val="0"/>
            </w:pPr>
            <w:r w:rsidRPr="00B02C2E">
              <w:t>QALYs</w:t>
            </w:r>
          </w:p>
        </w:tc>
        <w:tc>
          <w:tcPr>
            <w:tcW w:w="1079" w:type="pct"/>
            <w:vAlign w:val="bottom"/>
          </w:tcPr>
          <w:p w14:paraId="0293078C" w14:textId="77777777" w:rsidR="00AD141B" w:rsidRPr="00B02C2E" w:rsidRDefault="00AD141B" w:rsidP="00550195">
            <w:pPr>
              <w:pStyle w:val="TableText"/>
              <w:keepNext w:val="0"/>
              <w:widowControl w:val="0"/>
              <w:jc w:val="center"/>
            </w:pPr>
            <w:r w:rsidRPr="00B02C2E">
              <w:t>6.8836</w:t>
            </w:r>
          </w:p>
        </w:tc>
        <w:tc>
          <w:tcPr>
            <w:tcW w:w="1080" w:type="pct"/>
            <w:vAlign w:val="bottom"/>
          </w:tcPr>
          <w:p w14:paraId="5D9548D8" w14:textId="77777777" w:rsidR="00AD141B" w:rsidRPr="00B02C2E" w:rsidRDefault="00AD141B" w:rsidP="00550195">
            <w:pPr>
              <w:pStyle w:val="TableText"/>
              <w:keepNext w:val="0"/>
              <w:widowControl w:val="0"/>
              <w:jc w:val="center"/>
            </w:pPr>
            <w:r w:rsidRPr="00B02C2E">
              <w:t>4.9370</w:t>
            </w:r>
          </w:p>
        </w:tc>
        <w:tc>
          <w:tcPr>
            <w:tcW w:w="1435" w:type="pct"/>
            <w:vAlign w:val="center"/>
          </w:tcPr>
          <w:p w14:paraId="43186F25" w14:textId="77777777" w:rsidR="00AD141B" w:rsidRPr="00B02C2E" w:rsidRDefault="00AD141B" w:rsidP="00550195">
            <w:pPr>
              <w:pStyle w:val="TableText"/>
              <w:keepNext w:val="0"/>
              <w:widowControl w:val="0"/>
              <w:jc w:val="center"/>
            </w:pPr>
            <w:r w:rsidRPr="00B02C2E">
              <w:t>1.9466</w:t>
            </w:r>
          </w:p>
        </w:tc>
      </w:tr>
      <w:tr w:rsidR="00AD141B" w:rsidRPr="00B02C2E" w14:paraId="64457981" w14:textId="77777777" w:rsidTr="00550195">
        <w:tc>
          <w:tcPr>
            <w:tcW w:w="3565" w:type="pct"/>
            <w:gridSpan w:val="3"/>
          </w:tcPr>
          <w:p w14:paraId="36EBDC8D" w14:textId="77777777" w:rsidR="00AD141B" w:rsidRPr="00B02C2E" w:rsidRDefault="00AD141B" w:rsidP="00550195">
            <w:pPr>
              <w:pStyle w:val="TableText"/>
              <w:keepNext w:val="0"/>
              <w:widowControl w:val="0"/>
              <w:jc w:val="right"/>
              <w:rPr>
                <w:b/>
              </w:rPr>
            </w:pPr>
            <w:r w:rsidRPr="00B02C2E">
              <w:rPr>
                <w:b/>
              </w:rPr>
              <w:t>Incremental cost per QALY gained</w:t>
            </w:r>
          </w:p>
        </w:tc>
        <w:tc>
          <w:tcPr>
            <w:tcW w:w="1435" w:type="pct"/>
            <w:vAlign w:val="center"/>
          </w:tcPr>
          <w:p w14:paraId="1178D9BA" w14:textId="77777777" w:rsidR="00AD141B" w:rsidRPr="00B02C2E" w:rsidRDefault="00B763C7" w:rsidP="00550195">
            <w:pPr>
              <w:pStyle w:val="TableText"/>
              <w:keepNext w:val="0"/>
              <w:widowControl w:val="0"/>
              <w:jc w:val="center"/>
            </w:pPr>
            <w:r>
              <w:rPr>
                <w:noProof/>
                <w:color w:val="000000"/>
                <w:highlight w:val="black"/>
              </w:rPr>
              <w:t>''''''''''''''''''''''''''</w:t>
            </w:r>
            <w:r w:rsidR="00D83CBE">
              <w:rPr>
                <w:vertAlign w:val="superscript"/>
              </w:rPr>
              <w:t>1</w:t>
            </w:r>
          </w:p>
        </w:tc>
      </w:tr>
      <w:tr w:rsidR="00AD141B" w:rsidRPr="00B02C2E" w14:paraId="092E7AD3" w14:textId="77777777" w:rsidTr="00550195">
        <w:tc>
          <w:tcPr>
            <w:tcW w:w="5000" w:type="pct"/>
            <w:gridSpan w:val="4"/>
          </w:tcPr>
          <w:p w14:paraId="585327E6" w14:textId="77777777" w:rsidR="00AD141B" w:rsidRPr="00B02C2E" w:rsidRDefault="00AD141B" w:rsidP="00550195">
            <w:pPr>
              <w:pStyle w:val="TableText"/>
              <w:keepNext w:val="0"/>
              <w:widowControl w:val="0"/>
              <w:jc w:val="both"/>
              <w:rPr>
                <w:b/>
                <w:iCs/>
              </w:rPr>
            </w:pPr>
            <w:r w:rsidRPr="00B02C2E">
              <w:rPr>
                <w:b/>
                <w:iCs/>
              </w:rPr>
              <w:t>Reduce disability progression per relapse (0.3 compared with 0.435 in original submission)</w:t>
            </w:r>
          </w:p>
        </w:tc>
      </w:tr>
      <w:tr w:rsidR="00AD141B" w:rsidRPr="00B02C2E" w14:paraId="4201CD79" w14:textId="77777777" w:rsidTr="00550195">
        <w:tc>
          <w:tcPr>
            <w:tcW w:w="1406" w:type="pct"/>
          </w:tcPr>
          <w:p w14:paraId="572AA314" w14:textId="77777777" w:rsidR="00AD141B" w:rsidRPr="00B02C2E" w:rsidRDefault="00AD141B" w:rsidP="00550195">
            <w:pPr>
              <w:pStyle w:val="TableText"/>
              <w:keepNext w:val="0"/>
              <w:widowControl w:val="0"/>
              <w:rPr>
                <w:iCs/>
              </w:rPr>
            </w:pPr>
            <w:r w:rsidRPr="00B02C2E">
              <w:rPr>
                <w:iCs/>
              </w:rPr>
              <w:t>Costs</w:t>
            </w:r>
            <w:r w:rsidR="00D83CBE">
              <w:t xml:space="preserve"> ($)</w:t>
            </w:r>
          </w:p>
        </w:tc>
        <w:tc>
          <w:tcPr>
            <w:tcW w:w="1079" w:type="pct"/>
            <w:vAlign w:val="bottom"/>
          </w:tcPr>
          <w:p w14:paraId="19BF1979"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c>
          <w:tcPr>
            <w:tcW w:w="1080" w:type="pct"/>
            <w:vAlign w:val="bottom"/>
          </w:tcPr>
          <w:p w14:paraId="5340FD50" w14:textId="77777777" w:rsidR="00AD141B" w:rsidRPr="00B02C2E" w:rsidRDefault="00AD141B" w:rsidP="00550195">
            <w:pPr>
              <w:pStyle w:val="TableText"/>
              <w:widowControl w:val="0"/>
              <w:jc w:val="center"/>
              <w:rPr>
                <w:iCs/>
              </w:rPr>
            </w:pPr>
            <w:r w:rsidRPr="00B02C2E">
              <w:rPr>
                <w:iCs/>
              </w:rPr>
              <w:t>$161,327</w:t>
            </w:r>
          </w:p>
        </w:tc>
        <w:tc>
          <w:tcPr>
            <w:tcW w:w="1435" w:type="pct"/>
            <w:vAlign w:val="center"/>
          </w:tcPr>
          <w:p w14:paraId="7F42D567"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r>
      <w:tr w:rsidR="00AD141B" w:rsidRPr="00B02C2E" w14:paraId="1F2AB981" w14:textId="77777777" w:rsidTr="00550195">
        <w:tc>
          <w:tcPr>
            <w:tcW w:w="1406" w:type="pct"/>
          </w:tcPr>
          <w:p w14:paraId="5A347AF0" w14:textId="77777777" w:rsidR="00AD141B" w:rsidRPr="00B02C2E" w:rsidRDefault="00AD141B" w:rsidP="00550195">
            <w:pPr>
              <w:pStyle w:val="TableText"/>
              <w:keepNext w:val="0"/>
              <w:widowControl w:val="0"/>
              <w:rPr>
                <w:iCs/>
              </w:rPr>
            </w:pPr>
            <w:r w:rsidRPr="00B02C2E">
              <w:rPr>
                <w:iCs/>
              </w:rPr>
              <w:t>QALYs</w:t>
            </w:r>
          </w:p>
        </w:tc>
        <w:tc>
          <w:tcPr>
            <w:tcW w:w="1079" w:type="pct"/>
            <w:vAlign w:val="bottom"/>
          </w:tcPr>
          <w:p w14:paraId="2A5D3D2E" w14:textId="77777777" w:rsidR="00AD141B" w:rsidRPr="00B02C2E" w:rsidRDefault="00AD141B" w:rsidP="00550195">
            <w:pPr>
              <w:pStyle w:val="TableText"/>
              <w:keepNext w:val="0"/>
              <w:widowControl w:val="0"/>
              <w:jc w:val="center"/>
              <w:rPr>
                <w:iCs/>
              </w:rPr>
            </w:pPr>
            <w:r w:rsidRPr="00B02C2E">
              <w:rPr>
                <w:iCs/>
              </w:rPr>
              <w:t>7.3082</w:t>
            </w:r>
          </w:p>
        </w:tc>
        <w:tc>
          <w:tcPr>
            <w:tcW w:w="1080" w:type="pct"/>
            <w:vAlign w:val="bottom"/>
          </w:tcPr>
          <w:p w14:paraId="5600C814" w14:textId="77777777" w:rsidR="00AD141B" w:rsidRPr="00B02C2E" w:rsidRDefault="00AD141B" w:rsidP="00550195">
            <w:pPr>
              <w:pStyle w:val="TableText"/>
              <w:keepNext w:val="0"/>
              <w:widowControl w:val="0"/>
              <w:jc w:val="center"/>
              <w:rPr>
                <w:iCs/>
              </w:rPr>
            </w:pPr>
            <w:r w:rsidRPr="00B02C2E">
              <w:rPr>
                <w:iCs/>
              </w:rPr>
              <w:t>5.5599</w:t>
            </w:r>
          </w:p>
        </w:tc>
        <w:tc>
          <w:tcPr>
            <w:tcW w:w="1435" w:type="pct"/>
            <w:vAlign w:val="center"/>
          </w:tcPr>
          <w:p w14:paraId="77089435" w14:textId="77777777" w:rsidR="00AD141B" w:rsidRPr="00B02C2E" w:rsidRDefault="00AD141B" w:rsidP="00550195">
            <w:pPr>
              <w:pStyle w:val="TableText"/>
              <w:keepNext w:val="0"/>
              <w:widowControl w:val="0"/>
              <w:jc w:val="center"/>
              <w:rPr>
                <w:iCs/>
              </w:rPr>
            </w:pPr>
            <w:r w:rsidRPr="00B02C2E">
              <w:rPr>
                <w:iCs/>
              </w:rPr>
              <w:t>1.7483</w:t>
            </w:r>
          </w:p>
        </w:tc>
      </w:tr>
      <w:tr w:rsidR="00AD141B" w:rsidRPr="00B02C2E" w14:paraId="7B9483B9" w14:textId="77777777" w:rsidTr="00550195">
        <w:tc>
          <w:tcPr>
            <w:tcW w:w="3565" w:type="pct"/>
            <w:gridSpan w:val="3"/>
          </w:tcPr>
          <w:p w14:paraId="451B5444" w14:textId="77777777" w:rsidR="00AD141B" w:rsidRPr="00B02C2E" w:rsidRDefault="00AD141B" w:rsidP="00550195">
            <w:pPr>
              <w:pStyle w:val="TableText"/>
              <w:keepNext w:val="0"/>
              <w:widowControl w:val="0"/>
              <w:jc w:val="right"/>
              <w:rPr>
                <w:b/>
                <w:iCs/>
              </w:rPr>
            </w:pPr>
            <w:r w:rsidRPr="00B02C2E">
              <w:rPr>
                <w:b/>
                <w:iCs/>
              </w:rPr>
              <w:t>Cost per QALY gained</w:t>
            </w:r>
          </w:p>
        </w:tc>
        <w:tc>
          <w:tcPr>
            <w:tcW w:w="1435" w:type="pct"/>
            <w:vAlign w:val="center"/>
          </w:tcPr>
          <w:p w14:paraId="447C9CB4" w14:textId="77777777" w:rsidR="00AD141B" w:rsidRPr="00B02C2E" w:rsidRDefault="00B763C7" w:rsidP="00550195">
            <w:pPr>
              <w:pStyle w:val="TableText"/>
              <w:keepNext w:val="0"/>
              <w:widowControl w:val="0"/>
              <w:jc w:val="center"/>
              <w:rPr>
                <w:iCs/>
              </w:rPr>
            </w:pPr>
            <w:r>
              <w:rPr>
                <w:iCs/>
                <w:noProof/>
                <w:color w:val="000000"/>
                <w:highlight w:val="black"/>
              </w:rPr>
              <w:t>''''''''''''''''''''''''''''</w:t>
            </w:r>
            <w:r w:rsidR="00D83CBE">
              <w:rPr>
                <w:vertAlign w:val="superscript"/>
              </w:rPr>
              <w:t>1</w:t>
            </w:r>
          </w:p>
        </w:tc>
      </w:tr>
      <w:tr w:rsidR="00AD141B" w:rsidRPr="00B02C2E" w14:paraId="6BE0D2C9" w14:textId="77777777" w:rsidTr="00550195">
        <w:tc>
          <w:tcPr>
            <w:tcW w:w="5000" w:type="pct"/>
            <w:gridSpan w:val="4"/>
          </w:tcPr>
          <w:p w14:paraId="0B8E4459" w14:textId="77777777" w:rsidR="00AD141B" w:rsidRPr="00B02C2E" w:rsidRDefault="00AD141B" w:rsidP="00550195">
            <w:pPr>
              <w:pStyle w:val="TableText"/>
              <w:keepNext w:val="0"/>
              <w:widowControl w:val="0"/>
              <w:rPr>
                <w:b/>
                <w:iCs/>
              </w:rPr>
            </w:pPr>
            <w:r w:rsidRPr="00B02C2E">
              <w:rPr>
                <w:b/>
                <w:iCs/>
              </w:rPr>
              <w:t>Reduce mortality associated with relapse (2.3% compared with 7% in original submission)</w:t>
            </w:r>
          </w:p>
        </w:tc>
      </w:tr>
      <w:tr w:rsidR="00AD141B" w:rsidRPr="00B02C2E" w14:paraId="0FF37FDB" w14:textId="77777777" w:rsidTr="00550195">
        <w:tc>
          <w:tcPr>
            <w:tcW w:w="1406" w:type="pct"/>
          </w:tcPr>
          <w:p w14:paraId="2B035BA9" w14:textId="77777777" w:rsidR="00AD141B" w:rsidRPr="00B02C2E" w:rsidRDefault="00AD141B" w:rsidP="00550195">
            <w:pPr>
              <w:pStyle w:val="TableText"/>
              <w:keepNext w:val="0"/>
              <w:widowControl w:val="0"/>
              <w:rPr>
                <w:iCs/>
              </w:rPr>
            </w:pPr>
            <w:r w:rsidRPr="00B02C2E">
              <w:rPr>
                <w:iCs/>
              </w:rPr>
              <w:t>Costs</w:t>
            </w:r>
            <w:r w:rsidR="00D83CBE">
              <w:t xml:space="preserve"> ($)</w:t>
            </w:r>
          </w:p>
        </w:tc>
        <w:tc>
          <w:tcPr>
            <w:tcW w:w="1079" w:type="pct"/>
            <w:vAlign w:val="bottom"/>
          </w:tcPr>
          <w:p w14:paraId="3AE038F0"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c>
          <w:tcPr>
            <w:tcW w:w="1080" w:type="pct"/>
            <w:vAlign w:val="bottom"/>
          </w:tcPr>
          <w:p w14:paraId="46F52129" w14:textId="77777777" w:rsidR="00AD141B" w:rsidRPr="00B02C2E" w:rsidRDefault="00AD141B" w:rsidP="00550195">
            <w:pPr>
              <w:pStyle w:val="TableText"/>
              <w:widowControl w:val="0"/>
              <w:jc w:val="center"/>
              <w:rPr>
                <w:iCs/>
              </w:rPr>
            </w:pPr>
            <w:r w:rsidRPr="00B02C2E">
              <w:rPr>
                <w:iCs/>
              </w:rPr>
              <w:t>$211,192</w:t>
            </w:r>
          </w:p>
        </w:tc>
        <w:tc>
          <w:tcPr>
            <w:tcW w:w="1435" w:type="pct"/>
            <w:vAlign w:val="center"/>
          </w:tcPr>
          <w:p w14:paraId="4505F0CB"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r>
      <w:tr w:rsidR="00AD141B" w:rsidRPr="00B02C2E" w14:paraId="2CC7C70E" w14:textId="77777777" w:rsidTr="00550195">
        <w:tc>
          <w:tcPr>
            <w:tcW w:w="1406" w:type="pct"/>
          </w:tcPr>
          <w:p w14:paraId="0B7C9B73" w14:textId="77777777" w:rsidR="00AD141B" w:rsidRPr="00B02C2E" w:rsidRDefault="00AD141B" w:rsidP="00550195">
            <w:pPr>
              <w:pStyle w:val="TableText"/>
              <w:keepNext w:val="0"/>
              <w:widowControl w:val="0"/>
              <w:rPr>
                <w:iCs/>
              </w:rPr>
            </w:pPr>
            <w:r w:rsidRPr="00B02C2E">
              <w:rPr>
                <w:iCs/>
              </w:rPr>
              <w:t>QALYs</w:t>
            </w:r>
          </w:p>
        </w:tc>
        <w:tc>
          <w:tcPr>
            <w:tcW w:w="1079" w:type="pct"/>
            <w:vAlign w:val="bottom"/>
          </w:tcPr>
          <w:p w14:paraId="466448AB" w14:textId="77777777" w:rsidR="00AD141B" w:rsidRPr="00B02C2E" w:rsidRDefault="00AD141B" w:rsidP="00550195">
            <w:pPr>
              <w:pStyle w:val="TableText"/>
              <w:keepNext w:val="0"/>
              <w:widowControl w:val="0"/>
              <w:jc w:val="center"/>
              <w:rPr>
                <w:iCs/>
              </w:rPr>
            </w:pPr>
            <w:r w:rsidRPr="00B02C2E">
              <w:rPr>
                <w:iCs/>
              </w:rPr>
              <w:t>7.9746</w:t>
            </w:r>
          </w:p>
        </w:tc>
        <w:tc>
          <w:tcPr>
            <w:tcW w:w="1080" w:type="pct"/>
            <w:vAlign w:val="bottom"/>
          </w:tcPr>
          <w:p w14:paraId="1044A350" w14:textId="77777777" w:rsidR="00AD141B" w:rsidRPr="00B02C2E" w:rsidRDefault="00AD141B" w:rsidP="00550195">
            <w:pPr>
              <w:pStyle w:val="TableText"/>
              <w:keepNext w:val="0"/>
              <w:widowControl w:val="0"/>
              <w:jc w:val="center"/>
              <w:rPr>
                <w:iCs/>
              </w:rPr>
            </w:pPr>
            <w:r w:rsidRPr="00B02C2E">
              <w:rPr>
                <w:iCs/>
              </w:rPr>
              <w:t>6.5315</w:t>
            </w:r>
          </w:p>
        </w:tc>
        <w:tc>
          <w:tcPr>
            <w:tcW w:w="1435" w:type="pct"/>
            <w:vAlign w:val="center"/>
          </w:tcPr>
          <w:p w14:paraId="3439E9B6" w14:textId="77777777" w:rsidR="00AD141B" w:rsidRPr="00B02C2E" w:rsidRDefault="00AD141B" w:rsidP="00550195">
            <w:pPr>
              <w:pStyle w:val="TableText"/>
              <w:keepNext w:val="0"/>
              <w:widowControl w:val="0"/>
              <w:jc w:val="center"/>
              <w:rPr>
                <w:iCs/>
              </w:rPr>
            </w:pPr>
            <w:r w:rsidRPr="00B02C2E">
              <w:rPr>
                <w:iCs/>
              </w:rPr>
              <w:t>1.4431</w:t>
            </w:r>
          </w:p>
        </w:tc>
      </w:tr>
      <w:tr w:rsidR="00AD141B" w:rsidRPr="00B02C2E" w14:paraId="763B420F" w14:textId="77777777" w:rsidTr="00550195">
        <w:tc>
          <w:tcPr>
            <w:tcW w:w="3565" w:type="pct"/>
            <w:gridSpan w:val="3"/>
          </w:tcPr>
          <w:p w14:paraId="072C390F" w14:textId="77777777" w:rsidR="00AD141B" w:rsidRPr="00B02C2E" w:rsidRDefault="00AD141B" w:rsidP="00550195">
            <w:pPr>
              <w:pStyle w:val="TableText"/>
              <w:keepNext w:val="0"/>
              <w:widowControl w:val="0"/>
              <w:jc w:val="right"/>
              <w:rPr>
                <w:b/>
                <w:iCs/>
              </w:rPr>
            </w:pPr>
            <w:r w:rsidRPr="00B02C2E">
              <w:rPr>
                <w:b/>
                <w:iCs/>
              </w:rPr>
              <w:t>Cost per QALY gained</w:t>
            </w:r>
          </w:p>
        </w:tc>
        <w:tc>
          <w:tcPr>
            <w:tcW w:w="1435" w:type="pct"/>
            <w:vAlign w:val="center"/>
          </w:tcPr>
          <w:p w14:paraId="4695A72D" w14:textId="77777777" w:rsidR="00AD141B" w:rsidRPr="00B02C2E" w:rsidRDefault="00B763C7" w:rsidP="00550195">
            <w:pPr>
              <w:pStyle w:val="TableText"/>
              <w:keepNext w:val="0"/>
              <w:widowControl w:val="0"/>
              <w:jc w:val="center"/>
              <w:rPr>
                <w:iCs/>
              </w:rPr>
            </w:pPr>
            <w:r>
              <w:rPr>
                <w:iCs/>
                <w:noProof/>
                <w:color w:val="000000"/>
                <w:highlight w:val="black"/>
              </w:rPr>
              <w:t>'''''''''''''''''''''''''''''</w:t>
            </w:r>
            <w:r w:rsidR="00D83CBE">
              <w:rPr>
                <w:vertAlign w:val="superscript"/>
              </w:rPr>
              <w:t>1</w:t>
            </w:r>
          </w:p>
        </w:tc>
      </w:tr>
      <w:tr w:rsidR="00AD141B" w:rsidRPr="00B02C2E" w14:paraId="05A68948" w14:textId="77777777" w:rsidTr="00550195">
        <w:tc>
          <w:tcPr>
            <w:tcW w:w="5000" w:type="pct"/>
            <w:gridSpan w:val="4"/>
          </w:tcPr>
          <w:p w14:paraId="5A623C0C" w14:textId="77777777" w:rsidR="00AD141B" w:rsidRPr="00B02C2E" w:rsidRDefault="00AD141B" w:rsidP="00550195">
            <w:pPr>
              <w:pStyle w:val="TableText"/>
              <w:keepNext w:val="0"/>
              <w:widowControl w:val="0"/>
              <w:rPr>
                <w:b/>
                <w:iCs/>
              </w:rPr>
            </w:pPr>
            <w:r w:rsidRPr="00B02C2E">
              <w:rPr>
                <w:b/>
                <w:iCs/>
              </w:rPr>
              <w:t>Costs of supplementary dosing included (cost of plasma exchange and supplementary dosing with eculizumab added to the proportion of patients with relapse who required plasma exchange, based on use in PREVENT)</w:t>
            </w:r>
          </w:p>
        </w:tc>
      </w:tr>
      <w:tr w:rsidR="00AD141B" w:rsidRPr="00B02C2E" w14:paraId="0103A17B" w14:textId="77777777" w:rsidTr="00550195">
        <w:tc>
          <w:tcPr>
            <w:tcW w:w="1406" w:type="pct"/>
          </w:tcPr>
          <w:p w14:paraId="60ED385D" w14:textId="77777777" w:rsidR="00AD141B" w:rsidRPr="00B02C2E" w:rsidRDefault="00AD141B" w:rsidP="00550195">
            <w:pPr>
              <w:pStyle w:val="TableText"/>
              <w:keepNext w:val="0"/>
              <w:widowControl w:val="0"/>
              <w:rPr>
                <w:iCs/>
              </w:rPr>
            </w:pPr>
            <w:r w:rsidRPr="00B02C2E">
              <w:rPr>
                <w:iCs/>
              </w:rPr>
              <w:t>Costs</w:t>
            </w:r>
            <w:r w:rsidR="00D83CBE">
              <w:t xml:space="preserve"> ($)</w:t>
            </w:r>
          </w:p>
        </w:tc>
        <w:tc>
          <w:tcPr>
            <w:tcW w:w="1079" w:type="pct"/>
            <w:vAlign w:val="bottom"/>
          </w:tcPr>
          <w:p w14:paraId="0798443F"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c>
          <w:tcPr>
            <w:tcW w:w="1080" w:type="pct"/>
            <w:vAlign w:val="bottom"/>
          </w:tcPr>
          <w:p w14:paraId="777ECD0C" w14:textId="77777777" w:rsidR="00AD141B" w:rsidRPr="00B02C2E" w:rsidRDefault="00AD141B" w:rsidP="00550195">
            <w:pPr>
              <w:pStyle w:val="TableText"/>
              <w:widowControl w:val="0"/>
              <w:jc w:val="center"/>
              <w:rPr>
                <w:iCs/>
              </w:rPr>
            </w:pPr>
            <w:r w:rsidRPr="00B02C2E">
              <w:rPr>
                <w:iCs/>
              </w:rPr>
              <w:t>$301,893</w:t>
            </w:r>
          </w:p>
        </w:tc>
        <w:tc>
          <w:tcPr>
            <w:tcW w:w="1435" w:type="pct"/>
            <w:vAlign w:val="center"/>
          </w:tcPr>
          <w:p w14:paraId="568D2CFC"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r>
      <w:tr w:rsidR="00AD141B" w:rsidRPr="00B02C2E" w14:paraId="7A17712C" w14:textId="77777777" w:rsidTr="00550195">
        <w:tc>
          <w:tcPr>
            <w:tcW w:w="1406" w:type="pct"/>
          </w:tcPr>
          <w:p w14:paraId="0356AEAC" w14:textId="77777777" w:rsidR="00AD141B" w:rsidRPr="00B02C2E" w:rsidRDefault="00AD141B" w:rsidP="00550195">
            <w:pPr>
              <w:pStyle w:val="TableText"/>
              <w:keepNext w:val="0"/>
              <w:widowControl w:val="0"/>
              <w:rPr>
                <w:iCs/>
              </w:rPr>
            </w:pPr>
            <w:r w:rsidRPr="00B02C2E">
              <w:rPr>
                <w:iCs/>
              </w:rPr>
              <w:t>QALYs</w:t>
            </w:r>
          </w:p>
        </w:tc>
        <w:tc>
          <w:tcPr>
            <w:tcW w:w="1079" w:type="pct"/>
            <w:vAlign w:val="bottom"/>
          </w:tcPr>
          <w:p w14:paraId="2F77BECC" w14:textId="77777777" w:rsidR="00AD141B" w:rsidRPr="00B02C2E" w:rsidRDefault="00AD141B" w:rsidP="00550195">
            <w:pPr>
              <w:pStyle w:val="TableText"/>
              <w:keepNext w:val="0"/>
              <w:widowControl w:val="0"/>
              <w:jc w:val="center"/>
              <w:rPr>
                <w:iCs/>
              </w:rPr>
            </w:pPr>
            <w:r w:rsidRPr="00B02C2E">
              <w:rPr>
                <w:iCs/>
              </w:rPr>
              <w:t>7.9746</w:t>
            </w:r>
          </w:p>
        </w:tc>
        <w:tc>
          <w:tcPr>
            <w:tcW w:w="1080" w:type="pct"/>
            <w:vAlign w:val="bottom"/>
          </w:tcPr>
          <w:p w14:paraId="1FDF73EE" w14:textId="77777777" w:rsidR="00AD141B" w:rsidRPr="00B02C2E" w:rsidRDefault="00AD141B" w:rsidP="00550195">
            <w:pPr>
              <w:pStyle w:val="TableText"/>
              <w:keepNext w:val="0"/>
              <w:widowControl w:val="0"/>
              <w:jc w:val="center"/>
              <w:rPr>
                <w:iCs/>
              </w:rPr>
            </w:pPr>
            <w:r w:rsidRPr="00B02C2E">
              <w:rPr>
                <w:iCs/>
              </w:rPr>
              <w:t>6.5315</w:t>
            </w:r>
          </w:p>
        </w:tc>
        <w:tc>
          <w:tcPr>
            <w:tcW w:w="1435" w:type="pct"/>
            <w:vAlign w:val="center"/>
          </w:tcPr>
          <w:p w14:paraId="5A6F4784" w14:textId="77777777" w:rsidR="00AD141B" w:rsidRPr="00B02C2E" w:rsidRDefault="00AD141B" w:rsidP="00550195">
            <w:pPr>
              <w:pStyle w:val="TableText"/>
              <w:keepNext w:val="0"/>
              <w:widowControl w:val="0"/>
              <w:jc w:val="center"/>
              <w:rPr>
                <w:iCs/>
              </w:rPr>
            </w:pPr>
            <w:r w:rsidRPr="00B02C2E">
              <w:rPr>
                <w:iCs/>
              </w:rPr>
              <w:t>1.4431</w:t>
            </w:r>
          </w:p>
        </w:tc>
      </w:tr>
      <w:tr w:rsidR="00AD141B" w:rsidRPr="00B02C2E" w14:paraId="7EC4D24B" w14:textId="77777777" w:rsidTr="00550195">
        <w:tc>
          <w:tcPr>
            <w:tcW w:w="3565" w:type="pct"/>
            <w:gridSpan w:val="3"/>
          </w:tcPr>
          <w:p w14:paraId="705DA1D0" w14:textId="77777777" w:rsidR="00AD141B" w:rsidRPr="00B02C2E" w:rsidRDefault="00AD141B" w:rsidP="00550195">
            <w:pPr>
              <w:pStyle w:val="TableText"/>
              <w:keepNext w:val="0"/>
              <w:widowControl w:val="0"/>
              <w:jc w:val="right"/>
              <w:rPr>
                <w:b/>
                <w:iCs/>
              </w:rPr>
            </w:pPr>
            <w:r w:rsidRPr="00B02C2E">
              <w:rPr>
                <w:b/>
                <w:iCs/>
              </w:rPr>
              <w:t>Cost per QALY gained</w:t>
            </w:r>
          </w:p>
        </w:tc>
        <w:tc>
          <w:tcPr>
            <w:tcW w:w="1435" w:type="pct"/>
            <w:vAlign w:val="center"/>
          </w:tcPr>
          <w:p w14:paraId="53159A14" w14:textId="77777777" w:rsidR="00AD141B" w:rsidRPr="00B02C2E" w:rsidRDefault="00B763C7" w:rsidP="00550195">
            <w:pPr>
              <w:pStyle w:val="TableText"/>
              <w:keepNext w:val="0"/>
              <w:widowControl w:val="0"/>
              <w:jc w:val="center"/>
              <w:rPr>
                <w:iCs/>
              </w:rPr>
            </w:pPr>
            <w:r>
              <w:rPr>
                <w:iCs/>
                <w:noProof/>
                <w:color w:val="000000"/>
                <w:highlight w:val="black"/>
              </w:rPr>
              <w:t>'''''''''''''''''''''''''</w:t>
            </w:r>
            <w:r w:rsidR="00D83CBE">
              <w:rPr>
                <w:vertAlign w:val="superscript"/>
              </w:rPr>
              <w:t>1</w:t>
            </w:r>
          </w:p>
        </w:tc>
      </w:tr>
      <w:tr w:rsidR="00AD141B" w:rsidRPr="00B02C2E" w14:paraId="12D7A9BB" w14:textId="77777777" w:rsidTr="00550195">
        <w:tc>
          <w:tcPr>
            <w:tcW w:w="5000" w:type="pct"/>
            <w:gridSpan w:val="4"/>
          </w:tcPr>
          <w:p w14:paraId="5FC49010" w14:textId="77777777" w:rsidR="00AD141B" w:rsidRPr="00B02C2E" w:rsidRDefault="00AD141B" w:rsidP="00550195">
            <w:pPr>
              <w:pStyle w:val="TableText"/>
              <w:keepNext w:val="0"/>
              <w:widowControl w:val="0"/>
              <w:jc w:val="both"/>
              <w:rPr>
                <w:b/>
                <w:iCs/>
              </w:rPr>
            </w:pPr>
            <w:r w:rsidRPr="00B02C2E">
              <w:rPr>
                <w:b/>
                <w:iCs/>
              </w:rPr>
              <w:t>Update cost of administration (MBS item 13950; $111.40)</w:t>
            </w:r>
          </w:p>
        </w:tc>
      </w:tr>
      <w:tr w:rsidR="00AD141B" w:rsidRPr="00B02C2E" w14:paraId="0035F3F2" w14:textId="77777777" w:rsidTr="00550195">
        <w:tc>
          <w:tcPr>
            <w:tcW w:w="1406" w:type="pct"/>
          </w:tcPr>
          <w:p w14:paraId="76971E55" w14:textId="77777777" w:rsidR="00AD141B" w:rsidRPr="00B02C2E" w:rsidRDefault="00AD141B" w:rsidP="00550195">
            <w:pPr>
              <w:pStyle w:val="TableText"/>
              <w:keepNext w:val="0"/>
              <w:widowControl w:val="0"/>
              <w:rPr>
                <w:iCs/>
              </w:rPr>
            </w:pPr>
            <w:r w:rsidRPr="00B02C2E">
              <w:rPr>
                <w:iCs/>
              </w:rPr>
              <w:t>Costs</w:t>
            </w:r>
            <w:r w:rsidR="00D83CBE">
              <w:t xml:space="preserve"> ($)</w:t>
            </w:r>
          </w:p>
        </w:tc>
        <w:tc>
          <w:tcPr>
            <w:tcW w:w="1079" w:type="pct"/>
            <w:vAlign w:val="bottom"/>
          </w:tcPr>
          <w:p w14:paraId="1E7393F3"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c>
          <w:tcPr>
            <w:tcW w:w="1080" w:type="pct"/>
            <w:vAlign w:val="bottom"/>
          </w:tcPr>
          <w:p w14:paraId="52FF8880" w14:textId="77777777" w:rsidR="00AD141B" w:rsidRPr="00B02C2E" w:rsidRDefault="00AD141B" w:rsidP="00550195">
            <w:pPr>
              <w:pStyle w:val="TableText"/>
              <w:keepNext w:val="0"/>
              <w:widowControl w:val="0"/>
              <w:jc w:val="center"/>
              <w:rPr>
                <w:iCs/>
              </w:rPr>
            </w:pPr>
            <w:r w:rsidRPr="00B02C2E">
              <w:rPr>
                <w:iCs/>
              </w:rPr>
              <w:t>$301,893</w:t>
            </w:r>
          </w:p>
        </w:tc>
        <w:tc>
          <w:tcPr>
            <w:tcW w:w="1435" w:type="pct"/>
            <w:vAlign w:val="center"/>
          </w:tcPr>
          <w:p w14:paraId="30246B52" w14:textId="77777777" w:rsidR="00AD141B" w:rsidRPr="00B763C7" w:rsidRDefault="00B763C7" w:rsidP="00550195">
            <w:pPr>
              <w:pStyle w:val="TableText"/>
              <w:keepNext w:val="0"/>
              <w:widowControl w:val="0"/>
              <w:jc w:val="center"/>
              <w:rPr>
                <w:iCs/>
                <w:highlight w:val="black"/>
              </w:rPr>
            </w:pPr>
            <w:r>
              <w:rPr>
                <w:iCs/>
                <w:noProof/>
                <w:color w:val="000000"/>
                <w:highlight w:val="black"/>
              </w:rPr>
              <w:t>'''''''''''''''''''''''''</w:t>
            </w:r>
          </w:p>
        </w:tc>
      </w:tr>
      <w:tr w:rsidR="00AD141B" w:rsidRPr="00B02C2E" w14:paraId="2A3CD167" w14:textId="77777777" w:rsidTr="00550195">
        <w:tc>
          <w:tcPr>
            <w:tcW w:w="1406" w:type="pct"/>
          </w:tcPr>
          <w:p w14:paraId="30DC4582" w14:textId="77777777" w:rsidR="00AD141B" w:rsidRPr="00B02C2E" w:rsidRDefault="00AD141B" w:rsidP="00550195">
            <w:pPr>
              <w:pStyle w:val="TableText"/>
              <w:keepNext w:val="0"/>
              <w:widowControl w:val="0"/>
              <w:rPr>
                <w:iCs/>
              </w:rPr>
            </w:pPr>
            <w:r w:rsidRPr="00B02C2E">
              <w:rPr>
                <w:iCs/>
              </w:rPr>
              <w:t>QALYs</w:t>
            </w:r>
          </w:p>
        </w:tc>
        <w:tc>
          <w:tcPr>
            <w:tcW w:w="1079" w:type="pct"/>
            <w:vAlign w:val="bottom"/>
          </w:tcPr>
          <w:p w14:paraId="0D6367B8" w14:textId="77777777" w:rsidR="00AD141B" w:rsidRPr="00B02C2E" w:rsidRDefault="00AD141B" w:rsidP="00550195">
            <w:pPr>
              <w:pStyle w:val="TableText"/>
              <w:keepNext w:val="0"/>
              <w:widowControl w:val="0"/>
              <w:jc w:val="center"/>
              <w:rPr>
                <w:iCs/>
              </w:rPr>
            </w:pPr>
            <w:r w:rsidRPr="00B02C2E">
              <w:rPr>
                <w:iCs/>
              </w:rPr>
              <w:t>7.9746</w:t>
            </w:r>
          </w:p>
        </w:tc>
        <w:tc>
          <w:tcPr>
            <w:tcW w:w="1080" w:type="pct"/>
            <w:vAlign w:val="bottom"/>
          </w:tcPr>
          <w:p w14:paraId="398EB764" w14:textId="77777777" w:rsidR="00AD141B" w:rsidRPr="00B02C2E" w:rsidRDefault="00AD141B" w:rsidP="00550195">
            <w:pPr>
              <w:pStyle w:val="TableText"/>
              <w:keepNext w:val="0"/>
              <w:widowControl w:val="0"/>
              <w:jc w:val="center"/>
              <w:rPr>
                <w:iCs/>
              </w:rPr>
            </w:pPr>
            <w:r w:rsidRPr="00B02C2E">
              <w:rPr>
                <w:iCs/>
              </w:rPr>
              <w:t>6.5315</w:t>
            </w:r>
          </w:p>
        </w:tc>
        <w:tc>
          <w:tcPr>
            <w:tcW w:w="1435" w:type="pct"/>
            <w:vAlign w:val="center"/>
          </w:tcPr>
          <w:p w14:paraId="331E3DFD" w14:textId="77777777" w:rsidR="00AD141B" w:rsidRPr="00B02C2E" w:rsidRDefault="00AD141B" w:rsidP="00550195">
            <w:pPr>
              <w:pStyle w:val="TableText"/>
              <w:keepNext w:val="0"/>
              <w:widowControl w:val="0"/>
              <w:jc w:val="center"/>
              <w:rPr>
                <w:iCs/>
              </w:rPr>
            </w:pPr>
            <w:r w:rsidRPr="00B02C2E">
              <w:rPr>
                <w:iCs/>
              </w:rPr>
              <w:t>1.4431</w:t>
            </w:r>
          </w:p>
        </w:tc>
      </w:tr>
      <w:tr w:rsidR="00AD141B" w:rsidRPr="00B02C2E" w14:paraId="30C58157" w14:textId="77777777" w:rsidTr="00550195">
        <w:tc>
          <w:tcPr>
            <w:tcW w:w="3565" w:type="pct"/>
            <w:gridSpan w:val="3"/>
          </w:tcPr>
          <w:p w14:paraId="7A3A229F" w14:textId="77777777" w:rsidR="00AD141B" w:rsidRPr="00B02C2E" w:rsidRDefault="00AD141B" w:rsidP="00550195">
            <w:pPr>
              <w:pStyle w:val="TableText"/>
              <w:keepNext w:val="0"/>
              <w:widowControl w:val="0"/>
              <w:jc w:val="right"/>
              <w:rPr>
                <w:b/>
                <w:iCs/>
              </w:rPr>
            </w:pPr>
            <w:r w:rsidRPr="00B02C2E">
              <w:rPr>
                <w:b/>
                <w:iCs/>
              </w:rPr>
              <w:t>Cost per QALY gained</w:t>
            </w:r>
          </w:p>
        </w:tc>
        <w:tc>
          <w:tcPr>
            <w:tcW w:w="1435" w:type="pct"/>
            <w:vAlign w:val="center"/>
          </w:tcPr>
          <w:p w14:paraId="234F3589" w14:textId="77777777" w:rsidR="00AD141B" w:rsidRPr="00B02C2E" w:rsidRDefault="00B763C7" w:rsidP="00550195">
            <w:pPr>
              <w:pStyle w:val="TableText"/>
              <w:keepNext w:val="0"/>
              <w:widowControl w:val="0"/>
              <w:jc w:val="center"/>
              <w:rPr>
                <w:iCs/>
              </w:rPr>
            </w:pPr>
            <w:r>
              <w:rPr>
                <w:iCs/>
                <w:noProof/>
                <w:color w:val="000000"/>
                <w:highlight w:val="black"/>
              </w:rPr>
              <w:t>'''''''''''''''''''''''''''''</w:t>
            </w:r>
            <w:r w:rsidR="00D83CBE">
              <w:rPr>
                <w:vertAlign w:val="superscript"/>
              </w:rPr>
              <w:t>1</w:t>
            </w:r>
          </w:p>
        </w:tc>
      </w:tr>
      <w:tr w:rsidR="00AD141B" w:rsidRPr="00B02C2E" w14:paraId="2652BDE8" w14:textId="77777777" w:rsidTr="00550195">
        <w:tc>
          <w:tcPr>
            <w:tcW w:w="5000" w:type="pct"/>
            <w:gridSpan w:val="4"/>
          </w:tcPr>
          <w:p w14:paraId="23FFC5C4" w14:textId="77777777" w:rsidR="00AD141B" w:rsidRPr="00B02C2E" w:rsidRDefault="00AD141B" w:rsidP="00550195">
            <w:pPr>
              <w:pStyle w:val="TableText"/>
              <w:keepNext w:val="0"/>
              <w:widowControl w:val="0"/>
              <w:jc w:val="both"/>
              <w:rPr>
                <w:b/>
              </w:rPr>
            </w:pPr>
            <w:r w:rsidRPr="00B02C2E">
              <w:rPr>
                <w:b/>
              </w:rPr>
              <w:t>Eculizumab effective price (</w:t>
            </w:r>
            <w:r w:rsidR="00B763C7">
              <w:rPr>
                <w:b/>
                <w:noProof/>
                <w:color w:val="000000"/>
                <w:highlight w:val="black"/>
              </w:rPr>
              <w:t>'''''</w:t>
            </w:r>
            <w:r w:rsidRPr="00B02C2E">
              <w:rPr>
                <w:b/>
              </w:rPr>
              <w:t>% reduction compared with November 2020 submission; from $5,640.63 AEMP to $</w:t>
            </w:r>
            <w:r w:rsidR="00B763C7">
              <w:rPr>
                <w:b/>
                <w:noProof/>
                <w:color w:val="000000"/>
                <w:highlight w:val="black"/>
              </w:rPr>
              <w:t>'''''''''''''''''</w:t>
            </w:r>
            <w:r w:rsidRPr="00B02C2E">
              <w:rPr>
                <w:b/>
              </w:rPr>
              <w:t xml:space="preserve"> AEMP)</w:t>
            </w:r>
          </w:p>
        </w:tc>
      </w:tr>
      <w:tr w:rsidR="00AD141B" w:rsidRPr="00B02C2E" w14:paraId="7224BE58" w14:textId="77777777" w:rsidTr="00550195">
        <w:tc>
          <w:tcPr>
            <w:tcW w:w="1406" w:type="pct"/>
          </w:tcPr>
          <w:p w14:paraId="4F4C2E9E" w14:textId="77777777" w:rsidR="00AD141B" w:rsidRPr="00B02C2E" w:rsidRDefault="00AD141B" w:rsidP="00550195">
            <w:pPr>
              <w:pStyle w:val="TableText"/>
              <w:keepNext w:val="0"/>
              <w:widowControl w:val="0"/>
            </w:pPr>
            <w:r w:rsidRPr="00B02C2E">
              <w:t>Costs</w:t>
            </w:r>
            <w:r w:rsidR="00D83CBE">
              <w:t xml:space="preserve"> ($)</w:t>
            </w:r>
          </w:p>
        </w:tc>
        <w:tc>
          <w:tcPr>
            <w:tcW w:w="1079" w:type="pct"/>
            <w:vAlign w:val="bottom"/>
          </w:tcPr>
          <w:p w14:paraId="38A54C39" w14:textId="77777777" w:rsidR="00AD141B" w:rsidRPr="00B763C7" w:rsidRDefault="00B763C7" w:rsidP="00550195">
            <w:pPr>
              <w:pStyle w:val="TableText"/>
              <w:keepNext w:val="0"/>
              <w:widowControl w:val="0"/>
              <w:jc w:val="center"/>
              <w:rPr>
                <w:highlight w:val="black"/>
              </w:rPr>
            </w:pPr>
            <w:r>
              <w:rPr>
                <w:noProof/>
                <w:color w:val="000000"/>
                <w:highlight w:val="black"/>
              </w:rPr>
              <w:t>''''''''''''''''''''''''</w:t>
            </w:r>
          </w:p>
        </w:tc>
        <w:tc>
          <w:tcPr>
            <w:tcW w:w="1080" w:type="pct"/>
            <w:vAlign w:val="bottom"/>
          </w:tcPr>
          <w:p w14:paraId="386A04F8" w14:textId="77777777" w:rsidR="00AD141B" w:rsidRPr="00B02C2E" w:rsidRDefault="00AD141B" w:rsidP="00550195">
            <w:pPr>
              <w:pStyle w:val="TableText"/>
              <w:keepNext w:val="0"/>
              <w:widowControl w:val="0"/>
              <w:jc w:val="center"/>
            </w:pPr>
            <w:r w:rsidRPr="00B02C2E">
              <w:t>$301,893</w:t>
            </w:r>
          </w:p>
        </w:tc>
        <w:tc>
          <w:tcPr>
            <w:tcW w:w="1435" w:type="pct"/>
            <w:vAlign w:val="center"/>
          </w:tcPr>
          <w:p w14:paraId="564D64E6" w14:textId="77777777" w:rsidR="00AD141B" w:rsidRPr="00B763C7" w:rsidRDefault="00B763C7" w:rsidP="00550195">
            <w:pPr>
              <w:pStyle w:val="TableText"/>
              <w:keepNext w:val="0"/>
              <w:widowControl w:val="0"/>
              <w:jc w:val="center"/>
              <w:rPr>
                <w:highlight w:val="black"/>
              </w:rPr>
            </w:pPr>
            <w:r>
              <w:rPr>
                <w:noProof/>
                <w:color w:val="000000"/>
                <w:highlight w:val="black"/>
              </w:rPr>
              <w:t>''''''''''''''''''''''''</w:t>
            </w:r>
          </w:p>
        </w:tc>
      </w:tr>
      <w:tr w:rsidR="00AD141B" w:rsidRPr="00B02C2E" w14:paraId="32B6978F" w14:textId="77777777" w:rsidTr="00550195">
        <w:tc>
          <w:tcPr>
            <w:tcW w:w="1406" w:type="pct"/>
          </w:tcPr>
          <w:p w14:paraId="06A71A4D" w14:textId="77777777" w:rsidR="00AD141B" w:rsidRPr="00B02C2E" w:rsidRDefault="00AD141B" w:rsidP="00550195">
            <w:pPr>
              <w:pStyle w:val="TableText"/>
              <w:keepNext w:val="0"/>
              <w:widowControl w:val="0"/>
            </w:pPr>
            <w:r w:rsidRPr="00B02C2E">
              <w:t>QALYs</w:t>
            </w:r>
          </w:p>
        </w:tc>
        <w:tc>
          <w:tcPr>
            <w:tcW w:w="1079" w:type="pct"/>
            <w:vAlign w:val="bottom"/>
          </w:tcPr>
          <w:p w14:paraId="53A8B7D7" w14:textId="77777777" w:rsidR="00AD141B" w:rsidRPr="00B02C2E" w:rsidRDefault="00AD141B" w:rsidP="00550195">
            <w:pPr>
              <w:pStyle w:val="TableText"/>
              <w:keepNext w:val="0"/>
              <w:widowControl w:val="0"/>
              <w:jc w:val="center"/>
            </w:pPr>
            <w:r w:rsidRPr="00B02C2E">
              <w:t>7.9746</w:t>
            </w:r>
          </w:p>
        </w:tc>
        <w:tc>
          <w:tcPr>
            <w:tcW w:w="1080" w:type="pct"/>
            <w:vAlign w:val="bottom"/>
          </w:tcPr>
          <w:p w14:paraId="0AA191F8" w14:textId="77777777" w:rsidR="00AD141B" w:rsidRPr="00B02C2E" w:rsidRDefault="00AD141B" w:rsidP="00550195">
            <w:pPr>
              <w:pStyle w:val="TableText"/>
              <w:keepNext w:val="0"/>
              <w:widowControl w:val="0"/>
              <w:jc w:val="center"/>
            </w:pPr>
            <w:r w:rsidRPr="00B02C2E">
              <w:t>6.5315</w:t>
            </w:r>
          </w:p>
        </w:tc>
        <w:tc>
          <w:tcPr>
            <w:tcW w:w="1435" w:type="pct"/>
            <w:vAlign w:val="center"/>
          </w:tcPr>
          <w:p w14:paraId="736988EB" w14:textId="77777777" w:rsidR="00AD141B" w:rsidRPr="00B02C2E" w:rsidRDefault="00AD141B" w:rsidP="00550195">
            <w:pPr>
              <w:pStyle w:val="TableText"/>
              <w:keepNext w:val="0"/>
              <w:widowControl w:val="0"/>
              <w:jc w:val="center"/>
            </w:pPr>
            <w:r w:rsidRPr="00B02C2E">
              <w:t>1.4431</w:t>
            </w:r>
          </w:p>
        </w:tc>
      </w:tr>
      <w:tr w:rsidR="00AD141B" w:rsidRPr="00B02C2E" w14:paraId="09ACABC7" w14:textId="77777777" w:rsidTr="00550195">
        <w:tc>
          <w:tcPr>
            <w:tcW w:w="3565" w:type="pct"/>
            <w:gridSpan w:val="3"/>
          </w:tcPr>
          <w:p w14:paraId="21E109EA" w14:textId="77777777" w:rsidR="00AD141B" w:rsidRPr="00B02C2E" w:rsidRDefault="00AD141B" w:rsidP="00550195">
            <w:pPr>
              <w:pStyle w:val="TableText"/>
              <w:keepNext w:val="0"/>
              <w:widowControl w:val="0"/>
              <w:jc w:val="right"/>
              <w:rPr>
                <w:b/>
              </w:rPr>
            </w:pPr>
            <w:r w:rsidRPr="00B02C2E">
              <w:rPr>
                <w:b/>
              </w:rPr>
              <w:t>Cost per QALY gained</w:t>
            </w:r>
          </w:p>
        </w:tc>
        <w:tc>
          <w:tcPr>
            <w:tcW w:w="1435" w:type="pct"/>
            <w:vAlign w:val="center"/>
          </w:tcPr>
          <w:p w14:paraId="51461BFD" w14:textId="77777777" w:rsidR="00AD141B" w:rsidRPr="00B02C2E" w:rsidRDefault="00B763C7" w:rsidP="00550195">
            <w:pPr>
              <w:pStyle w:val="TableText"/>
              <w:keepNext w:val="0"/>
              <w:widowControl w:val="0"/>
              <w:jc w:val="center"/>
            </w:pPr>
            <w:r>
              <w:rPr>
                <w:noProof/>
                <w:color w:val="000000"/>
                <w:highlight w:val="black"/>
              </w:rPr>
              <w:t>'''''''''''''''''''''''''''''</w:t>
            </w:r>
            <w:r w:rsidR="00D83CBE">
              <w:rPr>
                <w:vertAlign w:val="superscript"/>
              </w:rPr>
              <w:t>1</w:t>
            </w:r>
          </w:p>
        </w:tc>
      </w:tr>
    </w:tbl>
    <w:p w14:paraId="4046B63A" w14:textId="77777777" w:rsidR="00AD141B" w:rsidRPr="00B02C2E" w:rsidRDefault="00AD141B" w:rsidP="007C295A">
      <w:pPr>
        <w:pStyle w:val="TableFigureFooter"/>
      </w:pPr>
      <w:r w:rsidRPr="00B02C2E">
        <w:t>Source: compiled during the evaluation</w:t>
      </w:r>
    </w:p>
    <w:p w14:paraId="73C9AD1A" w14:textId="77777777" w:rsidR="00C42444" w:rsidRDefault="00C42444" w:rsidP="007C295A">
      <w:pPr>
        <w:pStyle w:val="TableFigureFooter"/>
      </w:pPr>
      <w:r w:rsidRPr="00B02C2E">
        <w:t xml:space="preserve">Abbreviations: AEMP, </w:t>
      </w:r>
      <w:r w:rsidR="008002C5" w:rsidRPr="00B02C2E">
        <w:t xml:space="preserve">approved </w:t>
      </w:r>
      <w:r w:rsidRPr="00B02C2E">
        <w:t>ex-manufacturer price</w:t>
      </w:r>
      <w:r w:rsidR="008002C5" w:rsidRPr="00B02C2E">
        <w:t>; QALY, quality adjusted life year</w:t>
      </w:r>
    </w:p>
    <w:p w14:paraId="1B02BD14" w14:textId="77777777" w:rsidR="00D83CBE" w:rsidRDefault="00D83CBE" w:rsidP="00D83CBE">
      <w:pPr>
        <w:pStyle w:val="TableFigureFooter"/>
        <w:spacing w:after="0"/>
        <w:contextualSpacing w:val="0"/>
        <w:rPr>
          <w:i/>
        </w:rPr>
      </w:pPr>
      <w:r w:rsidRPr="009868C4">
        <w:rPr>
          <w:i/>
        </w:rPr>
        <w:t>The redacted values correspond to the following ranges</w:t>
      </w:r>
      <w:r>
        <w:rPr>
          <w:i/>
        </w:rPr>
        <w:t xml:space="preserve">: </w:t>
      </w:r>
    </w:p>
    <w:p w14:paraId="531C5AD7" w14:textId="77777777" w:rsidR="00D83CBE" w:rsidRPr="00B02C2E" w:rsidRDefault="00D83CBE" w:rsidP="00D83CBE">
      <w:pPr>
        <w:pStyle w:val="TableFigureFooter"/>
      </w:pPr>
      <w:r>
        <w:rPr>
          <w:i/>
          <w:vertAlign w:val="superscript"/>
        </w:rPr>
        <w:t>1</w:t>
      </w:r>
      <w:r>
        <w:rPr>
          <w:i/>
        </w:rPr>
        <w:t xml:space="preserve"> </w:t>
      </w:r>
      <w:r w:rsidRPr="00D83CBE">
        <w:rPr>
          <w:i/>
        </w:rPr>
        <w:t>&gt; $1,055,000</w:t>
      </w:r>
    </w:p>
    <w:p w14:paraId="01D5DB40" w14:textId="77777777" w:rsidR="00AD141B" w:rsidRPr="00B02C2E" w:rsidRDefault="00AD141B" w:rsidP="00AD141B">
      <w:pPr>
        <w:pStyle w:val="ExecSumBodyText"/>
        <w:rPr>
          <w:color w:val="000000" w:themeColor="text1"/>
        </w:rPr>
      </w:pPr>
      <w:r w:rsidRPr="00B02C2E">
        <w:rPr>
          <w:color w:val="000000" w:themeColor="text1"/>
        </w:rPr>
        <w:t xml:space="preserve">The extrapolation of treatment benefits beyond the clinical trial data had the largest impact on the stepped economic evaluation. </w:t>
      </w:r>
    </w:p>
    <w:p w14:paraId="0448E45F" w14:textId="77777777" w:rsidR="00AD141B" w:rsidRPr="00B02C2E" w:rsidRDefault="00AD141B" w:rsidP="00D83CBE">
      <w:pPr>
        <w:pStyle w:val="ExecSumBodyText"/>
      </w:pPr>
      <w:r w:rsidRPr="00B02C2E">
        <w:t xml:space="preserve">Based on the economic model, treatment with eculizumab was associated with a cost per QALY gained of </w:t>
      </w:r>
      <w:r w:rsidR="00D83CBE" w:rsidRPr="00D83CBE">
        <w:rPr>
          <w:color w:val="000000" w:themeColor="text1"/>
        </w:rPr>
        <w:t>&gt; $1,055,000</w:t>
      </w:r>
      <w:r w:rsidR="00D83CBE">
        <w:rPr>
          <w:color w:val="000000" w:themeColor="text1"/>
        </w:rPr>
        <w:t xml:space="preserve"> </w:t>
      </w:r>
      <w:r w:rsidRPr="00B02C2E">
        <w:t xml:space="preserve">compared to best supportive care for the treatment of NMOSD. The incremental cost per QALY gained in the November 2020 submission was </w:t>
      </w:r>
      <w:r w:rsidR="00D83CBE" w:rsidRPr="00D83CBE">
        <w:t>&gt; $1,055,000</w:t>
      </w:r>
      <w:r w:rsidRPr="00B02C2E">
        <w:t xml:space="preserve">. The changes with the most significant impact on the ICER included reducing disability progression per relapse, reducing mortality associated with relapse, and the reduction in the price of eculizumab. </w:t>
      </w:r>
    </w:p>
    <w:p w14:paraId="7B6DB3E0" w14:textId="77777777" w:rsidR="00AD141B" w:rsidRPr="00B02C2E" w:rsidRDefault="00AD141B" w:rsidP="00AD141B">
      <w:pPr>
        <w:pStyle w:val="ExecSumBodyText"/>
        <w:rPr>
          <w:color w:val="000000" w:themeColor="text1"/>
        </w:rPr>
      </w:pPr>
      <w:r w:rsidRPr="00B02C2E">
        <w:rPr>
          <w:color w:val="000000" w:themeColor="text1"/>
        </w:rPr>
        <w:t>The PBAC has previously considered ICERs of approximately $100,000 to $300,000 per QALY gained for other rare diseases (</w:t>
      </w:r>
      <w:r w:rsidR="004E04C6" w:rsidRPr="00B02C2E">
        <w:rPr>
          <w:color w:val="000000" w:themeColor="text1"/>
        </w:rPr>
        <w:t>p</w:t>
      </w:r>
      <w:r w:rsidRPr="00B02C2E">
        <w:rPr>
          <w:color w:val="000000" w:themeColor="text1"/>
        </w:rPr>
        <w:t>ara</w:t>
      </w:r>
      <w:r w:rsidR="004E04C6" w:rsidRPr="00B02C2E">
        <w:rPr>
          <w:color w:val="000000" w:themeColor="text1"/>
        </w:rPr>
        <w:t>graph</w:t>
      </w:r>
      <w:r w:rsidRPr="00B02C2E">
        <w:rPr>
          <w:color w:val="000000" w:themeColor="text1"/>
        </w:rPr>
        <w:t xml:space="preserve"> 6.94</w:t>
      </w:r>
      <w:r w:rsidR="004E04C6" w:rsidRPr="00B02C2E">
        <w:rPr>
          <w:color w:val="000000" w:themeColor="text1"/>
        </w:rPr>
        <w:t>,</w:t>
      </w:r>
      <w:r w:rsidR="00583313" w:rsidRPr="00B02C2E">
        <w:rPr>
          <w:color w:val="000000" w:themeColor="text1"/>
        </w:rPr>
        <w:t xml:space="preserve"> </w:t>
      </w:r>
      <w:r w:rsidRPr="00B02C2E">
        <w:rPr>
          <w:color w:val="000000" w:themeColor="text1"/>
        </w:rPr>
        <w:t xml:space="preserve">ravulizumab </w:t>
      </w:r>
      <w:r w:rsidR="004E04C6" w:rsidRPr="00B02C2E">
        <w:rPr>
          <w:color w:val="000000" w:themeColor="text1"/>
        </w:rPr>
        <w:t xml:space="preserve">PSD, </w:t>
      </w:r>
      <w:r w:rsidRPr="00B02C2E">
        <w:rPr>
          <w:color w:val="000000" w:themeColor="text1"/>
        </w:rPr>
        <w:t>July 2020). During the evaluation, threshold analyses were conducted to determine the price reduction required for eculizumab to achieve an ICER of $100,000 (93.7% reduction), $200,000 (88.8% reduction) or $300,000 (84.0% reduction) per QALY gained.</w:t>
      </w:r>
    </w:p>
    <w:p w14:paraId="3A9AA562" w14:textId="77777777" w:rsidR="00AD141B" w:rsidRPr="00B02C2E" w:rsidRDefault="00AD141B" w:rsidP="00AD141B">
      <w:pPr>
        <w:pStyle w:val="ExecSumBodyText"/>
      </w:pPr>
      <w:r w:rsidRPr="00B02C2E">
        <w:t>The results of the sensitivity analyses reported in the resubmission are summarised in the table below.</w:t>
      </w:r>
    </w:p>
    <w:p w14:paraId="59C76576" w14:textId="77777777" w:rsidR="00AD141B" w:rsidRPr="00B02C2E" w:rsidRDefault="00AD141B" w:rsidP="003B0BF0">
      <w:pPr>
        <w:pStyle w:val="Tableheadingrow"/>
        <w:rPr>
          <w:rStyle w:val="CommentReference"/>
          <w:sz w:val="20"/>
          <w:szCs w:val="20"/>
          <w:lang w:val="en-AU"/>
        </w:rPr>
      </w:pPr>
      <w:r w:rsidRPr="00B02C2E">
        <w:rPr>
          <w:rStyle w:val="CommentReference"/>
          <w:sz w:val="20"/>
          <w:szCs w:val="20"/>
          <w:lang w:val="en-AU"/>
        </w:rPr>
        <w:t xml:space="preserve">Table </w:t>
      </w:r>
      <w:r w:rsidR="00EA6071" w:rsidRPr="00B02C2E">
        <w:rPr>
          <w:rStyle w:val="CommentReference"/>
          <w:sz w:val="20"/>
          <w:szCs w:val="20"/>
          <w:lang w:val="en-AU"/>
        </w:rPr>
        <w:t>10</w:t>
      </w:r>
      <w:r w:rsidRPr="00B02C2E">
        <w:rPr>
          <w:rStyle w:val="CommentReference"/>
          <w:sz w:val="20"/>
          <w:szCs w:val="20"/>
          <w:lang w:val="en-AU"/>
        </w:rPr>
        <w:t xml:space="preserve">:  Results of sensitivity analyses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0"/>
        <w:gridCol w:w="1658"/>
        <w:gridCol w:w="1659"/>
        <w:gridCol w:w="1232"/>
      </w:tblGrid>
      <w:tr w:rsidR="00AD141B" w:rsidRPr="00B02C2E" w14:paraId="32E81DD1" w14:textId="77777777" w:rsidTr="009E1905">
        <w:trPr>
          <w:tblHeader/>
        </w:trPr>
        <w:tc>
          <w:tcPr>
            <w:tcW w:w="4480" w:type="dxa"/>
            <w:tcMar>
              <w:top w:w="0" w:type="dxa"/>
              <w:left w:w="108" w:type="dxa"/>
              <w:bottom w:w="0" w:type="dxa"/>
              <w:right w:w="108" w:type="dxa"/>
            </w:tcMar>
            <w:hideMark/>
          </w:tcPr>
          <w:p w14:paraId="518C36EF" w14:textId="77777777" w:rsidR="00AD141B" w:rsidRPr="00B02C2E" w:rsidRDefault="00AD141B" w:rsidP="003B0BF0">
            <w:pPr>
              <w:pStyle w:val="Tabletext0"/>
              <w:keepNext/>
              <w:rPr>
                <w:szCs w:val="20"/>
              </w:rPr>
            </w:pPr>
            <w:r w:rsidRPr="00B02C2E">
              <w:rPr>
                <w:b/>
                <w:bCs/>
                <w:szCs w:val="20"/>
              </w:rPr>
              <w:t>Analys</w:t>
            </w:r>
            <w:r w:rsidR="00166C86" w:rsidRPr="00B02C2E">
              <w:rPr>
                <w:b/>
                <w:bCs/>
                <w:szCs w:val="20"/>
              </w:rPr>
              <w:t>i</w:t>
            </w:r>
            <w:r w:rsidRPr="00B02C2E">
              <w:rPr>
                <w:b/>
                <w:bCs/>
                <w:szCs w:val="20"/>
              </w:rPr>
              <w:t>s</w:t>
            </w:r>
          </w:p>
        </w:tc>
        <w:tc>
          <w:tcPr>
            <w:tcW w:w="1658" w:type="dxa"/>
            <w:tcMar>
              <w:top w:w="0" w:type="dxa"/>
              <w:left w:w="108" w:type="dxa"/>
              <w:bottom w:w="0" w:type="dxa"/>
              <w:right w:w="108" w:type="dxa"/>
            </w:tcMar>
            <w:hideMark/>
          </w:tcPr>
          <w:p w14:paraId="0B244B37" w14:textId="77777777" w:rsidR="00AD141B" w:rsidRPr="00B02C2E" w:rsidRDefault="00AD141B" w:rsidP="003B0BF0">
            <w:pPr>
              <w:pStyle w:val="Tabletext0"/>
              <w:keepNext/>
              <w:jc w:val="center"/>
              <w:rPr>
                <w:b/>
                <w:bCs/>
                <w:szCs w:val="20"/>
              </w:rPr>
            </w:pPr>
            <w:r w:rsidRPr="00B02C2E">
              <w:rPr>
                <w:b/>
                <w:bCs/>
                <w:szCs w:val="20"/>
              </w:rPr>
              <w:t>Incremental cost</w:t>
            </w:r>
            <w:r w:rsidR="00D83CBE">
              <w:rPr>
                <w:b/>
                <w:bCs/>
                <w:szCs w:val="20"/>
              </w:rPr>
              <w:t xml:space="preserve"> ($)</w:t>
            </w:r>
          </w:p>
        </w:tc>
        <w:tc>
          <w:tcPr>
            <w:tcW w:w="1659" w:type="dxa"/>
            <w:tcMar>
              <w:top w:w="0" w:type="dxa"/>
              <w:left w:w="108" w:type="dxa"/>
              <w:bottom w:w="0" w:type="dxa"/>
              <w:right w:w="108" w:type="dxa"/>
            </w:tcMar>
            <w:hideMark/>
          </w:tcPr>
          <w:p w14:paraId="0A662F09" w14:textId="77777777" w:rsidR="00AD141B" w:rsidRPr="00B02C2E" w:rsidRDefault="00AD141B" w:rsidP="003B0BF0">
            <w:pPr>
              <w:pStyle w:val="Tabletext0"/>
              <w:keepNext/>
              <w:jc w:val="center"/>
              <w:rPr>
                <w:b/>
                <w:bCs/>
                <w:szCs w:val="20"/>
              </w:rPr>
            </w:pPr>
            <w:r w:rsidRPr="00B02C2E">
              <w:rPr>
                <w:b/>
                <w:bCs/>
                <w:szCs w:val="20"/>
              </w:rPr>
              <w:t>Incremental QALY</w:t>
            </w:r>
          </w:p>
        </w:tc>
        <w:tc>
          <w:tcPr>
            <w:tcW w:w="1232" w:type="dxa"/>
            <w:tcMar>
              <w:top w:w="0" w:type="dxa"/>
              <w:left w:w="108" w:type="dxa"/>
              <w:bottom w:w="0" w:type="dxa"/>
              <w:right w:w="108" w:type="dxa"/>
            </w:tcMar>
            <w:hideMark/>
          </w:tcPr>
          <w:p w14:paraId="0D272CA3" w14:textId="77777777" w:rsidR="00AD141B" w:rsidRPr="00B02C2E" w:rsidRDefault="00AD141B" w:rsidP="003B0BF0">
            <w:pPr>
              <w:pStyle w:val="Tabletext0"/>
              <w:keepNext/>
              <w:jc w:val="center"/>
              <w:rPr>
                <w:b/>
                <w:bCs/>
                <w:szCs w:val="20"/>
              </w:rPr>
            </w:pPr>
            <w:r w:rsidRPr="00B02C2E">
              <w:rPr>
                <w:b/>
                <w:bCs/>
                <w:szCs w:val="20"/>
              </w:rPr>
              <w:t>ICER</w:t>
            </w:r>
          </w:p>
        </w:tc>
      </w:tr>
      <w:tr w:rsidR="00AD141B" w:rsidRPr="00B02C2E" w14:paraId="229F4C56" w14:textId="77777777" w:rsidTr="009E1905">
        <w:tc>
          <w:tcPr>
            <w:tcW w:w="4480" w:type="dxa"/>
            <w:tcMar>
              <w:top w:w="0" w:type="dxa"/>
              <w:left w:w="108" w:type="dxa"/>
              <w:bottom w:w="0" w:type="dxa"/>
              <w:right w:w="108" w:type="dxa"/>
            </w:tcMar>
            <w:hideMark/>
          </w:tcPr>
          <w:p w14:paraId="0DCCA209" w14:textId="77777777" w:rsidR="00AD141B" w:rsidRPr="00B02C2E" w:rsidRDefault="00AD141B" w:rsidP="003B0BF0">
            <w:pPr>
              <w:pStyle w:val="Tabletext0"/>
              <w:keepNext/>
              <w:rPr>
                <w:b/>
                <w:bCs/>
                <w:szCs w:val="20"/>
                <w:vertAlign w:val="superscript"/>
              </w:rPr>
            </w:pPr>
            <w:r w:rsidRPr="00B02C2E">
              <w:rPr>
                <w:b/>
                <w:bCs/>
                <w:szCs w:val="20"/>
              </w:rPr>
              <w:t>Base case</w:t>
            </w:r>
          </w:p>
        </w:tc>
        <w:tc>
          <w:tcPr>
            <w:tcW w:w="1658" w:type="dxa"/>
            <w:tcMar>
              <w:top w:w="0" w:type="dxa"/>
              <w:left w:w="108" w:type="dxa"/>
              <w:bottom w:w="0" w:type="dxa"/>
              <w:right w:w="108" w:type="dxa"/>
            </w:tcMar>
            <w:hideMark/>
          </w:tcPr>
          <w:p w14:paraId="7E70F534" w14:textId="77777777" w:rsidR="00AD141B" w:rsidRPr="00B763C7" w:rsidRDefault="00B763C7" w:rsidP="003B0BF0">
            <w:pPr>
              <w:pStyle w:val="Tabletext0"/>
              <w:keepNext/>
              <w:jc w:val="center"/>
              <w:rPr>
                <w:szCs w:val="20"/>
                <w:highlight w:val="black"/>
              </w:rPr>
            </w:pPr>
            <w:r>
              <w:rPr>
                <w:noProof/>
                <w:color w:val="000000"/>
                <w:szCs w:val="20"/>
                <w:highlight w:val="black"/>
              </w:rPr>
              <w:t>'''''''''''''''''''''''''</w:t>
            </w:r>
          </w:p>
        </w:tc>
        <w:tc>
          <w:tcPr>
            <w:tcW w:w="1659" w:type="dxa"/>
            <w:tcMar>
              <w:top w:w="0" w:type="dxa"/>
              <w:left w:w="108" w:type="dxa"/>
              <w:bottom w:w="0" w:type="dxa"/>
              <w:right w:w="108" w:type="dxa"/>
            </w:tcMar>
            <w:hideMark/>
          </w:tcPr>
          <w:p w14:paraId="4E7BC619" w14:textId="77777777" w:rsidR="00AD141B" w:rsidRPr="00B02C2E" w:rsidRDefault="00AD141B" w:rsidP="003B0BF0">
            <w:pPr>
              <w:pStyle w:val="Tabletext0"/>
              <w:keepNext/>
              <w:jc w:val="center"/>
              <w:rPr>
                <w:szCs w:val="20"/>
              </w:rPr>
            </w:pPr>
            <w:r w:rsidRPr="00B02C2E">
              <w:rPr>
                <w:szCs w:val="20"/>
              </w:rPr>
              <w:t>1.4431</w:t>
            </w:r>
          </w:p>
        </w:tc>
        <w:tc>
          <w:tcPr>
            <w:tcW w:w="1232" w:type="dxa"/>
            <w:tcMar>
              <w:top w:w="0" w:type="dxa"/>
              <w:left w:w="108" w:type="dxa"/>
              <w:bottom w:w="0" w:type="dxa"/>
              <w:right w:w="108" w:type="dxa"/>
            </w:tcMar>
            <w:hideMark/>
          </w:tcPr>
          <w:p w14:paraId="7D6B90CF" w14:textId="77777777" w:rsidR="00AD141B" w:rsidRPr="00B02C2E" w:rsidRDefault="00B763C7" w:rsidP="003B0BF0">
            <w:pPr>
              <w:pStyle w:val="Tabletext0"/>
              <w:keepNext/>
              <w:jc w:val="center"/>
              <w:rPr>
                <w:szCs w:val="20"/>
              </w:rPr>
            </w:pPr>
            <w:r>
              <w:rPr>
                <w:noProof/>
                <w:color w:val="000000"/>
                <w:szCs w:val="20"/>
                <w:highlight w:val="black"/>
              </w:rPr>
              <w:t>''''''''''''''''''''''''</w:t>
            </w:r>
            <w:r w:rsidR="00D83CBE">
              <w:rPr>
                <w:szCs w:val="20"/>
                <w:vertAlign w:val="superscript"/>
              </w:rPr>
              <w:t>1</w:t>
            </w:r>
          </w:p>
        </w:tc>
      </w:tr>
      <w:tr w:rsidR="00067E83" w:rsidRPr="00B02C2E" w14:paraId="429258B7" w14:textId="77777777" w:rsidTr="008935DB">
        <w:tc>
          <w:tcPr>
            <w:tcW w:w="9029" w:type="dxa"/>
            <w:gridSpan w:val="4"/>
            <w:tcMar>
              <w:top w:w="0" w:type="dxa"/>
              <w:left w:w="108" w:type="dxa"/>
              <w:bottom w:w="0" w:type="dxa"/>
              <w:right w:w="108" w:type="dxa"/>
            </w:tcMar>
            <w:hideMark/>
          </w:tcPr>
          <w:p w14:paraId="544051E3" w14:textId="77777777" w:rsidR="00067E83" w:rsidRPr="00B02C2E" w:rsidRDefault="00067E83" w:rsidP="003B0BF0">
            <w:pPr>
              <w:pStyle w:val="Tabletext0"/>
              <w:keepNext/>
              <w:rPr>
                <w:szCs w:val="20"/>
              </w:rPr>
            </w:pPr>
            <w:r w:rsidRPr="00B02C2E">
              <w:rPr>
                <w:b/>
                <w:bCs/>
                <w:szCs w:val="20"/>
              </w:rPr>
              <w:t>Discount rate (base case: 5% for benefits and costs)</w:t>
            </w:r>
          </w:p>
        </w:tc>
      </w:tr>
      <w:tr w:rsidR="00067E83" w:rsidRPr="00B02C2E" w14:paraId="0AA09C6B" w14:textId="77777777" w:rsidTr="009E1905">
        <w:tc>
          <w:tcPr>
            <w:tcW w:w="4480" w:type="dxa"/>
            <w:tcMar>
              <w:top w:w="0" w:type="dxa"/>
              <w:left w:w="108" w:type="dxa"/>
              <w:bottom w:w="0" w:type="dxa"/>
              <w:right w:w="108" w:type="dxa"/>
            </w:tcMar>
            <w:hideMark/>
          </w:tcPr>
          <w:p w14:paraId="036249DD" w14:textId="77777777" w:rsidR="00067E83" w:rsidRPr="00B02C2E" w:rsidRDefault="00067E83" w:rsidP="003B0BF0">
            <w:pPr>
              <w:pStyle w:val="Tabletext0"/>
              <w:keepNext/>
              <w:rPr>
                <w:szCs w:val="20"/>
              </w:rPr>
            </w:pPr>
            <w:r w:rsidRPr="00B02C2E">
              <w:rPr>
                <w:szCs w:val="20"/>
              </w:rPr>
              <w:t>3.5% discount rate</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4D8B" w14:textId="77777777" w:rsidR="00067E83"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3B86A" w14:textId="77777777" w:rsidR="00067E83" w:rsidRPr="00B02C2E" w:rsidRDefault="00067E83" w:rsidP="003B0BF0">
            <w:pPr>
              <w:pStyle w:val="Tabletext0"/>
              <w:keepNext/>
              <w:jc w:val="center"/>
              <w:rPr>
                <w:szCs w:val="20"/>
              </w:rPr>
            </w:pPr>
            <w:r w:rsidRPr="00B02C2E">
              <w:t>1.8311</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6C280" w14:textId="77777777" w:rsidR="00067E83"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067E83" w:rsidRPr="00B02C2E" w14:paraId="2CD17711" w14:textId="77777777" w:rsidTr="009E1905">
        <w:tc>
          <w:tcPr>
            <w:tcW w:w="4480" w:type="dxa"/>
            <w:tcMar>
              <w:top w:w="0" w:type="dxa"/>
              <w:left w:w="108" w:type="dxa"/>
              <w:bottom w:w="0" w:type="dxa"/>
              <w:right w:w="108" w:type="dxa"/>
            </w:tcMar>
            <w:hideMark/>
          </w:tcPr>
          <w:p w14:paraId="4E9D6845" w14:textId="77777777" w:rsidR="00067E83" w:rsidRPr="00B02C2E" w:rsidRDefault="00067E83" w:rsidP="003B0BF0">
            <w:pPr>
              <w:pStyle w:val="Tabletext0"/>
              <w:keepNext/>
              <w:rPr>
                <w:szCs w:val="20"/>
              </w:rPr>
            </w:pPr>
            <w:r w:rsidRPr="00B02C2E">
              <w:rPr>
                <w:szCs w:val="20"/>
              </w:rPr>
              <w:t>0% discount rate</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1023" w14:textId="77777777" w:rsidR="00067E83"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5C5DC" w14:textId="77777777" w:rsidR="00067E83" w:rsidRPr="00B02C2E" w:rsidRDefault="00067E83" w:rsidP="003B0BF0">
            <w:pPr>
              <w:pStyle w:val="Tabletext0"/>
              <w:keepNext/>
              <w:jc w:val="center"/>
              <w:rPr>
                <w:szCs w:val="20"/>
              </w:rPr>
            </w:pPr>
            <w:r w:rsidRPr="00B02C2E">
              <w:t>3.5502</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7D24" w14:textId="77777777" w:rsidR="00067E83"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536949AD" w14:textId="77777777" w:rsidTr="00166C86">
        <w:tc>
          <w:tcPr>
            <w:tcW w:w="9029" w:type="dxa"/>
            <w:gridSpan w:val="4"/>
            <w:tcMar>
              <w:top w:w="0" w:type="dxa"/>
              <w:left w:w="108" w:type="dxa"/>
              <w:bottom w:w="0" w:type="dxa"/>
              <w:right w:w="108" w:type="dxa"/>
            </w:tcMar>
            <w:hideMark/>
          </w:tcPr>
          <w:p w14:paraId="7AD1885D" w14:textId="77777777" w:rsidR="00AD141B" w:rsidRPr="00B02C2E" w:rsidRDefault="00AD141B" w:rsidP="003B0BF0">
            <w:pPr>
              <w:pStyle w:val="Tabletext0"/>
              <w:keepNext/>
              <w:rPr>
                <w:szCs w:val="20"/>
              </w:rPr>
            </w:pPr>
            <w:r w:rsidRPr="00B02C2E">
              <w:rPr>
                <w:b/>
                <w:bCs/>
                <w:szCs w:val="20"/>
              </w:rPr>
              <w:t>Time horizon (base case: 53 years)</w:t>
            </w:r>
          </w:p>
        </w:tc>
      </w:tr>
      <w:tr w:rsidR="00AD141B" w:rsidRPr="00B02C2E" w14:paraId="792A4B18" w14:textId="77777777" w:rsidTr="009E1905">
        <w:tc>
          <w:tcPr>
            <w:tcW w:w="4480" w:type="dxa"/>
            <w:tcMar>
              <w:top w:w="0" w:type="dxa"/>
              <w:left w:w="108" w:type="dxa"/>
              <w:bottom w:w="0" w:type="dxa"/>
              <w:right w:w="108" w:type="dxa"/>
            </w:tcMar>
            <w:hideMark/>
          </w:tcPr>
          <w:p w14:paraId="093C4F49" w14:textId="77777777" w:rsidR="00AD141B" w:rsidRPr="00B02C2E" w:rsidRDefault="00AD141B" w:rsidP="003B0BF0">
            <w:pPr>
              <w:pStyle w:val="Tabletext0"/>
              <w:keepNext/>
              <w:rPr>
                <w:szCs w:val="20"/>
              </w:rPr>
            </w:pPr>
            <w:r w:rsidRPr="00B02C2E">
              <w:rPr>
                <w:szCs w:val="20"/>
              </w:rPr>
              <w:t>10 years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A6A66"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C4D1" w14:textId="77777777" w:rsidR="00AD141B" w:rsidRPr="00B02C2E" w:rsidRDefault="00AD141B" w:rsidP="003B0BF0">
            <w:pPr>
              <w:pStyle w:val="Tabletext0"/>
              <w:keepNext/>
              <w:jc w:val="center"/>
              <w:rPr>
                <w:szCs w:val="20"/>
              </w:rPr>
            </w:pPr>
            <w:r w:rsidRPr="00B02C2E">
              <w:t>0.4813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3FC5"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71DEC0D6" w14:textId="77777777" w:rsidTr="009E1905">
        <w:tc>
          <w:tcPr>
            <w:tcW w:w="4480" w:type="dxa"/>
            <w:tcMar>
              <w:top w:w="0" w:type="dxa"/>
              <w:left w:w="108" w:type="dxa"/>
              <w:bottom w:w="0" w:type="dxa"/>
              <w:right w:w="108" w:type="dxa"/>
            </w:tcMar>
            <w:hideMark/>
          </w:tcPr>
          <w:p w14:paraId="668FD273" w14:textId="77777777" w:rsidR="00AD141B" w:rsidRPr="00B02C2E" w:rsidRDefault="00AD141B" w:rsidP="003B0BF0">
            <w:pPr>
              <w:pStyle w:val="Tabletext0"/>
              <w:keepNext/>
              <w:rPr>
                <w:szCs w:val="20"/>
              </w:rPr>
            </w:pPr>
            <w:r w:rsidRPr="00B02C2E">
              <w:rPr>
                <w:szCs w:val="20"/>
              </w:rPr>
              <w:t>20 years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73FF"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DEE5" w14:textId="77777777" w:rsidR="00AD141B" w:rsidRPr="00B02C2E" w:rsidRDefault="00AD141B" w:rsidP="003B0BF0">
            <w:pPr>
              <w:pStyle w:val="Tabletext0"/>
              <w:keepNext/>
              <w:jc w:val="center"/>
              <w:rPr>
                <w:szCs w:val="20"/>
              </w:rPr>
            </w:pPr>
            <w:r w:rsidRPr="00B02C2E">
              <w:t>1.0020</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AC83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690BB014" w14:textId="77777777" w:rsidTr="009E1905">
        <w:tc>
          <w:tcPr>
            <w:tcW w:w="4480" w:type="dxa"/>
            <w:tcMar>
              <w:top w:w="0" w:type="dxa"/>
              <w:left w:w="108" w:type="dxa"/>
              <w:bottom w:w="0" w:type="dxa"/>
              <w:right w:w="108" w:type="dxa"/>
            </w:tcMar>
            <w:hideMark/>
          </w:tcPr>
          <w:p w14:paraId="0998C50F" w14:textId="77777777" w:rsidR="00AD141B" w:rsidRPr="00B02C2E" w:rsidRDefault="00AD141B" w:rsidP="003B0BF0">
            <w:pPr>
              <w:pStyle w:val="Tabletext0"/>
              <w:keepNext/>
              <w:rPr>
                <w:szCs w:val="20"/>
              </w:rPr>
            </w:pPr>
            <w:r w:rsidRPr="00B02C2E">
              <w:rPr>
                <w:szCs w:val="20"/>
              </w:rPr>
              <w:t>30 years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C98E8"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2C88E" w14:textId="77777777" w:rsidR="00AD141B" w:rsidRPr="00B02C2E" w:rsidRDefault="00AD141B" w:rsidP="003B0BF0">
            <w:pPr>
              <w:pStyle w:val="Tabletext0"/>
              <w:keepNext/>
              <w:jc w:val="center"/>
              <w:rPr>
                <w:szCs w:val="20"/>
              </w:rPr>
            </w:pPr>
            <w:r w:rsidRPr="00B02C2E">
              <w:t>1.2984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4EC58"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35C9BB1C" w14:textId="77777777" w:rsidTr="00166C86">
        <w:tc>
          <w:tcPr>
            <w:tcW w:w="9029" w:type="dxa"/>
            <w:gridSpan w:val="4"/>
            <w:tcMar>
              <w:top w:w="0" w:type="dxa"/>
              <w:left w:w="108" w:type="dxa"/>
              <w:bottom w:w="0" w:type="dxa"/>
              <w:right w:w="108" w:type="dxa"/>
            </w:tcMar>
            <w:hideMark/>
          </w:tcPr>
          <w:p w14:paraId="006ECD61" w14:textId="77777777" w:rsidR="00AD141B" w:rsidRPr="00B02C2E" w:rsidRDefault="00AD141B" w:rsidP="003B0BF0">
            <w:pPr>
              <w:pStyle w:val="Tabletext0"/>
              <w:keepNext/>
              <w:rPr>
                <w:b/>
                <w:bCs/>
                <w:szCs w:val="20"/>
              </w:rPr>
            </w:pPr>
            <w:r w:rsidRPr="00B02C2E">
              <w:rPr>
                <w:b/>
                <w:bCs/>
                <w:szCs w:val="20"/>
              </w:rPr>
              <w:t>Population characteristics (base case: EDSS distribution based on Bukhari 2020)</w:t>
            </w:r>
          </w:p>
        </w:tc>
      </w:tr>
      <w:tr w:rsidR="00AD141B" w:rsidRPr="00B02C2E" w14:paraId="194C53B6"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BF5D8" w14:textId="77777777" w:rsidR="00AD141B" w:rsidRPr="00B02C2E" w:rsidRDefault="00AD141B" w:rsidP="003B0BF0">
            <w:pPr>
              <w:pStyle w:val="Tabletext0"/>
              <w:keepNext/>
              <w:rPr>
                <w:szCs w:val="20"/>
              </w:rPr>
            </w:pPr>
            <w:r w:rsidRPr="00B02C2E">
              <w:t>EDSS 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32827"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81AFD" w14:textId="77777777" w:rsidR="00AD141B" w:rsidRPr="00B02C2E" w:rsidRDefault="00AD141B" w:rsidP="003B0BF0">
            <w:pPr>
              <w:pStyle w:val="Tabletext0"/>
              <w:keepNext/>
              <w:jc w:val="center"/>
              <w:rPr>
                <w:szCs w:val="20"/>
              </w:rPr>
            </w:pPr>
            <w:r w:rsidRPr="00B02C2E">
              <w:t>1.0688</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25F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2F79E768"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39B2" w14:textId="77777777" w:rsidR="00AD141B" w:rsidRPr="00B02C2E" w:rsidRDefault="00AD141B" w:rsidP="003B0BF0">
            <w:pPr>
              <w:pStyle w:val="Tabletext0"/>
              <w:keepNext/>
              <w:rPr>
                <w:szCs w:val="20"/>
              </w:rPr>
            </w:pPr>
            <w:r w:rsidRPr="00B02C2E">
              <w:t>EDSS 1</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62D92"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ED97" w14:textId="77777777" w:rsidR="00AD141B" w:rsidRPr="00B02C2E" w:rsidRDefault="00AD141B" w:rsidP="003B0BF0">
            <w:pPr>
              <w:pStyle w:val="Tabletext0"/>
              <w:keepNext/>
              <w:jc w:val="center"/>
              <w:rPr>
                <w:szCs w:val="20"/>
              </w:rPr>
            </w:pPr>
            <w:r w:rsidRPr="00B02C2E">
              <w:t>1.2994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D927E"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61E394AD"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F4F87" w14:textId="77777777" w:rsidR="00AD141B" w:rsidRPr="00B02C2E" w:rsidRDefault="00AD141B" w:rsidP="003B0BF0">
            <w:pPr>
              <w:pStyle w:val="Tabletext0"/>
              <w:keepNext/>
              <w:rPr>
                <w:szCs w:val="20"/>
              </w:rPr>
            </w:pPr>
            <w:r w:rsidRPr="00B02C2E">
              <w:t>EDSS 2</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AEA93"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DF0B" w14:textId="77777777" w:rsidR="00AD141B" w:rsidRPr="00B02C2E" w:rsidRDefault="00AD141B" w:rsidP="003B0BF0">
            <w:pPr>
              <w:pStyle w:val="Tabletext0"/>
              <w:keepNext/>
              <w:jc w:val="center"/>
              <w:rPr>
                <w:szCs w:val="20"/>
              </w:rPr>
            </w:pPr>
            <w:r w:rsidRPr="00B02C2E">
              <w:t>1.2163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A9A70"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57F489B0"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9074" w14:textId="77777777" w:rsidR="00AD141B" w:rsidRPr="00B02C2E" w:rsidRDefault="00AD141B" w:rsidP="003B0BF0">
            <w:pPr>
              <w:pStyle w:val="Tabletext0"/>
              <w:keepNext/>
              <w:rPr>
                <w:szCs w:val="20"/>
              </w:rPr>
            </w:pPr>
            <w:r w:rsidRPr="00B02C2E">
              <w:t>EDSS 3</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1A9A8"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63AB7" w14:textId="77777777" w:rsidR="00AD141B" w:rsidRPr="00B02C2E" w:rsidRDefault="00AD141B" w:rsidP="003B0BF0">
            <w:pPr>
              <w:pStyle w:val="Tabletext0"/>
              <w:keepNext/>
              <w:jc w:val="center"/>
              <w:rPr>
                <w:szCs w:val="20"/>
              </w:rPr>
            </w:pPr>
            <w:r w:rsidRPr="00B02C2E">
              <w:t>1.5728</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77086"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5395BA38"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09F1" w14:textId="77777777" w:rsidR="00AD141B" w:rsidRPr="00B02C2E" w:rsidRDefault="00AD141B" w:rsidP="003B0BF0">
            <w:pPr>
              <w:pStyle w:val="Tabletext0"/>
              <w:keepNext/>
              <w:rPr>
                <w:szCs w:val="20"/>
              </w:rPr>
            </w:pPr>
            <w:r w:rsidRPr="00B02C2E">
              <w:t>EDSS 4</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36B3"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C23D3" w14:textId="77777777" w:rsidR="00AD141B" w:rsidRPr="00B02C2E" w:rsidRDefault="00AD141B" w:rsidP="003B0BF0">
            <w:pPr>
              <w:pStyle w:val="Tabletext0"/>
              <w:keepNext/>
              <w:jc w:val="center"/>
              <w:rPr>
                <w:szCs w:val="20"/>
              </w:rPr>
            </w:pPr>
            <w:r w:rsidRPr="00B02C2E">
              <w:t>1.6455</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5BB3"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B0C2997"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5C82B" w14:textId="77777777" w:rsidR="00AD141B" w:rsidRPr="00B02C2E" w:rsidRDefault="00AD141B" w:rsidP="003B0BF0">
            <w:pPr>
              <w:pStyle w:val="Tabletext0"/>
              <w:keepNext/>
              <w:rPr>
                <w:szCs w:val="20"/>
              </w:rPr>
            </w:pPr>
            <w:r w:rsidRPr="00B02C2E">
              <w:t>EDSS 5</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CDA96"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A7279" w14:textId="77777777" w:rsidR="00AD141B" w:rsidRPr="00B02C2E" w:rsidRDefault="00AD141B" w:rsidP="003B0BF0">
            <w:pPr>
              <w:pStyle w:val="Tabletext0"/>
              <w:keepNext/>
              <w:jc w:val="center"/>
              <w:rPr>
                <w:szCs w:val="20"/>
              </w:rPr>
            </w:pPr>
            <w:r w:rsidRPr="00B02C2E">
              <w:t>1.2824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67ED2"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257207D"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3D86" w14:textId="77777777" w:rsidR="00AD141B" w:rsidRPr="00B02C2E" w:rsidRDefault="00AD141B" w:rsidP="003B0BF0">
            <w:pPr>
              <w:pStyle w:val="Tabletext0"/>
              <w:keepNext/>
              <w:rPr>
                <w:szCs w:val="20"/>
              </w:rPr>
            </w:pPr>
            <w:r w:rsidRPr="00B02C2E">
              <w:t>EDSS 6</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3C4E"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B7BA3" w14:textId="77777777" w:rsidR="00AD141B" w:rsidRPr="00B02C2E" w:rsidRDefault="00AD141B" w:rsidP="003B0BF0">
            <w:pPr>
              <w:pStyle w:val="Tabletext0"/>
              <w:keepNext/>
              <w:jc w:val="center"/>
              <w:rPr>
                <w:szCs w:val="20"/>
              </w:rPr>
            </w:pPr>
            <w:r w:rsidRPr="00B02C2E">
              <w:t>1.6425</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30D6F"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FDFDF26" w14:textId="77777777" w:rsidTr="009E1905">
        <w:trPr>
          <w:trHeight w:val="97"/>
        </w:trPr>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6019F" w14:textId="77777777" w:rsidR="00AD141B" w:rsidRPr="00B02C2E" w:rsidRDefault="00AD141B" w:rsidP="003B0BF0">
            <w:pPr>
              <w:pStyle w:val="Tabletext0"/>
              <w:keepNext/>
              <w:rPr>
                <w:szCs w:val="20"/>
              </w:rPr>
            </w:pPr>
            <w:r w:rsidRPr="00B02C2E">
              <w:t>EDSS 7</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2308"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B476" w14:textId="77777777" w:rsidR="00AD141B" w:rsidRPr="00B02C2E" w:rsidRDefault="00AD141B" w:rsidP="003B0BF0">
            <w:pPr>
              <w:pStyle w:val="Tabletext0"/>
              <w:keepNext/>
              <w:jc w:val="center"/>
              <w:rPr>
                <w:szCs w:val="20"/>
              </w:rPr>
            </w:pPr>
            <w:r w:rsidRPr="00B02C2E">
              <w:t>0.8064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E27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497B575B" w14:textId="77777777" w:rsidTr="00166C86">
        <w:tc>
          <w:tcPr>
            <w:tcW w:w="9029" w:type="dxa"/>
            <w:gridSpan w:val="4"/>
            <w:tcMar>
              <w:top w:w="0" w:type="dxa"/>
              <w:left w:w="108" w:type="dxa"/>
              <w:bottom w:w="0" w:type="dxa"/>
              <w:right w:w="108" w:type="dxa"/>
            </w:tcMar>
            <w:hideMark/>
          </w:tcPr>
          <w:p w14:paraId="1A805CF8" w14:textId="77777777" w:rsidR="00AD141B" w:rsidRPr="00B02C2E" w:rsidRDefault="00AD141B" w:rsidP="003B0BF0">
            <w:pPr>
              <w:pStyle w:val="Tabletext0"/>
              <w:keepNext/>
              <w:rPr>
                <w:i/>
                <w:iCs/>
                <w:szCs w:val="20"/>
              </w:rPr>
            </w:pPr>
            <w:r w:rsidRPr="00B02C2E">
              <w:rPr>
                <w:b/>
                <w:bCs/>
                <w:szCs w:val="20"/>
              </w:rPr>
              <w:t>Annualised relapse rate in best supportive care arm (base case: 0.446 based on physician assessed relapses in the placebo arm of the PREVENT trial)</w:t>
            </w:r>
          </w:p>
        </w:tc>
      </w:tr>
      <w:tr w:rsidR="00AD141B" w:rsidRPr="00B02C2E" w14:paraId="0B426008" w14:textId="77777777" w:rsidTr="009E1905">
        <w:tc>
          <w:tcPr>
            <w:tcW w:w="4480" w:type="dxa"/>
            <w:tcMar>
              <w:top w:w="0" w:type="dxa"/>
              <w:left w:w="108" w:type="dxa"/>
              <w:bottom w:w="0" w:type="dxa"/>
              <w:right w:w="108" w:type="dxa"/>
            </w:tcMar>
            <w:hideMark/>
          </w:tcPr>
          <w:p w14:paraId="1BD31FEB" w14:textId="77777777" w:rsidR="00AD141B" w:rsidRPr="00B02C2E" w:rsidRDefault="00AD141B" w:rsidP="003B0BF0">
            <w:pPr>
              <w:pStyle w:val="Tabletext0"/>
              <w:keepNext/>
              <w:rPr>
                <w:szCs w:val="20"/>
              </w:rPr>
            </w:pPr>
            <w:r w:rsidRPr="00B02C2E">
              <w:rPr>
                <w:szCs w:val="20"/>
              </w:rPr>
              <w:t>ARR based on adjudicated relapses (0.350)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C3664"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F60C2" w14:textId="77777777" w:rsidR="00AD141B" w:rsidRPr="00B02C2E" w:rsidRDefault="00AD141B" w:rsidP="003B0BF0">
            <w:pPr>
              <w:pStyle w:val="Tabletext0"/>
              <w:keepNext/>
              <w:jc w:val="center"/>
              <w:rPr>
                <w:szCs w:val="20"/>
              </w:rPr>
            </w:pPr>
            <w:r w:rsidRPr="00B02C2E">
              <w:t>1.3978</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FE8CA"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90849D6" w14:textId="77777777" w:rsidTr="009E1905">
        <w:tc>
          <w:tcPr>
            <w:tcW w:w="4480" w:type="dxa"/>
            <w:tcMar>
              <w:top w:w="0" w:type="dxa"/>
              <w:left w:w="108" w:type="dxa"/>
              <w:bottom w:w="0" w:type="dxa"/>
              <w:right w:w="108" w:type="dxa"/>
            </w:tcMar>
          </w:tcPr>
          <w:p w14:paraId="0C6AD3CC" w14:textId="77777777" w:rsidR="00AD141B" w:rsidRPr="00B02C2E" w:rsidRDefault="00AD141B" w:rsidP="003B0BF0">
            <w:pPr>
              <w:pStyle w:val="Tabletext0"/>
              <w:keepNext/>
              <w:rPr>
                <w:szCs w:val="20"/>
              </w:rPr>
            </w:pPr>
            <w:r w:rsidRPr="00B02C2E">
              <w:rPr>
                <w:szCs w:val="20"/>
              </w:rPr>
              <w:t>ARR based on physician assessed upper 95% CI (0.732)</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F81F"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AB43F" w14:textId="77777777" w:rsidR="00AD141B" w:rsidRPr="00B02C2E" w:rsidRDefault="00AD141B" w:rsidP="003B0BF0">
            <w:pPr>
              <w:pStyle w:val="Tabletext0"/>
              <w:keepNext/>
              <w:jc w:val="center"/>
              <w:rPr>
                <w:szCs w:val="20"/>
              </w:rPr>
            </w:pPr>
            <w:r w:rsidRPr="00B02C2E">
              <w:t>1.8770</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1BFCF"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20D79E89" w14:textId="77777777" w:rsidTr="009E1905">
        <w:tc>
          <w:tcPr>
            <w:tcW w:w="4480" w:type="dxa"/>
            <w:tcMar>
              <w:top w:w="0" w:type="dxa"/>
              <w:left w:w="108" w:type="dxa"/>
              <w:bottom w:w="0" w:type="dxa"/>
              <w:right w:w="108" w:type="dxa"/>
            </w:tcMar>
          </w:tcPr>
          <w:p w14:paraId="1E053DDB" w14:textId="77777777" w:rsidR="00AD141B" w:rsidRPr="00B02C2E" w:rsidRDefault="00AD141B" w:rsidP="003B0BF0">
            <w:pPr>
              <w:pStyle w:val="Tabletext0"/>
              <w:keepNext/>
              <w:rPr>
                <w:szCs w:val="20"/>
              </w:rPr>
            </w:pPr>
            <w:r w:rsidRPr="00B02C2E">
              <w:rPr>
                <w:szCs w:val="20"/>
              </w:rPr>
              <w:t>ARR based on physician assessed lower 95% CI (0.272)</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CD5B"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CEAE2" w14:textId="77777777" w:rsidR="00AD141B" w:rsidRPr="00B02C2E" w:rsidRDefault="00AD141B" w:rsidP="003B0BF0">
            <w:pPr>
              <w:pStyle w:val="Tabletext0"/>
              <w:keepNext/>
              <w:jc w:val="center"/>
              <w:rPr>
                <w:szCs w:val="20"/>
              </w:rPr>
            </w:pPr>
            <w:r w:rsidRPr="00B02C2E">
              <w:t>1.0269</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BBD3D"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415CEE3B" w14:textId="77777777" w:rsidTr="00166C86">
        <w:tc>
          <w:tcPr>
            <w:tcW w:w="9029" w:type="dxa"/>
            <w:gridSpan w:val="4"/>
            <w:tcMar>
              <w:top w:w="0" w:type="dxa"/>
              <w:left w:w="108" w:type="dxa"/>
              <w:bottom w:w="0" w:type="dxa"/>
              <w:right w:w="108" w:type="dxa"/>
            </w:tcMar>
            <w:hideMark/>
          </w:tcPr>
          <w:p w14:paraId="0AE9AB4A" w14:textId="77777777" w:rsidR="00AD141B" w:rsidRPr="00B02C2E" w:rsidRDefault="00AD141B" w:rsidP="003B0BF0">
            <w:pPr>
              <w:pStyle w:val="Tabletext0"/>
              <w:keepNext/>
              <w:rPr>
                <w:b/>
                <w:bCs/>
                <w:szCs w:val="20"/>
              </w:rPr>
            </w:pPr>
            <w:r w:rsidRPr="00B02C2E">
              <w:rPr>
                <w:b/>
                <w:bCs/>
                <w:szCs w:val="20"/>
              </w:rPr>
              <w:t>Treatment effect of eculizumab (base case: RR from time to physician assessed relapse in the PREVENT trial = 0.147)</w:t>
            </w:r>
          </w:p>
        </w:tc>
      </w:tr>
      <w:tr w:rsidR="00AD141B" w:rsidRPr="00B02C2E" w14:paraId="763E8C18" w14:textId="77777777" w:rsidTr="009E1905">
        <w:tc>
          <w:tcPr>
            <w:tcW w:w="4480" w:type="dxa"/>
            <w:tcMar>
              <w:top w:w="0" w:type="dxa"/>
              <w:left w:w="108" w:type="dxa"/>
              <w:bottom w:w="0" w:type="dxa"/>
              <w:right w:w="108" w:type="dxa"/>
            </w:tcMar>
            <w:hideMark/>
          </w:tcPr>
          <w:p w14:paraId="252C17B1" w14:textId="77777777" w:rsidR="00AD141B" w:rsidRPr="00B02C2E" w:rsidRDefault="00AD141B" w:rsidP="003B0BF0">
            <w:pPr>
              <w:pStyle w:val="Tabletext0"/>
              <w:keepNext/>
              <w:rPr>
                <w:szCs w:val="20"/>
              </w:rPr>
            </w:pPr>
            <w:r w:rsidRPr="00B02C2E">
              <w:rPr>
                <w:szCs w:val="20"/>
              </w:rPr>
              <w:t>RR based on on-trial relapses upper 95% CI (0.278)</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59501"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20794" w14:textId="77777777" w:rsidR="00AD141B" w:rsidRPr="00B02C2E" w:rsidRDefault="00AD141B" w:rsidP="003B0BF0">
            <w:pPr>
              <w:pStyle w:val="Tabletext0"/>
              <w:keepNext/>
              <w:jc w:val="center"/>
              <w:rPr>
                <w:szCs w:val="20"/>
              </w:rPr>
            </w:pPr>
            <w:r w:rsidRPr="00B02C2E">
              <w:t>1.1964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85CC"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2A838F61" w14:textId="77777777" w:rsidTr="009E1905">
        <w:tc>
          <w:tcPr>
            <w:tcW w:w="4480" w:type="dxa"/>
            <w:tcMar>
              <w:top w:w="0" w:type="dxa"/>
              <w:left w:w="108" w:type="dxa"/>
              <w:bottom w:w="0" w:type="dxa"/>
              <w:right w:w="108" w:type="dxa"/>
            </w:tcMar>
            <w:hideMark/>
          </w:tcPr>
          <w:p w14:paraId="58915C45" w14:textId="77777777" w:rsidR="00AD141B" w:rsidRPr="00B02C2E" w:rsidRDefault="00AD141B" w:rsidP="003B0BF0">
            <w:pPr>
              <w:pStyle w:val="Tabletext0"/>
              <w:keepNext/>
              <w:rPr>
                <w:szCs w:val="20"/>
              </w:rPr>
            </w:pPr>
            <w:r w:rsidRPr="00B02C2E">
              <w:rPr>
                <w:szCs w:val="20"/>
              </w:rPr>
              <w:t>RR based on on-trial relapses lower 95% CI (0.078)</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9E1A"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73FE2" w14:textId="77777777" w:rsidR="00AD141B" w:rsidRPr="00B02C2E" w:rsidRDefault="00AD141B" w:rsidP="003B0BF0">
            <w:pPr>
              <w:pStyle w:val="Tabletext0"/>
              <w:keepNext/>
              <w:jc w:val="center"/>
              <w:rPr>
                <w:szCs w:val="20"/>
              </w:rPr>
            </w:pPr>
            <w:r w:rsidRPr="00B02C2E">
              <w:t>1.5777</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A548"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28F48F19" w14:textId="77777777" w:rsidTr="009E1905">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03603" w14:textId="77777777" w:rsidR="00AD141B" w:rsidRPr="00B02C2E" w:rsidRDefault="00AD141B" w:rsidP="003B0BF0">
            <w:pPr>
              <w:pStyle w:val="Tabletext0"/>
              <w:keepNext/>
              <w:rPr>
                <w:szCs w:val="20"/>
              </w:rPr>
            </w:pPr>
            <w:r w:rsidRPr="00B02C2E">
              <w:t>Weighted decline in risk based on Palace (2019)</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4C64A" w14:textId="77777777" w:rsidR="00AD141B" w:rsidRPr="00B763C7" w:rsidRDefault="00B763C7" w:rsidP="003B0BF0">
            <w:pPr>
              <w:pStyle w:val="Tabletext0"/>
              <w:keepNext/>
              <w:jc w:val="center"/>
              <w:rPr>
                <w:i/>
                <w:iCs/>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7DD60" w14:textId="77777777" w:rsidR="00AD141B" w:rsidRPr="00B02C2E" w:rsidRDefault="00AD141B" w:rsidP="003B0BF0">
            <w:pPr>
              <w:pStyle w:val="Tabletext0"/>
              <w:keepNext/>
              <w:jc w:val="center"/>
              <w:rPr>
                <w:i/>
                <w:iCs/>
                <w:szCs w:val="20"/>
              </w:rPr>
            </w:pPr>
            <w:r w:rsidRPr="00B02C2E">
              <w:t>1.3723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47335" w14:textId="77777777" w:rsidR="00AD141B" w:rsidRPr="00B763C7" w:rsidRDefault="00B763C7" w:rsidP="003B0BF0">
            <w:pPr>
              <w:pStyle w:val="Tabletext0"/>
              <w:keepNext/>
              <w:jc w:val="center"/>
              <w:rPr>
                <w:i/>
                <w:iCs/>
                <w:szCs w:val="20"/>
              </w:rPr>
            </w:pPr>
            <w:r>
              <w:rPr>
                <w:noProof/>
                <w:color w:val="000000"/>
                <w:highlight w:val="black"/>
              </w:rPr>
              <w:t>''''''''''''''''''''''''''</w:t>
            </w:r>
            <w:r w:rsidR="00D83CBE">
              <w:rPr>
                <w:szCs w:val="20"/>
                <w:vertAlign w:val="superscript"/>
              </w:rPr>
              <w:t>1</w:t>
            </w:r>
          </w:p>
        </w:tc>
      </w:tr>
      <w:tr w:rsidR="00AD141B" w:rsidRPr="00B02C2E" w14:paraId="4A9E6E17" w14:textId="77777777" w:rsidTr="00166C86">
        <w:tc>
          <w:tcPr>
            <w:tcW w:w="9029" w:type="dxa"/>
            <w:gridSpan w:val="4"/>
            <w:tcMar>
              <w:top w:w="0" w:type="dxa"/>
              <w:left w:w="108" w:type="dxa"/>
              <w:bottom w:w="0" w:type="dxa"/>
              <w:right w:w="108" w:type="dxa"/>
            </w:tcMar>
            <w:hideMark/>
          </w:tcPr>
          <w:p w14:paraId="49227990" w14:textId="77777777" w:rsidR="00AD141B" w:rsidRPr="00B02C2E" w:rsidRDefault="00AD141B" w:rsidP="003B0BF0">
            <w:pPr>
              <w:pStyle w:val="Tabletext0"/>
              <w:keepNext/>
              <w:rPr>
                <w:b/>
                <w:bCs/>
                <w:szCs w:val="20"/>
              </w:rPr>
            </w:pPr>
            <w:r w:rsidRPr="00B02C2E">
              <w:rPr>
                <w:b/>
                <w:bCs/>
                <w:szCs w:val="20"/>
              </w:rPr>
              <w:t>Probability of disability progression (base case: 0.30 based on a post-hoc analysis of the PREVENT trial, assumed single step EDSS progression)</w:t>
            </w:r>
          </w:p>
        </w:tc>
      </w:tr>
      <w:tr w:rsidR="00AD141B" w:rsidRPr="00B02C2E" w14:paraId="58A84C44" w14:textId="77777777" w:rsidTr="009E1905">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24DF5" w14:textId="77777777" w:rsidR="00AD141B" w:rsidRPr="00B02C2E" w:rsidRDefault="00AD141B" w:rsidP="003B0BF0">
            <w:pPr>
              <w:pStyle w:val="Tabletext0"/>
              <w:keepNext/>
              <w:rPr>
                <w:szCs w:val="20"/>
              </w:rPr>
            </w:pPr>
            <w:r w:rsidRPr="00B02C2E">
              <w:t>Decreased by 50% (0.150)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59587"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660F6" w14:textId="77777777" w:rsidR="00AD141B" w:rsidRPr="00B02C2E" w:rsidRDefault="00AD141B" w:rsidP="003B0BF0">
            <w:pPr>
              <w:pStyle w:val="Tabletext0"/>
              <w:keepNext/>
              <w:jc w:val="center"/>
              <w:rPr>
                <w:szCs w:val="20"/>
              </w:rPr>
            </w:pPr>
            <w:r w:rsidRPr="00B02C2E">
              <w:t>1.0151</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2C690"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29B880F2" w14:textId="77777777" w:rsidTr="009E1905">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2B142" w14:textId="77777777" w:rsidR="00AD141B" w:rsidRPr="00B02C2E" w:rsidRDefault="00AD141B" w:rsidP="003B0BF0">
            <w:pPr>
              <w:pStyle w:val="Tabletext0"/>
              <w:keepNext/>
              <w:rPr>
                <w:szCs w:val="20"/>
              </w:rPr>
            </w:pPr>
            <w:r w:rsidRPr="00B02C2E">
              <w:t>Increased by 50% (0.450)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01AC"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81561" w14:textId="77777777" w:rsidR="00AD141B" w:rsidRPr="00B02C2E" w:rsidRDefault="00AD141B" w:rsidP="003B0BF0">
            <w:pPr>
              <w:pStyle w:val="Tabletext0"/>
              <w:keepNext/>
              <w:jc w:val="center"/>
              <w:rPr>
                <w:szCs w:val="20"/>
              </w:rPr>
            </w:pPr>
            <w:r w:rsidRPr="00B02C2E">
              <w:t>1.7772</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8E15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1F5094C8" w14:textId="77777777" w:rsidTr="009E1905">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9750" w14:textId="77777777" w:rsidR="00AD141B" w:rsidRPr="00B02C2E" w:rsidRDefault="00AD141B" w:rsidP="003B0BF0">
            <w:pPr>
              <w:pStyle w:val="Tabletext0"/>
              <w:keepNext/>
              <w:rPr>
                <w:szCs w:val="20"/>
              </w:rPr>
            </w:pPr>
            <w:r w:rsidRPr="00B02C2E">
              <w:t>Original submission value (0.435)</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4A8E9"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0CC1C" w14:textId="77777777" w:rsidR="00AD141B" w:rsidRPr="00B02C2E" w:rsidRDefault="00AD141B" w:rsidP="003B0BF0">
            <w:pPr>
              <w:pStyle w:val="Tabletext0"/>
              <w:keepNext/>
              <w:jc w:val="center"/>
              <w:rPr>
                <w:szCs w:val="20"/>
              </w:rPr>
            </w:pPr>
            <w:r w:rsidRPr="00B02C2E">
              <w:t>1.7480</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3235E"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525CEF16" w14:textId="77777777" w:rsidTr="00166C86">
        <w:tc>
          <w:tcPr>
            <w:tcW w:w="9029" w:type="dxa"/>
            <w:gridSpan w:val="4"/>
            <w:tcMar>
              <w:top w:w="0" w:type="dxa"/>
              <w:left w:w="108" w:type="dxa"/>
              <w:bottom w:w="0" w:type="dxa"/>
              <w:right w:w="108" w:type="dxa"/>
            </w:tcMar>
            <w:hideMark/>
          </w:tcPr>
          <w:p w14:paraId="71688901" w14:textId="77777777" w:rsidR="00AD141B" w:rsidRPr="00B02C2E" w:rsidRDefault="00AD141B" w:rsidP="003B0BF0">
            <w:pPr>
              <w:pStyle w:val="Tabletext0"/>
              <w:keepNext/>
              <w:rPr>
                <w:b/>
                <w:bCs/>
                <w:szCs w:val="20"/>
              </w:rPr>
            </w:pPr>
            <w:r w:rsidRPr="00B02C2E">
              <w:rPr>
                <w:b/>
                <w:bCs/>
                <w:szCs w:val="20"/>
              </w:rPr>
              <w:t>Probability of fatal relapse (base case: 0.023 based on Kitley 2012 publication)</w:t>
            </w:r>
          </w:p>
        </w:tc>
      </w:tr>
      <w:tr w:rsidR="00AD141B" w:rsidRPr="00B02C2E" w14:paraId="1FF95D88" w14:textId="77777777" w:rsidTr="009E1905">
        <w:tc>
          <w:tcPr>
            <w:tcW w:w="4480" w:type="dxa"/>
            <w:tcMar>
              <w:top w:w="0" w:type="dxa"/>
              <w:left w:w="108" w:type="dxa"/>
              <w:bottom w:w="0" w:type="dxa"/>
              <w:right w:w="108" w:type="dxa"/>
            </w:tcMar>
            <w:hideMark/>
          </w:tcPr>
          <w:p w14:paraId="524D056B" w14:textId="77777777" w:rsidR="00AD141B" w:rsidRPr="00B02C2E" w:rsidRDefault="00AD141B" w:rsidP="003B0BF0">
            <w:pPr>
              <w:pStyle w:val="Tabletext0"/>
              <w:keepNext/>
              <w:rPr>
                <w:szCs w:val="20"/>
              </w:rPr>
            </w:pPr>
            <w:r w:rsidRPr="00B02C2E">
              <w:rPr>
                <w:szCs w:val="20"/>
              </w:rPr>
              <w:t>No risk of fatal relapse</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5BF52"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9AABE" w14:textId="77777777" w:rsidR="00AD141B" w:rsidRPr="00B02C2E" w:rsidRDefault="00AD141B" w:rsidP="003B0BF0">
            <w:pPr>
              <w:pStyle w:val="Tabletext0"/>
              <w:keepNext/>
              <w:jc w:val="center"/>
              <w:rPr>
                <w:szCs w:val="20"/>
              </w:rPr>
            </w:pPr>
            <w:r w:rsidRPr="00B02C2E">
              <w:t>1.2483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821E6"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1B183F5A" w14:textId="77777777" w:rsidTr="009E1905">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F03D" w14:textId="77777777" w:rsidR="00AD141B" w:rsidRPr="00B02C2E" w:rsidRDefault="00AD141B" w:rsidP="003B0BF0">
            <w:pPr>
              <w:pStyle w:val="Tabletext0"/>
              <w:keepNext/>
              <w:rPr>
                <w:szCs w:val="20"/>
              </w:rPr>
            </w:pPr>
            <w:r w:rsidRPr="00B02C2E">
              <w:t>Original submission value (0.07; Mealy 2018)</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E3916"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0F488" w14:textId="77777777" w:rsidR="00AD141B" w:rsidRPr="00B02C2E" w:rsidRDefault="00AD141B" w:rsidP="003B0BF0">
            <w:pPr>
              <w:pStyle w:val="Tabletext0"/>
              <w:keepNext/>
              <w:jc w:val="center"/>
              <w:rPr>
                <w:szCs w:val="20"/>
              </w:rPr>
            </w:pPr>
            <w:r w:rsidRPr="00B02C2E">
              <w:t>1.7483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E2D8"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90BD991" w14:textId="77777777" w:rsidTr="00166C86">
        <w:tc>
          <w:tcPr>
            <w:tcW w:w="9029" w:type="dxa"/>
            <w:gridSpan w:val="4"/>
            <w:tcMar>
              <w:top w:w="0" w:type="dxa"/>
              <w:left w:w="108" w:type="dxa"/>
              <w:bottom w:w="0" w:type="dxa"/>
              <w:right w:w="108" w:type="dxa"/>
            </w:tcMar>
            <w:hideMark/>
          </w:tcPr>
          <w:p w14:paraId="0C433318" w14:textId="77777777" w:rsidR="00AD141B" w:rsidRPr="00B02C2E" w:rsidRDefault="00AD141B" w:rsidP="003B0BF0">
            <w:pPr>
              <w:pStyle w:val="Tabletext0"/>
              <w:keepNext/>
              <w:rPr>
                <w:b/>
                <w:bCs/>
                <w:szCs w:val="20"/>
              </w:rPr>
            </w:pPr>
            <w:r w:rsidRPr="00B02C2E">
              <w:rPr>
                <w:b/>
                <w:bCs/>
                <w:szCs w:val="20"/>
              </w:rPr>
              <w:t>Probability of treatment discontinuation (base case: 0.0465 per cycle based on the PREVENT trial)</w:t>
            </w:r>
          </w:p>
        </w:tc>
      </w:tr>
      <w:tr w:rsidR="00AD141B" w:rsidRPr="00B02C2E" w14:paraId="34576958" w14:textId="77777777" w:rsidTr="009E1905">
        <w:tc>
          <w:tcPr>
            <w:tcW w:w="4480" w:type="dxa"/>
            <w:tcMar>
              <w:top w:w="0" w:type="dxa"/>
              <w:left w:w="108" w:type="dxa"/>
              <w:bottom w:w="0" w:type="dxa"/>
              <w:right w:w="108" w:type="dxa"/>
            </w:tcMar>
            <w:hideMark/>
          </w:tcPr>
          <w:p w14:paraId="26A64BD8" w14:textId="77777777" w:rsidR="00AD141B" w:rsidRPr="00B02C2E" w:rsidRDefault="00AD141B" w:rsidP="003B0BF0">
            <w:pPr>
              <w:pStyle w:val="Tabletext0"/>
              <w:keepNext/>
              <w:rPr>
                <w:szCs w:val="20"/>
              </w:rPr>
            </w:pPr>
            <w:r w:rsidRPr="00B02C2E">
              <w:rPr>
                <w:szCs w:val="20"/>
              </w:rPr>
              <w:t>Increase probability by 50% (0.0698)</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B871D6"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40CD0" w14:textId="77777777" w:rsidR="00AD141B" w:rsidRPr="00B02C2E" w:rsidRDefault="00AD141B" w:rsidP="003B0BF0">
            <w:pPr>
              <w:pStyle w:val="Tabletext0"/>
              <w:keepNext/>
              <w:jc w:val="center"/>
              <w:rPr>
                <w:szCs w:val="20"/>
              </w:rPr>
            </w:pPr>
            <w:r w:rsidRPr="00B02C2E">
              <w:t>1.1205</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C5AE2"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73B1EDDD" w14:textId="77777777" w:rsidTr="009E1905">
        <w:tc>
          <w:tcPr>
            <w:tcW w:w="4480" w:type="dxa"/>
            <w:tcMar>
              <w:top w:w="0" w:type="dxa"/>
              <w:left w:w="108" w:type="dxa"/>
              <w:bottom w:w="0" w:type="dxa"/>
              <w:right w:w="108" w:type="dxa"/>
            </w:tcMar>
            <w:hideMark/>
          </w:tcPr>
          <w:p w14:paraId="18711543" w14:textId="77777777" w:rsidR="00AD141B" w:rsidRPr="00B02C2E" w:rsidRDefault="00AD141B" w:rsidP="003B0BF0">
            <w:pPr>
              <w:pStyle w:val="Tabletext0"/>
              <w:keepNext/>
              <w:rPr>
                <w:szCs w:val="20"/>
              </w:rPr>
            </w:pPr>
            <w:r w:rsidRPr="00B02C2E">
              <w:rPr>
                <w:szCs w:val="20"/>
              </w:rPr>
              <w:t>Decrease probability by 50% (0.0233)</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958F9"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713B0" w14:textId="77777777" w:rsidR="00AD141B" w:rsidRPr="00B02C2E" w:rsidRDefault="00AD141B" w:rsidP="003B0BF0">
            <w:pPr>
              <w:pStyle w:val="Tabletext0"/>
              <w:keepNext/>
              <w:jc w:val="center"/>
              <w:rPr>
                <w:szCs w:val="20"/>
              </w:rPr>
            </w:pPr>
            <w:r w:rsidRPr="00B02C2E">
              <w:t>2.0011</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B088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45D709D6" w14:textId="77777777" w:rsidTr="009E1905">
        <w:tc>
          <w:tcPr>
            <w:tcW w:w="4480" w:type="dxa"/>
            <w:tcMar>
              <w:top w:w="0" w:type="dxa"/>
              <w:left w:w="108" w:type="dxa"/>
              <w:bottom w:w="0" w:type="dxa"/>
              <w:right w:w="108" w:type="dxa"/>
            </w:tcMar>
            <w:hideMark/>
          </w:tcPr>
          <w:p w14:paraId="0BFF2F8C" w14:textId="77777777" w:rsidR="00AD141B" w:rsidRPr="00B02C2E" w:rsidRDefault="00AD141B" w:rsidP="003B0BF0">
            <w:pPr>
              <w:pStyle w:val="Tabletext0"/>
              <w:keepNext/>
              <w:rPr>
                <w:szCs w:val="20"/>
              </w:rPr>
            </w:pPr>
            <w:r w:rsidRPr="00B02C2E">
              <w:rPr>
                <w:szCs w:val="20"/>
              </w:rPr>
              <w:t>No treatment discontinuations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FD5DD"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C6E7A" w14:textId="77777777" w:rsidR="00AD141B" w:rsidRPr="00B02C2E" w:rsidRDefault="00AD141B" w:rsidP="003B0BF0">
            <w:pPr>
              <w:pStyle w:val="Tabletext0"/>
              <w:keepNext/>
              <w:jc w:val="center"/>
              <w:rPr>
                <w:szCs w:val="20"/>
              </w:rPr>
            </w:pPr>
            <w:r w:rsidRPr="00B02C2E">
              <w:t>3.1134</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72D71"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7694B5FC" w14:textId="77777777" w:rsidTr="00166C86">
        <w:tc>
          <w:tcPr>
            <w:tcW w:w="9029" w:type="dxa"/>
            <w:gridSpan w:val="4"/>
            <w:tcMar>
              <w:top w:w="0" w:type="dxa"/>
              <w:left w:w="108" w:type="dxa"/>
              <w:bottom w:w="0" w:type="dxa"/>
              <w:right w:w="108" w:type="dxa"/>
            </w:tcMar>
            <w:hideMark/>
          </w:tcPr>
          <w:p w14:paraId="65A14303" w14:textId="77777777" w:rsidR="00AD141B" w:rsidRPr="00B02C2E" w:rsidRDefault="00AD141B" w:rsidP="003B0BF0">
            <w:pPr>
              <w:pStyle w:val="Tabletext0"/>
              <w:keepNext/>
              <w:rPr>
                <w:b/>
                <w:bCs/>
                <w:szCs w:val="20"/>
              </w:rPr>
            </w:pPr>
            <w:r w:rsidRPr="00B02C2E">
              <w:rPr>
                <w:b/>
                <w:bCs/>
                <w:szCs w:val="20"/>
              </w:rPr>
              <w:t>Disability health state utility values (base case: based on raw scores with UK weights from a post-hoc analysis of the PREVENT trial)</w:t>
            </w:r>
          </w:p>
        </w:tc>
      </w:tr>
      <w:tr w:rsidR="00AD141B" w:rsidRPr="00B02C2E" w14:paraId="52B58CBC" w14:textId="77777777" w:rsidTr="009E1905">
        <w:tc>
          <w:tcPr>
            <w:tcW w:w="4480" w:type="dxa"/>
            <w:tcMar>
              <w:top w:w="0" w:type="dxa"/>
              <w:left w:w="108" w:type="dxa"/>
              <w:bottom w:w="0" w:type="dxa"/>
              <w:right w:w="108" w:type="dxa"/>
            </w:tcMar>
            <w:hideMark/>
          </w:tcPr>
          <w:p w14:paraId="421673F7" w14:textId="77777777" w:rsidR="00AD141B" w:rsidRPr="00B02C2E" w:rsidRDefault="00AD141B" w:rsidP="003B0BF0">
            <w:pPr>
              <w:pStyle w:val="Tabletext0"/>
              <w:keepNext/>
              <w:rPr>
                <w:szCs w:val="20"/>
              </w:rPr>
            </w:pPr>
            <w:r w:rsidRPr="00B02C2E">
              <w:rPr>
                <w:szCs w:val="20"/>
              </w:rPr>
              <w:t>Utilities based on raw scores with French weights from the PREVENT trial</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A877" w14:textId="77777777" w:rsidR="00AD141B" w:rsidRPr="00B763C7" w:rsidRDefault="00B763C7" w:rsidP="003B0BF0">
            <w:pPr>
              <w:pStyle w:val="Tabletext0"/>
              <w:keepNext/>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BFFD" w14:textId="77777777" w:rsidR="00AD141B" w:rsidRPr="00B02C2E" w:rsidRDefault="00AD141B" w:rsidP="003B0BF0">
            <w:pPr>
              <w:pStyle w:val="Tabletext0"/>
              <w:keepNext/>
              <w:jc w:val="center"/>
              <w:rPr>
                <w:szCs w:val="20"/>
              </w:rPr>
            </w:pPr>
            <w:r w:rsidRPr="00B02C2E">
              <w:t>1.4571</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0FF9" w14:textId="77777777" w:rsidR="00AD141B" w:rsidRPr="00B763C7" w:rsidRDefault="00B763C7" w:rsidP="003B0BF0">
            <w:pPr>
              <w:pStyle w:val="Tabletext0"/>
              <w:keepNext/>
              <w:jc w:val="center"/>
              <w:rPr>
                <w:szCs w:val="20"/>
              </w:rPr>
            </w:pPr>
            <w:r>
              <w:rPr>
                <w:noProof/>
                <w:color w:val="000000"/>
                <w:highlight w:val="black"/>
              </w:rPr>
              <w:t>'''''''''''''''''''''''''''</w:t>
            </w:r>
            <w:r w:rsidR="00D83CBE">
              <w:rPr>
                <w:szCs w:val="20"/>
                <w:vertAlign w:val="superscript"/>
              </w:rPr>
              <w:t>1</w:t>
            </w:r>
          </w:p>
        </w:tc>
      </w:tr>
      <w:tr w:rsidR="00AD141B" w:rsidRPr="00B02C2E" w14:paraId="0462AD8C" w14:textId="77777777" w:rsidTr="009E1905">
        <w:tc>
          <w:tcPr>
            <w:tcW w:w="4480" w:type="dxa"/>
            <w:tcMar>
              <w:top w:w="0" w:type="dxa"/>
              <w:left w:w="108" w:type="dxa"/>
              <w:bottom w:w="0" w:type="dxa"/>
              <w:right w:w="108" w:type="dxa"/>
            </w:tcMar>
          </w:tcPr>
          <w:p w14:paraId="19E4FADD" w14:textId="77777777" w:rsidR="00AD141B" w:rsidRPr="00B02C2E" w:rsidRDefault="00AD141B" w:rsidP="00166C86">
            <w:pPr>
              <w:pStyle w:val="Tabletext0"/>
              <w:rPr>
                <w:i/>
                <w:iCs/>
                <w:szCs w:val="20"/>
              </w:rPr>
            </w:pPr>
            <w:r w:rsidRPr="00B02C2E">
              <w:rPr>
                <w:szCs w:val="20"/>
              </w:rPr>
              <w:t>Utilities based on Kobelt 2006a (European MS patients)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8BFB7" w14:textId="77777777" w:rsidR="00AD141B" w:rsidRPr="00B763C7" w:rsidRDefault="00B763C7" w:rsidP="00166C86">
            <w:pPr>
              <w:pStyle w:val="Tabletext0"/>
              <w:jc w:val="center"/>
              <w:rPr>
                <w:i/>
                <w:iCs/>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F7146" w14:textId="77777777" w:rsidR="00AD141B" w:rsidRPr="00B02C2E" w:rsidRDefault="00AD141B" w:rsidP="00166C86">
            <w:pPr>
              <w:pStyle w:val="Tabletext0"/>
              <w:jc w:val="center"/>
              <w:rPr>
                <w:i/>
                <w:iCs/>
                <w:szCs w:val="20"/>
              </w:rPr>
            </w:pPr>
            <w:r w:rsidRPr="00B02C2E">
              <w:t>1.2982</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6132" w14:textId="77777777" w:rsidR="00AD141B" w:rsidRPr="00B763C7" w:rsidRDefault="00B763C7" w:rsidP="00166C86">
            <w:pPr>
              <w:pStyle w:val="Tabletext0"/>
              <w:jc w:val="center"/>
              <w:rPr>
                <w:i/>
                <w:iCs/>
                <w:szCs w:val="20"/>
              </w:rPr>
            </w:pPr>
            <w:r>
              <w:rPr>
                <w:noProof/>
                <w:color w:val="000000"/>
                <w:highlight w:val="black"/>
              </w:rPr>
              <w:t>'''''''''''''''''''''''''''''</w:t>
            </w:r>
            <w:r w:rsidR="00D83CBE">
              <w:rPr>
                <w:szCs w:val="20"/>
                <w:vertAlign w:val="superscript"/>
              </w:rPr>
              <w:t>1</w:t>
            </w:r>
          </w:p>
        </w:tc>
      </w:tr>
      <w:tr w:rsidR="00AD141B" w:rsidRPr="00B02C2E" w14:paraId="027E7DD9" w14:textId="77777777" w:rsidTr="009E1905">
        <w:tc>
          <w:tcPr>
            <w:tcW w:w="4480" w:type="dxa"/>
            <w:tcMar>
              <w:top w:w="0" w:type="dxa"/>
              <w:left w:w="108" w:type="dxa"/>
              <w:bottom w:w="0" w:type="dxa"/>
              <w:right w:w="108" w:type="dxa"/>
            </w:tcMar>
          </w:tcPr>
          <w:p w14:paraId="58A87ECB" w14:textId="77777777" w:rsidR="00AD141B" w:rsidRPr="00B02C2E" w:rsidRDefault="00AD141B" w:rsidP="00166C86">
            <w:pPr>
              <w:pStyle w:val="Tabletext0"/>
              <w:rPr>
                <w:i/>
                <w:iCs/>
                <w:szCs w:val="20"/>
              </w:rPr>
            </w:pPr>
            <w:r w:rsidRPr="00B02C2E">
              <w:rPr>
                <w:szCs w:val="20"/>
              </w:rPr>
              <w:t>Utilities based on Kobelt 2006b (UK MS patients)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50EA8" w14:textId="77777777" w:rsidR="00AD141B" w:rsidRPr="00B763C7" w:rsidRDefault="00B763C7" w:rsidP="00166C86">
            <w:pPr>
              <w:pStyle w:val="Tabletext0"/>
              <w:jc w:val="center"/>
              <w:rPr>
                <w:i/>
                <w:iCs/>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025DC" w14:textId="77777777" w:rsidR="00AD141B" w:rsidRPr="00B02C2E" w:rsidRDefault="00AD141B" w:rsidP="00166C86">
            <w:pPr>
              <w:pStyle w:val="Tabletext0"/>
              <w:jc w:val="center"/>
              <w:rPr>
                <w:i/>
                <w:iCs/>
                <w:szCs w:val="20"/>
              </w:rPr>
            </w:pPr>
            <w:r w:rsidRPr="00B02C2E">
              <w:t>1.5301</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92A" w14:textId="77777777" w:rsidR="00AD141B" w:rsidRPr="00B763C7" w:rsidRDefault="00B763C7" w:rsidP="00166C86">
            <w:pPr>
              <w:pStyle w:val="Tabletext0"/>
              <w:jc w:val="center"/>
              <w:rPr>
                <w:i/>
                <w:iCs/>
                <w:szCs w:val="20"/>
              </w:rPr>
            </w:pPr>
            <w:r>
              <w:rPr>
                <w:noProof/>
                <w:color w:val="000000"/>
                <w:highlight w:val="black"/>
              </w:rPr>
              <w:t>'''''''''''''''''''''''''''</w:t>
            </w:r>
            <w:r w:rsidR="00D83CBE">
              <w:rPr>
                <w:szCs w:val="20"/>
                <w:vertAlign w:val="superscript"/>
              </w:rPr>
              <w:t>1</w:t>
            </w:r>
          </w:p>
        </w:tc>
      </w:tr>
      <w:tr w:rsidR="00AD141B" w:rsidRPr="00B02C2E" w14:paraId="468567E8" w14:textId="77777777" w:rsidTr="009E1905">
        <w:tc>
          <w:tcPr>
            <w:tcW w:w="4480" w:type="dxa"/>
            <w:tcMar>
              <w:top w:w="0" w:type="dxa"/>
              <w:left w:w="108" w:type="dxa"/>
              <w:bottom w:w="0" w:type="dxa"/>
              <w:right w:w="108" w:type="dxa"/>
            </w:tcMar>
          </w:tcPr>
          <w:p w14:paraId="49AE9C4A" w14:textId="77777777" w:rsidR="00AD141B" w:rsidRPr="00B02C2E" w:rsidRDefault="00AD141B" w:rsidP="00166C86">
            <w:pPr>
              <w:pStyle w:val="Tabletext0"/>
              <w:rPr>
                <w:i/>
                <w:iCs/>
                <w:szCs w:val="20"/>
              </w:rPr>
            </w:pPr>
            <w:r w:rsidRPr="00B02C2E">
              <w:rPr>
                <w:szCs w:val="20"/>
              </w:rPr>
              <w:t>Utilities based on Orme 2007 (UK MS patients)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8E0A" w14:textId="77777777" w:rsidR="00AD141B" w:rsidRPr="00B763C7" w:rsidRDefault="00B763C7" w:rsidP="00166C86">
            <w:pPr>
              <w:pStyle w:val="Tabletext0"/>
              <w:jc w:val="center"/>
              <w:rPr>
                <w:i/>
                <w:iCs/>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E73B" w14:textId="77777777" w:rsidR="00AD141B" w:rsidRPr="00B02C2E" w:rsidRDefault="00AD141B" w:rsidP="00166C86">
            <w:pPr>
              <w:pStyle w:val="Tabletext0"/>
              <w:jc w:val="center"/>
              <w:rPr>
                <w:i/>
                <w:iCs/>
                <w:szCs w:val="20"/>
              </w:rPr>
            </w:pPr>
            <w:r w:rsidRPr="00B02C2E">
              <w:t>1.4437</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4DC" w14:textId="77777777" w:rsidR="00AD141B" w:rsidRPr="00B763C7" w:rsidRDefault="00B763C7" w:rsidP="00166C86">
            <w:pPr>
              <w:pStyle w:val="Tabletext0"/>
              <w:jc w:val="center"/>
              <w:rPr>
                <w:i/>
                <w:iCs/>
                <w:szCs w:val="20"/>
              </w:rPr>
            </w:pPr>
            <w:r>
              <w:rPr>
                <w:noProof/>
                <w:color w:val="000000"/>
                <w:highlight w:val="black"/>
              </w:rPr>
              <w:t>''''''''''''''''''''''''''</w:t>
            </w:r>
            <w:r w:rsidR="00D83CBE">
              <w:rPr>
                <w:szCs w:val="20"/>
                <w:vertAlign w:val="superscript"/>
              </w:rPr>
              <w:t>1</w:t>
            </w:r>
          </w:p>
        </w:tc>
      </w:tr>
      <w:tr w:rsidR="00AD141B" w:rsidRPr="00B02C2E" w14:paraId="3F700BE6" w14:textId="77777777" w:rsidTr="00166C86">
        <w:tc>
          <w:tcPr>
            <w:tcW w:w="9029" w:type="dxa"/>
            <w:gridSpan w:val="4"/>
            <w:tcMar>
              <w:top w:w="0" w:type="dxa"/>
              <w:left w:w="108" w:type="dxa"/>
              <w:bottom w:w="0" w:type="dxa"/>
              <w:right w:w="108" w:type="dxa"/>
            </w:tcMar>
          </w:tcPr>
          <w:p w14:paraId="06EFFAAA" w14:textId="77777777" w:rsidR="00AD141B" w:rsidRPr="00B02C2E" w:rsidRDefault="00AD141B" w:rsidP="00166C86">
            <w:pPr>
              <w:pStyle w:val="Tabletext0"/>
              <w:rPr>
                <w:b/>
                <w:bCs/>
                <w:szCs w:val="20"/>
              </w:rPr>
            </w:pPr>
            <w:r w:rsidRPr="00B02C2E">
              <w:rPr>
                <w:b/>
                <w:bCs/>
                <w:szCs w:val="20"/>
              </w:rPr>
              <w:t>QALY loss due to relapse (base case: 0.01775)</w:t>
            </w:r>
          </w:p>
        </w:tc>
      </w:tr>
      <w:tr w:rsidR="00AD141B" w:rsidRPr="00B02C2E" w14:paraId="59C57ABD" w14:textId="77777777" w:rsidTr="009E1905">
        <w:tc>
          <w:tcPr>
            <w:tcW w:w="4480" w:type="dxa"/>
            <w:tcMar>
              <w:top w:w="0" w:type="dxa"/>
              <w:left w:w="108" w:type="dxa"/>
              <w:bottom w:w="0" w:type="dxa"/>
              <w:right w:w="108" w:type="dxa"/>
            </w:tcMar>
          </w:tcPr>
          <w:p w14:paraId="48853C9D" w14:textId="77777777" w:rsidR="00AD141B" w:rsidRPr="00B02C2E" w:rsidRDefault="00AD141B" w:rsidP="00166C86">
            <w:pPr>
              <w:pStyle w:val="Tabletext0"/>
              <w:rPr>
                <w:szCs w:val="20"/>
              </w:rPr>
            </w:pPr>
            <w:r w:rsidRPr="00B02C2E">
              <w:rPr>
                <w:szCs w:val="20"/>
              </w:rPr>
              <w:t>Removed (0)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32682" w14:textId="77777777" w:rsidR="00AD141B" w:rsidRPr="00B763C7" w:rsidRDefault="00B763C7" w:rsidP="00166C86">
            <w:pPr>
              <w:pStyle w:val="Tabletext0"/>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0A09" w14:textId="77777777" w:rsidR="00AD141B" w:rsidRPr="00B02C2E" w:rsidRDefault="00AD141B" w:rsidP="00166C86">
            <w:pPr>
              <w:pStyle w:val="Tabletext0"/>
              <w:jc w:val="center"/>
              <w:rPr>
                <w:szCs w:val="20"/>
              </w:rPr>
            </w:pPr>
            <w:r w:rsidRPr="00B02C2E">
              <w:t>1.4066</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3000C" w14:textId="77777777" w:rsidR="00AD141B" w:rsidRPr="00B763C7" w:rsidRDefault="00B763C7" w:rsidP="00166C86">
            <w:pPr>
              <w:pStyle w:val="Tabletext0"/>
              <w:jc w:val="center"/>
              <w:rPr>
                <w:szCs w:val="20"/>
              </w:rPr>
            </w:pPr>
            <w:r>
              <w:rPr>
                <w:noProof/>
                <w:color w:val="000000"/>
                <w:highlight w:val="black"/>
              </w:rPr>
              <w:t>'''''''''''''''''''''''''''</w:t>
            </w:r>
            <w:r w:rsidR="00D83CBE">
              <w:rPr>
                <w:szCs w:val="20"/>
                <w:vertAlign w:val="superscript"/>
              </w:rPr>
              <w:t>1</w:t>
            </w:r>
          </w:p>
        </w:tc>
      </w:tr>
      <w:tr w:rsidR="00AD141B" w:rsidRPr="00B02C2E" w14:paraId="7A9AD769" w14:textId="77777777" w:rsidTr="009E1905">
        <w:tc>
          <w:tcPr>
            <w:tcW w:w="4480" w:type="dxa"/>
            <w:tcMar>
              <w:top w:w="0" w:type="dxa"/>
              <w:left w:w="108" w:type="dxa"/>
              <w:bottom w:w="0" w:type="dxa"/>
              <w:right w:w="108" w:type="dxa"/>
            </w:tcMar>
          </w:tcPr>
          <w:p w14:paraId="08028F37" w14:textId="77777777" w:rsidR="00AD141B" w:rsidRPr="00D83CBE" w:rsidRDefault="00AD141B" w:rsidP="00D83CBE">
            <w:pPr>
              <w:pStyle w:val="Tabletext0"/>
              <w:rPr>
                <w:szCs w:val="20"/>
                <w:vertAlign w:val="superscript"/>
              </w:rPr>
            </w:pPr>
            <w:r w:rsidRPr="00B02C2E">
              <w:rPr>
                <w:szCs w:val="20"/>
              </w:rPr>
              <w:t>Doubled (0.3550)</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CD7B7" w14:textId="77777777" w:rsidR="00AD141B" w:rsidRPr="00B763C7" w:rsidRDefault="00B763C7" w:rsidP="00166C86">
            <w:pPr>
              <w:pStyle w:val="Tabletext0"/>
              <w:jc w:val="center"/>
              <w:rPr>
                <w:szCs w:val="20"/>
                <w:highlight w:val="black"/>
              </w:rPr>
            </w:pPr>
            <w:r>
              <w:rPr>
                <w:noProof/>
                <w:color w:val="000000"/>
                <w:highlight w:val="black"/>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C8429" w14:textId="77777777" w:rsidR="00AD141B" w:rsidRPr="00B02C2E" w:rsidRDefault="00AD141B" w:rsidP="00166C86">
            <w:pPr>
              <w:pStyle w:val="Tabletext0"/>
              <w:jc w:val="center"/>
              <w:rPr>
                <w:szCs w:val="20"/>
              </w:rPr>
            </w:pPr>
            <w:r w:rsidRPr="00B02C2E">
              <w:t>1.4797</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FC53" w14:textId="77777777" w:rsidR="00AD141B" w:rsidRPr="00B763C7" w:rsidRDefault="00B763C7" w:rsidP="00166C86">
            <w:pPr>
              <w:pStyle w:val="Tabletext0"/>
              <w:jc w:val="center"/>
              <w:rPr>
                <w:szCs w:val="20"/>
              </w:rPr>
            </w:pPr>
            <w:r>
              <w:rPr>
                <w:noProof/>
                <w:color w:val="000000"/>
                <w:highlight w:val="black"/>
              </w:rPr>
              <w:t>''''''''''''''''''''''''''</w:t>
            </w:r>
            <w:r w:rsidR="00D83CBE">
              <w:rPr>
                <w:szCs w:val="20"/>
                <w:vertAlign w:val="superscript"/>
              </w:rPr>
              <w:t>1</w:t>
            </w:r>
          </w:p>
        </w:tc>
      </w:tr>
    </w:tbl>
    <w:p w14:paraId="2146E07E" w14:textId="77777777" w:rsidR="00AD141B" w:rsidRPr="00B02C2E" w:rsidRDefault="00AD141B" w:rsidP="007C295A">
      <w:pPr>
        <w:pStyle w:val="TableFigureFooter"/>
      </w:pPr>
      <w:r w:rsidRPr="00B02C2E">
        <w:t>Source: the resubmission</w:t>
      </w:r>
    </w:p>
    <w:p w14:paraId="371EF34D" w14:textId="77777777" w:rsidR="00AD141B" w:rsidRDefault="00AD141B" w:rsidP="007C295A">
      <w:pPr>
        <w:pStyle w:val="TableFigureFooter"/>
      </w:pPr>
      <w:r w:rsidRPr="00B02C2E">
        <w:t>Abbreviations: EDSS, Expanded Disability Status Scale; MS, multiple sclerosis; pa, per annum; QALY, quality-adjusted life year; RR, rate ratio</w:t>
      </w:r>
    </w:p>
    <w:p w14:paraId="3968AD49" w14:textId="77777777" w:rsidR="00D83CBE" w:rsidRDefault="00D83CBE" w:rsidP="00D83CBE">
      <w:pPr>
        <w:pStyle w:val="TableFigureFooter"/>
        <w:spacing w:after="0"/>
        <w:contextualSpacing w:val="0"/>
        <w:rPr>
          <w:i/>
        </w:rPr>
      </w:pPr>
      <w:r w:rsidRPr="009868C4">
        <w:rPr>
          <w:i/>
        </w:rPr>
        <w:t>The redacted values correspond to the following ranges</w:t>
      </w:r>
      <w:r>
        <w:rPr>
          <w:i/>
        </w:rPr>
        <w:t xml:space="preserve">: </w:t>
      </w:r>
    </w:p>
    <w:p w14:paraId="7FCC9AF7" w14:textId="77777777" w:rsidR="00D83CBE" w:rsidRPr="00B02C2E" w:rsidRDefault="00D83CBE" w:rsidP="00D83CBE">
      <w:pPr>
        <w:pStyle w:val="TableFigureFooter"/>
      </w:pPr>
      <w:r>
        <w:rPr>
          <w:i/>
          <w:vertAlign w:val="superscript"/>
        </w:rPr>
        <w:t>1</w:t>
      </w:r>
      <w:r>
        <w:rPr>
          <w:i/>
        </w:rPr>
        <w:t xml:space="preserve"> </w:t>
      </w:r>
      <w:r w:rsidRPr="00D83CBE">
        <w:rPr>
          <w:i/>
        </w:rPr>
        <w:t>&gt; $1,055,000</w:t>
      </w:r>
    </w:p>
    <w:p w14:paraId="6761E093" w14:textId="77777777" w:rsidR="00D83CBE" w:rsidRPr="00B02C2E" w:rsidRDefault="00D83CBE" w:rsidP="007C295A">
      <w:pPr>
        <w:pStyle w:val="TableFigureFooter"/>
      </w:pPr>
    </w:p>
    <w:p w14:paraId="30F16881" w14:textId="77777777" w:rsidR="00AD141B" w:rsidRPr="00B02C2E" w:rsidRDefault="00AD141B" w:rsidP="00AD141B">
      <w:pPr>
        <w:pStyle w:val="ExecSumBodyText"/>
        <w:rPr>
          <w:color w:val="000000" w:themeColor="text1"/>
        </w:rPr>
      </w:pPr>
      <w:r w:rsidRPr="00B02C2E">
        <w:rPr>
          <w:color w:val="000000" w:themeColor="text1"/>
        </w:rPr>
        <w:t>The results of the sensitivity analyses indicated that the model was most sensitive to time horizon, discount rate, annualised relapse rate in the best supportive care arm, eculizumab treatment effects, population EDSS state at initiation, risk of fatal relapse, risk of disability progression and utility values for severe disability health states. Changes to cost inputs (such as health state costs) did not significantly affect the ICER, due to the significant cost of eculizumab.</w:t>
      </w:r>
    </w:p>
    <w:p w14:paraId="3842F56E" w14:textId="77777777" w:rsidR="00D21778" w:rsidRPr="00B02C2E" w:rsidRDefault="00D21778" w:rsidP="00600C7E">
      <w:pPr>
        <w:pStyle w:val="ExecSumBodyText"/>
      </w:pPr>
      <w:r w:rsidRPr="00B02C2E">
        <w:t xml:space="preserve">Overall, the model in the resubmission, which partly addressed some of the concerns raised in response to the original submission, provides additional certainty that the ICER is approximately </w:t>
      </w:r>
      <w:r w:rsidR="00600C7E" w:rsidRPr="00600C7E">
        <w:rPr>
          <w:color w:val="000000" w:themeColor="text1"/>
        </w:rPr>
        <w:t>&gt; $1,055,000</w:t>
      </w:r>
      <w:r w:rsidR="00600C7E">
        <w:rPr>
          <w:color w:val="000000" w:themeColor="text1"/>
        </w:rPr>
        <w:t xml:space="preserve"> </w:t>
      </w:r>
      <w:r w:rsidRPr="00B02C2E">
        <w:t>per QALY</w:t>
      </w:r>
      <w:r w:rsidR="001933CD" w:rsidRPr="00B02C2E">
        <w:t xml:space="preserve"> gained</w:t>
      </w:r>
      <w:r w:rsidRPr="00B02C2E">
        <w:t>.</w:t>
      </w:r>
      <w:r w:rsidR="003D3D5B" w:rsidRPr="00B02C2E">
        <w:t xml:space="preserve"> The PSCR stated that the revised economic model has completely addressed the most important variables (e.g. EDSS decline per relapse, aligning the modelled population with the trial) and partially addressed other variables where the evidence better supports the approach taken by the original submission (e.g. constant efficacy over time, constant relapse rates over time, health state utility values). The PSCR considers that the ICER is as certain as can be expected in a rare condition, and whilst the ICER is high, the clinical evidence and economic model form a reliable basis for decision making. The ESC considered tha</w:t>
      </w:r>
      <w:r w:rsidR="00931619" w:rsidRPr="00B02C2E">
        <w:t>t</w:t>
      </w:r>
      <w:r w:rsidR="00522718" w:rsidRPr="00B02C2E">
        <w:t xml:space="preserve"> although some changes could be made, including a more conservative duration of effect</w:t>
      </w:r>
      <w:r w:rsidR="00931619" w:rsidRPr="00B02C2E">
        <w:t xml:space="preserve">, at the current price, the ICER was </w:t>
      </w:r>
      <w:r w:rsidR="00522718" w:rsidRPr="00B02C2E">
        <w:t xml:space="preserve">likely </w:t>
      </w:r>
      <w:r w:rsidR="00EA6071" w:rsidRPr="00B02C2E">
        <w:t>no less than</w:t>
      </w:r>
      <w:r w:rsidR="00931619" w:rsidRPr="00B02C2E">
        <w:t xml:space="preserve"> </w:t>
      </w:r>
      <w:r w:rsidR="00600C7E" w:rsidRPr="00600C7E">
        <w:t>&gt; $1,055,000</w:t>
      </w:r>
      <w:r w:rsidR="00600C7E">
        <w:t xml:space="preserve"> </w:t>
      </w:r>
      <w:r w:rsidR="00931619" w:rsidRPr="00B02C2E">
        <w:t>per QALY gained.</w:t>
      </w:r>
    </w:p>
    <w:p w14:paraId="7BCE4B42" w14:textId="77777777" w:rsidR="00494207" w:rsidRPr="00B02C2E" w:rsidRDefault="00C25D9C" w:rsidP="002D72B1">
      <w:pPr>
        <w:pStyle w:val="3-SubsectionHeading"/>
      </w:pPr>
      <w:bookmarkStart w:id="31" w:name="_Toc22897646"/>
      <w:bookmarkStart w:id="32" w:name="_Toc82079283"/>
      <w:r w:rsidRPr="00B02C2E">
        <w:t>Drug cost/patient/</w:t>
      </w:r>
      <w:r w:rsidR="002D72B1" w:rsidRPr="00B02C2E">
        <w:t>y</w:t>
      </w:r>
      <w:r w:rsidRPr="00B02C2E">
        <w:t>ear</w:t>
      </w:r>
      <w:bookmarkEnd w:id="31"/>
      <w:bookmarkEnd w:id="32"/>
    </w:p>
    <w:p w14:paraId="342A1C10" w14:textId="77777777" w:rsidR="002D72B1" w:rsidRPr="00B02C2E" w:rsidRDefault="002D72B1" w:rsidP="002D72B1">
      <w:pPr>
        <w:pStyle w:val="ExecSumBodyText"/>
        <w:rPr>
          <w:snapToGrid/>
          <w:color w:val="000000" w:themeColor="text1"/>
        </w:rPr>
      </w:pPr>
      <w:r w:rsidRPr="00B02C2E">
        <w:rPr>
          <w:snapToGrid/>
          <w:color w:val="000000" w:themeColor="text1"/>
        </w:rPr>
        <w:t>The estimated drug cost for eculizumab in the initial month of treatment was $</w:t>
      </w:r>
      <w:r w:rsidR="00B763C7">
        <w:rPr>
          <w:noProof/>
          <w:snapToGrid/>
          <w:color w:val="000000"/>
          <w:highlight w:val="black"/>
        </w:rPr>
        <w:t>''''''''''''</w:t>
      </w:r>
      <w:r w:rsidRPr="00B02C2E">
        <w:rPr>
          <w:snapToGrid/>
          <w:color w:val="000000" w:themeColor="text1"/>
        </w:rPr>
        <w:t xml:space="preserve"> (based on 3 x 300 mg vials x 4 weeks using a weighted public/private DPMQ of $</w:t>
      </w:r>
      <w:r w:rsidR="00B763C7">
        <w:rPr>
          <w:noProof/>
          <w:snapToGrid/>
          <w:color w:val="000000"/>
          <w:highlight w:val="black"/>
        </w:rPr>
        <w:t>''''''''''''''''</w:t>
      </w:r>
      <w:r w:rsidRPr="00B02C2E">
        <w:rPr>
          <w:snapToGrid/>
          <w:color w:val="000000" w:themeColor="text1"/>
        </w:rPr>
        <w:t>). The estimated drug cost per patient per year for eculizumab in the continuation phase was $</w:t>
      </w:r>
      <w:r w:rsidR="00B763C7">
        <w:rPr>
          <w:noProof/>
          <w:snapToGrid/>
          <w:color w:val="000000"/>
          <w:highlight w:val="black"/>
        </w:rPr>
        <w:t>''''''''''''''</w:t>
      </w:r>
      <w:r w:rsidRPr="00B02C2E">
        <w:rPr>
          <w:snapToGrid/>
          <w:color w:val="000000" w:themeColor="text1"/>
        </w:rPr>
        <w:t xml:space="preserve"> (based on 4 x 300 mg vials x 26 fortnights using a weighted public/private DPMQ of $</w:t>
      </w:r>
      <w:r w:rsidR="00B763C7">
        <w:rPr>
          <w:noProof/>
          <w:snapToGrid/>
          <w:color w:val="000000"/>
          <w:highlight w:val="black"/>
        </w:rPr>
        <w:t>'''''''''''''''''</w:t>
      </w:r>
      <w:r w:rsidR="00665DA7" w:rsidRPr="00B02C2E">
        <w:rPr>
          <w:snapToGrid/>
          <w:color w:val="000000" w:themeColor="text1"/>
        </w:rPr>
        <w:t>; 100% persistence</w:t>
      </w:r>
      <w:r w:rsidRPr="00B02C2E">
        <w:rPr>
          <w:snapToGrid/>
          <w:color w:val="000000" w:themeColor="text1"/>
        </w:rPr>
        <w:t>). This is reduced compared with the November 2020 submission due to the proposed special pricing arrangement.</w:t>
      </w:r>
    </w:p>
    <w:p w14:paraId="4E8359AB" w14:textId="77777777" w:rsidR="002D72B1" w:rsidRPr="00B02C2E" w:rsidRDefault="00B46CBC" w:rsidP="002D72B1">
      <w:pPr>
        <w:pStyle w:val="ExecSumBodyText"/>
        <w:rPr>
          <w:snapToGrid/>
          <w:color w:val="000000" w:themeColor="text1"/>
        </w:rPr>
      </w:pPr>
      <w:r w:rsidRPr="00B02C2E">
        <w:rPr>
          <w:snapToGrid/>
          <w:color w:val="000000" w:themeColor="text1"/>
        </w:rPr>
        <w:t xml:space="preserve">The estimated drug costs (based on vial price, dosing regimen and adherence) were consistent across all sections of the resubmission. However, the economic model assumed an annual discontinuation rate of 9.3% </w:t>
      </w:r>
      <w:r w:rsidR="00B42757" w:rsidRPr="00B02C2E">
        <w:rPr>
          <w:snapToGrid/>
          <w:color w:val="000000" w:themeColor="text1"/>
        </w:rPr>
        <w:t xml:space="preserve">whereas </w:t>
      </w:r>
      <w:r w:rsidRPr="00B02C2E">
        <w:rPr>
          <w:snapToGrid/>
          <w:color w:val="000000" w:themeColor="text1"/>
        </w:rPr>
        <w:t>the budget impact model assumed 100% persistence</w:t>
      </w:r>
      <w:r w:rsidR="002D72B1" w:rsidRPr="00B02C2E">
        <w:rPr>
          <w:snapToGrid/>
          <w:color w:val="000000" w:themeColor="text1"/>
        </w:rPr>
        <w:t>.</w:t>
      </w:r>
    </w:p>
    <w:p w14:paraId="2013D661" w14:textId="75317274" w:rsidR="002D72B1" w:rsidRPr="00B02C2E" w:rsidRDefault="002D72B1" w:rsidP="002D72B1">
      <w:pPr>
        <w:pStyle w:val="ExecSumBodyText"/>
        <w:rPr>
          <w:snapToGrid/>
          <w:color w:val="000000" w:themeColor="text1"/>
        </w:rPr>
      </w:pPr>
      <w:r w:rsidRPr="00B02C2E">
        <w:rPr>
          <w:snapToGrid/>
          <w:color w:val="000000" w:themeColor="text1"/>
        </w:rPr>
        <w:t>The resubmission also estimated the drug costs associated with supplemental dosing of eculizumab during plasma exchange, based on average use by the proportion of patients requiring plasma exchange in the PREVENT trial. The estimated drug cost for supplemental dosing of eculizumab per patient was $</w:t>
      </w:r>
      <w:r w:rsidR="00B763C7">
        <w:rPr>
          <w:noProof/>
          <w:snapToGrid/>
          <w:color w:val="000000"/>
          <w:highlight w:val="black"/>
        </w:rPr>
        <w:t>''''''''''''''</w:t>
      </w:r>
      <w:r w:rsidR="00B42757" w:rsidRPr="00B02C2E">
        <w:rPr>
          <w:snapToGrid/>
          <w:color w:val="000000" w:themeColor="text1"/>
        </w:rPr>
        <w:t xml:space="preserve"> per relapse</w:t>
      </w:r>
      <w:r w:rsidRPr="00B02C2E">
        <w:rPr>
          <w:snapToGrid/>
          <w:color w:val="000000" w:themeColor="text1"/>
        </w:rPr>
        <w:t>, based on the average use of 9.6 x 300 mg vials using a weighted public/private DPMQ of $</w:t>
      </w:r>
      <w:r w:rsidR="00B763C7">
        <w:rPr>
          <w:noProof/>
          <w:snapToGrid/>
          <w:color w:val="000000"/>
          <w:highlight w:val="black"/>
        </w:rPr>
        <w:t>''''''''''''''''</w:t>
      </w:r>
      <w:r w:rsidRPr="00B02C2E">
        <w:rPr>
          <w:snapToGrid/>
          <w:color w:val="000000" w:themeColor="text1"/>
        </w:rPr>
        <w:t>. In the trial, 4/14 patients (28.6%) received supplementary dosing with eculizumab during a relapse. The use of supplementary eculizumab during plasma exchange may vary significantly in practice</w:t>
      </w:r>
      <w:r w:rsidR="00B42757" w:rsidRPr="00B02C2E">
        <w:rPr>
          <w:snapToGrid/>
          <w:color w:val="000000" w:themeColor="text1"/>
        </w:rPr>
        <w:t xml:space="preserve"> and</w:t>
      </w:r>
      <w:r w:rsidR="005D64C8" w:rsidRPr="00B02C2E">
        <w:rPr>
          <w:snapToGrid/>
          <w:color w:val="000000" w:themeColor="text1"/>
        </w:rPr>
        <w:t xml:space="preserve"> as advised by the ESC in October 2020, </w:t>
      </w:r>
      <w:r w:rsidR="00B42757" w:rsidRPr="00B02C2E">
        <w:rPr>
          <w:snapToGrid/>
          <w:color w:val="000000" w:themeColor="text1"/>
        </w:rPr>
        <w:t>would likely occur in admitted patients in public hospitals</w:t>
      </w:r>
      <w:r w:rsidR="005D64C8" w:rsidRPr="00B02C2E">
        <w:rPr>
          <w:snapToGrid/>
          <w:color w:val="000000" w:themeColor="text1"/>
        </w:rPr>
        <w:t xml:space="preserve"> (para</w:t>
      </w:r>
      <w:r w:rsidR="004E04C6" w:rsidRPr="00B02C2E">
        <w:rPr>
          <w:snapToGrid/>
          <w:color w:val="000000" w:themeColor="text1"/>
        </w:rPr>
        <w:t>graph</w:t>
      </w:r>
      <w:r w:rsidR="005D64C8" w:rsidRPr="00B02C2E">
        <w:rPr>
          <w:snapToGrid/>
          <w:color w:val="000000" w:themeColor="text1"/>
        </w:rPr>
        <w:t xml:space="preserve"> 3.4, </w:t>
      </w:r>
      <w:r w:rsidR="004E04C6" w:rsidRPr="00B02C2E">
        <w:rPr>
          <w:snapToGrid/>
          <w:color w:val="000000" w:themeColor="text1"/>
        </w:rPr>
        <w:t>e</w:t>
      </w:r>
      <w:r w:rsidR="005D64C8" w:rsidRPr="00B02C2E">
        <w:rPr>
          <w:snapToGrid/>
          <w:color w:val="000000" w:themeColor="text1"/>
        </w:rPr>
        <w:t>culizumab PSD, November 2020)</w:t>
      </w:r>
      <w:r w:rsidRPr="00B02C2E">
        <w:rPr>
          <w:snapToGrid/>
          <w:color w:val="000000" w:themeColor="text1"/>
        </w:rPr>
        <w:t>.</w:t>
      </w:r>
    </w:p>
    <w:p w14:paraId="3414183D" w14:textId="77777777" w:rsidR="002D72B1" w:rsidRPr="00B02C2E" w:rsidRDefault="002D72B1" w:rsidP="002D72B1">
      <w:pPr>
        <w:pStyle w:val="ExecSumBodyText"/>
        <w:rPr>
          <w:snapToGrid/>
          <w:color w:val="000000" w:themeColor="text1"/>
        </w:rPr>
      </w:pPr>
      <w:r w:rsidRPr="00B02C2E">
        <w:rPr>
          <w:snapToGrid/>
          <w:color w:val="000000" w:themeColor="text1"/>
        </w:rPr>
        <w:t>The resubmission did not estimate the drug costs associated with best supportive care.</w:t>
      </w:r>
    </w:p>
    <w:p w14:paraId="01F29D34" w14:textId="77777777" w:rsidR="00B60939" w:rsidRPr="00B02C2E" w:rsidRDefault="00B60939" w:rsidP="002B05A1">
      <w:pPr>
        <w:pStyle w:val="3-SubsectionHeading"/>
      </w:pPr>
      <w:bookmarkStart w:id="33" w:name="_Toc22897647"/>
      <w:bookmarkStart w:id="34" w:name="_Toc82079284"/>
      <w:r w:rsidRPr="00B02C2E">
        <w:t>Estimated PBS usage &amp; financial implications</w:t>
      </w:r>
      <w:bookmarkEnd w:id="33"/>
      <w:bookmarkEnd w:id="34"/>
    </w:p>
    <w:p w14:paraId="53857A7A" w14:textId="77777777" w:rsidR="002F22DD" w:rsidRPr="00B02C2E" w:rsidRDefault="002D72B1" w:rsidP="002F22DD">
      <w:pPr>
        <w:pStyle w:val="ExecSumBodyText"/>
      </w:pPr>
      <w:r w:rsidRPr="00B02C2E">
        <w:t xml:space="preserve">This resubmission </w:t>
      </w:r>
      <w:r w:rsidR="007A34F8" w:rsidRPr="00B02C2E">
        <w:t>was not</w:t>
      </w:r>
      <w:r w:rsidRPr="00B02C2E">
        <w:t xml:space="preserve"> considered by DUSC. The resubmission used an epidemiological approach to estimate the utilisation and financial implications of listing eculizumab on the PBS/RPBS for NMOSD.</w:t>
      </w:r>
    </w:p>
    <w:p w14:paraId="42B88911" w14:textId="77777777" w:rsidR="00EA2244" w:rsidRPr="00B02C2E" w:rsidRDefault="002F22DD" w:rsidP="002F22DD">
      <w:pPr>
        <w:pStyle w:val="ExecSumBodyText"/>
      </w:pPr>
      <w:r w:rsidRPr="00B02C2E">
        <w:t>Key differences compared to the previous November 2020 submission included a major change in methodology (prevalence-based approach rather than mixed incidence/prevalence approach) as well as changes to the majority of inputs used in the analysis (prevalence, eligibility criteria, uptake rates, compliance, price).</w:t>
      </w:r>
    </w:p>
    <w:p w14:paraId="3C6F2D7D" w14:textId="77777777" w:rsidR="0072416F" w:rsidRPr="00B02C2E" w:rsidRDefault="002D72B1" w:rsidP="002F22DD">
      <w:pPr>
        <w:pStyle w:val="ExecSumBodyText"/>
      </w:pPr>
      <w:r w:rsidRPr="00B02C2E">
        <w:t>Key inputs are summarised in the table below.</w:t>
      </w:r>
    </w:p>
    <w:p w14:paraId="1030E5DC" w14:textId="77777777" w:rsidR="002D72B1" w:rsidRPr="00B02C2E" w:rsidRDefault="002D72B1" w:rsidP="002D72B1">
      <w:pPr>
        <w:pStyle w:val="Tableheadingrow"/>
        <w:rPr>
          <w:lang w:val="en-AU"/>
        </w:rPr>
      </w:pPr>
      <w:r w:rsidRPr="00B02C2E">
        <w:rPr>
          <w:lang w:val="en-AU"/>
        </w:rPr>
        <w:t xml:space="preserve">Table </w:t>
      </w:r>
      <w:r w:rsidR="00910265" w:rsidRPr="00B02C2E">
        <w:rPr>
          <w:lang w:val="en-AU"/>
        </w:rPr>
        <w:t>1</w:t>
      </w:r>
      <w:r w:rsidR="00EA6071" w:rsidRPr="00B02C2E">
        <w:rPr>
          <w:lang w:val="en-AU"/>
        </w:rPr>
        <w:t>1</w:t>
      </w:r>
      <w:r w:rsidRPr="00B02C2E">
        <w:rPr>
          <w:lang w:val="en-AU"/>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0"/>
        <w:gridCol w:w="3443"/>
        <w:gridCol w:w="3444"/>
      </w:tblGrid>
      <w:tr w:rsidR="002D72B1" w:rsidRPr="00B02C2E" w14:paraId="09C457A0" w14:textId="77777777" w:rsidTr="00EB2FD1">
        <w:trPr>
          <w:cantSplit/>
          <w:tblHeader/>
        </w:trPr>
        <w:tc>
          <w:tcPr>
            <w:tcW w:w="1181" w:type="pct"/>
            <w:shd w:val="clear" w:color="auto" w:fill="auto"/>
            <w:vAlign w:val="center"/>
          </w:tcPr>
          <w:p w14:paraId="3EEEED68" w14:textId="77777777" w:rsidR="002D72B1" w:rsidRPr="00B02C2E" w:rsidRDefault="002D72B1" w:rsidP="00550195">
            <w:pPr>
              <w:pStyle w:val="Tableheadingrow"/>
              <w:keepNext w:val="0"/>
              <w:rPr>
                <w:lang w:val="en-AU"/>
              </w:rPr>
            </w:pPr>
            <w:r w:rsidRPr="00B02C2E">
              <w:rPr>
                <w:lang w:val="en-AU"/>
              </w:rPr>
              <w:t>Parameter</w:t>
            </w:r>
          </w:p>
        </w:tc>
        <w:tc>
          <w:tcPr>
            <w:tcW w:w="1909" w:type="pct"/>
            <w:shd w:val="clear" w:color="auto" w:fill="auto"/>
            <w:vAlign w:val="center"/>
          </w:tcPr>
          <w:p w14:paraId="6F16895E" w14:textId="77777777" w:rsidR="002D72B1" w:rsidRPr="00B02C2E" w:rsidRDefault="002D72B1" w:rsidP="00550195">
            <w:pPr>
              <w:pStyle w:val="Tableheadingrow"/>
              <w:keepNext w:val="0"/>
              <w:rPr>
                <w:lang w:val="en-AU"/>
              </w:rPr>
            </w:pPr>
            <w:r w:rsidRPr="00B02C2E">
              <w:rPr>
                <w:lang w:val="en-AU"/>
              </w:rPr>
              <w:t>Value applied and source</w:t>
            </w:r>
          </w:p>
        </w:tc>
        <w:tc>
          <w:tcPr>
            <w:tcW w:w="1910" w:type="pct"/>
            <w:shd w:val="clear" w:color="auto" w:fill="auto"/>
            <w:vAlign w:val="center"/>
          </w:tcPr>
          <w:p w14:paraId="4EA0CC24" w14:textId="77777777" w:rsidR="002D72B1" w:rsidRPr="00B02C2E" w:rsidRDefault="002D72B1" w:rsidP="00550195">
            <w:pPr>
              <w:pStyle w:val="Tableheadingrow"/>
              <w:keepNext w:val="0"/>
              <w:rPr>
                <w:lang w:val="en-AU"/>
              </w:rPr>
            </w:pPr>
            <w:r w:rsidRPr="00B02C2E">
              <w:rPr>
                <w:lang w:val="en-AU"/>
              </w:rPr>
              <w:t>Comment</w:t>
            </w:r>
          </w:p>
        </w:tc>
      </w:tr>
      <w:tr w:rsidR="002D72B1" w:rsidRPr="00B02C2E" w14:paraId="7E37A53D" w14:textId="77777777" w:rsidTr="00EB2FD1">
        <w:trPr>
          <w:cantSplit/>
        </w:trPr>
        <w:tc>
          <w:tcPr>
            <w:tcW w:w="1181" w:type="pct"/>
            <w:shd w:val="clear" w:color="auto" w:fill="auto"/>
            <w:vAlign w:val="center"/>
          </w:tcPr>
          <w:p w14:paraId="4C6240BC" w14:textId="77777777" w:rsidR="002D72B1" w:rsidRPr="00B02C2E" w:rsidRDefault="002D72B1" w:rsidP="00550195">
            <w:pPr>
              <w:pStyle w:val="TableText"/>
              <w:keepNext w:val="0"/>
            </w:pPr>
            <w:r w:rsidRPr="00B02C2E">
              <w:t>Prevalence of NMOSD</w:t>
            </w:r>
          </w:p>
        </w:tc>
        <w:tc>
          <w:tcPr>
            <w:tcW w:w="1909" w:type="pct"/>
            <w:shd w:val="clear" w:color="auto" w:fill="auto"/>
            <w:vAlign w:val="center"/>
          </w:tcPr>
          <w:p w14:paraId="705A3B32" w14:textId="77777777" w:rsidR="002D72B1" w:rsidRPr="00B02C2E" w:rsidRDefault="002D72B1" w:rsidP="00550195">
            <w:pPr>
              <w:pStyle w:val="TableText"/>
            </w:pPr>
            <w:r w:rsidRPr="00B02C2E">
              <w:t xml:space="preserve">Based on a median prevalence estimate (0.00104%) from six studies conducted in primarily </w:t>
            </w:r>
            <w:r w:rsidR="005D64C8" w:rsidRPr="00B02C2E">
              <w:t xml:space="preserve">white </w:t>
            </w:r>
            <w:r w:rsidRPr="00B02C2E">
              <w:t>populations with adequate sample sizes that were identified in published systematic reviews of the epidemiology of NMOSD</w:t>
            </w:r>
            <w:r w:rsidR="00EA2244" w:rsidRPr="00B02C2E">
              <w:t>. The November 2020 submission estimated a prevalence of between 0.0007% (Bukhari 2017) and 0.001% (expert opinion).</w:t>
            </w:r>
          </w:p>
          <w:p w14:paraId="509DD144" w14:textId="77777777" w:rsidR="002D72B1" w:rsidRPr="00B02C2E" w:rsidRDefault="002D72B1" w:rsidP="00550195">
            <w:pPr>
              <w:pStyle w:val="TableText"/>
            </w:pPr>
          </w:p>
          <w:p w14:paraId="51721151" w14:textId="77777777" w:rsidR="002D72B1" w:rsidRPr="00B02C2E" w:rsidRDefault="002D72B1" w:rsidP="00550195">
            <w:pPr>
              <w:pStyle w:val="TableText"/>
            </w:pPr>
            <w:r w:rsidRPr="00B02C2E">
              <w:t>Some studies only reported AQP4+ NMOSD and therefore the resubmission inflated these prevalence estimates assuming 90% of NMOSD cases are AQP4+</w:t>
            </w:r>
          </w:p>
          <w:p w14:paraId="200F34AF" w14:textId="77777777" w:rsidR="002D72B1" w:rsidRPr="00B02C2E" w:rsidRDefault="002D72B1" w:rsidP="00550195">
            <w:pPr>
              <w:pStyle w:val="TableText"/>
            </w:pPr>
          </w:p>
          <w:p w14:paraId="0264D267" w14:textId="77777777" w:rsidR="002D72B1" w:rsidRPr="00B02C2E" w:rsidRDefault="002D72B1" w:rsidP="00550195">
            <w:pPr>
              <w:pStyle w:val="TableText"/>
            </w:pPr>
            <w:r w:rsidRPr="00B02C2E">
              <w:t>Bukhari 2017 (Australia) 0.00070%</w:t>
            </w:r>
          </w:p>
          <w:p w14:paraId="70E86F10" w14:textId="77777777" w:rsidR="002D72B1" w:rsidRPr="00B02C2E" w:rsidRDefault="002D72B1" w:rsidP="00550195">
            <w:pPr>
              <w:pStyle w:val="TableText"/>
            </w:pPr>
            <w:r w:rsidRPr="00B02C2E">
              <w:t>Aboul-Enein 2018 (Austria) 0.00078%</w:t>
            </w:r>
          </w:p>
          <w:p w14:paraId="1FF9BB1E" w14:textId="77777777" w:rsidR="002D72B1" w:rsidRPr="00B02C2E" w:rsidRDefault="002D72B1" w:rsidP="00550195">
            <w:pPr>
              <w:pStyle w:val="TableText"/>
            </w:pPr>
            <w:r w:rsidRPr="00B02C2E">
              <w:t>Sepulveda 2018 (Spain) 0.00099%</w:t>
            </w:r>
          </w:p>
          <w:p w14:paraId="4A8C3382" w14:textId="77777777" w:rsidR="002D72B1" w:rsidRPr="00B02C2E" w:rsidRDefault="002D72B1" w:rsidP="00550195">
            <w:pPr>
              <w:pStyle w:val="TableText"/>
            </w:pPr>
            <w:r w:rsidRPr="00B02C2E">
              <w:t>Papp 2018 (Denmark) 0.00109%</w:t>
            </w:r>
          </w:p>
          <w:p w14:paraId="7FA0D23F" w14:textId="77777777" w:rsidR="002D72B1" w:rsidRPr="00B02C2E" w:rsidRDefault="002D72B1" w:rsidP="00550195">
            <w:pPr>
              <w:pStyle w:val="TableText"/>
            </w:pPr>
            <w:r w:rsidRPr="00B02C2E">
              <w:t>Jonsson 2019 (Sweden) 0.00116%</w:t>
            </w:r>
          </w:p>
          <w:p w14:paraId="57AEBACA" w14:textId="77777777" w:rsidR="002D72B1" w:rsidRPr="00B02C2E" w:rsidRDefault="002D72B1" w:rsidP="00550195">
            <w:pPr>
              <w:pStyle w:val="TableText"/>
              <w:keepNext w:val="0"/>
            </w:pPr>
            <w:r w:rsidRPr="00B02C2E">
              <w:t>Papp 2020 (Hungary) 0.00191%</w:t>
            </w:r>
          </w:p>
        </w:tc>
        <w:tc>
          <w:tcPr>
            <w:tcW w:w="1910" w:type="pct"/>
            <w:shd w:val="clear" w:color="auto" w:fill="auto"/>
            <w:vAlign w:val="center"/>
          </w:tcPr>
          <w:p w14:paraId="6540B39E" w14:textId="77777777" w:rsidR="002F22DD" w:rsidRPr="00B02C2E" w:rsidRDefault="002D72B1" w:rsidP="00550195">
            <w:pPr>
              <w:pStyle w:val="TableText"/>
              <w:keepNext w:val="0"/>
            </w:pPr>
            <w:r w:rsidRPr="00B02C2E">
              <w:t xml:space="preserve">This estimate was broadly consistent with the results of two published systematic reviews of NMOSD prevalence which suggested a prevalence of approximately 1:100,000 individuals in </w:t>
            </w:r>
            <w:r w:rsidR="005D64C8" w:rsidRPr="00B02C2E">
              <w:t xml:space="preserve">white </w:t>
            </w:r>
            <w:r w:rsidRPr="00B02C2E">
              <w:t>populations (Hor 2020; Papp 2021). However, these systematic reviews noted that there were substantial differences in prevalence across different racial groups with much higher prevalence in Asian (3.5:100,000) and Black (up to 10:100,000) populations. Additionally, the systematic reviews acknowledged substantial uncertainty surrounding published prevalence estimates due to varying methodological approaches and incomplete data capture.</w:t>
            </w:r>
          </w:p>
        </w:tc>
      </w:tr>
      <w:tr w:rsidR="002D72B1" w:rsidRPr="00B02C2E" w14:paraId="48783B49" w14:textId="77777777" w:rsidTr="00EB2FD1">
        <w:trPr>
          <w:cantSplit/>
        </w:trPr>
        <w:tc>
          <w:tcPr>
            <w:tcW w:w="1181" w:type="pct"/>
            <w:shd w:val="clear" w:color="auto" w:fill="auto"/>
            <w:vAlign w:val="center"/>
          </w:tcPr>
          <w:p w14:paraId="37CB0421" w14:textId="77777777" w:rsidR="002D72B1" w:rsidRPr="00B02C2E" w:rsidRDefault="002D72B1" w:rsidP="00550195">
            <w:pPr>
              <w:pStyle w:val="TableText"/>
              <w:keepNext w:val="0"/>
            </w:pPr>
            <w:r w:rsidRPr="00B02C2E">
              <w:t>Proportion with AQP4+</w:t>
            </w:r>
          </w:p>
        </w:tc>
        <w:tc>
          <w:tcPr>
            <w:tcW w:w="1909" w:type="pct"/>
            <w:shd w:val="clear" w:color="auto" w:fill="auto"/>
            <w:vAlign w:val="center"/>
          </w:tcPr>
          <w:p w14:paraId="026A4048" w14:textId="77777777" w:rsidR="002D72B1" w:rsidRPr="00B02C2E" w:rsidRDefault="00EA2244" w:rsidP="00550195">
            <w:pPr>
              <w:pStyle w:val="TableText"/>
            </w:pPr>
            <w:r w:rsidRPr="00B02C2E">
              <w:t>90.1%, b</w:t>
            </w:r>
            <w:r w:rsidR="002D72B1" w:rsidRPr="00B02C2E">
              <w:t>ased on an NMOSD epidemiological study in Australia and New Zealand (Bukhari 2017)</w:t>
            </w:r>
            <w:r w:rsidRPr="00B02C2E">
              <w:t xml:space="preserve">. This </w:t>
            </w:r>
            <w:r w:rsidR="00715A41" w:rsidRPr="00B02C2E">
              <w:t>wa</w:t>
            </w:r>
            <w:r w:rsidRPr="00B02C2E">
              <w:t>s</w:t>
            </w:r>
            <w:r w:rsidR="00715A41" w:rsidRPr="00B02C2E">
              <w:t xml:space="preserve"> </w:t>
            </w:r>
            <w:r w:rsidRPr="00B02C2E">
              <w:t>unchanged from November 2020 submission.</w:t>
            </w:r>
          </w:p>
          <w:p w14:paraId="4130B8E9" w14:textId="77777777" w:rsidR="002D72B1" w:rsidRPr="00B02C2E" w:rsidRDefault="002D72B1" w:rsidP="00550195">
            <w:pPr>
              <w:pStyle w:val="TableText"/>
            </w:pPr>
          </w:p>
          <w:p w14:paraId="0532A9AD" w14:textId="77777777" w:rsidR="002D72B1" w:rsidRPr="00B02C2E" w:rsidRDefault="002D72B1" w:rsidP="00550195">
            <w:pPr>
              <w:pStyle w:val="TableText"/>
              <w:keepNext w:val="0"/>
            </w:pPr>
            <w:r w:rsidRPr="00B02C2E">
              <w:t>Estimate was calculated based on the proportion of diagnosed NMOSD cases that were seropositive (73 of 81 cases, 90.1%).</w:t>
            </w:r>
          </w:p>
        </w:tc>
        <w:tc>
          <w:tcPr>
            <w:tcW w:w="1910" w:type="pct"/>
            <w:shd w:val="clear" w:color="auto" w:fill="auto"/>
            <w:vAlign w:val="center"/>
          </w:tcPr>
          <w:p w14:paraId="03A412F7" w14:textId="77777777" w:rsidR="00E55342" w:rsidRPr="00B02C2E" w:rsidRDefault="00717792" w:rsidP="00550195">
            <w:pPr>
              <w:pStyle w:val="TableText"/>
            </w:pPr>
            <w:r w:rsidRPr="00B02C2E">
              <w:t>P</w:t>
            </w:r>
            <w:r w:rsidR="002D72B1" w:rsidRPr="00B02C2E">
              <w:t>lausible estimates of AQP4+ range from 70-90% (Hor 2020).</w:t>
            </w:r>
          </w:p>
        </w:tc>
      </w:tr>
      <w:tr w:rsidR="002D72B1" w:rsidRPr="00B02C2E" w14:paraId="15AE2A39" w14:textId="77777777" w:rsidTr="00EB2FD1">
        <w:trPr>
          <w:cantSplit/>
        </w:trPr>
        <w:tc>
          <w:tcPr>
            <w:tcW w:w="1181" w:type="pct"/>
            <w:shd w:val="clear" w:color="auto" w:fill="auto"/>
            <w:vAlign w:val="center"/>
          </w:tcPr>
          <w:p w14:paraId="47874A24" w14:textId="77777777" w:rsidR="002D72B1" w:rsidRPr="00B02C2E" w:rsidRDefault="002D72B1" w:rsidP="00550195">
            <w:pPr>
              <w:pStyle w:val="TableText"/>
              <w:keepNext w:val="0"/>
            </w:pPr>
            <w:r w:rsidRPr="00B02C2E">
              <w:t>Proportion with EDSS &lt; 7</w:t>
            </w:r>
          </w:p>
        </w:tc>
        <w:tc>
          <w:tcPr>
            <w:tcW w:w="1909" w:type="pct"/>
            <w:shd w:val="clear" w:color="auto" w:fill="auto"/>
            <w:vAlign w:val="center"/>
          </w:tcPr>
          <w:p w14:paraId="2C343320" w14:textId="77777777" w:rsidR="002D72B1" w:rsidRPr="00B02C2E" w:rsidRDefault="002D72B1" w:rsidP="00550195">
            <w:pPr>
              <w:pStyle w:val="TableText"/>
            </w:pPr>
            <w:r w:rsidRPr="00B02C2E">
              <w:t xml:space="preserve">Based on an NMOSD epidemiological study in Australia and New Zealand (Bukhari 2020). </w:t>
            </w:r>
            <w:r w:rsidR="000E5B66" w:rsidRPr="00B02C2E">
              <w:t>These</w:t>
            </w:r>
            <w:r w:rsidR="00EA2244" w:rsidRPr="00B02C2E">
              <w:t xml:space="preserve"> criteria w</w:t>
            </w:r>
            <w:r w:rsidR="00AD11F2" w:rsidRPr="00B02C2E">
              <w:t>ere</w:t>
            </w:r>
            <w:r w:rsidR="00EA2244" w:rsidRPr="00B02C2E">
              <w:t xml:space="preserve"> not included in the proposed restriction or applied to the financial analysis in the November 2020 submission.</w:t>
            </w:r>
          </w:p>
          <w:p w14:paraId="699A299D" w14:textId="77777777" w:rsidR="002D72B1" w:rsidRPr="00B02C2E" w:rsidRDefault="002D72B1" w:rsidP="00550195">
            <w:pPr>
              <w:pStyle w:val="TableText"/>
            </w:pPr>
          </w:p>
          <w:p w14:paraId="5A3B67D1" w14:textId="77777777" w:rsidR="002D72B1" w:rsidRPr="00B02C2E" w:rsidRDefault="002D72B1" w:rsidP="00550195">
            <w:pPr>
              <w:pStyle w:val="TableText"/>
            </w:pPr>
            <w:r w:rsidRPr="00B02C2E">
              <w:t>Estimate based of histogram of EDSS distribution at last assessment in NMOSD cases (94.7% with EDSS 0-7)</w:t>
            </w:r>
          </w:p>
        </w:tc>
        <w:tc>
          <w:tcPr>
            <w:tcW w:w="1910" w:type="pct"/>
            <w:shd w:val="clear" w:color="auto" w:fill="auto"/>
            <w:vAlign w:val="center"/>
          </w:tcPr>
          <w:p w14:paraId="340A9977" w14:textId="77777777" w:rsidR="00E55342" w:rsidRPr="00B02C2E" w:rsidRDefault="00717792" w:rsidP="00550195">
            <w:pPr>
              <w:pStyle w:val="TableText"/>
            </w:pPr>
            <w:r w:rsidRPr="00B02C2E">
              <w:t>-</w:t>
            </w:r>
          </w:p>
        </w:tc>
      </w:tr>
      <w:tr w:rsidR="002D72B1" w:rsidRPr="00B02C2E" w14:paraId="1D23137F" w14:textId="77777777" w:rsidTr="00EB2FD1">
        <w:trPr>
          <w:cantSplit/>
        </w:trPr>
        <w:tc>
          <w:tcPr>
            <w:tcW w:w="1181" w:type="pct"/>
            <w:shd w:val="clear" w:color="auto" w:fill="auto"/>
            <w:vAlign w:val="center"/>
          </w:tcPr>
          <w:p w14:paraId="559684D4" w14:textId="77777777" w:rsidR="002D72B1" w:rsidRPr="00B02C2E" w:rsidRDefault="002D72B1" w:rsidP="00550195">
            <w:pPr>
              <w:pStyle w:val="TableText"/>
              <w:keepNext w:val="0"/>
            </w:pPr>
            <w:r w:rsidRPr="00B02C2E">
              <w:t>Patients with frequent relapses</w:t>
            </w:r>
          </w:p>
        </w:tc>
        <w:tc>
          <w:tcPr>
            <w:tcW w:w="1909" w:type="pct"/>
            <w:shd w:val="clear" w:color="auto" w:fill="auto"/>
            <w:vAlign w:val="center"/>
          </w:tcPr>
          <w:p w14:paraId="0A7294BB" w14:textId="77777777" w:rsidR="002D72B1" w:rsidRPr="00B02C2E" w:rsidRDefault="002D72B1" w:rsidP="00550195">
            <w:pPr>
              <w:pStyle w:val="TableText"/>
            </w:pPr>
            <w:r w:rsidRPr="00B02C2E">
              <w:t>NMOSD outcomes prediction model (Palace 2019).</w:t>
            </w:r>
          </w:p>
          <w:p w14:paraId="68C089FF" w14:textId="77777777" w:rsidR="002D72B1" w:rsidRPr="00B02C2E" w:rsidRDefault="002D72B1" w:rsidP="00550195">
            <w:pPr>
              <w:pStyle w:val="TableText"/>
            </w:pPr>
          </w:p>
          <w:p w14:paraId="3D7AE117" w14:textId="77777777" w:rsidR="00EA2244" w:rsidRPr="00B02C2E" w:rsidRDefault="002D72B1" w:rsidP="00550195">
            <w:pPr>
              <w:pStyle w:val="TableText"/>
              <w:keepNext w:val="0"/>
            </w:pPr>
            <w:r w:rsidRPr="00B02C2E">
              <w:t>Estimate calculated based on the assumption that all patients with 3 relapses in the past 2 years (6.6%) and 50% of patients with 2 relapses in the past 2 years (5.5%) while receiving immunosuppressive therapy (IST) would meet the proposed PBS relapse criterion (total 12.1%)</w:t>
            </w:r>
            <w:r w:rsidR="00EA2244" w:rsidRPr="00B02C2E">
              <w:t>.</w:t>
            </w:r>
          </w:p>
          <w:p w14:paraId="2E1A06F3" w14:textId="77777777" w:rsidR="003B0BF0" w:rsidRPr="00B02C2E" w:rsidRDefault="003B0BF0" w:rsidP="00550195">
            <w:pPr>
              <w:pStyle w:val="TableText"/>
              <w:keepNext w:val="0"/>
            </w:pPr>
          </w:p>
          <w:p w14:paraId="378958B7" w14:textId="77777777" w:rsidR="00EA2244" w:rsidRPr="00B02C2E" w:rsidRDefault="00EA2244" w:rsidP="00550195">
            <w:pPr>
              <w:pStyle w:val="TableText"/>
              <w:keepNext w:val="0"/>
            </w:pPr>
            <w:r w:rsidRPr="00B02C2E">
              <w:t>Estimates in November 2020 derived from Palace 2019 ranged from 17.6% to 57.1%. Based on 17.6% of patients having at least 2 attacks in the preceding 2 years, inflated to include patients who may experience 2 relapses in the future.</w:t>
            </w:r>
          </w:p>
        </w:tc>
        <w:tc>
          <w:tcPr>
            <w:tcW w:w="1910" w:type="pct"/>
            <w:shd w:val="clear" w:color="auto" w:fill="auto"/>
            <w:vAlign w:val="center"/>
          </w:tcPr>
          <w:p w14:paraId="2B1D466A" w14:textId="77777777" w:rsidR="00E55342" w:rsidRPr="00B02C2E" w:rsidRDefault="002D72B1" w:rsidP="00550195">
            <w:pPr>
              <w:pStyle w:val="TableText"/>
              <w:keepNext w:val="0"/>
            </w:pPr>
            <w:r w:rsidRPr="00B02C2E">
              <w:t xml:space="preserve">This estimate was inherently uncertain due to the lack of detailed data on relapse timing and background </w:t>
            </w:r>
            <w:r w:rsidR="00715A41" w:rsidRPr="00B02C2E">
              <w:t>therapies,</w:t>
            </w:r>
            <w:r w:rsidRPr="00B02C2E">
              <w:t xml:space="preserve"> but the approach used in the resubmission appeared reasonable for the base case analysis</w:t>
            </w:r>
            <w:r w:rsidR="00EA2244" w:rsidRPr="00B02C2E">
              <w:t>.</w:t>
            </w:r>
          </w:p>
        </w:tc>
      </w:tr>
      <w:tr w:rsidR="002D72B1" w:rsidRPr="00B02C2E" w14:paraId="21AE1538" w14:textId="77777777" w:rsidTr="00EB2FD1">
        <w:trPr>
          <w:cantSplit/>
        </w:trPr>
        <w:tc>
          <w:tcPr>
            <w:tcW w:w="1181" w:type="pct"/>
            <w:shd w:val="clear" w:color="auto" w:fill="auto"/>
            <w:vAlign w:val="center"/>
          </w:tcPr>
          <w:p w14:paraId="65AFB172" w14:textId="77777777" w:rsidR="002D72B1" w:rsidRPr="00B02C2E" w:rsidRDefault="002D72B1" w:rsidP="00550195">
            <w:pPr>
              <w:pStyle w:val="TableText"/>
              <w:keepNext w:val="0"/>
            </w:pPr>
            <w:r w:rsidRPr="00B02C2E">
              <w:t>Patients with prior immunosuppressive event</w:t>
            </w:r>
          </w:p>
        </w:tc>
        <w:tc>
          <w:tcPr>
            <w:tcW w:w="1909" w:type="pct"/>
            <w:shd w:val="clear" w:color="auto" w:fill="auto"/>
            <w:vAlign w:val="center"/>
          </w:tcPr>
          <w:p w14:paraId="2037591A" w14:textId="77777777" w:rsidR="002D72B1" w:rsidRPr="00B02C2E" w:rsidRDefault="002D72B1" w:rsidP="00550195">
            <w:pPr>
              <w:pStyle w:val="TableText"/>
            </w:pPr>
            <w:r w:rsidRPr="00B02C2E">
              <w:t>Based on a non-randomised retrospective comparison of treatment outcomes associated with ISTs in France (Poupart 2020)</w:t>
            </w:r>
          </w:p>
          <w:p w14:paraId="06620980" w14:textId="77777777" w:rsidR="002D72B1" w:rsidRPr="00B02C2E" w:rsidRDefault="002D72B1" w:rsidP="00550195">
            <w:pPr>
              <w:pStyle w:val="TableText"/>
            </w:pPr>
          </w:p>
          <w:p w14:paraId="7A1318D0" w14:textId="77777777" w:rsidR="002D72B1" w:rsidRPr="00B02C2E" w:rsidRDefault="002D72B1" w:rsidP="00550195">
            <w:pPr>
              <w:pStyle w:val="TableText"/>
            </w:pPr>
            <w:r w:rsidRPr="00B02C2E">
              <w:t>Estimate calculated based on individual patient data on number of patients who discontinued IST due to adverse events (11/136; 8.1%).</w:t>
            </w:r>
          </w:p>
          <w:p w14:paraId="49ABCEEF" w14:textId="77777777" w:rsidR="00EA2244" w:rsidRPr="00B02C2E" w:rsidRDefault="00EA2244" w:rsidP="00550195">
            <w:pPr>
              <w:pStyle w:val="TableText"/>
            </w:pPr>
          </w:p>
          <w:p w14:paraId="5F2E8BE7" w14:textId="77777777" w:rsidR="00EA2244" w:rsidRPr="00B02C2E" w:rsidRDefault="00EA2244" w:rsidP="00EA2244">
            <w:pPr>
              <w:pStyle w:val="CommentText"/>
              <w:jc w:val="left"/>
              <w:rPr>
                <w:rFonts w:ascii="Arial Narrow" w:eastAsiaTheme="majorEastAsia" w:hAnsi="Arial Narrow" w:cstheme="majorBidi"/>
                <w:bCs/>
                <w:szCs w:val="24"/>
              </w:rPr>
            </w:pPr>
            <w:r w:rsidRPr="00B02C2E">
              <w:rPr>
                <w:rFonts w:ascii="Arial Narrow" w:eastAsiaTheme="majorEastAsia" w:hAnsi="Arial Narrow" w:cstheme="majorBidi"/>
                <w:bCs/>
                <w:szCs w:val="24"/>
              </w:rPr>
              <w:t>The November 2020 submission used 11.8% (Poupart 2020; proportion of patients with a documented serious infectious event).</w:t>
            </w:r>
          </w:p>
        </w:tc>
        <w:tc>
          <w:tcPr>
            <w:tcW w:w="1910" w:type="pct"/>
            <w:shd w:val="clear" w:color="auto" w:fill="auto"/>
            <w:vAlign w:val="center"/>
          </w:tcPr>
          <w:p w14:paraId="17B9F809" w14:textId="77777777" w:rsidR="002D72B1" w:rsidRPr="00B02C2E" w:rsidRDefault="002D72B1" w:rsidP="00550195">
            <w:pPr>
              <w:pStyle w:val="TableText"/>
            </w:pPr>
            <w:r w:rsidRPr="00B02C2E">
              <w:t>Patients in the study received ISTs (rituximab, azathioprine, mycophenolate mofetil, cyclophosphamide, mitoxantrone) and did not receive corticosteroids as first-line therapy. Data from the study suggest differential discontinuation rates between ISTs.</w:t>
            </w:r>
          </w:p>
          <w:p w14:paraId="546D1FF3" w14:textId="77777777" w:rsidR="002D72B1" w:rsidRPr="00B02C2E" w:rsidRDefault="002D72B1" w:rsidP="00550195">
            <w:pPr>
              <w:pStyle w:val="TableText"/>
            </w:pPr>
          </w:p>
          <w:p w14:paraId="796F8D55" w14:textId="77777777" w:rsidR="002D72B1" w:rsidRPr="00B02C2E" w:rsidRDefault="002D72B1" w:rsidP="00550195">
            <w:pPr>
              <w:pStyle w:val="TableText"/>
            </w:pPr>
            <w:r w:rsidRPr="00B02C2E">
              <w:t xml:space="preserve">The study authors noted potential limitations with the safety and treatment discontinuation data that are likely to be incomplete due to the retrospective design of the study. </w:t>
            </w:r>
          </w:p>
          <w:p w14:paraId="478DF0D6" w14:textId="77777777" w:rsidR="002D72B1" w:rsidRPr="00B02C2E" w:rsidRDefault="002D72B1" w:rsidP="00550195">
            <w:pPr>
              <w:pStyle w:val="TableText"/>
            </w:pPr>
          </w:p>
          <w:p w14:paraId="2B5D1E6E" w14:textId="77777777" w:rsidR="002D72B1" w:rsidRPr="00B02C2E" w:rsidRDefault="002D72B1" w:rsidP="00550195">
            <w:pPr>
              <w:pStyle w:val="TableText"/>
            </w:pPr>
            <w:r w:rsidRPr="00B02C2E">
              <w:t xml:space="preserve">The availability of new therapies for NMOSD may result in reduced tolerance for IST-related adverse events and therefore the proportion of patients with a prior immunosuppressive event may be underestimated. </w:t>
            </w:r>
          </w:p>
          <w:p w14:paraId="2E652FE3" w14:textId="77777777" w:rsidR="002D72B1" w:rsidRPr="00B02C2E" w:rsidRDefault="002D72B1" w:rsidP="00550195">
            <w:pPr>
              <w:pStyle w:val="TableText"/>
            </w:pPr>
          </w:p>
          <w:p w14:paraId="7AEAEDB4" w14:textId="77777777" w:rsidR="00E55342" w:rsidRPr="00B02C2E" w:rsidRDefault="002D72B1" w:rsidP="00550195">
            <w:pPr>
              <w:pStyle w:val="TableText"/>
              <w:keepNext w:val="0"/>
            </w:pPr>
            <w:r w:rsidRPr="00B02C2E">
              <w:t>Additionally, concerns regarding the impact of long-term immunosuppression may also increase utilisation of newer therapies</w:t>
            </w:r>
            <w:r w:rsidR="00EA2244" w:rsidRPr="00B02C2E">
              <w:t>.</w:t>
            </w:r>
          </w:p>
        </w:tc>
      </w:tr>
      <w:tr w:rsidR="002D72B1" w:rsidRPr="00B02C2E" w14:paraId="7682B71C" w14:textId="77777777" w:rsidTr="00EB2FD1">
        <w:trPr>
          <w:cantSplit/>
        </w:trPr>
        <w:tc>
          <w:tcPr>
            <w:tcW w:w="1181" w:type="pct"/>
            <w:tcBorders>
              <w:bottom w:val="single" w:sz="4" w:space="0" w:color="auto"/>
            </w:tcBorders>
            <w:shd w:val="clear" w:color="auto" w:fill="auto"/>
            <w:vAlign w:val="center"/>
          </w:tcPr>
          <w:p w14:paraId="2E70BE84" w14:textId="77777777" w:rsidR="002D72B1" w:rsidRPr="00B02C2E" w:rsidRDefault="002D72B1" w:rsidP="00550195">
            <w:pPr>
              <w:pStyle w:val="TableText"/>
              <w:keepNext w:val="0"/>
            </w:pPr>
            <w:r w:rsidRPr="00B02C2E">
              <w:t>Uptake rate</w:t>
            </w:r>
          </w:p>
        </w:tc>
        <w:tc>
          <w:tcPr>
            <w:tcW w:w="1909" w:type="pct"/>
            <w:tcBorders>
              <w:bottom w:val="single" w:sz="4" w:space="0" w:color="auto"/>
            </w:tcBorders>
            <w:shd w:val="clear" w:color="auto" w:fill="auto"/>
            <w:vAlign w:val="center"/>
          </w:tcPr>
          <w:p w14:paraId="36499822" w14:textId="77777777" w:rsidR="002D72B1" w:rsidRPr="00B02C2E" w:rsidRDefault="002D72B1" w:rsidP="00550195">
            <w:pPr>
              <w:pStyle w:val="TableText"/>
              <w:keepNext w:val="0"/>
            </w:pPr>
            <w:r w:rsidRPr="00B02C2E">
              <w:t>Assumed 85-95% uptake over six year</w:t>
            </w:r>
            <w:r w:rsidR="005D64C8" w:rsidRPr="00B02C2E">
              <w:t>s</w:t>
            </w:r>
            <w:r w:rsidR="00EA2244" w:rsidRPr="00B02C2E">
              <w:t>. The November 2020 submission assumed uptake of 50% to 65%.</w:t>
            </w:r>
          </w:p>
        </w:tc>
        <w:tc>
          <w:tcPr>
            <w:tcW w:w="1910" w:type="pct"/>
            <w:tcBorders>
              <w:bottom w:val="single" w:sz="4" w:space="0" w:color="auto"/>
            </w:tcBorders>
            <w:shd w:val="clear" w:color="auto" w:fill="auto"/>
            <w:vAlign w:val="center"/>
          </w:tcPr>
          <w:p w14:paraId="405E2373" w14:textId="77777777" w:rsidR="00E55342" w:rsidRPr="00B02C2E" w:rsidRDefault="002D72B1" w:rsidP="00550195">
            <w:pPr>
              <w:pStyle w:val="TableText"/>
              <w:keepNext w:val="0"/>
            </w:pPr>
            <w:r w:rsidRPr="00B02C2E">
              <w:t>No data were provided in support of the assumption.</w:t>
            </w:r>
          </w:p>
        </w:tc>
      </w:tr>
      <w:tr w:rsidR="002D72B1" w:rsidRPr="00B02C2E" w14:paraId="3425E4AE" w14:textId="77777777" w:rsidTr="00EB2FD1">
        <w:trPr>
          <w:cantSplit/>
        </w:trPr>
        <w:tc>
          <w:tcPr>
            <w:tcW w:w="1181" w:type="pct"/>
            <w:tcBorders>
              <w:bottom w:val="single" w:sz="4" w:space="0" w:color="auto"/>
            </w:tcBorders>
            <w:shd w:val="clear" w:color="auto" w:fill="auto"/>
            <w:vAlign w:val="center"/>
          </w:tcPr>
          <w:p w14:paraId="0FB7A031" w14:textId="77777777" w:rsidR="002D72B1" w:rsidRPr="00B02C2E" w:rsidRDefault="002D72B1" w:rsidP="00550195">
            <w:pPr>
              <w:pStyle w:val="TableText"/>
              <w:keepNext w:val="0"/>
            </w:pPr>
            <w:r w:rsidRPr="00B02C2E">
              <w:t>Treatment compliance</w:t>
            </w:r>
          </w:p>
        </w:tc>
        <w:tc>
          <w:tcPr>
            <w:tcW w:w="1909" w:type="pct"/>
            <w:tcBorders>
              <w:bottom w:val="single" w:sz="4" w:space="0" w:color="auto"/>
            </w:tcBorders>
            <w:shd w:val="clear" w:color="auto" w:fill="auto"/>
            <w:vAlign w:val="center"/>
          </w:tcPr>
          <w:p w14:paraId="12892463" w14:textId="77777777" w:rsidR="002D72B1" w:rsidRPr="00B02C2E" w:rsidRDefault="002D72B1" w:rsidP="00550195">
            <w:pPr>
              <w:pStyle w:val="TableText"/>
              <w:keepNext w:val="0"/>
            </w:pPr>
            <w:r w:rsidRPr="00B02C2E">
              <w:t>Assumed perfect compliance (100%)</w:t>
            </w:r>
            <w:r w:rsidR="00EA2244" w:rsidRPr="00B02C2E">
              <w:t>. The November 2020 submission assumed 89.7% treatment persistence.</w:t>
            </w:r>
          </w:p>
        </w:tc>
        <w:tc>
          <w:tcPr>
            <w:tcW w:w="1910" w:type="pct"/>
            <w:tcBorders>
              <w:bottom w:val="single" w:sz="4" w:space="0" w:color="auto"/>
            </w:tcBorders>
            <w:shd w:val="clear" w:color="auto" w:fill="auto"/>
            <w:vAlign w:val="center"/>
          </w:tcPr>
          <w:p w14:paraId="3245A05D" w14:textId="77777777" w:rsidR="00E55342" w:rsidRPr="00B02C2E" w:rsidRDefault="002D72B1" w:rsidP="00550195">
            <w:pPr>
              <w:pStyle w:val="TableText"/>
              <w:keepNext w:val="0"/>
            </w:pPr>
            <w:r w:rsidRPr="00B02C2E">
              <w:t>No data were provided in support of the assumption.</w:t>
            </w:r>
            <w:r w:rsidR="005D64C8" w:rsidRPr="00B02C2E">
              <w:t xml:space="preserve"> The economic model assumed an annual discontinuation rate of 9.3%.</w:t>
            </w:r>
          </w:p>
        </w:tc>
      </w:tr>
    </w:tbl>
    <w:p w14:paraId="2CC2B955" w14:textId="77777777" w:rsidR="002D72B1" w:rsidRPr="00B02C2E" w:rsidRDefault="002D72B1" w:rsidP="002D72B1">
      <w:pPr>
        <w:widowControl w:val="0"/>
        <w:rPr>
          <w:rFonts w:ascii="Arial Narrow" w:hAnsi="Arial Narrow"/>
          <w:snapToGrid w:val="0"/>
          <w:sz w:val="18"/>
          <w:szCs w:val="22"/>
          <w:lang w:eastAsia="en-US"/>
        </w:rPr>
      </w:pPr>
      <w:r w:rsidRPr="00B02C2E">
        <w:rPr>
          <w:rFonts w:ascii="Arial Narrow" w:hAnsi="Arial Narrow"/>
          <w:snapToGrid w:val="0"/>
          <w:sz w:val="18"/>
          <w:szCs w:val="22"/>
          <w:lang w:eastAsia="en-US"/>
        </w:rPr>
        <w:t>Source: the resubmission</w:t>
      </w:r>
    </w:p>
    <w:p w14:paraId="454CCEB7" w14:textId="77777777" w:rsidR="002D72B1" w:rsidRPr="00B02C2E" w:rsidRDefault="002D72B1" w:rsidP="00A9133E">
      <w:pPr>
        <w:pStyle w:val="TableFigureFooter"/>
        <w:rPr>
          <w:lang w:eastAsia="en-US"/>
        </w:rPr>
      </w:pPr>
      <w:r w:rsidRPr="00B02C2E">
        <w:rPr>
          <w:lang w:eastAsia="en-US"/>
        </w:rPr>
        <w:t>Abbreviations: AQP4</w:t>
      </w:r>
      <w:r w:rsidR="00DF06FF" w:rsidRPr="00B02C2E">
        <w:rPr>
          <w:lang w:eastAsia="en-US"/>
        </w:rPr>
        <w:t>+</w:t>
      </w:r>
      <w:r w:rsidRPr="00B02C2E">
        <w:rPr>
          <w:lang w:eastAsia="en-US"/>
        </w:rPr>
        <w:t>, aquaporin-4</w:t>
      </w:r>
      <w:r w:rsidR="00DF06FF" w:rsidRPr="00B02C2E">
        <w:rPr>
          <w:lang w:eastAsia="en-US"/>
        </w:rPr>
        <w:t xml:space="preserve"> positive</w:t>
      </w:r>
      <w:r w:rsidRPr="00B02C2E">
        <w:rPr>
          <w:lang w:eastAsia="en-US"/>
        </w:rPr>
        <w:t>; DPMQ, dispensed price per maximum quantity; IST, immunosuppressive therapy; MBS, Medicare Benefits Schedule; NMOSD, neuromyelitis optica spectrum disorder; PBS, Pharmaceutical Benefits Scheme</w:t>
      </w:r>
    </w:p>
    <w:p w14:paraId="2EA31E58" w14:textId="77777777" w:rsidR="002D72B1" w:rsidRPr="00B02C2E" w:rsidRDefault="002D72B1" w:rsidP="002D72B1">
      <w:pPr>
        <w:pStyle w:val="ExecSumBodyText"/>
      </w:pPr>
      <w:r w:rsidRPr="00B02C2E">
        <w:t>The table below presents the estimated use and financial implications of eculizumab over 6 years of listing.</w:t>
      </w:r>
    </w:p>
    <w:p w14:paraId="46925D82" w14:textId="77777777" w:rsidR="00AC3BB4" w:rsidRDefault="00AC3BB4">
      <w:pPr>
        <w:jc w:val="left"/>
        <w:rPr>
          <w:rFonts w:ascii="Arial Narrow" w:eastAsiaTheme="majorEastAsia" w:hAnsi="Arial Narrow" w:cs="Times New Roman"/>
          <w:b/>
          <w:sz w:val="20"/>
          <w:lang w:eastAsia="en-US"/>
        </w:rPr>
      </w:pPr>
      <w:r>
        <w:rPr>
          <w:lang w:eastAsia="en-US"/>
        </w:rPr>
        <w:br w:type="page"/>
      </w:r>
    </w:p>
    <w:p w14:paraId="42CFE3F8" w14:textId="699CFC92" w:rsidR="002D72B1" w:rsidRPr="00B02C2E" w:rsidRDefault="002D72B1" w:rsidP="002D72B1">
      <w:pPr>
        <w:pStyle w:val="Tableheadingrow"/>
        <w:rPr>
          <w:lang w:val="en-AU" w:eastAsia="en-US"/>
        </w:rPr>
      </w:pPr>
      <w:bookmarkStart w:id="35" w:name="_GoBack"/>
      <w:bookmarkEnd w:id="35"/>
      <w:r w:rsidRPr="00B02C2E">
        <w:rPr>
          <w:lang w:val="en-AU" w:eastAsia="en-US"/>
        </w:rPr>
        <w:t xml:space="preserve">Table </w:t>
      </w:r>
      <w:r w:rsidR="004D4EAE" w:rsidRPr="00B02C2E">
        <w:rPr>
          <w:lang w:val="en-AU" w:eastAsia="en-US"/>
        </w:rPr>
        <w:t>1</w:t>
      </w:r>
      <w:r w:rsidR="00EA6071" w:rsidRPr="00B02C2E">
        <w:rPr>
          <w:lang w:val="en-AU" w:eastAsia="en-US"/>
        </w:rPr>
        <w:t>2</w:t>
      </w:r>
      <w:r w:rsidRPr="00B02C2E">
        <w:rPr>
          <w:lang w:val="en-AU" w:eastAsia="en-US"/>
        </w:rPr>
        <w:t>:  Estimated utilisation and cost of eculizumab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2D72B1" w:rsidRPr="00B02C2E" w14:paraId="5E59C0CC" w14:textId="77777777" w:rsidTr="00550195">
        <w:trPr>
          <w:tblHeader/>
        </w:trPr>
        <w:tc>
          <w:tcPr>
            <w:tcW w:w="2263" w:type="dxa"/>
            <w:shd w:val="clear" w:color="auto" w:fill="auto"/>
            <w:vAlign w:val="center"/>
          </w:tcPr>
          <w:p w14:paraId="3C697E4E" w14:textId="77777777" w:rsidR="002D72B1" w:rsidRPr="00B02C2E" w:rsidRDefault="002D72B1" w:rsidP="00550195">
            <w:pPr>
              <w:pStyle w:val="TableText"/>
              <w:keepNext w:val="0"/>
              <w:widowControl w:val="0"/>
              <w:rPr>
                <w:b/>
                <w:lang w:eastAsia="en-US"/>
              </w:rPr>
            </w:pPr>
          </w:p>
        </w:tc>
        <w:tc>
          <w:tcPr>
            <w:tcW w:w="1134" w:type="dxa"/>
            <w:shd w:val="clear" w:color="auto" w:fill="auto"/>
            <w:vAlign w:val="center"/>
          </w:tcPr>
          <w:p w14:paraId="361F4EAD"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1 </w:t>
            </w:r>
          </w:p>
          <w:p w14:paraId="6A1A229B" w14:textId="77777777" w:rsidR="002D72B1" w:rsidRPr="00B02C2E" w:rsidRDefault="002D72B1" w:rsidP="00550195">
            <w:pPr>
              <w:pStyle w:val="TableText"/>
              <w:keepNext w:val="0"/>
              <w:widowControl w:val="0"/>
              <w:jc w:val="center"/>
              <w:rPr>
                <w:b/>
                <w:lang w:eastAsia="en-US"/>
              </w:rPr>
            </w:pPr>
            <w:r w:rsidRPr="00B02C2E">
              <w:rPr>
                <w:b/>
                <w:lang w:eastAsia="en-US"/>
              </w:rPr>
              <w:t>(2022)</w:t>
            </w:r>
          </w:p>
        </w:tc>
        <w:tc>
          <w:tcPr>
            <w:tcW w:w="1134" w:type="dxa"/>
            <w:shd w:val="clear" w:color="auto" w:fill="auto"/>
            <w:vAlign w:val="center"/>
          </w:tcPr>
          <w:p w14:paraId="07AE7365"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2 </w:t>
            </w:r>
          </w:p>
          <w:p w14:paraId="4A8DB06C" w14:textId="77777777" w:rsidR="002D72B1" w:rsidRPr="00B02C2E" w:rsidRDefault="002D72B1" w:rsidP="00550195">
            <w:pPr>
              <w:pStyle w:val="TableText"/>
              <w:keepNext w:val="0"/>
              <w:widowControl w:val="0"/>
              <w:jc w:val="center"/>
              <w:rPr>
                <w:b/>
                <w:lang w:eastAsia="en-US"/>
              </w:rPr>
            </w:pPr>
            <w:r w:rsidRPr="00B02C2E">
              <w:rPr>
                <w:b/>
                <w:lang w:eastAsia="en-US"/>
              </w:rPr>
              <w:t>(2023)</w:t>
            </w:r>
          </w:p>
        </w:tc>
        <w:tc>
          <w:tcPr>
            <w:tcW w:w="1134" w:type="dxa"/>
            <w:shd w:val="clear" w:color="auto" w:fill="auto"/>
            <w:vAlign w:val="center"/>
          </w:tcPr>
          <w:p w14:paraId="38B60B0F"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3 </w:t>
            </w:r>
          </w:p>
          <w:p w14:paraId="3AD30089" w14:textId="77777777" w:rsidR="002D72B1" w:rsidRPr="00B02C2E" w:rsidRDefault="002D72B1" w:rsidP="00550195">
            <w:pPr>
              <w:pStyle w:val="TableText"/>
              <w:keepNext w:val="0"/>
              <w:widowControl w:val="0"/>
              <w:jc w:val="center"/>
              <w:rPr>
                <w:b/>
                <w:lang w:eastAsia="en-US"/>
              </w:rPr>
            </w:pPr>
            <w:r w:rsidRPr="00B02C2E">
              <w:rPr>
                <w:b/>
                <w:lang w:eastAsia="en-US"/>
              </w:rPr>
              <w:t>(2024)</w:t>
            </w:r>
          </w:p>
        </w:tc>
        <w:tc>
          <w:tcPr>
            <w:tcW w:w="1134" w:type="dxa"/>
            <w:shd w:val="clear" w:color="auto" w:fill="auto"/>
            <w:vAlign w:val="center"/>
          </w:tcPr>
          <w:p w14:paraId="4BC8698D"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4 </w:t>
            </w:r>
          </w:p>
          <w:p w14:paraId="628621A2" w14:textId="77777777" w:rsidR="002D72B1" w:rsidRPr="00B02C2E" w:rsidRDefault="002D72B1" w:rsidP="00550195">
            <w:pPr>
              <w:pStyle w:val="TableText"/>
              <w:keepNext w:val="0"/>
              <w:widowControl w:val="0"/>
              <w:jc w:val="center"/>
              <w:rPr>
                <w:b/>
                <w:lang w:eastAsia="en-US"/>
              </w:rPr>
            </w:pPr>
            <w:r w:rsidRPr="00B02C2E">
              <w:rPr>
                <w:b/>
                <w:lang w:eastAsia="en-US"/>
              </w:rPr>
              <w:t>(2025)</w:t>
            </w:r>
          </w:p>
        </w:tc>
        <w:tc>
          <w:tcPr>
            <w:tcW w:w="1134" w:type="dxa"/>
            <w:shd w:val="clear" w:color="auto" w:fill="auto"/>
            <w:vAlign w:val="center"/>
          </w:tcPr>
          <w:p w14:paraId="4EC534C5"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5 </w:t>
            </w:r>
          </w:p>
          <w:p w14:paraId="7E863923" w14:textId="77777777" w:rsidR="002D72B1" w:rsidRPr="00B02C2E" w:rsidRDefault="002D72B1" w:rsidP="00550195">
            <w:pPr>
              <w:pStyle w:val="TableText"/>
              <w:keepNext w:val="0"/>
              <w:widowControl w:val="0"/>
              <w:jc w:val="center"/>
              <w:rPr>
                <w:b/>
                <w:lang w:eastAsia="en-US"/>
              </w:rPr>
            </w:pPr>
            <w:r w:rsidRPr="00B02C2E">
              <w:rPr>
                <w:b/>
                <w:lang w:eastAsia="en-US"/>
              </w:rPr>
              <w:t>(2026)</w:t>
            </w:r>
          </w:p>
        </w:tc>
        <w:tc>
          <w:tcPr>
            <w:tcW w:w="1134" w:type="dxa"/>
            <w:shd w:val="clear" w:color="auto" w:fill="auto"/>
            <w:vAlign w:val="center"/>
          </w:tcPr>
          <w:p w14:paraId="7E4AF02B" w14:textId="77777777" w:rsidR="002D72B1" w:rsidRPr="00B02C2E" w:rsidRDefault="002D72B1" w:rsidP="00550195">
            <w:pPr>
              <w:pStyle w:val="TableText"/>
              <w:keepNext w:val="0"/>
              <w:widowControl w:val="0"/>
              <w:jc w:val="center"/>
              <w:rPr>
                <w:b/>
                <w:lang w:eastAsia="en-US"/>
              </w:rPr>
            </w:pPr>
            <w:r w:rsidRPr="00B02C2E">
              <w:rPr>
                <w:b/>
                <w:lang w:eastAsia="en-US"/>
              </w:rPr>
              <w:t xml:space="preserve">Year 6 </w:t>
            </w:r>
          </w:p>
          <w:p w14:paraId="1BEC9696" w14:textId="77777777" w:rsidR="002D72B1" w:rsidRPr="00B02C2E" w:rsidRDefault="002D72B1" w:rsidP="00550195">
            <w:pPr>
              <w:pStyle w:val="TableText"/>
              <w:keepNext w:val="0"/>
              <w:widowControl w:val="0"/>
              <w:jc w:val="center"/>
              <w:rPr>
                <w:b/>
                <w:lang w:eastAsia="en-US"/>
              </w:rPr>
            </w:pPr>
            <w:r w:rsidRPr="00B02C2E">
              <w:rPr>
                <w:b/>
                <w:lang w:eastAsia="en-US"/>
              </w:rPr>
              <w:t>(2027)</w:t>
            </w:r>
          </w:p>
        </w:tc>
      </w:tr>
      <w:tr w:rsidR="002D72B1" w:rsidRPr="00B02C2E" w14:paraId="33A2B731" w14:textId="77777777" w:rsidTr="00550195">
        <w:tc>
          <w:tcPr>
            <w:tcW w:w="2263" w:type="dxa"/>
            <w:shd w:val="clear" w:color="auto" w:fill="auto"/>
            <w:vAlign w:val="center"/>
          </w:tcPr>
          <w:p w14:paraId="344636D0" w14:textId="77777777" w:rsidR="002D72B1" w:rsidRPr="00B02C2E" w:rsidRDefault="002D72B1" w:rsidP="00550195">
            <w:pPr>
              <w:pStyle w:val="TableText"/>
              <w:keepNext w:val="0"/>
              <w:widowControl w:val="0"/>
              <w:rPr>
                <w:lang w:eastAsia="en-US"/>
              </w:rPr>
            </w:pPr>
            <w:r w:rsidRPr="00B02C2E">
              <w:rPr>
                <w:lang w:eastAsia="en-US"/>
              </w:rPr>
              <w:t xml:space="preserve">Australian population </w:t>
            </w:r>
          </w:p>
        </w:tc>
        <w:tc>
          <w:tcPr>
            <w:tcW w:w="1134" w:type="dxa"/>
            <w:shd w:val="clear" w:color="auto" w:fill="auto"/>
            <w:vAlign w:val="center"/>
          </w:tcPr>
          <w:p w14:paraId="04B1A83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c>
          <w:tcPr>
            <w:tcW w:w="1134" w:type="dxa"/>
            <w:shd w:val="clear" w:color="auto" w:fill="auto"/>
            <w:vAlign w:val="center"/>
          </w:tcPr>
          <w:p w14:paraId="2E8E6FD0"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c>
          <w:tcPr>
            <w:tcW w:w="1134" w:type="dxa"/>
            <w:shd w:val="clear" w:color="auto" w:fill="auto"/>
            <w:vAlign w:val="center"/>
          </w:tcPr>
          <w:p w14:paraId="29645CC0"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c>
          <w:tcPr>
            <w:tcW w:w="1134" w:type="dxa"/>
            <w:shd w:val="clear" w:color="auto" w:fill="auto"/>
            <w:vAlign w:val="center"/>
          </w:tcPr>
          <w:p w14:paraId="0A46F19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c>
          <w:tcPr>
            <w:tcW w:w="1134" w:type="dxa"/>
            <w:shd w:val="clear" w:color="auto" w:fill="auto"/>
            <w:vAlign w:val="center"/>
          </w:tcPr>
          <w:p w14:paraId="5EAEFE67"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c>
          <w:tcPr>
            <w:tcW w:w="1134" w:type="dxa"/>
            <w:shd w:val="clear" w:color="auto" w:fill="auto"/>
            <w:vAlign w:val="center"/>
          </w:tcPr>
          <w:p w14:paraId="7A62995E"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1</w:t>
            </w:r>
          </w:p>
        </w:tc>
      </w:tr>
      <w:tr w:rsidR="002D72B1" w:rsidRPr="00B02C2E" w14:paraId="749BF901" w14:textId="77777777" w:rsidTr="00550195">
        <w:tc>
          <w:tcPr>
            <w:tcW w:w="2263" w:type="dxa"/>
            <w:shd w:val="clear" w:color="auto" w:fill="auto"/>
            <w:vAlign w:val="center"/>
          </w:tcPr>
          <w:p w14:paraId="045A9903" w14:textId="77777777" w:rsidR="002D72B1" w:rsidRPr="00FE4BC7" w:rsidRDefault="002D72B1" w:rsidP="00FE4BC7">
            <w:pPr>
              <w:pStyle w:val="TableText"/>
              <w:keepNext w:val="0"/>
              <w:widowControl w:val="0"/>
              <w:rPr>
                <w:vertAlign w:val="superscript"/>
                <w:lang w:eastAsia="en-US"/>
              </w:rPr>
            </w:pPr>
            <w:r w:rsidRPr="00B02C2E">
              <w:rPr>
                <w:lang w:eastAsia="en-US"/>
              </w:rPr>
              <w:t>Patients with NMOSD (</w:t>
            </w:r>
            <w:r w:rsidRPr="00600C7E">
              <w:rPr>
                <w:lang w:eastAsia="en-US"/>
              </w:rPr>
              <w:t>0.00104</w:t>
            </w:r>
            <w:r w:rsidRPr="00B02C2E">
              <w:rPr>
                <w:lang w:eastAsia="en-US"/>
              </w:rPr>
              <w:t>%)</w:t>
            </w:r>
          </w:p>
        </w:tc>
        <w:tc>
          <w:tcPr>
            <w:tcW w:w="1134" w:type="dxa"/>
            <w:shd w:val="clear" w:color="auto" w:fill="auto"/>
            <w:vAlign w:val="center"/>
          </w:tcPr>
          <w:p w14:paraId="22ACC32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58C6CE49"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5DE4A5AD"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27B4D1EA"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5EE5BF5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2EEA7BCB"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r>
      <w:tr w:rsidR="002D72B1" w:rsidRPr="00B02C2E" w14:paraId="01AEB0C6" w14:textId="77777777" w:rsidTr="00550195">
        <w:trPr>
          <w:trHeight w:val="75"/>
        </w:trPr>
        <w:tc>
          <w:tcPr>
            <w:tcW w:w="2263" w:type="dxa"/>
            <w:shd w:val="clear" w:color="auto" w:fill="auto"/>
            <w:vAlign w:val="center"/>
          </w:tcPr>
          <w:p w14:paraId="1EAC8889" w14:textId="77777777" w:rsidR="002D72B1" w:rsidRPr="00B02C2E" w:rsidRDefault="002D72B1" w:rsidP="00550195">
            <w:pPr>
              <w:pStyle w:val="TableText"/>
              <w:keepNext w:val="0"/>
              <w:widowControl w:val="0"/>
              <w:rPr>
                <w:lang w:eastAsia="en-US"/>
              </w:rPr>
            </w:pPr>
            <w:r w:rsidRPr="00B02C2E">
              <w:rPr>
                <w:lang w:eastAsia="en-US"/>
              </w:rPr>
              <w:t>Proportion meeting eligibility criteria (</w:t>
            </w:r>
            <w:r w:rsidR="00B763C7">
              <w:rPr>
                <w:noProof/>
                <w:color w:val="000000"/>
                <w:highlight w:val="black"/>
                <w:lang w:eastAsia="en-US"/>
              </w:rPr>
              <w:t>'''''''</w:t>
            </w:r>
            <w:r w:rsidRPr="00B02C2E">
              <w:rPr>
                <w:lang w:eastAsia="en-US"/>
              </w:rPr>
              <w:t>%)</w:t>
            </w:r>
          </w:p>
        </w:tc>
        <w:tc>
          <w:tcPr>
            <w:tcW w:w="1134" w:type="dxa"/>
            <w:shd w:val="clear" w:color="auto" w:fill="auto"/>
            <w:vAlign w:val="center"/>
          </w:tcPr>
          <w:p w14:paraId="5BFEBC45"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56898E5D"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762763D1"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602D478E"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441EEB87"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shd w:val="clear" w:color="auto" w:fill="auto"/>
            <w:vAlign w:val="center"/>
          </w:tcPr>
          <w:p w14:paraId="713E64D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r>
      <w:tr w:rsidR="002D72B1" w:rsidRPr="00B02C2E" w14:paraId="3ABF77AC"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5C03F5F" w14:textId="77777777" w:rsidR="002D72B1" w:rsidRPr="00B02C2E" w:rsidRDefault="002D72B1" w:rsidP="00550195">
            <w:pPr>
              <w:pStyle w:val="TableText"/>
              <w:keepNext w:val="0"/>
              <w:widowControl w:val="0"/>
              <w:rPr>
                <w:lang w:eastAsia="en-US"/>
              </w:rPr>
            </w:pPr>
            <w:r w:rsidRPr="00B02C2E">
              <w:rPr>
                <w:lang w:eastAsia="en-US"/>
              </w:rPr>
              <w:t>Uptake rates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BF621" w14:textId="77777777" w:rsidR="002D72B1" w:rsidRPr="00FE4BC7" w:rsidRDefault="002D72B1" w:rsidP="00550195">
            <w:pPr>
              <w:pStyle w:val="TableText"/>
              <w:keepNext w:val="0"/>
              <w:widowControl w:val="0"/>
              <w:jc w:val="center"/>
              <w:rPr>
                <w:lang w:eastAsia="en-US"/>
              </w:rPr>
            </w:pPr>
            <w:r w:rsidRPr="00FE4BC7">
              <w:rPr>
                <w:lang w:eastAsia="en-US"/>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E3FEF" w14:textId="77777777" w:rsidR="002D72B1" w:rsidRPr="00FE4BC7" w:rsidRDefault="002D72B1" w:rsidP="00550195">
            <w:pPr>
              <w:pStyle w:val="TableText"/>
              <w:keepNext w:val="0"/>
              <w:widowControl w:val="0"/>
              <w:jc w:val="center"/>
              <w:rPr>
                <w:lang w:eastAsia="en-US"/>
              </w:rPr>
            </w:pPr>
            <w:r w:rsidRPr="00FE4BC7">
              <w:rPr>
                <w:lang w:eastAsia="en-US"/>
              </w:rPr>
              <w:t>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577589" w14:textId="77777777" w:rsidR="002D72B1" w:rsidRPr="00FE4BC7" w:rsidRDefault="002D72B1" w:rsidP="00550195">
            <w:pPr>
              <w:pStyle w:val="TableText"/>
              <w:keepNext w:val="0"/>
              <w:widowControl w:val="0"/>
              <w:jc w:val="center"/>
              <w:rPr>
                <w:lang w:eastAsia="en-US"/>
              </w:rPr>
            </w:pPr>
            <w:r w:rsidRPr="00FE4BC7">
              <w:rPr>
                <w:lang w:eastAsia="en-US"/>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4EE12" w14:textId="77777777" w:rsidR="002D72B1" w:rsidRPr="00FE4BC7" w:rsidRDefault="002D72B1" w:rsidP="00550195">
            <w:pPr>
              <w:pStyle w:val="TableText"/>
              <w:keepNext w:val="0"/>
              <w:widowControl w:val="0"/>
              <w:jc w:val="center"/>
              <w:rPr>
                <w:lang w:eastAsia="en-US"/>
              </w:rPr>
            </w:pPr>
            <w:r w:rsidRPr="00FE4BC7">
              <w:rPr>
                <w:lang w:eastAsia="en-US"/>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E188E" w14:textId="77777777" w:rsidR="002D72B1" w:rsidRPr="00FE4BC7" w:rsidRDefault="002D72B1" w:rsidP="00550195">
            <w:pPr>
              <w:pStyle w:val="TableText"/>
              <w:keepNext w:val="0"/>
              <w:widowControl w:val="0"/>
              <w:jc w:val="center"/>
              <w:rPr>
                <w:lang w:eastAsia="en-US"/>
              </w:rPr>
            </w:pPr>
            <w:r w:rsidRPr="00FE4BC7">
              <w:rPr>
                <w:lang w:eastAsia="en-US"/>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0EEA1" w14:textId="77777777" w:rsidR="002D72B1" w:rsidRPr="00FE4BC7" w:rsidRDefault="002D72B1" w:rsidP="00550195">
            <w:pPr>
              <w:pStyle w:val="TableText"/>
              <w:keepNext w:val="0"/>
              <w:widowControl w:val="0"/>
              <w:jc w:val="center"/>
              <w:rPr>
                <w:lang w:eastAsia="en-US"/>
              </w:rPr>
            </w:pPr>
            <w:r w:rsidRPr="00FE4BC7">
              <w:rPr>
                <w:lang w:eastAsia="en-US"/>
              </w:rPr>
              <w:t>95.0%</w:t>
            </w:r>
          </w:p>
        </w:tc>
      </w:tr>
      <w:tr w:rsidR="002D72B1" w:rsidRPr="00B02C2E" w14:paraId="013CF02F"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E5ECB83" w14:textId="77777777" w:rsidR="002D72B1" w:rsidRPr="00B02C2E" w:rsidRDefault="002D72B1" w:rsidP="00550195">
            <w:pPr>
              <w:pStyle w:val="TableText"/>
              <w:keepNext w:val="0"/>
              <w:widowControl w:val="0"/>
              <w:rPr>
                <w:lang w:eastAsia="en-US"/>
              </w:rPr>
            </w:pPr>
            <w:r w:rsidRPr="00B02C2E">
              <w:rPr>
                <w:lang w:eastAsia="en-US"/>
              </w:rPr>
              <w:t>Treated patients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24C1C"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EC11C"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34197"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7FF5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BA35E"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E7232B"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r>
      <w:tr w:rsidR="002D72B1" w:rsidRPr="00B02C2E" w14:paraId="76D796B6"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9D6DA19" w14:textId="77777777" w:rsidR="002D72B1" w:rsidRPr="00B02C2E" w:rsidRDefault="002D72B1" w:rsidP="00550195">
            <w:pPr>
              <w:pStyle w:val="TableText"/>
              <w:keepNext w:val="0"/>
              <w:widowControl w:val="0"/>
              <w:rPr>
                <w:lang w:eastAsia="en-US"/>
              </w:rPr>
            </w:pPr>
            <w:r w:rsidRPr="00B02C2E">
              <w:rPr>
                <w:lang w:eastAsia="en-US"/>
              </w:rPr>
              <w:t>Total eculizumab vials</w:t>
            </w:r>
            <w:r w:rsidRPr="00B02C2E">
              <w:rPr>
                <w:vertAlign w:val="superscript"/>
                <w:lang w:eastAsia="en-US"/>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9AC3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D011EE"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4CC11B"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92D8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3A21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1DA889"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r>
      <w:tr w:rsidR="002D72B1" w:rsidRPr="00B02C2E" w14:paraId="0A075900"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7BDC990" w14:textId="77777777" w:rsidR="002D72B1" w:rsidRPr="00B02C2E" w:rsidRDefault="002D72B1" w:rsidP="00550195">
            <w:pPr>
              <w:pStyle w:val="TableText"/>
              <w:keepNext w:val="0"/>
              <w:widowControl w:val="0"/>
              <w:rPr>
                <w:b/>
                <w:bCs w:val="0"/>
                <w:lang w:eastAsia="en-US"/>
              </w:rPr>
            </w:pPr>
            <w:r w:rsidRPr="00B02C2E">
              <w:rPr>
                <w:b/>
                <w:bCs w:val="0"/>
                <w:lang w:eastAsia="en-US"/>
              </w:rPr>
              <w:t xml:space="preserve">Net cost to PBS/RPBS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A867B"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FE4BC7">
              <w:rPr>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60F78"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FE4BC7">
              <w:rPr>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C7948"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FE4BC7">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5C7C0"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CEFAF"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3EBBC" w14:textId="77777777" w:rsidR="002D72B1" w:rsidRPr="00B763C7" w:rsidRDefault="00B763C7" w:rsidP="00550195">
            <w:pPr>
              <w:pStyle w:val="TableText"/>
              <w:keepNext w:val="0"/>
              <w:widowControl w:val="0"/>
              <w:jc w:val="center"/>
              <w:rPr>
                <w:b/>
                <w:bCs w:val="0"/>
                <w:lang w:eastAsia="en-US"/>
              </w:rPr>
            </w:pPr>
            <w:r>
              <w:rPr>
                <w:b/>
                <w:bCs w:val="0"/>
                <w:noProof/>
                <w:color w:val="000000"/>
                <w:highlight w:val="black"/>
                <w:lang w:eastAsia="en-US"/>
              </w:rPr>
              <w:t>'''''''''''''''''''''''''</w:t>
            </w:r>
            <w:r w:rsidR="00A70B7A">
              <w:rPr>
                <w:vertAlign w:val="superscript"/>
                <w:lang w:eastAsia="en-US"/>
              </w:rPr>
              <w:t>6</w:t>
            </w:r>
          </w:p>
        </w:tc>
      </w:tr>
      <w:tr w:rsidR="002D72B1" w:rsidRPr="00B02C2E" w14:paraId="75687C2F"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6EE1656" w14:textId="77777777" w:rsidR="002D72B1" w:rsidRPr="00600C7E" w:rsidRDefault="002D72B1" w:rsidP="00550195">
            <w:pPr>
              <w:pStyle w:val="TableText"/>
              <w:keepNext w:val="0"/>
              <w:widowControl w:val="0"/>
              <w:rPr>
                <w:lang w:eastAsia="en-US"/>
              </w:rPr>
            </w:pPr>
            <w:r w:rsidRPr="00B02C2E">
              <w:rPr>
                <w:lang w:eastAsia="en-US"/>
              </w:rPr>
              <w:t>Cost of administration</w:t>
            </w:r>
            <w:r w:rsidRPr="00B02C2E">
              <w:rPr>
                <w:vertAlign w:val="superscript"/>
                <w:lang w:eastAsia="en-US"/>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BCA1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3CC70"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6AB7F"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DF390"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5BFA4"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5D8BD"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7</w:t>
            </w:r>
          </w:p>
        </w:tc>
      </w:tr>
      <w:tr w:rsidR="002D72B1" w:rsidRPr="00B02C2E" w14:paraId="0CEB49D9" w14:textId="77777777" w:rsidTr="00550195">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47119C0" w14:textId="77777777" w:rsidR="002D72B1" w:rsidRPr="00B02C2E" w:rsidRDefault="002D72B1" w:rsidP="00550195">
            <w:pPr>
              <w:pStyle w:val="TableText"/>
              <w:keepNext w:val="0"/>
              <w:widowControl w:val="0"/>
              <w:rPr>
                <w:lang w:eastAsia="en-US"/>
              </w:rPr>
            </w:pPr>
            <w:r w:rsidRPr="00B02C2E">
              <w:rPr>
                <w:lang w:eastAsia="en-US"/>
              </w:rPr>
              <w:t>Net cost to Government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AC3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DBE504"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D7EAD"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1A3D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745A5"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7C347"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r>
      <w:tr w:rsidR="002D72B1" w:rsidRPr="00B02C2E" w14:paraId="7F5809CF" w14:textId="77777777" w:rsidTr="000748B8">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7CAF26" w14:textId="77777777" w:rsidR="002D72B1" w:rsidRPr="00B02C2E" w:rsidRDefault="002D72B1" w:rsidP="00550195">
            <w:pPr>
              <w:pStyle w:val="TableText"/>
              <w:keepNext w:val="0"/>
              <w:widowControl w:val="0"/>
              <w:rPr>
                <w:b/>
                <w:bCs w:val="0"/>
                <w:lang w:eastAsia="en-US"/>
              </w:rPr>
            </w:pPr>
            <w:r w:rsidRPr="00B02C2E">
              <w:rPr>
                <w:b/>
                <w:bCs w:val="0"/>
                <w:lang w:eastAsia="en-US"/>
              </w:rPr>
              <w:t>Eculizumab November 2020 submission</w:t>
            </w:r>
          </w:p>
        </w:tc>
      </w:tr>
      <w:tr w:rsidR="002D72B1" w:rsidRPr="00B02C2E" w14:paraId="42796EBC" w14:textId="77777777" w:rsidTr="000748B8">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F7D5590" w14:textId="77777777" w:rsidR="002D72B1" w:rsidRPr="00B02C2E" w:rsidRDefault="002D72B1" w:rsidP="00550195">
            <w:pPr>
              <w:pStyle w:val="TableText"/>
              <w:keepNext w:val="0"/>
              <w:widowControl w:val="0"/>
              <w:rPr>
                <w:lang w:eastAsia="en-US"/>
              </w:rPr>
            </w:pPr>
            <w:r w:rsidRPr="00B02C2E">
              <w:rPr>
                <w:lang w:eastAsia="en-US"/>
              </w:rPr>
              <w:t xml:space="preserve">Total </w:t>
            </w:r>
            <w:r w:rsidR="00776850" w:rsidRPr="00B02C2E">
              <w:rPr>
                <w:lang w:eastAsia="en-US"/>
              </w:rPr>
              <w:t>treated</w:t>
            </w:r>
            <w:r w:rsidRPr="00B02C2E">
              <w:rPr>
                <w:lang w:eastAsia="en-US"/>
              </w:rPr>
              <w:t xml:space="preserve"> patients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6FD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6A48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2B5B1"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141AA"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0BBB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D8A8F"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2</w:t>
            </w:r>
          </w:p>
        </w:tc>
      </w:tr>
      <w:tr w:rsidR="002D72B1" w:rsidRPr="00B02C2E" w14:paraId="63B07B1F" w14:textId="77777777" w:rsidTr="000748B8">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799F385" w14:textId="77777777" w:rsidR="002D72B1" w:rsidRPr="00B02C2E" w:rsidRDefault="002D72B1" w:rsidP="00550195">
            <w:pPr>
              <w:pStyle w:val="TableText"/>
              <w:keepNext w:val="0"/>
              <w:widowControl w:val="0"/>
              <w:rPr>
                <w:lang w:eastAsia="en-US"/>
              </w:rPr>
            </w:pPr>
            <w:r w:rsidRPr="00B02C2E">
              <w:rPr>
                <w:lang w:eastAsia="en-US"/>
              </w:rPr>
              <w:t>Total eculizumab vials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00B4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CC9EF"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B791F"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23C94"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7AE952"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55DA9C"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4</w:t>
            </w:r>
          </w:p>
        </w:tc>
      </w:tr>
      <w:tr w:rsidR="002D72B1" w:rsidRPr="00B02C2E" w14:paraId="20DB9564" w14:textId="77777777" w:rsidTr="000748B8">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470360C" w14:textId="77777777" w:rsidR="002D72B1" w:rsidRPr="00B02C2E" w:rsidRDefault="002D72B1" w:rsidP="00550195">
            <w:pPr>
              <w:pStyle w:val="TableText"/>
              <w:keepNext w:val="0"/>
              <w:widowControl w:val="0"/>
              <w:rPr>
                <w:lang w:eastAsia="en-US"/>
              </w:rPr>
            </w:pPr>
            <w:r w:rsidRPr="00B02C2E">
              <w:rPr>
                <w:lang w:eastAsia="en-US"/>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61F6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FE4BC7">
              <w:rPr>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FC9B3"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9A79A"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F9509"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156F2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63928" w14:textId="77777777" w:rsidR="002D72B1" w:rsidRPr="00B763C7" w:rsidRDefault="00B763C7" w:rsidP="00550195">
            <w:pPr>
              <w:pStyle w:val="TableText"/>
              <w:keepNext w:val="0"/>
              <w:widowControl w:val="0"/>
              <w:jc w:val="center"/>
              <w:rPr>
                <w:lang w:eastAsia="en-US"/>
              </w:rPr>
            </w:pPr>
            <w:r>
              <w:rPr>
                <w:noProof/>
                <w:color w:val="000000"/>
                <w:highlight w:val="black"/>
                <w:lang w:eastAsia="en-US"/>
              </w:rPr>
              <w:t>'''''''''''''''''''''''''''</w:t>
            </w:r>
            <w:r w:rsidR="00A70B7A">
              <w:rPr>
                <w:vertAlign w:val="superscript"/>
                <w:lang w:eastAsia="en-US"/>
              </w:rPr>
              <w:t>10</w:t>
            </w:r>
          </w:p>
        </w:tc>
      </w:tr>
    </w:tbl>
    <w:p w14:paraId="22FED959" w14:textId="77777777" w:rsidR="002D72B1" w:rsidRPr="00B02C2E" w:rsidRDefault="002D72B1" w:rsidP="002D72B1">
      <w:pPr>
        <w:pStyle w:val="TableFigureFooter"/>
      </w:pPr>
      <w:r w:rsidRPr="00B02C2E">
        <w:t xml:space="preserve">Source: the resubmission </w:t>
      </w:r>
    </w:p>
    <w:p w14:paraId="25E4F1C4" w14:textId="77777777" w:rsidR="002D72B1" w:rsidRPr="00B02C2E" w:rsidRDefault="002D72B1" w:rsidP="002D72B1">
      <w:pPr>
        <w:pStyle w:val="TableFigureFooter"/>
      </w:pPr>
      <w:r w:rsidRPr="00B02C2E">
        <w:t>Abbreviations: NMOSD, neuromyelitis optica spectrum disorder</w:t>
      </w:r>
    </w:p>
    <w:p w14:paraId="5B1BBC26" w14:textId="77777777" w:rsidR="002D72B1" w:rsidRPr="00B02C2E" w:rsidRDefault="002D72B1" w:rsidP="002D72B1">
      <w:pPr>
        <w:pStyle w:val="TableFigureFooter"/>
        <w:rPr>
          <w:lang w:eastAsia="en-US"/>
        </w:rPr>
      </w:pPr>
      <w:r w:rsidRPr="00B02C2E">
        <w:rPr>
          <w:vertAlign w:val="superscript"/>
          <w:lang w:eastAsia="en-US"/>
        </w:rPr>
        <w:t>a</w:t>
      </w:r>
      <w:r w:rsidRPr="00B02C2E">
        <w:rPr>
          <w:lang w:eastAsia="en-US"/>
        </w:rPr>
        <w:t xml:space="preserve"> 1 initiation script and 12 continuation scripts assumed in year 1 (108 vials); 0.25 initiation and 12.75 continuation scripts assumed in subsequent years (105 vials), based on assumption that 25% of patients are initiating therapy (1 initiation script, 12 continuation scripts) and 75% are continuing therapy (13 continuation scripts).</w:t>
      </w:r>
    </w:p>
    <w:p w14:paraId="520DF6BD" w14:textId="77777777" w:rsidR="002D72B1" w:rsidRDefault="002D72B1" w:rsidP="002D72B1">
      <w:pPr>
        <w:pStyle w:val="TableFigureFooter"/>
        <w:rPr>
          <w:lang w:eastAsia="en-US"/>
        </w:rPr>
      </w:pPr>
      <w:r w:rsidRPr="00B02C2E">
        <w:rPr>
          <w:vertAlign w:val="superscript"/>
          <w:lang w:eastAsia="en-US"/>
        </w:rPr>
        <w:t>b</w:t>
      </w:r>
      <w:r w:rsidRPr="00B02C2E">
        <w:rPr>
          <w:lang w:eastAsia="en-US"/>
        </w:rPr>
        <w:t xml:space="preserve"> $94.70 per administration based on MBS item 13950 (parenteral administration of an antineoplastic agent)</w:t>
      </w:r>
    </w:p>
    <w:p w14:paraId="7CBF90F1" w14:textId="77777777" w:rsidR="00600C7E" w:rsidRDefault="00600C7E" w:rsidP="00600C7E">
      <w:pPr>
        <w:pStyle w:val="TableFigureFooter"/>
        <w:spacing w:after="0"/>
        <w:contextualSpacing w:val="0"/>
        <w:rPr>
          <w:i/>
        </w:rPr>
      </w:pPr>
      <w:r w:rsidRPr="009868C4">
        <w:rPr>
          <w:i/>
        </w:rPr>
        <w:t>The redacted values correspond to the following ranges</w:t>
      </w:r>
      <w:r>
        <w:rPr>
          <w:i/>
        </w:rPr>
        <w:t xml:space="preserve">: </w:t>
      </w:r>
    </w:p>
    <w:p w14:paraId="5C28570C" w14:textId="77777777" w:rsidR="00600C7E" w:rsidRPr="00870C5D" w:rsidRDefault="00600C7E" w:rsidP="00600C7E">
      <w:pPr>
        <w:pStyle w:val="TableFigureFooter"/>
        <w:spacing w:after="0"/>
        <w:contextualSpacing w:val="0"/>
      </w:pPr>
      <w:r>
        <w:rPr>
          <w:i/>
          <w:vertAlign w:val="superscript"/>
        </w:rPr>
        <w:t>1</w:t>
      </w:r>
      <w:r>
        <w:rPr>
          <w:i/>
        </w:rPr>
        <w:t xml:space="preserve"> </w:t>
      </w:r>
      <w:r w:rsidRPr="00600C7E">
        <w:rPr>
          <w:i/>
        </w:rPr>
        <w:t>&gt; 10,000,000</w:t>
      </w:r>
    </w:p>
    <w:p w14:paraId="12A05DF9" w14:textId="77777777" w:rsidR="00600C7E" w:rsidRPr="00870C5D" w:rsidRDefault="00600C7E" w:rsidP="00600C7E">
      <w:pPr>
        <w:pStyle w:val="TableFigureFooter"/>
        <w:spacing w:after="0"/>
        <w:contextualSpacing w:val="0"/>
      </w:pPr>
      <w:r>
        <w:rPr>
          <w:i/>
          <w:vertAlign w:val="superscript"/>
        </w:rPr>
        <w:t>2</w:t>
      </w:r>
      <w:r>
        <w:rPr>
          <w:i/>
        </w:rPr>
        <w:t xml:space="preserve"> </w:t>
      </w:r>
      <w:r w:rsidRPr="00600C7E">
        <w:rPr>
          <w:i/>
        </w:rPr>
        <w:t>&lt; 500</w:t>
      </w:r>
    </w:p>
    <w:p w14:paraId="2D41E18A" w14:textId="77777777" w:rsidR="00600C7E" w:rsidRPr="00870C5D" w:rsidRDefault="00600C7E" w:rsidP="00600C7E">
      <w:pPr>
        <w:pStyle w:val="TableFigureFooter"/>
        <w:spacing w:after="0"/>
        <w:contextualSpacing w:val="0"/>
      </w:pPr>
      <w:r>
        <w:rPr>
          <w:i/>
          <w:vertAlign w:val="superscript"/>
        </w:rPr>
        <w:t>3</w:t>
      </w:r>
      <w:r>
        <w:rPr>
          <w:i/>
        </w:rPr>
        <w:t xml:space="preserve"> </w:t>
      </w:r>
      <w:r w:rsidRPr="00600C7E">
        <w:rPr>
          <w:i/>
        </w:rPr>
        <w:t>500 to &lt; 5,000</w:t>
      </w:r>
    </w:p>
    <w:p w14:paraId="53763AEE" w14:textId="77777777" w:rsidR="00600C7E" w:rsidRPr="00870C5D" w:rsidRDefault="00600C7E" w:rsidP="00600C7E">
      <w:pPr>
        <w:pStyle w:val="TableFigureFooter"/>
        <w:spacing w:after="0"/>
        <w:contextualSpacing w:val="0"/>
      </w:pPr>
      <w:r>
        <w:rPr>
          <w:i/>
          <w:vertAlign w:val="superscript"/>
        </w:rPr>
        <w:t>4</w:t>
      </w:r>
      <w:r>
        <w:rPr>
          <w:i/>
        </w:rPr>
        <w:t xml:space="preserve"> </w:t>
      </w:r>
      <w:r w:rsidRPr="00600C7E">
        <w:rPr>
          <w:i/>
        </w:rPr>
        <w:t>5,000 to &lt; 10,000</w:t>
      </w:r>
    </w:p>
    <w:p w14:paraId="79BFA775" w14:textId="77777777" w:rsidR="00600C7E" w:rsidRPr="00870C5D" w:rsidRDefault="00600C7E" w:rsidP="00600C7E">
      <w:pPr>
        <w:pStyle w:val="TableFigureFooter"/>
        <w:spacing w:after="0"/>
        <w:contextualSpacing w:val="0"/>
      </w:pPr>
      <w:r>
        <w:rPr>
          <w:i/>
          <w:vertAlign w:val="superscript"/>
        </w:rPr>
        <w:t>5</w:t>
      </w:r>
      <w:r>
        <w:rPr>
          <w:i/>
        </w:rPr>
        <w:t xml:space="preserve"> </w:t>
      </w:r>
      <w:r w:rsidRPr="00600C7E">
        <w:rPr>
          <w:i/>
        </w:rPr>
        <w:t>$10 million to &lt; $20 million</w:t>
      </w:r>
    </w:p>
    <w:p w14:paraId="48881C07" w14:textId="77777777" w:rsidR="00600C7E" w:rsidRPr="00870C5D" w:rsidRDefault="00600C7E" w:rsidP="00600C7E">
      <w:pPr>
        <w:pStyle w:val="TableFigureFooter"/>
        <w:spacing w:after="0"/>
        <w:contextualSpacing w:val="0"/>
      </w:pPr>
      <w:r>
        <w:rPr>
          <w:i/>
          <w:vertAlign w:val="superscript"/>
        </w:rPr>
        <w:t>6</w:t>
      </w:r>
      <w:r>
        <w:rPr>
          <w:i/>
        </w:rPr>
        <w:t xml:space="preserve"> </w:t>
      </w:r>
      <w:r w:rsidRPr="00600C7E">
        <w:rPr>
          <w:i/>
        </w:rPr>
        <w:t>$20 million to &lt; $30 million</w:t>
      </w:r>
    </w:p>
    <w:p w14:paraId="28A8215F" w14:textId="77777777" w:rsidR="00600C7E" w:rsidRPr="00870C5D" w:rsidRDefault="00600C7E" w:rsidP="00600C7E">
      <w:pPr>
        <w:pStyle w:val="TableFigureFooter"/>
        <w:spacing w:after="0"/>
        <w:contextualSpacing w:val="0"/>
      </w:pPr>
      <w:r>
        <w:rPr>
          <w:i/>
          <w:vertAlign w:val="superscript"/>
        </w:rPr>
        <w:t>7</w:t>
      </w:r>
      <w:r>
        <w:rPr>
          <w:i/>
        </w:rPr>
        <w:t xml:space="preserve"> </w:t>
      </w:r>
      <w:r w:rsidRPr="00600C7E">
        <w:rPr>
          <w:i/>
        </w:rPr>
        <w:t>$0 to &lt; $10 million</w:t>
      </w:r>
    </w:p>
    <w:p w14:paraId="5514F168" w14:textId="77777777" w:rsidR="00600C7E" w:rsidRPr="00870C5D" w:rsidRDefault="00600C7E" w:rsidP="00600C7E">
      <w:pPr>
        <w:pStyle w:val="TableFigureFooter"/>
        <w:spacing w:after="0"/>
        <w:contextualSpacing w:val="0"/>
      </w:pPr>
      <w:r>
        <w:rPr>
          <w:i/>
          <w:vertAlign w:val="superscript"/>
        </w:rPr>
        <w:t>8</w:t>
      </w:r>
      <w:r>
        <w:rPr>
          <w:i/>
        </w:rPr>
        <w:t xml:space="preserve"> </w:t>
      </w:r>
      <w:r w:rsidR="00FE4BC7" w:rsidRPr="00FE4BC7">
        <w:rPr>
          <w:i/>
        </w:rPr>
        <w:t>$30 million to &lt; $40 million</w:t>
      </w:r>
    </w:p>
    <w:p w14:paraId="1F7E0FF4" w14:textId="77777777" w:rsidR="00600C7E" w:rsidRPr="00870C5D" w:rsidRDefault="00600C7E" w:rsidP="00600C7E">
      <w:pPr>
        <w:pStyle w:val="TableFigureFooter"/>
        <w:spacing w:after="0"/>
        <w:contextualSpacing w:val="0"/>
      </w:pPr>
      <w:r>
        <w:rPr>
          <w:i/>
          <w:vertAlign w:val="superscript"/>
        </w:rPr>
        <w:t>9</w:t>
      </w:r>
      <w:r>
        <w:rPr>
          <w:i/>
        </w:rPr>
        <w:t xml:space="preserve"> </w:t>
      </w:r>
      <w:r w:rsidR="00FE4BC7" w:rsidRPr="00FE4BC7">
        <w:rPr>
          <w:i/>
        </w:rPr>
        <w:t>$40 million to &lt; $50 million</w:t>
      </w:r>
    </w:p>
    <w:p w14:paraId="4236D011" w14:textId="77777777" w:rsidR="00600C7E" w:rsidRPr="00870C5D" w:rsidRDefault="00600C7E" w:rsidP="00600C7E">
      <w:pPr>
        <w:pStyle w:val="TableFigureFooter"/>
        <w:spacing w:after="0"/>
        <w:contextualSpacing w:val="0"/>
      </w:pPr>
      <w:r>
        <w:rPr>
          <w:i/>
          <w:vertAlign w:val="superscript"/>
        </w:rPr>
        <w:t>10</w:t>
      </w:r>
      <w:r>
        <w:rPr>
          <w:i/>
        </w:rPr>
        <w:t xml:space="preserve"> </w:t>
      </w:r>
      <w:r w:rsidR="00FE4BC7" w:rsidRPr="00FE4BC7">
        <w:rPr>
          <w:i/>
        </w:rPr>
        <w:t>$50 million to &lt; $60 million</w:t>
      </w:r>
    </w:p>
    <w:p w14:paraId="4BD90081" w14:textId="77777777" w:rsidR="00600C7E" w:rsidRPr="00B02C2E" w:rsidRDefault="00600C7E" w:rsidP="002D72B1">
      <w:pPr>
        <w:pStyle w:val="TableFigureFooter"/>
        <w:rPr>
          <w:lang w:eastAsia="en-US"/>
        </w:rPr>
      </w:pPr>
    </w:p>
    <w:p w14:paraId="5EF53705" w14:textId="77777777" w:rsidR="002D72B1" w:rsidRPr="00B02C2E" w:rsidRDefault="002D72B1" w:rsidP="00A70B7A">
      <w:pPr>
        <w:pStyle w:val="ExecSumBodyText"/>
      </w:pPr>
      <w:r w:rsidRPr="00B02C2E">
        <w:t xml:space="preserve">The net cost of listing eculizumab on the PBS/RPBS for the treatment of NMOSD was estimated to be up to </w:t>
      </w:r>
      <w:r w:rsidR="00A70B7A" w:rsidRPr="00A70B7A">
        <w:t>$20 million to &lt; $30 million</w:t>
      </w:r>
      <w:r w:rsidR="00A70B7A">
        <w:t xml:space="preserve"> </w:t>
      </w:r>
      <w:r w:rsidRPr="00B02C2E">
        <w:t xml:space="preserve">in the sixth year of listing, with a cumulative total cost of </w:t>
      </w:r>
      <w:r w:rsidR="00A70B7A" w:rsidRPr="00A70B7A">
        <w:t>$100 million to &lt; $200 million</w:t>
      </w:r>
      <w:r w:rsidR="00A70B7A">
        <w:t xml:space="preserve"> </w:t>
      </w:r>
      <w:r w:rsidRPr="00B02C2E">
        <w:t xml:space="preserve">over six years. For comparison, the November 2020 submission estimated a cumulative total cost of </w:t>
      </w:r>
      <w:r w:rsidR="00A70B7A" w:rsidRPr="00A70B7A">
        <w:t>$200 million to &lt;</w:t>
      </w:r>
      <w:r w:rsidR="00A70B7A">
        <w:t> </w:t>
      </w:r>
      <w:r w:rsidR="00A70B7A" w:rsidRPr="00A70B7A">
        <w:t>$300 million</w:t>
      </w:r>
      <w:r w:rsidR="00A70B7A">
        <w:t xml:space="preserve"> </w:t>
      </w:r>
      <w:r w:rsidRPr="00B02C2E">
        <w:t>over six years. This difference was primarily due to the reduction in the estimated utilisation of eculizumab as well as a reduction in the price of eculizumab (</w:t>
      </w:r>
      <w:r w:rsidR="00B763C7">
        <w:rPr>
          <w:noProof/>
          <w:color w:val="000000"/>
          <w:highlight w:val="black"/>
        </w:rPr>
        <w:t>'''''</w:t>
      </w:r>
      <w:r w:rsidRPr="00B02C2E">
        <w:t>% reduction).</w:t>
      </w:r>
    </w:p>
    <w:p w14:paraId="004C92B6" w14:textId="77777777" w:rsidR="002D72B1" w:rsidRPr="00B02C2E" w:rsidRDefault="002D72B1" w:rsidP="002D72B1">
      <w:pPr>
        <w:pStyle w:val="ExecSumBodyText"/>
      </w:pPr>
      <w:r w:rsidRPr="00B02C2E">
        <w:t>The proportion of NMOSD patients meeting the proposed eligibility requirements in the current resubmission (</w:t>
      </w:r>
      <w:r w:rsidR="00B763C7">
        <w:rPr>
          <w:noProof/>
          <w:color w:val="000000"/>
          <w:highlight w:val="black"/>
        </w:rPr>
        <w:t>'''''</w:t>
      </w:r>
      <w:r w:rsidRPr="00B02C2E">
        <w:t>%) was lower than previous estimates (</w:t>
      </w:r>
      <w:r w:rsidR="00B763C7">
        <w:rPr>
          <w:noProof/>
          <w:color w:val="000000"/>
          <w:highlight w:val="black"/>
        </w:rPr>
        <w:t>'''''</w:t>
      </w:r>
      <w:r w:rsidRPr="00B02C2E">
        <w:t>-</w:t>
      </w:r>
      <w:r w:rsidR="00B763C7">
        <w:rPr>
          <w:noProof/>
          <w:color w:val="000000"/>
          <w:highlight w:val="black"/>
        </w:rPr>
        <w:t>'''''</w:t>
      </w:r>
      <w:r w:rsidRPr="00B02C2E">
        <w:t>% over 6 years). This difference was primarily due to the switch to a prevalence-based approach which corrected logical inconsistences associated with the mixed incidence/ prevalence approach used in the previous submission. The tightening of the requested restriction (a new EDSS criterion and a narrower definition of frequent relapses) and a lower estimate of patients with prior immunosuppressive events also contributed to the smaller patient numbers. As acknowledged by the sponsor, the simplified prevalence approach used in the current resubmission may underestimate the eligible population size as patients meeting the clinical criteria retain their eligibility for life if they receive any treatment with eculizumab (patients who do not receive treatment within the eligibility window would need to re-qualify for treatment).</w:t>
      </w:r>
    </w:p>
    <w:p w14:paraId="14A50612" w14:textId="77777777" w:rsidR="002D72B1" w:rsidRPr="00B02C2E" w:rsidRDefault="002D72B1" w:rsidP="00600C7E">
      <w:pPr>
        <w:pStyle w:val="ExecSumBodyText"/>
      </w:pPr>
      <w:r w:rsidRPr="00B02C2E">
        <w:t xml:space="preserve">The estimated utilisation of eculizumab decreased in the current resubmission (cumulative total of </w:t>
      </w:r>
      <w:r w:rsidR="00600C7E" w:rsidRPr="00600C7E">
        <w:t>20,000 to &lt; 30,000</w:t>
      </w:r>
      <w:r w:rsidR="00600C7E">
        <w:t xml:space="preserve"> </w:t>
      </w:r>
      <w:r w:rsidRPr="00B02C2E">
        <w:t xml:space="preserve">vials over six years) compared to the November 2020 submission (cumulative total of </w:t>
      </w:r>
      <w:r w:rsidR="00600C7E" w:rsidRPr="00600C7E">
        <w:t>30,000 to &lt; 40,000</w:t>
      </w:r>
      <w:r w:rsidR="00600C7E">
        <w:t xml:space="preserve"> </w:t>
      </w:r>
      <w:r w:rsidRPr="00B02C2E">
        <w:t>vials over six years). This reduction was not proportional to the reduction in the eligible population size as it was also affected by revised assumptions regarding uptake rates and treatment compliance.</w:t>
      </w:r>
    </w:p>
    <w:p w14:paraId="19E68BA0" w14:textId="77777777" w:rsidR="002D72B1" w:rsidRPr="00B02C2E" w:rsidRDefault="002D72B1" w:rsidP="002D72B1">
      <w:pPr>
        <w:pStyle w:val="ExecSumBodyText"/>
      </w:pPr>
      <w:r w:rsidRPr="00B02C2E">
        <w:t>The previous submission estimated initial uptake rates in newly eligible patients (50% in Year 1 increasing to 65% in Year 6) but also included additional uptake in subsequent years (50% in Year 1 increasing to 65% in Year 6)</w:t>
      </w:r>
      <w:r w:rsidR="001E6146" w:rsidRPr="00B02C2E">
        <w:t xml:space="preserve"> in patients who do not initiate treatment when first eligible</w:t>
      </w:r>
      <w:r w:rsidRPr="00B02C2E">
        <w:t xml:space="preserve">. The DUSC advice previously noted the uptake rates in the newly eligible patients were possibly underestimated given the unmet clinical need for new treatments in NMOSD. In contrast, the current resubmission assumed uptake rates of 85% in Year 1 increasing to 95% in Year 6 with no distinction between newly eligible and previously eligible patients. Overall, the uptake assumptions underlying the current estimate were consistent with those in the previous submission but the switch to a </w:t>
      </w:r>
      <w:r w:rsidR="003C154F" w:rsidRPr="00B02C2E">
        <w:t>prevalence-based</w:t>
      </w:r>
      <w:r w:rsidRPr="00B02C2E">
        <w:t xml:space="preserve"> approach essentially brings forward the estimates of additional uptake in subsequent years.</w:t>
      </w:r>
    </w:p>
    <w:p w14:paraId="3C874BFA" w14:textId="77777777" w:rsidR="001671A0" w:rsidRPr="00B02C2E" w:rsidRDefault="002D72B1" w:rsidP="002D72B1">
      <w:pPr>
        <w:pStyle w:val="ExecSumBodyText"/>
      </w:pPr>
      <w:r w:rsidRPr="00B02C2E">
        <w:t>The resubmission assumed perfect compliance (adherence and persistence) to therapy while the previous submission assumed an annual discontinuation rate of approximately 10% per year. The perfect compliance assumption is unlikely to reflect clinical practice particularly for patients who have not experienced a recent relapse given the treatment burden associated with eculizumab treatment (fortnightly IV infusions).</w:t>
      </w:r>
      <w:r w:rsidR="001671A0" w:rsidRPr="00B02C2E">
        <w:rPr>
          <w:color w:val="0066FF"/>
        </w:rPr>
        <w:t xml:space="preserve"> </w:t>
      </w:r>
    </w:p>
    <w:p w14:paraId="2D7A9377" w14:textId="77777777" w:rsidR="00576972" w:rsidRPr="00B02C2E" w:rsidRDefault="00576972" w:rsidP="00606FBA">
      <w:pPr>
        <w:pStyle w:val="3-SubsectionHeading"/>
      </w:pPr>
      <w:bookmarkStart w:id="36" w:name="_Toc22897649"/>
      <w:bookmarkStart w:id="37" w:name="_Toc82079286"/>
      <w:r w:rsidRPr="00B02C2E">
        <w:t>Financial Management – Risk Sharing Arrangements</w:t>
      </w:r>
      <w:bookmarkEnd w:id="36"/>
      <w:bookmarkEnd w:id="37"/>
    </w:p>
    <w:p w14:paraId="5277F985" w14:textId="77777777" w:rsidR="002D72B1" w:rsidRPr="00B02C2E" w:rsidRDefault="002D72B1" w:rsidP="002D72B1">
      <w:pPr>
        <w:pStyle w:val="ExecSumBodyText"/>
      </w:pPr>
      <w:r w:rsidRPr="00B02C2E">
        <w:t xml:space="preserve">The resubmission proposed an expenditure cap risk sharing arrangement based on the estimated </w:t>
      </w:r>
      <w:r w:rsidR="001E6146" w:rsidRPr="00B02C2E">
        <w:t xml:space="preserve">PBS/RPBS </w:t>
      </w:r>
      <w:r w:rsidRPr="00B02C2E">
        <w:t xml:space="preserve">budget impact of eculizumab for NMOSD. The resubmission stated that the sponsor would rebate </w:t>
      </w:r>
      <w:r w:rsidRPr="00385A1E">
        <w:t xml:space="preserve">any expenditure </w:t>
      </w:r>
      <w:r w:rsidR="00B763C7">
        <w:rPr>
          <w:noProof/>
          <w:color w:val="000000"/>
          <w:highlight w:val="black"/>
        </w:rPr>
        <w:t>''''''''''' ''''''''''' ''''''''''''''''''''''</w:t>
      </w:r>
      <w:r w:rsidRPr="00B02C2E">
        <w:t>.</w:t>
      </w:r>
    </w:p>
    <w:p w14:paraId="5FAC537C" w14:textId="06EE2D16" w:rsidR="001E6146" w:rsidRPr="00B02C2E" w:rsidRDefault="001E6146" w:rsidP="001E6146">
      <w:pPr>
        <w:pStyle w:val="Tableheadingrow"/>
        <w:rPr>
          <w:rStyle w:val="CommentReference"/>
          <w:lang w:val="en-AU"/>
        </w:rPr>
      </w:pPr>
      <w:r w:rsidRPr="00B02C2E">
        <w:rPr>
          <w:rStyle w:val="CommentReference"/>
          <w:sz w:val="20"/>
          <w:szCs w:val="20"/>
          <w:lang w:val="en-AU"/>
        </w:rPr>
        <w:t>Table 1</w:t>
      </w:r>
      <w:r w:rsidR="00EA6071" w:rsidRPr="00B02C2E">
        <w:rPr>
          <w:rStyle w:val="CommentReference"/>
          <w:sz w:val="20"/>
          <w:szCs w:val="20"/>
          <w:lang w:val="en-AU"/>
        </w:rPr>
        <w:t>3</w:t>
      </w:r>
      <w:r w:rsidRPr="00B02C2E">
        <w:rPr>
          <w:rStyle w:val="CommentReference"/>
          <w:sz w:val="20"/>
          <w:szCs w:val="20"/>
          <w:lang w:val="en-AU"/>
        </w:rPr>
        <w:t>:</w:t>
      </w:r>
      <w:r w:rsidRPr="00B02C2E">
        <w:rPr>
          <w:rStyle w:val="CommentReference"/>
          <w:lang w:val="en-AU"/>
        </w:rPr>
        <w:t xml:space="preserve"> </w:t>
      </w:r>
      <w:r w:rsidRPr="00B02C2E">
        <w:rPr>
          <w:lang w:val="en-AU" w:eastAsia="en-US"/>
        </w:rPr>
        <w:t>Risk sharing arrangement expenditure caps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1E6146" w:rsidRPr="00B02C2E" w14:paraId="4FCCF642" w14:textId="77777777" w:rsidTr="006F3101">
        <w:trPr>
          <w:tblHeader/>
        </w:trPr>
        <w:tc>
          <w:tcPr>
            <w:tcW w:w="2263" w:type="dxa"/>
            <w:shd w:val="clear" w:color="auto" w:fill="auto"/>
            <w:vAlign w:val="center"/>
          </w:tcPr>
          <w:p w14:paraId="710B92A9" w14:textId="77777777" w:rsidR="001E6146" w:rsidRPr="00B02C2E" w:rsidRDefault="001E6146" w:rsidP="006F3101">
            <w:pPr>
              <w:pStyle w:val="TableText"/>
              <w:keepNext w:val="0"/>
              <w:widowControl w:val="0"/>
              <w:rPr>
                <w:b/>
                <w:lang w:eastAsia="en-US"/>
              </w:rPr>
            </w:pPr>
          </w:p>
        </w:tc>
        <w:tc>
          <w:tcPr>
            <w:tcW w:w="1134" w:type="dxa"/>
            <w:shd w:val="clear" w:color="auto" w:fill="auto"/>
            <w:vAlign w:val="center"/>
          </w:tcPr>
          <w:p w14:paraId="64065CB2"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1 </w:t>
            </w:r>
          </w:p>
          <w:p w14:paraId="631F09E1" w14:textId="77777777" w:rsidR="001E6146" w:rsidRPr="00B02C2E" w:rsidRDefault="001E6146" w:rsidP="006F3101">
            <w:pPr>
              <w:pStyle w:val="TableText"/>
              <w:keepNext w:val="0"/>
              <w:widowControl w:val="0"/>
              <w:jc w:val="center"/>
              <w:rPr>
                <w:b/>
                <w:lang w:eastAsia="en-US"/>
              </w:rPr>
            </w:pPr>
            <w:r w:rsidRPr="00B02C2E">
              <w:rPr>
                <w:b/>
                <w:lang w:eastAsia="en-US"/>
              </w:rPr>
              <w:t>(2022)</w:t>
            </w:r>
          </w:p>
        </w:tc>
        <w:tc>
          <w:tcPr>
            <w:tcW w:w="1134" w:type="dxa"/>
            <w:shd w:val="clear" w:color="auto" w:fill="auto"/>
            <w:vAlign w:val="center"/>
          </w:tcPr>
          <w:p w14:paraId="38CAE830"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2 </w:t>
            </w:r>
          </w:p>
          <w:p w14:paraId="5B3A3F0B" w14:textId="77777777" w:rsidR="001E6146" w:rsidRPr="00B02C2E" w:rsidRDefault="001E6146" w:rsidP="006F3101">
            <w:pPr>
              <w:pStyle w:val="TableText"/>
              <w:keepNext w:val="0"/>
              <w:widowControl w:val="0"/>
              <w:jc w:val="center"/>
              <w:rPr>
                <w:b/>
                <w:lang w:eastAsia="en-US"/>
              </w:rPr>
            </w:pPr>
            <w:r w:rsidRPr="00B02C2E">
              <w:rPr>
                <w:b/>
                <w:lang w:eastAsia="en-US"/>
              </w:rPr>
              <w:t>(2023)</w:t>
            </w:r>
          </w:p>
        </w:tc>
        <w:tc>
          <w:tcPr>
            <w:tcW w:w="1134" w:type="dxa"/>
            <w:shd w:val="clear" w:color="auto" w:fill="auto"/>
            <w:vAlign w:val="center"/>
          </w:tcPr>
          <w:p w14:paraId="64917F62"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3 </w:t>
            </w:r>
          </w:p>
          <w:p w14:paraId="3CD0AC24" w14:textId="77777777" w:rsidR="001E6146" w:rsidRPr="00B02C2E" w:rsidRDefault="001E6146" w:rsidP="006F3101">
            <w:pPr>
              <w:pStyle w:val="TableText"/>
              <w:keepNext w:val="0"/>
              <w:widowControl w:val="0"/>
              <w:jc w:val="center"/>
              <w:rPr>
                <w:b/>
                <w:lang w:eastAsia="en-US"/>
              </w:rPr>
            </w:pPr>
            <w:r w:rsidRPr="00B02C2E">
              <w:rPr>
                <w:b/>
                <w:lang w:eastAsia="en-US"/>
              </w:rPr>
              <w:t>(2024)</w:t>
            </w:r>
          </w:p>
        </w:tc>
        <w:tc>
          <w:tcPr>
            <w:tcW w:w="1134" w:type="dxa"/>
            <w:shd w:val="clear" w:color="auto" w:fill="auto"/>
            <w:vAlign w:val="center"/>
          </w:tcPr>
          <w:p w14:paraId="2C68BD3E"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4 </w:t>
            </w:r>
          </w:p>
          <w:p w14:paraId="4930B709" w14:textId="77777777" w:rsidR="001E6146" w:rsidRPr="00B02C2E" w:rsidRDefault="001E6146" w:rsidP="006F3101">
            <w:pPr>
              <w:pStyle w:val="TableText"/>
              <w:keepNext w:val="0"/>
              <w:widowControl w:val="0"/>
              <w:jc w:val="center"/>
              <w:rPr>
                <w:b/>
                <w:lang w:eastAsia="en-US"/>
              </w:rPr>
            </w:pPr>
            <w:r w:rsidRPr="00B02C2E">
              <w:rPr>
                <w:b/>
                <w:lang w:eastAsia="en-US"/>
              </w:rPr>
              <w:t>(2025)</w:t>
            </w:r>
          </w:p>
        </w:tc>
        <w:tc>
          <w:tcPr>
            <w:tcW w:w="1134" w:type="dxa"/>
            <w:shd w:val="clear" w:color="auto" w:fill="auto"/>
            <w:vAlign w:val="center"/>
          </w:tcPr>
          <w:p w14:paraId="6CEAA0FE"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5 </w:t>
            </w:r>
          </w:p>
          <w:p w14:paraId="002F307B" w14:textId="77777777" w:rsidR="001E6146" w:rsidRPr="00B02C2E" w:rsidRDefault="001E6146" w:rsidP="006F3101">
            <w:pPr>
              <w:pStyle w:val="TableText"/>
              <w:keepNext w:val="0"/>
              <w:widowControl w:val="0"/>
              <w:jc w:val="center"/>
              <w:rPr>
                <w:b/>
                <w:lang w:eastAsia="en-US"/>
              </w:rPr>
            </w:pPr>
            <w:r w:rsidRPr="00B02C2E">
              <w:rPr>
                <w:b/>
                <w:lang w:eastAsia="en-US"/>
              </w:rPr>
              <w:t>(2026)</w:t>
            </w:r>
          </w:p>
        </w:tc>
        <w:tc>
          <w:tcPr>
            <w:tcW w:w="1134" w:type="dxa"/>
            <w:shd w:val="clear" w:color="auto" w:fill="auto"/>
            <w:vAlign w:val="center"/>
          </w:tcPr>
          <w:p w14:paraId="2D638A12" w14:textId="77777777" w:rsidR="001E6146" w:rsidRPr="00B02C2E" w:rsidRDefault="001E6146" w:rsidP="006F3101">
            <w:pPr>
              <w:pStyle w:val="TableText"/>
              <w:keepNext w:val="0"/>
              <w:widowControl w:val="0"/>
              <w:jc w:val="center"/>
              <w:rPr>
                <w:b/>
                <w:lang w:eastAsia="en-US"/>
              </w:rPr>
            </w:pPr>
            <w:r w:rsidRPr="00B02C2E">
              <w:rPr>
                <w:b/>
                <w:lang w:eastAsia="en-US"/>
              </w:rPr>
              <w:t xml:space="preserve">Year 6 </w:t>
            </w:r>
          </w:p>
          <w:p w14:paraId="5EB48E89" w14:textId="77777777" w:rsidR="001E6146" w:rsidRPr="00B02C2E" w:rsidRDefault="001E6146" w:rsidP="006F3101">
            <w:pPr>
              <w:pStyle w:val="TableText"/>
              <w:keepNext w:val="0"/>
              <w:widowControl w:val="0"/>
              <w:jc w:val="center"/>
              <w:rPr>
                <w:b/>
                <w:lang w:eastAsia="en-US"/>
              </w:rPr>
            </w:pPr>
            <w:r w:rsidRPr="00B02C2E">
              <w:rPr>
                <w:b/>
                <w:lang w:eastAsia="en-US"/>
              </w:rPr>
              <w:t>(2027)</w:t>
            </w:r>
          </w:p>
        </w:tc>
      </w:tr>
      <w:tr w:rsidR="001E6146" w:rsidRPr="00B02C2E" w14:paraId="5191F52C" w14:textId="77777777" w:rsidTr="006F3101">
        <w:tc>
          <w:tcPr>
            <w:tcW w:w="2263" w:type="dxa"/>
            <w:shd w:val="clear" w:color="auto" w:fill="auto"/>
            <w:vAlign w:val="center"/>
          </w:tcPr>
          <w:p w14:paraId="05102FAD" w14:textId="77777777" w:rsidR="001E6146" w:rsidRPr="00B02C2E" w:rsidRDefault="001E6146" w:rsidP="006F3101">
            <w:pPr>
              <w:pStyle w:val="TableText"/>
              <w:keepNext w:val="0"/>
              <w:widowControl w:val="0"/>
              <w:rPr>
                <w:bCs w:val="0"/>
                <w:lang w:eastAsia="en-US"/>
              </w:rPr>
            </w:pPr>
            <w:r w:rsidRPr="00B02C2E">
              <w:rPr>
                <w:bCs w:val="0"/>
                <w:lang w:eastAsia="en-US"/>
              </w:rPr>
              <w:t xml:space="preserve">Government expenditure on PBS/RPBS </w:t>
            </w:r>
          </w:p>
        </w:tc>
        <w:tc>
          <w:tcPr>
            <w:tcW w:w="1134" w:type="dxa"/>
            <w:shd w:val="clear" w:color="auto" w:fill="auto"/>
            <w:vAlign w:val="center"/>
          </w:tcPr>
          <w:p w14:paraId="5901B053"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c>
          <w:tcPr>
            <w:tcW w:w="1134" w:type="dxa"/>
            <w:shd w:val="clear" w:color="auto" w:fill="auto"/>
            <w:vAlign w:val="center"/>
          </w:tcPr>
          <w:p w14:paraId="30D64E00"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c>
          <w:tcPr>
            <w:tcW w:w="1134" w:type="dxa"/>
            <w:shd w:val="clear" w:color="auto" w:fill="auto"/>
            <w:vAlign w:val="center"/>
          </w:tcPr>
          <w:p w14:paraId="287B146B"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c>
          <w:tcPr>
            <w:tcW w:w="1134" w:type="dxa"/>
            <w:shd w:val="clear" w:color="auto" w:fill="auto"/>
            <w:vAlign w:val="center"/>
          </w:tcPr>
          <w:p w14:paraId="14CB0C1D"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c>
          <w:tcPr>
            <w:tcW w:w="1134" w:type="dxa"/>
            <w:shd w:val="clear" w:color="auto" w:fill="auto"/>
            <w:vAlign w:val="center"/>
          </w:tcPr>
          <w:p w14:paraId="4C9C73B3"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c>
          <w:tcPr>
            <w:tcW w:w="1134" w:type="dxa"/>
            <w:shd w:val="clear" w:color="auto" w:fill="auto"/>
            <w:vAlign w:val="center"/>
          </w:tcPr>
          <w:p w14:paraId="290F7897" w14:textId="77777777" w:rsidR="001E6146" w:rsidRPr="00B763C7" w:rsidRDefault="00B763C7" w:rsidP="006F3101">
            <w:pPr>
              <w:pStyle w:val="TableText"/>
              <w:keepNext w:val="0"/>
              <w:widowControl w:val="0"/>
              <w:jc w:val="center"/>
              <w:rPr>
                <w:bCs w:val="0"/>
                <w:highlight w:val="black"/>
                <w:lang w:eastAsia="en-US"/>
              </w:rPr>
            </w:pPr>
            <w:r>
              <w:rPr>
                <w:bCs w:val="0"/>
                <w:noProof/>
                <w:color w:val="000000"/>
                <w:highlight w:val="black"/>
                <w:lang w:eastAsia="en-US"/>
              </w:rPr>
              <w:t>'''''''''''''''''''''''''''''''</w:t>
            </w:r>
          </w:p>
        </w:tc>
      </w:tr>
    </w:tbl>
    <w:p w14:paraId="67777B4A" w14:textId="77777777" w:rsidR="001E6146" w:rsidRPr="00B02C2E" w:rsidRDefault="001E6146" w:rsidP="003B0BF0">
      <w:pPr>
        <w:pStyle w:val="TableFooter"/>
      </w:pPr>
      <w:r w:rsidRPr="00B02C2E">
        <w:t xml:space="preserve">Source: the resubmission </w:t>
      </w:r>
    </w:p>
    <w:p w14:paraId="6DC1ABB5" w14:textId="77777777" w:rsidR="003B0BF0" w:rsidRPr="00B02C2E" w:rsidRDefault="003B0BF0" w:rsidP="003B0BF0"/>
    <w:p w14:paraId="39E53930" w14:textId="77777777" w:rsidR="00576972" w:rsidRPr="00B02C2E" w:rsidRDefault="002D72B1" w:rsidP="002D72B1">
      <w:pPr>
        <w:pStyle w:val="ExecSumBodyText"/>
        <w:rPr>
          <w:color w:val="0066FF"/>
        </w:rPr>
      </w:pPr>
      <w:r w:rsidRPr="00B02C2E">
        <w:t>The nominated expenditure thresholds are uncertain as they were based on eligible patient numbers which are likely to have been underestimated and utilisation values which may have been overestimated. While an expenditure cap may address the risk of underestimation of the eligible population, it may be appropriate to consider the inclusion of a compliance adjustment factor to reduce the risk associated with assuming perfect compliance in the treated population.</w:t>
      </w:r>
      <w:r w:rsidRPr="00B02C2E">
        <w:rPr>
          <w:color w:val="0066FF"/>
        </w:rPr>
        <w:t xml:space="preserve"> </w:t>
      </w:r>
    </w:p>
    <w:p w14:paraId="29CFB8C9" w14:textId="77777777" w:rsidR="000748B8" w:rsidRPr="00B02C2E" w:rsidRDefault="000748B8" w:rsidP="000748B8">
      <w:pPr>
        <w:pStyle w:val="ExecSumBodyText"/>
        <w:numPr>
          <w:ilvl w:val="0"/>
          <w:numId w:val="0"/>
        </w:numPr>
        <w:ind w:left="720"/>
        <w:rPr>
          <w:i/>
          <w:iCs/>
        </w:rPr>
      </w:pPr>
      <w:r w:rsidRPr="00B02C2E">
        <w:rPr>
          <w:i/>
          <w:iCs/>
        </w:rPr>
        <w:t>For more detail on PBAC’s view, see section 7 PBAC outcome.</w:t>
      </w:r>
    </w:p>
    <w:p w14:paraId="20F0C266" w14:textId="77777777" w:rsidR="000748B8" w:rsidRPr="00B02C2E" w:rsidRDefault="000748B8" w:rsidP="000748B8">
      <w:pPr>
        <w:pStyle w:val="2-SectionHeading"/>
      </w:pPr>
      <w:bookmarkStart w:id="38" w:name="_Hlk76381249"/>
      <w:bookmarkStart w:id="39" w:name="_Hlk76377955"/>
      <w:r w:rsidRPr="00B02C2E">
        <w:t>PBAC Outcome</w:t>
      </w:r>
    </w:p>
    <w:p w14:paraId="4F5E928E" w14:textId="77777777" w:rsidR="000748B8" w:rsidRPr="00B02C2E" w:rsidRDefault="00B823AB" w:rsidP="00A70B7A">
      <w:pPr>
        <w:pStyle w:val="ExecSumBodyText"/>
      </w:pPr>
      <w:r w:rsidRPr="00B02C2E">
        <w:t xml:space="preserve">The PBAC did not recommend the listing of eculizumab for the treatment of </w:t>
      </w:r>
      <w:r w:rsidR="00F23A02" w:rsidRPr="00B02C2E">
        <w:t xml:space="preserve">patients with </w:t>
      </w:r>
      <w:r w:rsidRPr="00B02C2E">
        <w:t>neuromyelitis optica spectrum disorder (NMOSD)</w:t>
      </w:r>
      <w:r w:rsidR="00F23A02" w:rsidRPr="00B02C2E">
        <w:t xml:space="preserve"> who are aquaporin-4 positive (AQP4+)</w:t>
      </w:r>
      <w:r w:rsidRPr="00B02C2E">
        <w:t xml:space="preserve">. Although the PBAC considered that eculizumab was more effective than best supportive care in reducing relapses, the magnitude of this effect on disability progression and quality of life remained highly uncertain. The PBAC noted that although </w:t>
      </w:r>
      <w:r w:rsidR="00D0241F" w:rsidRPr="00B02C2E">
        <w:t xml:space="preserve">the resubmission partly addressed some of the concerns with the </w:t>
      </w:r>
      <w:r w:rsidRPr="00B02C2E">
        <w:t xml:space="preserve">economic model, the incremental cost effectiveness ratio (ICER) remained </w:t>
      </w:r>
      <w:r w:rsidR="00E80409" w:rsidRPr="00B02C2E">
        <w:t>excessively</w:t>
      </w:r>
      <w:r w:rsidRPr="00B02C2E">
        <w:t xml:space="preserve"> high (</w:t>
      </w:r>
      <w:r w:rsidR="00A70B7A" w:rsidRPr="00A70B7A">
        <w:t>&gt;</w:t>
      </w:r>
      <w:r w:rsidR="00A70B7A">
        <w:t> </w:t>
      </w:r>
      <w:r w:rsidR="00A70B7A" w:rsidRPr="00A70B7A">
        <w:t>$1,055,000</w:t>
      </w:r>
      <w:r w:rsidR="00A70B7A">
        <w:t xml:space="preserve"> </w:t>
      </w:r>
      <w:r w:rsidRPr="00B02C2E">
        <w:t xml:space="preserve">per quality adjusted life year (QALY)) and advised that a </w:t>
      </w:r>
      <w:r w:rsidR="00484809" w:rsidRPr="00B02C2E">
        <w:t>further</w:t>
      </w:r>
      <w:r w:rsidR="00E80409" w:rsidRPr="00B02C2E">
        <w:t xml:space="preserve"> substantial</w:t>
      </w:r>
      <w:r w:rsidR="00484809" w:rsidRPr="00B02C2E">
        <w:t xml:space="preserve"> </w:t>
      </w:r>
      <w:r w:rsidRPr="00B02C2E">
        <w:t xml:space="preserve">price reduction would be required to achieve an acceptable ICER. </w:t>
      </w:r>
      <w:r w:rsidR="006835ED" w:rsidRPr="00B02C2E">
        <w:t>The PBAC noted that although the number of eligible patients had been reduced compared to the November 2020 submission, as eculizumab was proposed as a lifelong prophylactic treatment, at the proposed price, the cost of listing remained high.</w:t>
      </w:r>
    </w:p>
    <w:p w14:paraId="7A2920B5" w14:textId="77777777" w:rsidR="006835ED" w:rsidRPr="00B02C2E" w:rsidRDefault="006835ED" w:rsidP="000748B8">
      <w:pPr>
        <w:widowControl w:val="0"/>
        <w:numPr>
          <w:ilvl w:val="1"/>
          <w:numId w:val="1"/>
        </w:numPr>
        <w:spacing w:after="120"/>
        <w:rPr>
          <w:rFonts w:asciiTheme="minorHAnsi" w:hAnsiTheme="minorHAnsi"/>
          <w:snapToGrid w:val="0"/>
        </w:rPr>
      </w:pPr>
      <w:r w:rsidRPr="00B02C2E">
        <w:rPr>
          <w:rFonts w:asciiTheme="minorHAnsi" w:hAnsiTheme="minorHAnsi"/>
          <w:snapToGrid w:val="0"/>
        </w:rPr>
        <w:t>The PBAC welcomed the input from the health professional and organisations via the Consumer Comments facility which outlined the disease progression of NMOSD</w:t>
      </w:r>
      <w:r w:rsidR="00F30706" w:rsidRPr="00B02C2E">
        <w:rPr>
          <w:rFonts w:asciiTheme="minorHAnsi" w:hAnsiTheme="minorHAnsi"/>
          <w:snapToGrid w:val="0"/>
        </w:rPr>
        <w:t xml:space="preserve"> and the effects of NMOSD on quality of life</w:t>
      </w:r>
      <w:r w:rsidR="00484809" w:rsidRPr="00B02C2E">
        <w:rPr>
          <w:rFonts w:asciiTheme="minorHAnsi" w:hAnsiTheme="minorHAnsi"/>
          <w:snapToGrid w:val="0"/>
        </w:rPr>
        <w:t>, as well as</w:t>
      </w:r>
      <w:r w:rsidR="00F30706" w:rsidRPr="00B02C2E">
        <w:rPr>
          <w:rFonts w:asciiTheme="minorHAnsi" w:hAnsiTheme="minorHAnsi"/>
          <w:snapToGrid w:val="0"/>
        </w:rPr>
        <w:t xml:space="preserve"> the use of current treatments, including rituximab</w:t>
      </w:r>
      <w:r w:rsidRPr="00B02C2E">
        <w:rPr>
          <w:rFonts w:asciiTheme="minorHAnsi" w:hAnsiTheme="minorHAnsi"/>
          <w:snapToGrid w:val="0"/>
        </w:rPr>
        <w:t>.</w:t>
      </w:r>
    </w:p>
    <w:p w14:paraId="16D8B8C4" w14:textId="77777777" w:rsidR="00AA2C9F" w:rsidRPr="00B02C2E" w:rsidRDefault="00AA2C9F" w:rsidP="00AA2C9F">
      <w:pPr>
        <w:widowControl w:val="0"/>
        <w:numPr>
          <w:ilvl w:val="1"/>
          <w:numId w:val="1"/>
        </w:numPr>
        <w:spacing w:after="120"/>
        <w:rPr>
          <w:rFonts w:asciiTheme="minorHAnsi" w:hAnsiTheme="minorHAnsi"/>
          <w:snapToGrid w:val="0"/>
        </w:rPr>
      </w:pPr>
      <w:r w:rsidRPr="00B02C2E">
        <w:rPr>
          <w:rFonts w:asciiTheme="minorHAnsi" w:hAnsiTheme="minorHAnsi"/>
          <w:snapToGrid w:val="0"/>
        </w:rPr>
        <w:t>The PBAC noted that the proposed restriction was updated in the resubmission to align with the inclusion criteria of the PREVENT tri</w:t>
      </w:r>
      <w:r w:rsidR="00F51745" w:rsidRPr="00B02C2E">
        <w:rPr>
          <w:rFonts w:asciiTheme="minorHAnsi" w:hAnsiTheme="minorHAnsi"/>
          <w:snapToGrid w:val="0"/>
        </w:rPr>
        <w:t>a</w:t>
      </w:r>
      <w:r w:rsidRPr="00B02C2E">
        <w:rPr>
          <w:rFonts w:asciiTheme="minorHAnsi" w:hAnsiTheme="minorHAnsi"/>
          <w:snapToGrid w:val="0"/>
        </w:rPr>
        <w:t xml:space="preserve">l in terms of Expanded Disability Status Scale (EDSS) score and frequency and number of prior relapses. The PBAC noted that although further updates to the proposed restriction in the pre-PBAC response better defined a ‘prior immunosuppressive event’, there was no evidence presented of the cost-effectiveness of eculizumab in this population. </w:t>
      </w:r>
    </w:p>
    <w:p w14:paraId="1334F82B" w14:textId="77777777" w:rsidR="00F23A02" w:rsidRPr="00B02C2E" w:rsidRDefault="00257610" w:rsidP="00B93146">
      <w:pPr>
        <w:widowControl w:val="0"/>
        <w:numPr>
          <w:ilvl w:val="1"/>
          <w:numId w:val="1"/>
        </w:numPr>
        <w:spacing w:after="120"/>
        <w:rPr>
          <w:rFonts w:asciiTheme="minorHAnsi" w:hAnsiTheme="minorHAnsi"/>
          <w:snapToGrid w:val="0"/>
        </w:rPr>
      </w:pPr>
      <w:r w:rsidRPr="00B02C2E">
        <w:rPr>
          <w:rFonts w:asciiTheme="minorHAnsi" w:hAnsiTheme="minorHAnsi"/>
          <w:snapToGrid w:val="0"/>
        </w:rPr>
        <w:t>The PBAC noted that the resubmission again nominated best supportive care as the primary comparator</w:t>
      </w:r>
      <w:r w:rsidR="00AA2C9F" w:rsidRPr="00B02C2E">
        <w:rPr>
          <w:rFonts w:asciiTheme="minorHAnsi" w:hAnsiTheme="minorHAnsi"/>
          <w:snapToGrid w:val="0"/>
        </w:rPr>
        <w:t xml:space="preserve">, </w:t>
      </w:r>
      <w:r w:rsidRPr="00B02C2E">
        <w:rPr>
          <w:rFonts w:asciiTheme="minorHAnsi" w:hAnsiTheme="minorHAnsi"/>
          <w:snapToGrid w:val="0"/>
        </w:rPr>
        <w:t>reiterat</w:t>
      </w:r>
      <w:r w:rsidR="00AA2C9F" w:rsidRPr="00B02C2E">
        <w:rPr>
          <w:rFonts w:asciiTheme="minorHAnsi" w:hAnsiTheme="minorHAnsi"/>
          <w:snapToGrid w:val="0"/>
        </w:rPr>
        <w:t>ing</w:t>
      </w:r>
      <w:r w:rsidRPr="00B02C2E">
        <w:rPr>
          <w:rFonts w:asciiTheme="minorHAnsi" w:hAnsiTheme="minorHAnsi"/>
          <w:snapToGrid w:val="0"/>
        </w:rPr>
        <w:t xml:space="preserve"> arguments from the initial submission as to why rituximab was not a suitable comparator, </w:t>
      </w:r>
      <w:r w:rsidR="005419E6" w:rsidRPr="00B02C2E">
        <w:rPr>
          <w:rFonts w:asciiTheme="minorHAnsi" w:hAnsiTheme="minorHAnsi"/>
          <w:snapToGrid w:val="0"/>
        </w:rPr>
        <w:t xml:space="preserve">despite </w:t>
      </w:r>
      <w:r w:rsidR="00D71522" w:rsidRPr="00B02C2E">
        <w:rPr>
          <w:rFonts w:asciiTheme="minorHAnsi" w:hAnsiTheme="minorHAnsi"/>
          <w:snapToGrid w:val="0"/>
        </w:rPr>
        <w:t xml:space="preserve">prior advice in November 2020 that rituximab would be a relevant comparator. The PBAC also </w:t>
      </w:r>
      <w:r w:rsidRPr="00B02C2E">
        <w:rPr>
          <w:rFonts w:asciiTheme="minorHAnsi" w:hAnsiTheme="minorHAnsi"/>
          <w:snapToGrid w:val="0"/>
        </w:rPr>
        <w:t xml:space="preserve">noted that the PSCR and pre-PBAC response </w:t>
      </w:r>
      <w:r w:rsidR="00AA2C9F" w:rsidRPr="00B02C2E">
        <w:rPr>
          <w:rFonts w:asciiTheme="minorHAnsi" w:hAnsiTheme="minorHAnsi"/>
          <w:snapToGrid w:val="0"/>
        </w:rPr>
        <w:t>re</w:t>
      </w:r>
      <w:r w:rsidRPr="00B02C2E">
        <w:rPr>
          <w:rFonts w:asciiTheme="minorHAnsi" w:hAnsiTheme="minorHAnsi"/>
          <w:snapToGrid w:val="0"/>
        </w:rPr>
        <w:t>positioned eculizumab as a last line treatment</w:t>
      </w:r>
      <w:r w:rsidR="00484809" w:rsidRPr="00B02C2E">
        <w:rPr>
          <w:rFonts w:asciiTheme="minorHAnsi" w:hAnsiTheme="minorHAnsi"/>
          <w:snapToGrid w:val="0"/>
        </w:rPr>
        <w:t xml:space="preserve"> (</w:t>
      </w:r>
      <w:r w:rsidR="00B93146" w:rsidRPr="00B02C2E">
        <w:rPr>
          <w:rFonts w:asciiTheme="minorHAnsi" w:hAnsiTheme="minorHAnsi"/>
          <w:snapToGrid w:val="0"/>
        </w:rPr>
        <w:t>i.e. after rituximab</w:t>
      </w:r>
      <w:r w:rsidR="00484809" w:rsidRPr="00B02C2E">
        <w:rPr>
          <w:rFonts w:asciiTheme="minorHAnsi" w:hAnsiTheme="minorHAnsi"/>
          <w:snapToGrid w:val="0"/>
        </w:rPr>
        <w:t>). The pre-PBAC response</w:t>
      </w:r>
      <w:r w:rsidR="00AA2C9F" w:rsidRPr="00B02C2E">
        <w:rPr>
          <w:rFonts w:asciiTheme="minorHAnsi" w:hAnsiTheme="minorHAnsi"/>
          <w:snapToGrid w:val="0"/>
        </w:rPr>
        <w:t xml:space="preserve"> updat</w:t>
      </w:r>
      <w:r w:rsidR="00484809" w:rsidRPr="00B02C2E">
        <w:rPr>
          <w:rFonts w:asciiTheme="minorHAnsi" w:hAnsiTheme="minorHAnsi"/>
          <w:snapToGrid w:val="0"/>
        </w:rPr>
        <w:t>ed</w:t>
      </w:r>
      <w:r w:rsidR="00AA2C9F" w:rsidRPr="00B02C2E">
        <w:rPr>
          <w:rFonts w:asciiTheme="minorHAnsi" w:hAnsiTheme="minorHAnsi"/>
          <w:snapToGrid w:val="0"/>
        </w:rPr>
        <w:t xml:space="preserve"> the </w:t>
      </w:r>
      <w:r w:rsidR="00F23A02" w:rsidRPr="00B02C2E">
        <w:rPr>
          <w:rFonts w:asciiTheme="minorHAnsi" w:hAnsiTheme="minorHAnsi"/>
          <w:snapToGrid w:val="0"/>
        </w:rPr>
        <w:t>proposed restriction</w:t>
      </w:r>
      <w:r w:rsidR="00484809" w:rsidRPr="00B02C2E">
        <w:rPr>
          <w:rFonts w:asciiTheme="minorHAnsi" w:hAnsiTheme="minorHAnsi"/>
          <w:snapToGrid w:val="0"/>
        </w:rPr>
        <w:t>, requir</w:t>
      </w:r>
      <w:r w:rsidR="00DE04D4" w:rsidRPr="00B02C2E">
        <w:rPr>
          <w:rFonts w:asciiTheme="minorHAnsi" w:hAnsiTheme="minorHAnsi"/>
          <w:snapToGrid w:val="0"/>
        </w:rPr>
        <w:t>ing</w:t>
      </w:r>
      <w:r w:rsidR="001818EC" w:rsidRPr="00B02C2E">
        <w:rPr>
          <w:rFonts w:asciiTheme="minorHAnsi" w:hAnsiTheme="minorHAnsi"/>
          <w:snapToGrid w:val="0"/>
        </w:rPr>
        <w:t xml:space="preserve"> patients to have relapse</w:t>
      </w:r>
      <w:r w:rsidR="00DE04D4" w:rsidRPr="00B02C2E">
        <w:rPr>
          <w:rFonts w:asciiTheme="minorHAnsi" w:hAnsiTheme="minorHAnsi"/>
          <w:snapToGrid w:val="0"/>
        </w:rPr>
        <w:t>d</w:t>
      </w:r>
      <w:r w:rsidR="001818EC" w:rsidRPr="00B02C2E">
        <w:rPr>
          <w:rFonts w:asciiTheme="minorHAnsi" w:hAnsiTheme="minorHAnsi"/>
          <w:snapToGrid w:val="0"/>
        </w:rPr>
        <w:t xml:space="preserve"> ‘despite an adequate trial of other accessible preventive treatments for NMOSD including rituximab, azathioprine and mycophenolate’. The PBAC noted that the updated restriction did not define ‘adequate trial’, nor did it consider that the wording limited use of eculizumab to the last-line setting. </w:t>
      </w:r>
    </w:p>
    <w:p w14:paraId="72214F9A" w14:textId="77777777" w:rsidR="00CE6464" w:rsidRPr="00B02C2E" w:rsidRDefault="00CE6464" w:rsidP="00B93146">
      <w:pPr>
        <w:widowControl w:val="0"/>
        <w:numPr>
          <w:ilvl w:val="1"/>
          <w:numId w:val="1"/>
        </w:numPr>
        <w:spacing w:after="120"/>
        <w:rPr>
          <w:rFonts w:asciiTheme="minorHAnsi" w:hAnsiTheme="minorHAnsi"/>
          <w:snapToGrid w:val="0"/>
        </w:rPr>
      </w:pPr>
      <w:r w:rsidRPr="00B02C2E">
        <w:rPr>
          <w:rFonts w:asciiTheme="minorHAnsi" w:hAnsiTheme="minorHAnsi"/>
          <w:snapToGrid w:val="0"/>
        </w:rPr>
        <w:t xml:space="preserve">In addition, the PBAC noted that </w:t>
      </w:r>
      <w:r w:rsidR="00DE04D4" w:rsidRPr="00B02C2E">
        <w:rPr>
          <w:rFonts w:asciiTheme="minorHAnsi" w:hAnsiTheme="minorHAnsi"/>
          <w:snapToGrid w:val="0"/>
        </w:rPr>
        <w:t xml:space="preserve">only </w:t>
      </w:r>
      <w:r w:rsidRPr="00B02C2E">
        <w:rPr>
          <w:rFonts w:asciiTheme="minorHAnsi" w:hAnsiTheme="minorHAnsi"/>
          <w:snapToGrid w:val="0"/>
        </w:rPr>
        <w:t>32% of patients included in the PREVENT trial had received prior rituximab. The PBAC considered the PREVENT trial population was therefore not representative of patients receiving last line therapy.</w:t>
      </w:r>
    </w:p>
    <w:p w14:paraId="02F7B9D0" w14:textId="77777777" w:rsidR="00AA2C9F" w:rsidRPr="00B02C2E" w:rsidRDefault="00AA2C9F" w:rsidP="00B93146">
      <w:pPr>
        <w:widowControl w:val="0"/>
        <w:numPr>
          <w:ilvl w:val="1"/>
          <w:numId w:val="1"/>
        </w:numPr>
        <w:spacing w:after="120"/>
        <w:rPr>
          <w:rFonts w:asciiTheme="minorHAnsi" w:hAnsiTheme="minorHAnsi"/>
          <w:snapToGrid w:val="0"/>
        </w:rPr>
      </w:pPr>
      <w:r w:rsidRPr="00B02C2E">
        <w:rPr>
          <w:rFonts w:asciiTheme="minorHAnsi" w:hAnsiTheme="minorHAnsi"/>
          <w:snapToGrid w:val="0"/>
        </w:rPr>
        <w:t>The PBAC noted that the resubmission presented a summary of two trials of rituximab in NMOSD which suggested that rituximab was associated with a decrease in relapse</w:t>
      </w:r>
      <w:r w:rsidR="00B76E0A" w:rsidRPr="00B02C2E">
        <w:rPr>
          <w:rFonts w:asciiTheme="minorHAnsi" w:hAnsiTheme="minorHAnsi"/>
          <w:snapToGrid w:val="0"/>
        </w:rPr>
        <w:t xml:space="preserve"> rates and an improvement in disability. The PBAC noted</w:t>
      </w:r>
      <w:r w:rsidRPr="00B02C2E">
        <w:rPr>
          <w:rFonts w:asciiTheme="minorHAnsi" w:hAnsiTheme="minorHAnsi"/>
          <w:snapToGrid w:val="0"/>
        </w:rPr>
        <w:t xml:space="preserve"> that data from several other systematic reviews and studies were available. The PBAC </w:t>
      </w:r>
      <w:r w:rsidR="00CE6464" w:rsidRPr="00B02C2E">
        <w:rPr>
          <w:rFonts w:asciiTheme="minorHAnsi" w:hAnsiTheme="minorHAnsi"/>
          <w:snapToGrid w:val="0"/>
        </w:rPr>
        <w:t xml:space="preserve">reiterated that rituximab is used for the treatment of NMOSD in Australian clinical practice and is a relevant comparator. The PBAC considered that </w:t>
      </w:r>
      <w:r w:rsidRPr="00B02C2E">
        <w:rPr>
          <w:rFonts w:asciiTheme="minorHAnsi" w:hAnsiTheme="minorHAnsi"/>
          <w:snapToGrid w:val="0"/>
        </w:rPr>
        <w:t>a formal comparison with rituximab</w:t>
      </w:r>
      <w:r w:rsidR="00B76E0A" w:rsidRPr="00B02C2E">
        <w:rPr>
          <w:rFonts w:asciiTheme="minorHAnsi" w:hAnsiTheme="minorHAnsi"/>
          <w:snapToGrid w:val="0"/>
        </w:rPr>
        <w:t xml:space="preserve"> was required</w:t>
      </w:r>
      <w:r w:rsidR="00CE6464" w:rsidRPr="00B02C2E">
        <w:rPr>
          <w:rFonts w:asciiTheme="minorHAnsi" w:hAnsiTheme="minorHAnsi"/>
          <w:snapToGrid w:val="0"/>
        </w:rPr>
        <w:t xml:space="preserve">, </w:t>
      </w:r>
      <w:r w:rsidR="00E80409" w:rsidRPr="00B02C2E">
        <w:rPr>
          <w:rFonts w:asciiTheme="minorHAnsi" w:hAnsiTheme="minorHAnsi"/>
          <w:snapToGrid w:val="0"/>
        </w:rPr>
        <w:t>noting its</w:t>
      </w:r>
      <w:r w:rsidR="00CE6464" w:rsidRPr="00B02C2E">
        <w:rPr>
          <w:rFonts w:asciiTheme="minorHAnsi" w:hAnsiTheme="minorHAnsi"/>
          <w:snapToGrid w:val="0"/>
        </w:rPr>
        <w:t xml:space="preserve"> September 2021 recommend</w:t>
      </w:r>
      <w:r w:rsidR="00E80409" w:rsidRPr="00B02C2E">
        <w:rPr>
          <w:rFonts w:asciiTheme="minorHAnsi" w:hAnsiTheme="minorHAnsi"/>
          <w:snapToGrid w:val="0"/>
        </w:rPr>
        <w:t>ation for</w:t>
      </w:r>
      <w:r w:rsidR="00CE6464" w:rsidRPr="00B02C2E">
        <w:rPr>
          <w:rFonts w:asciiTheme="minorHAnsi" w:hAnsiTheme="minorHAnsi"/>
          <w:snapToGrid w:val="0"/>
        </w:rPr>
        <w:t xml:space="preserve"> an unrestricted listing for rituximab</w:t>
      </w:r>
      <w:r w:rsidR="00B76E0A" w:rsidRPr="00B02C2E">
        <w:rPr>
          <w:rFonts w:asciiTheme="minorHAnsi" w:hAnsiTheme="minorHAnsi"/>
          <w:snapToGrid w:val="0"/>
        </w:rPr>
        <w:t>.</w:t>
      </w:r>
    </w:p>
    <w:p w14:paraId="74A02592" w14:textId="77777777" w:rsidR="00E204A0" w:rsidRPr="00B02C2E" w:rsidRDefault="00E204A0" w:rsidP="00B93146">
      <w:pPr>
        <w:widowControl w:val="0"/>
        <w:numPr>
          <w:ilvl w:val="1"/>
          <w:numId w:val="1"/>
        </w:numPr>
        <w:spacing w:after="120"/>
        <w:rPr>
          <w:rFonts w:asciiTheme="minorHAnsi" w:hAnsiTheme="minorHAnsi"/>
          <w:snapToGrid w:val="0"/>
        </w:rPr>
      </w:pPr>
      <w:r w:rsidRPr="00B02C2E">
        <w:rPr>
          <w:rFonts w:asciiTheme="minorHAnsi" w:hAnsiTheme="minorHAnsi"/>
          <w:snapToGrid w:val="0"/>
        </w:rPr>
        <w:t xml:space="preserve">In terms of clinical data, the PBAC recalled that the results from the PREVENT trial demonstrated that </w:t>
      </w:r>
      <w:r w:rsidRPr="00B02C2E">
        <w:rPr>
          <w:rFonts w:asciiTheme="minorHAnsi" w:hAnsiTheme="minorHAnsi"/>
          <w:bCs/>
          <w:snapToGrid w:val="0"/>
        </w:rPr>
        <w:t>eculizumab was associated with:</w:t>
      </w:r>
    </w:p>
    <w:p w14:paraId="3ECE370C" w14:textId="77777777" w:rsidR="00E204A0" w:rsidRPr="00B02C2E" w:rsidRDefault="00E204A0" w:rsidP="00E204A0">
      <w:pPr>
        <w:pStyle w:val="ListParagraph"/>
        <w:widowControl w:val="0"/>
        <w:numPr>
          <w:ilvl w:val="0"/>
          <w:numId w:val="31"/>
        </w:numPr>
        <w:spacing w:after="120"/>
        <w:ind w:left="1077" w:hanging="357"/>
        <w:rPr>
          <w:rFonts w:asciiTheme="minorHAnsi" w:hAnsiTheme="minorHAnsi"/>
          <w:bCs/>
          <w:snapToGrid w:val="0"/>
        </w:rPr>
      </w:pPr>
      <w:r w:rsidRPr="00B02C2E">
        <w:rPr>
          <w:rFonts w:asciiTheme="minorHAnsi" w:hAnsiTheme="minorHAnsi"/>
          <w:bCs/>
          <w:snapToGrid w:val="0"/>
        </w:rPr>
        <w:t xml:space="preserve">a statistically significant improvement in the time to first adjudicated relapse compared to placebo (HR = 0.058; 95% CI: 0.017, 0.197); and </w:t>
      </w:r>
    </w:p>
    <w:p w14:paraId="08228C39" w14:textId="77777777" w:rsidR="00B76E0A" w:rsidRPr="00B02C2E" w:rsidRDefault="00E204A0" w:rsidP="00E204A0">
      <w:pPr>
        <w:pStyle w:val="ListParagraph"/>
        <w:widowControl w:val="0"/>
        <w:numPr>
          <w:ilvl w:val="0"/>
          <w:numId w:val="31"/>
        </w:numPr>
        <w:spacing w:after="120"/>
        <w:ind w:left="1077" w:hanging="357"/>
        <w:rPr>
          <w:rFonts w:asciiTheme="minorHAnsi" w:hAnsiTheme="minorHAnsi"/>
          <w:snapToGrid w:val="0"/>
        </w:rPr>
      </w:pPr>
      <w:r w:rsidRPr="00B02C2E">
        <w:rPr>
          <w:rFonts w:asciiTheme="minorHAnsi" w:hAnsiTheme="minorHAnsi"/>
          <w:bCs/>
          <w:snapToGrid w:val="0"/>
        </w:rPr>
        <w:t>a statistically significant reduction in adjudicated annualised relapse rate compared to placebo (HR = 0.045; 95% CI: 0.013, 0.151</w:t>
      </w:r>
      <w:r w:rsidR="00E80409" w:rsidRPr="00B02C2E">
        <w:rPr>
          <w:rFonts w:asciiTheme="minorHAnsi" w:hAnsiTheme="minorHAnsi"/>
          <w:bCs/>
          <w:snapToGrid w:val="0"/>
        </w:rPr>
        <w:t xml:space="preserve">; </w:t>
      </w:r>
      <w:r w:rsidR="0000224E" w:rsidRPr="00B02C2E">
        <w:rPr>
          <w:rFonts w:asciiTheme="minorHAnsi" w:hAnsiTheme="minorHAnsi"/>
          <w:bCs/>
          <w:snapToGrid w:val="0"/>
        </w:rPr>
        <w:t xml:space="preserve">when on-trial relapses were assessed by the treating physician </w:t>
      </w:r>
      <w:r w:rsidRPr="00B02C2E">
        <w:rPr>
          <w:rFonts w:asciiTheme="minorHAnsi" w:hAnsiTheme="minorHAnsi"/>
          <w:bCs/>
          <w:snapToGrid w:val="0"/>
        </w:rPr>
        <w:t>HR = 0.147; 95%: 0.078, 0.278).</w:t>
      </w:r>
    </w:p>
    <w:p w14:paraId="306A1769" w14:textId="77777777" w:rsidR="00E204A0" w:rsidRPr="00B02C2E" w:rsidRDefault="00E204A0" w:rsidP="00E204A0">
      <w:pPr>
        <w:widowControl w:val="0"/>
        <w:numPr>
          <w:ilvl w:val="1"/>
          <w:numId w:val="1"/>
        </w:numPr>
        <w:spacing w:after="120"/>
        <w:rPr>
          <w:rFonts w:asciiTheme="minorHAnsi" w:hAnsiTheme="minorHAnsi"/>
          <w:snapToGrid w:val="0"/>
        </w:rPr>
      </w:pPr>
      <w:r w:rsidRPr="00B02C2E">
        <w:rPr>
          <w:rFonts w:asciiTheme="minorHAnsi" w:hAnsiTheme="minorHAnsi"/>
          <w:snapToGrid w:val="0"/>
        </w:rPr>
        <w:t xml:space="preserve">The PBAC noted that the resubmission presented additional post-hoc subgroup analyses based on the PREVENT trial and an updated interim analysis from the ECU-NMO-302 open label extension study (July 2019 data cut as compared to October 2018 in the November 2020 submission). The resubmission also presented a combined analysis of the PREVENT trial and the July 2019 data analysis of the ECU-NMO-302 open-label extension study. </w:t>
      </w:r>
    </w:p>
    <w:p w14:paraId="7110F387" w14:textId="77777777" w:rsidR="00B76C65" w:rsidRPr="00B02C2E" w:rsidRDefault="00B76C65" w:rsidP="00B93146">
      <w:pPr>
        <w:widowControl w:val="0"/>
        <w:numPr>
          <w:ilvl w:val="1"/>
          <w:numId w:val="1"/>
        </w:numPr>
        <w:spacing w:after="120"/>
        <w:rPr>
          <w:rFonts w:asciiTheme="minorHAnsi" w:hAnsiTheme="minorHAnsi"/>
          <w:snapToGrid w:val="0"/>
        </w:rPr>
      </w:pPr>
      <w:r w:rsidRPr="00B02C2E">
        <w:rPr>
          <w:rFonts w:asciiTheme="minorHAnsi" w:hAnsiTheme="minorHAnsi"/>
          <w:snapToGrid w:val="0"/>
        </w:rPr>
        <w:t xml:space="preserve">Based on the results of the PREVENT trial, the PBAC again considered that eculizumab was superior to best supportive care in reducing relapses. </w:t>
      </w:r>
      <w:r w:rsidR="00E204A0" w:rsidRPr="00B02C2E">
        <w:rPr>
          <w:rFonts w:asciiTheme="minorHAnsi" w:hAnsiTheme="minorHAnsi"/>
          <w:snapToGrid w:val="0"/>
        </w:rPr>
        <w:t>The PBAC considered that the additional data presented in the resubmission did not address the issues raised in November 2020 relating to</w:t>
      </w:r>
      <w:r w:rsidRPr="00B02C2E">
        <w:rPr>
          <w:rFonts w:asciiTheme="minorHAnsi" w:hAnsiTheme="minorHAnsi"/>
          <w:snapToGrid w:val="0"/>
        </w:rPr>
        <w:t xml:space="preserve"> whether: </w:t>
      </w:r>
    </w:p>
    <w:p w14:paraId="325B80D3" w14:textId="0500D065" w:rsidR="00B76C65" w:rsidRPr="00B02C2E" w:rsidRDefault="00B76C65" w:rsidP="009A647F">
      <w:pPr>
        <w:pStyle w:val="ListParagraph"/>
        <w:widowControl w:val="0"/>
        <w:numPr>
          <w:ilvl w:val="0"/>
          <w:numId w:val="32"/>
        </w:numPr>
        <w:spacing w:after="120"/>
        <w:ind w:left="1077" w:hanging="357"/>
        <w:rPr>
          <w:rFonts w:asciiTheme="minorHAnsi" w:hAnsiTheme="minorHAnsi"/>
          <w:snapToGrid w:val="0"/>
        </w:rPr>
      </w:pPr>
      <w:r w:rsidRPr="00B02C2E">
        <w:rPr>
          <w:rFonts w:asciiTheme="minorHAnsi" w:hAnsiTheme="minorHAnsi"/>
          <w:snapToGrid w:val="0"/>
        </w:rPr>
        <w:t>a reduction in relapse frequency associated with eculizumab treatment led to a clinically important reduction in disability progression</w:t>
      </w:r>
      <w:r w:rsidR="009A647F" w:rsidRPr="00B02C2E">
        <w:rPr>
          <w:rFonts w:asciiTheme="minorHAnsi" w:hAnsiTheme="minorHAnsi"/>
          <w:snapToGrid w:val="0"/>
        </w:rPr>
        <w:t xml:space="preserve"> and</w:t>
      </w:r>
      <w:r w:rsidRPr="00B02C2E">
        <w:rPr>
          <w:rFonts w:asciiTheme="minorHAnsi" w:hAnsiTheme="minorHAnsi"/>
          <w:snapToGrid w:val="0"/>
        </w:rPr>
        <w:t xml:space="preserve"> quality of life outcomes</w:t>
      </w:r>
      <w:r w:rsidR="009A647F" w:rsidRPr="00B02C2E">
        <w:rPr>
          <w:rFonts w:asciiTheme="minorHAnsi" w:hAnsiTheme="minorHAnsi"/>
          <w:snapToGrid w:val="0"/>
        </w:rPr>
        <w:t xml:space="preserve"> or an extended life expectanc</w:t>
      </w:r>
      <w:r w:rsidR="00484809" w:rsidRPr="00B02C2E">
        <w:rPr>
          <w:rFonts w:asciiTheme="minorHAnsi" w:hAnsiTheme="minorHAnsi"/>
          <w:snapToGrid w:val="0"/>
        </w:rPr>
        <w:t>y</w:t>
      </w:r>
      <w:r w:rsidR="009A647F" w:rsidRPr="00B02C2E">
        <w:rPr>
          <w:rFonts w:asciiTheme="minorHAnsi" w:hAnsiTheme="minorHAnsi"/>
          <w:snapToGrid w:val="0"/>
        </w:rPr>
        <w:t xml:space="preserve"> for patients with NMOSD</w:t>
      </w:r>
    </w:p>
    <w:p w14:paraId="7B69DF03" w14:textId="77777777" w:rsidR="00B76E0A" w:rsidRPr="00B02C2E" w:rsidRDefault="00B76C65" w:rsidP="009A647F">
      <w:pPr>
        <w:pStyle w:val="ListParagraph"/>
        <w:widowControl w:val="0"/>
        <w:numPr>
          <w:ilvl w:val="0"/>
          <w:numId w:val="32"/>
        </w:numPr>
        <w:spacing w:after="120"/>
        <w:ind w:left="1077" w:hanging="357"/>
        <w:rPr>
          <w:rFonts w:asciiTheme="minorHAnsi" w:hAnsiTheme="minorHAnsi"/>
          <w:snapToGrid w:val="0"/>
        </w:rPr>
      </w:pPr>
      <w:r w:rsidRPr="00B02C2E">
        <w:rPr>
          <w:rFonts w:asciiTheme="minorHAnsi" w:hAnsiTheme="minorHAnsi"/>
          <w:snapToGrid w:val="0"/>
        </w:rPr>
        <w:t>the results from the placebo arm were representative of best supportive care</w:t>
      </w:r>
      <w:r w:rsidR="009A647F" w:rsidRPr="00B02C2E">
        <w:rPr>
          <w:rFonts w:asciiTheme="minorHAnsi" w:hAnsiTheme="minorHAnsi"/>
          <w:snapToGrid w:val="0"/>
        </w:rPr>
        <w:t>.</w:t>
      </w:r>
    </w:p>
    <w:p w14:paraId="279D776B" w14:textId="77777777" w:rsidR="009A647F" w:rsidRPr="00B02C2E" w:rsidRDefault="009A647F" w:rsidP="000748B8">
      <w:pPr>
        <w:widowControl w:val="0"/>
        <w:numPr>
          <w:ilvl w:val="1"/>
          <w:numId w:val="1"/>
        </w:numPr>
        <w:spacing w:after="120"/>
        <w:rPr>
          <w:rFonts w:asciiTheme="minorHAnsi" w:hAnsiTheme="minorHAnsi"/>
          <w:snapToGrid w:val="0"/>
        </w:rPr>
      </w:pPr>
      <w:r w:rsidRPr="00B02C2E">
        <w:rPr>
          <w:rFonts w:asciiTheme="minorHAnsi" w:hAnsiTheme="minorHAnsi"/>
          <w:snapToGrid w:val="0"/>
        </w:rPr>
        <w:t>The PBAC again considered that eculizumab was non-inferior to best supportive care in terms of comparative safety.</w:t>
      </w:r>
    </w:p>
    <w:p w14:paraId="5EFB0B20" w14:textId="77777777" w:rsidR="009A647F" w:rsidRPr="00B02C2E" w:rsidRDefault="0097146A"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 xml:space="preserve">The PBAC noted that the resubmission presented a revised stepped cost-utility analysis comparing eculizumab plus best supportive care to best supportive care alone for </w:t>
      </w:r>
      <w:r w:rsidR="009A647F" w:rsidRPr="00B02C2E">
        <w:rPr>
          <w:rFonts w:asciiTheme="minorHAnsi" w:hAnsiTheme="minorHAnsi"/>
          <w:bCs/>
          <w:snapToGrid w:val="0"/>
        </w:rPr>
        <w:t>patients with AQP4+ NMOSD and who have frequent relapses.</w:t>
      </w:r>
      <w:r w:rsidRPr="00B02C2E">
        <w:rPr>
          <w:rFonts w:asciiTheme="minorHAnsi" w:hAnsiTheme="minorHAnsi"/>
          <w:bCs/>
          <w:snapToGrid w:val="0"/>
        </w:rPr>
        <w:t xml:space="preserve"> The PBAC noted that </w:t>
      </w:r>
      <w:r w:rsidR="00F33CAC" w:rsidRPr="00B02C2E">
        <w:rPr>
          <w:rFonts w:asciiTheme="minorHAnsi" w:hAnsiTheme="minorHAnsi"/>
          <w:bCs/>
          <w:snapToGrid w:val="0"/>
        </w:rPr>
        <w:t xml:space="preserve">although </w:t>
      </w:r>
      <w:r w:rsidRPr="00B02C2E">
        <w:rPr>
          <w:rFonts w:asciiTheme="minorHAnsi" w:hAnsiTheme="minorHAnsi"/>
          <w:bCs/>
          <w:snapToGrid w:val="0"/>
        </w:rPr>
        <w:t>the structure of the economic model was unchanged</w:t>
      </w:r>
      <w:r w:rsidR="00F33CAC" w:rsidRPr="00B02C2E">
        <w:rPr>
          <w:rFonts w:asciiTheme="minorHAnsi" w:hAnsiTheme="minorHAnsi"/>
          <w:bCs/>
          <w:snapToGrid w:val="0"/>
        </w:rPr>
        <w:t xml:space="preserve"> and</w:t>
      </w:r>
      <w:r w:rsidRPr="00B02C2E">
        <w:rPr>
          <w:rFonts w:asciiTheme="minorHAnsi" w:hAnsiTheme="minorHAnsi"/>
          <w:bCs/>
          <w:snapToGrid w:val="0"/>
        </w:rPr>
        <w:t xml:space="preserve"> remained complex</w:t>
      </w:r>
      <w:r w:rsidR="005479D6" w:rsidRPr="00B02C2E">
        <w:rPr>
          <w:rFonts w:asciiTheme="minorHAnsi" w:hAnsiTheme="minorHAnsi"/>
          <w:bCs/>
          <w:snapToGrid w:val="0"/>
        </w:rPr>
        <w:t>,</w:t>
      </w:r>
      <w:r w:rsidRPr="00B02C2E">
        <w:rPr>
          <w:rFonts w:asciiTheme="minorHAnsi" w:hAnsiTheme="minorHAnsi"/>
          <w:bCs/>
          <w:snapToGrid w:val="0"/>
        </w:rPr>
        <w:t xml:space="preserve"> </w:t>
      </w:r>
      <w:r w:rsidR="00F33CAC" w:rsidRPr="00B02C2E">
        <w:rPr>
          <w:rFonts w:asciiTheme="minorHAnsi" w:hAnsiTheme="minorHAnsi"/>
          <w:bCs/>
          <w:snapToGrid w:val="0"/>
        </w:rPr>
        <w:t>and again applied a 53-year time horizon, t</w:t>
      </w:r>
      <w:r w:rsidRPr="00B02C2E">
        <w:rPr>
          <w:rFonts w:asciiTheme="minorHAnsi" w:hAnsiTheme="minorHAnsi"/>
          <w:bCs/>
          <w:snapToGrid w:val="0"/>
        </w:rPr>
        <w:t xml:space="preserve">he resubmission made </w:t>
      </w:r>
      <w:r w:rsidR="00B93146" w:rsidRPr="00B02C2E">
        <w:rPr>
          <w:rFonts w:asciiTheme="minorHAnsi" w:hAnsiTheme="minorHAnsi"/>
          <w:bCs/>
          <w:snapToGrid w:val="0"/>
        </w:rPr>
        <w:t>some revisions,</w:t>
      </w:r>
      <w:r w:rsidRPr="00B02C2E">
        <w:rPr>
          <w:rFonts w:asciiTheme="minorHAnsi" w:hAnsiTheme="minorHAnsi"/>
          <w:bCs/>
          <w:snapToGrid w:val="0"/>
        </w:rPr>
        <w:t xml:space="preserve"> including the use of physician assess relapse rates (as opposed to adjudicated relapse rates), decreasing the proportion of patients with permanent disability following relapse from 0.435 to 0.30, reducing the risk of fatal relapse from 7% to 2.3% and including the cost of plasma exchange</w:t>
      </w:r>
      <w:r w:rsidR="00B93146" w:rsidRPr="00B02C2E">
        <w:rPr>
          <w:rFonts w:asciiTheme="minorHAnsi" w:hAnsiTheme="minorHAnsi"/>
          <w:bCs/>
          <w:snapToGrid w:val="0"/>
        </w:rPr>
        <w:t>, which were recommended following the November 2020 consideration</w:t>
      </w:r>
      <w:r w:rsidRPr="00B02C2E">
        <w:rPr>
          <w:rFonts w:asciiTheme="minorHAnsi" w:hAnsiTheme="minorHAnsi"/>
          <w:bCs/>
          <w:snapToGrid w:val="0"/>
        </w:rPr>
        <w:t xml:space="preserve">. </w:t>
      </w:r>
    </w:p>
    <w:p w14:paraId="5FE6C0DC" w14:textId="77777777" w:rsidR="0097146A" w:rsidRPr="00B02C2E" w:rsidRDefault="00B93146"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However, t</w:t>
      </w:r>
      <w:r w:rsidR="0097146A" w:rsidRPr="00B02C2E">
        <w:rPr>
          <w:rFonts w:asciiTheme="minorHAnsi" w:hAnsiTheme="minorHAnsi"/>
          <w:bCs/>
          <w:snapToGrid w:val="0"/>
        </w:rPr>
        <w:t>he PBAC noted that a number of changes requested in November 2020 and outlined in paragraph 6.</w:t>
      </w:r>
      <w:r w:rsidR="00411318" w:rsidRPr="00B02C2E">
        <w:rPr>
          <w:rFonts w:asciiTheme="minorHAnsi" w:hAnsiTheme="minorHAnsi"/>
          <w:bCs/>
          <w:snapToGrid w:val="0"/>
        </w:rPr>
        <w:t>3</w:t>
      </w:r>
      <w:r w:rsidR="00902747" w:rsidRPr="00B02C2E">
        <w:rPr>
          <w:rFonts w:asciiTheme="minorHAnsi" w:hAnsiTheme="minorHAnsi"/>
          <w:bCs/>
          <w:snapToGrid w:val="0"/>
        </w:rPr>
        <w:t>6</w:t>
      </w:r>
      <w:r w:rsidR="0097146A" w:rsidRPr="00B02C2E">
        <w:rPr>
          <w:rFonts w:asciiTheme="minorHAnsi" w:hAnsiTheme="minorHAnsi"/>
          <w:bCs/>
          <w:snapToGrid w:val="0"/>
        </w:rPr>
        <w:t xml:space="preserve"> were not implemented in the revised economic model. The PBAC also recalled that it had stated that a substantial price reduction would be required to achieve an acceptable ICER. </w:t>
      </w:r>
    </w:p>
    <w:p w14:paraId="3281A9E4" w14:textId="77777777" w:rsidR="0097146A" w:rsidRPr="00B02C2E" w:rsidRDefault="0097146A" w:rsidP="00A70B7A">
      <w:pPr>
        <w:pStyle w:val="ExecSumBodyText"/>
      </w:pPr>
      <w:r w:rsidRPr="00B02C2E">
        <w:t xml:space="preserve">The PBAC noted that the changes applied (as outlined in paragraph 7.11) and the application of a </w:t>
      </w:r>
      <w:r w:rsidR="00B763C7">
        <w:rPr>
          <w:noProof/>
          <w:color w:val="000000"/>
          <w:highlight w:val="black"/>
        </w:rPr>
        <w:t>''''''</w:t>
      </w:r>
      <w:r w:rsidRPr="00B02C2E">
        <w:t xml:space="preserve">% price reduction resulted in an ICER of </w:t>
      </w:r>
      <w:r w:rsidR="00A70B7A" w:rsidRPr="00A70B7A">
        <w:rPr>
          <w:bCs/>
        </w:rPr>
        <w:t>&gt; $1,055,000</w:t>
      </w:r>
      <w:r w:rsidR="00A70B7A">
        <w:rPr>
          <w:bCs/>
        </w:rPr>
        <w:t xml:space="preserve"> </w:t>
      </w:r>
      <w:r w:rsidRPr="00B02C2E">
        <w:t>per QALY. Overall</w:t>
      </w:r>
      <w:r w:rsidR="00C7677C" w:rsidRPr="00B02C2E">
        <w:t>,</w:t>
      </w:r>
      <w:r w:rsidRPr="00B02C2E">
        <w:t xml:space="preserve"> the PBAC considered that the </w:t>
      </w:r>
      <w:r w:rsidR="00C7677C" w:rsidRPr="00B02C2E">
        <w:t xml:space="preserve">resubmission partly addressed some of the issues raised in response to the original submission, and that the economic analysis </w:t>
      </w:r>
      <w:r w:rsidR="005479D6" w:rsidRPr="00B02C2E">
        <w:t xml:space="preserve">as </w:t>
      </w:r>
      <w:r w:rsidR="00C7677C" w:rsidRPr="00B02C2E">
        <w:t xml:space="preserve">presented provided additional certainty that the ICER exceeded </w:t>
      </w:r>
      <w:r w:rsidR="00A70B7A" w:rsidRPr="00A70B7A">
        <w:t>&gt; $1,055,000</w:t>
      </w:r>
      <w:r w:rsidR="00A70B7A">
        <w:t xml:space="preserve"> </w:t>
      </w:r>
      <w:r w:rsidR="00C7677C" w:rsidRPr="00B02C2E">
        <w:t>per QALY gained. The PBAC considered that this remained</w:t>
      </w:r>
      <w:r w:rsidR="005479D6" w:rsidRPr="00B02C2E">
        <w:t xml:space="preserve"> unacceptably</w:t>
      </w:r>
      <w:r w:rsidR="00C7677C" w:rsidRPr="00B02C2E">
        <w:t xml:space="preserve"> high</w:t>
      </w:r>
      <w:r w:rsidR="00B93146" w:rsidRPr="00B02C2E">
        <w:t xml:space="preserve">, </w:t>
      </w:r>
      <w:r w:rsidR="00C7677C" w:rsidRPr="00B02C2E">
        <w:t>again not</w:t>
      </w:r>
      <w:r w:rsidR="00B93146" w:rsidRPr="00B02C2E">
        <w:t>ing</w:t>
      </w:r>
      <w:r w:rsidR="00C7677C" w:rsidRPr="00B02C2E">
        <w:t xml:space="preserve"> that it has previously considered ICERs in the range of $100,000 to $300,000 per QALY </w:t>
      </w:r>
      <w:r w:rsidR="00B93146" w:rsidRPr="00B02C2E">
        <w:t xml:space="preserve">acceptable </w:t>
      </w:r>
      <w:r w:rsidR="00C7677C" w:rsidRPr="00B02C2E">
        <w:t>for rare disease</w:t>
      </w:r>
      <w:r w:rsidR="00B93146" w:rsidRPr="00B02C2E">
        <w:t>s</w:t>
      </w:r>
      <w:r w:rsidR="00C7677C" w:rsidRPr="00B02C2E">
        <w:t>.</w:t>
      </w:r>
    </w:p>
    <w:p w14:paraId="335F4DDF" w14:textId="77777777" w:rsidR="00826CD6" w:rsidRPr="00B02C2E" w:rsidRDefault="00826CD6" w:rsidP="00826CD6">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As noted in paragraph 7.</w:t>
      </w:r>
      <w:r w:rsidR="00FF36F3" w:rsidRPr="00B02C2E">
        <w:rPr>
          <w:rFonts w:asciiTheme="minorHAnsi" w:hAnsiTheme="minorHAnsi"/>
          <w:bCs/>
          <w:snapToGrid w:val="0"/>
        </w:rPr>
        <w:t>3</w:t>
      </w:r>
      <w:r w:rsidRPr="00B02C2E">
        <w:rPr>
          <w:rFonts w:asciiTheme="minorHAnsi" w:hAnsiTheme="minorHAnsi"/>
          <w:bCs/>
          <w:snapToGrid w:val="0"/>
        </w:rPr>
        <w:t>, the resubmission did not present an economic analysis for the use of eculizumab in patients who have had a prior immunosuppressive event, therefore the cost effectiveness of eculizumab in this population could not be assessed.</w:t>
      </w:r>
    </w:p>
    <w:p w14:paraId="6A3B26C5" w14:textId="13515C4D" w:rsidR="0046699D" w:rsidRPr="00B02C2E" w:rsidRDefault="00F30706" w:rsidP="00A70B7A">
      <w:pPr>
        <w:pStyle w:val="ExecSumBodyText"/>
      </w:pPr>
      <w:r w:rsidRPr="00B02C2E">
        <w:t xml:space="preserve">The PBAC noted that the resubmission provided </w:t>
      </w:r>
      <w:r w:rsidR="00717792" w:rsidRPr="00B02C2E">
        <w:t>revised u</w:t>
      </w:r>
      <w:r w:rsidRPr="00B02C2E">
        <w:t>tilisation and financial estimates</w:t>
      </w:r>
      <w:r w:rsidR="0046699D" w:rsidRPr="00B02C2E">
        <w:t xml:space="preserve"> which resulted in an estimated cost over the first six years of listing of </w:t>
      </w:r>
      <w:r w:rsidR="00A70B7A" w:rsidRPr="00A70B7A">
        <w:rPr>
          <w:bCs/>
        </w:rPr>
        <w:t>$100</w:t>
      </w:r>
      <w:r w:rsidR="009B5FF2">
        <w:rPr>
          <w:bCs/>
        </w:rPr>
        <w:t> </w:t>
      </w:r>
      <w:r w:rsidR="00A70B7A" w:rsidRPr="00A70B7A">
        <w:rPr>
          <w:bCs/>
        </w:rPr>
        <w:t>million to &lt; $200 million</w:t>
      </w:r>
      <w:r w:rsidR="00A70B7A">
        <w:rPr>
          <w:bCs/>
        </w:rPr>
        <w:t xml:space="preserve"> </w:t>
      </w:r>
      <w:r w:rsidR="0046699D" w:rsidRPr="00B02C2E">
        <w:t xml:space="preserve">(compared to </w:t>
      </w:r>
      <w:r w:rsidR="00A70B7A" w:rsidRPr="00A70B7A">
        <w:t>$200 million to &lt; $300 million</w:t>
      </w:r>
      <w:r w:rsidR="00A70B7A" w:rsidRPr="00A70B7A" w:rsidDel="00A70B7A">
        <w:t xml:space="preserve"> </w:t>
      </w:r>
      <w:r w:rsidR="0046699D" w:rsidRPr="00B02C2E">
        <w:t>in the November 2020 submission)</w:t>
      </w:r>
      <w:r w:rsidR="00717792" w:rsidRPr="00B02C2E">
        <w:t xml:space="preserve">. </w:t>
      </w:r>
    </w:p>
    <w:p w14:paraId="7A4B4DB2" w14:textId="77777777" w:rsidR="00717792" w:rsidRPr="00B02C2E" w:rsidRDefault="00717792"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 xml:space="preserve">The PBAC considered that the </w:t>
      </w:r>
      <w:r w:rsidR="00F30706" w:rsidRPr="00B02C2E">
        <w:rPr>
          <w:rFonts w:asciiTheme="minorHAnsi" w:hAnsiTheme="minorHAnsi"/>
          <w:bCs/>
          <w:snapToGrid w:val="0"/>
        </w:rPr>
        <w:t>use of a prevalence-based approach</w:t>
      </w:r>
      <w:r w:rsidRPr="00B02C2E">
        <w:rPr>
          <w:rFonts w:asciiTheme="minorHAnsi" w:hAnsiTheme="minorHAnsi"/>
          <w:bCs/>
          <w:snapToGrid w:val="0"/>
        </w:rPr>
        <w:t xml:space="preserve">, rather than a mixed incidence/prevalence approach, was appropriate. </w:t>
      </w:r>
    </w:p>
    <w:p w14:paraId="35F0A8B7" w14:textId="77777777" w:rsidR="000B42AC" w:rsidRPr="00B02C2E" w:rsidRDefault="00717792"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 xml:space="preserve">The PBAC noted that the resubmission had </w:t>
      </w:r>
      <w:r w:rsidR="0046699D" w:rsidRPr="00B02C2E">
        <w:rPr>
          <w:rFonts w:asciiTheme="minorHAnsi" w:hAnsiTheme="minorHAnsi"/>
          <w:bCs/>
          <w:snapToGrid w:val="0"/>
        </w:rPr>
        <w:t xml:space="preserve">also </w:t>
      </w:r>
      <w:r w:rsidRPr="00B02C2E">
        <w:rPr>
          <w:rFonts w:asciiTheme="minorHAnsi" w:hAnsiTheme="minorHAnsi"/>
          <w:bCs/>
          <w:snapToGrid w:val="0"/>
        </w:rPr>
        <w:t xml:space="preserve">made changes to </w:t>
      </w:r>
      <w:r w:rsidR="00FF36F3" w:rsidRPr="00B02C2E">
        <w:rPr>
          <w:rFonts w:asciiTheme="minorHAnsi" w:hAnsiTheme="minorHAnsi"/>
          <w:bCs/>
          <w:snapToGrid w:val="0"/>
        </w:rPr>
        <w:t xml:space="preserve">a number of </w:t>
      </w:r>
      <w:r w:rsidRPr="00B02C2E">
        <w:rPr>
          <w:rFonts w:asciiTheme="minorHAnsi" w:hAnsiTheme="minorHAnsi"/>
          <w:bCs/>
          <w:snapToGrid w:val="0"/>
        </w:rPr>
        <w:t xml:space="preserve">inputs </w:t>
      </w:r>
      <w:r w:rsidR="00C9151F" w:rsidRPr="00B02C2E">
        <w:rPr>
          <w:rFonts w:asciiTheme="minorHAnsi" w:hAnsiTheme="minorHAnsi"/>
          <w:bCs/>
          <w:snapToGrid w:val="0"/>
        </w:rPr>
        <w:t xml:space="preserve">including </w:t>
      </w:r>
      <w:r w:rsidRPr="00B02C2E">
        <w:rPr>
          <w:rFonts w:asciiTheme="minorHAnsi" w:hAnsiTheme="minorHAnsi"/>
          <w:bCs/>
          <w:snapToGrid w:val="0"/>
        </w:rPr>
        <w:t>prevalence, eligibility criteria, uptake rates compliance</w:t>
      </w:r>
      <w:r w:rsidR="00C9151F" w:rsidRPr="00B02C2E">
        <w:rPr>
          <w:rFonts w:asciiTheme="minorHAnsi" w:hAnsiTheme="minorHAnsi"/>
          <w:bCs/>
          <w:snapToGrid w:val="0"/>
        </w:rPr>
        <w:t xml:space="preserve"> and</w:t>
      </w:r>
      <w:r w:rsidRPr="00B02C2E">
        <w:rPr>
          <w:rFonts w:asciiTheme="minorHAnsi" w:hAnsiTheme="minorHAnsi"/>
          <w:bCs/>
          <w:snapToGrid w:val="0"/>
        </w:rPr>
        <w:t xml:space="preserve"> price.</w:t>
      </w:r>
      <w:r w:rsidR="00F30706" w:rsidRPr="00B02C2E">
        <w:rPr>
          <w:rFonts w:asciiTheme="minorHAnsi" w:hAnsiTheme="minorHAnsi"/>
          <w:bCs/>
          <w:snapToGrid w:val="0"/>
        </w:rPr>
        <w:t xml:space="preserve"> </w:t>
      </w:r>
      <w:r w:rsidR="0046699D" w:rsidRPr="00B02C2E">
        <w:rPr>
          <w:rFonts w:asciiTheme="minorHAnsi" w:hAnsiTheme="minorHAnsi"/>
          <w:bCs/>
          <w:snapToGrid w:val="0"/>
        </w:rPr>
        <w:t>The PBAC noted that although the uptake rate of eculizumab had been increased from 50%-65% in the previous submission to 85%-95% in the resubmission no data were provided to support the change. In addition, the PBAC noted that compliance in the resubmission was 100%, as compared to 89.7% in the previous submission. The PBAC considered that this was inappropriate.</w:t>
      </w:r>
      <w:r w:rsidR="006B1FC8" w:rsidRPr="00B02C2E">
        <w:rPr>
          <w:rFonts w:asciiTheme="minorHAnsi" w:hAnsiTheme="minorHAnsi"/>
          <w:bCs/>
          <w:snapToGrid w:val="0"/>
        </w:rPr>
        <w:t xml:space="preserve"> Overall, the PBAC considered that </w:t>
      </w:r>
      <w:r w:rsidR="00EF1D83" w:rsidRPr="00B02C2E">
        <w:rPr>
          <w:rFonts w:asciiTheme="minorHAnsi" w:hAnsiTheme="minorHAnsi"/>
          <w:bCs/>
          <w:snapToGrid w:val="0"/>
        </w:rPr>
        <w:t>although the estimates were more closely aligned with the proposed restriction</w:t>
      </w:r>
      <w:r w:rsidR="00C9151F" w:rsidRPr="00B02C2E">
        <w:rPr>
          <w:rFonts w:asciiTheme="minorHAnsi" w:hAnsiTheme="minorHAnsi"/>
          <w:bCs/>
          <w:snapToGrid w:val="0"/>
        </w:rPr>
        <w:t>, they remained overestimated.</w:t>
      </w:r>
      <w:r w:rsidR="006B1FC8" w:rsidRPr="00B02C2E">
        <w:rPr>
          <w:rFonts w:asciiTheme="minorHAnsi" w:hAnsiTheme="minorHAnsi"/>
          <w:bCs/>
          <w:snapToGrid w:val="0"/>
        </w:rPr>
        <w:t xml:space="preserve"> </w:t>
      </w:r>
    </w:p>
    <w:p w14:paraId="6C85427A" w14:textId="77777777" w:rsidR="00C7677C" w:rsidRPr="00B02C2E" w:rsidRDefault="000B42AC"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Noting that the estimated cost per patient per year was approximately $</w:t>
      </w:r>
      <w:r w:rsidR="00B763C7">
        <w:rPr>
          <w:rFonts w:asciiTheme="minorHAnsi" w:hAnsiTheme="minorHAnsi"/>
          <w:bCs/>
          <w:noProof/>
          <w:snapToGrid w:val="0"/>
          <w:color w:val="000000"/>
          <w:highlight w:val="black"/>
        </w:rPr>
        <w:t>''''''''''''''</w:t>
      </w:r>
      <w:r w:rsidRPr="00B02C2E">
        <w:rPr>
          <w:rFonts w:asciiTheme="minorHAnsi" w:hAnsiTheme="minorHAnsi"/>
          <w:bCs/>
          <w:snapToGrid w:val="0"/>
        </w:rPr>
        <w:t>, and that treatment is proposed as a lifelong prophylaxis, the PBAC considered that at the proposed price, the cost of listing remained high.</w:t>
      </w:r>
    </w:p>
    <w:p w14:paraId="4F5445E5" w14:textId="77777777" w:rsidR="009A647F" w:rsidRPr="00B02C2E" w:rsidRDefault="00717792"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 xml:space="preserve">The PBAC noted that </w:t>
      </w:r>
      <w:r w:rsidR="0046699D" w:rsidRPr="00B02C2E">
        <w:rPr>
          <w:rFonts w:asciiTheme="minorHAnsi" w:hAnsiTheme="minorHAnsi"/>
          <w:bCs/>
          <w:snapToGrid w:val="0"/>
        </w:rPr>
        <w:t xml:space="preserve">the </w:t>
      </w:r>
      <w:r w:rsidR="00C9151F" w:rsidRPr="00B02C2E">
        <w:rPr>
          <w:rFonts w:asciiTheme="minorHAnsi" w:hAnsiTheme="minorHAnsi"/>
          <w:bCs/>
          <w:snapToGrid w:val="0"/>
        </w:rPr>
        <w:t xml:space="preserve">resubmission proposed a Risk Sharing Arrangement (RSA) based on the estimated PBS/RPBS expenditure. </w:t>
      </w:r>
    </w:p>
    <w:p w14:paraId="6F0A3A88" w14:textId="77777777" w:rsidR="009A647F" w:rsidRPr="00B02C2E" w:rsidRDefault="00826CD6"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The PBAC considered that a resubmission for eculizumab should address the clinical, economic and financial issues raised above. The PBAC advised that a formal comparison between eculizumab and rituximab would be informative and reiterated that a substantial price reduction would be required to achieve an acceptable ICER. The resubmission may be lodged at any future standard due date for PBAC submissions using the standard re-entry pathway.</w:t>
      </w:r>
    </w:p>
    <w:p w14:paraId="76745329" w14:textId="77777777" w:rsidR="009A647F" w:rsidRPr="00B02C2E" w:rsidRDefault="00826CD6" w:rsidP="009A647F">
      <w:pPr>
        <w:widowControl w:val="0"/>
        <w:numPr>
          <w:ilvl w:val="1"/>
          <w:numId w:val="1"/>
        </w:numPr>
        <w:spacing w:after="120"/>
        <w:rPr>
          <w:rFonts w:asciiTheme="minorHAnsi" w:hAnsiTheme="minorHAnsi"/>
          <w:bCs/>
          <w:snapToGrid w:val="0"/>
        </w:rPr>
      </w:pPr>
      <w:r w:rsidRPr="00B02C2E">
        <w:rPr>
          <w:rFonts w:asciiTheme="minorHAnsi" w:hAnsiTheme="minorHAnsi"/>
          <w:bCs/>
          <w:snapToGrid w:val="0"/>
        </w:rPr>
        <w:t>The PBAC noted that this submission is eligible for an Independent Review.</w:t>
      </w:r>
    </w:p>
    <w:p w14:paraId="67A7517D" w14:textId="77777777" w:rsidR="000748B8" w:rsidRPr="00B02C2E" w:rsidRDefault="000748B8" w:rsidP="000748B8">
      <w:pPr>
        <w:widowControl w:val="0"/>
        <w:ind w:left="720"/>
        <w:rPr>
          <w:rFonts w:asciiTheme="minorHAnsi" w:hAnsiTheme="minorHAnsi"/>
          <w:snapToGrid w:val="0"/>
        </w:rPr>
      </w:pPr>
      <w:r w:rsidRPr="00B02C2E">
        <w:rPr>
          <w:rFonts w:asciiTheme="minorHAnsi" w:hAnsiTheme="minorHAnsi"/>
          <w:snapToGrid w:val="0"/>
        </w:rPr>
        <w:t xml:space="preserve"> </w:t>
      </w:r>
    </w:p>
    <w:p w14:paraId="18EE2385" w14:textId="77777777" w:rsidR="000748B8" w:rsidRPr="00B02C2E" w:rsidRDefault="000748B8" w:rsidP="000748B8">
      <w:pPr>
        <w:spacing w:before="240"/>
        <w:rPr>
          <w:rFonts w:asciiTheme="minorHAnsi" w:hAnsiTheme="minorHAnsi"/>
          <w:b/>
          <w:bCs/>
          <w:snapToGrid w:val="0"/>
        </w:rPr>
      </w:pPr>
      <w:r w:rsidRPr="00B02C2E">
        <w:rPr>
          <w:rFonts w:asciiTheme="minorHAnsi" w:hAnsiTheme="minorHAnsi"/>
          <w:b/>
          <w:bCs/>
          <w:snapToGrid w:val="0"/>
        </w:rPr>
        <w:t>Outcome:</w:t>
      </w:r>
    </w:p>
    <w:p w14:paraId="02D56981" w14:textId="77777777" w:rsidR="000748B8" w:rsidRPr="00B02C2E" w:rsidRDefault="000748B8" w:rsidP="000748B8">
      <w:pPr>
        <w:rPr>
          <w:rFonts w:asciiTheme="minorHAnsi" w:hAnsiTheme="minorHAnsi"/>
          <w:bCs/>
          <w:snapToGrid w:val="0"/>
        </w:rPr>
      </w:pPr>
      <w:r w:rsidRPr="00B02C2E">
        <w:rPr>
          <w:rFonts w:asciiTheme="minorHAnsi" w:hAnsiTheme="minorHAnsi"/>
          <w:bCs/>
          <w:snapToGrid w:val="0"/>
        </w:rPr>
        <w:t xml:space="preserve">Not recommended </w:t>
      </w:r>
    </w:p>
    <w:p w14:paraId="503D3894" w14:textId="77777777" w:rsidR="00826CD6" w:rsidRPr="00B02C2E" w:rsidRDefault="00826CD6" w:rsidP="000748B8">
      <w:pPr>
        <w:widowControl w:val="0"/>
        <w:rPr>
          <w:rFonts w:asciiTheme="minorHAnsi" w:hAnsiTheme="minorHAnsi"/>
          <w:b/>
          <w:bCs/>
          <w:snapToGrid w:val="0"/>
        </w:rPr>
      </w:pPr>
    </w:p>
    <w:p w14:paraId="57B060E1" w14:textId="77777777" w:rsidR="00155927" w:rsidRPr="00155927" w:rsidRDefault="00155927" w:rsidP="00155927">
      <w:pPr>
        <w:pStyle w:val="2-SectionHeading"/>
      </w:pPr>
      <w:r w:rsidRPr="00C07617">
        <w:t>Context for Decision</w:t>
      </w:r>
    </w:p>
    <w:p w14:paraId="248183C9" w14:textId="77777777" w:rsidR="00155927" w:rsidRPr="007129F2" w:rsidRDefault="00155927" w:rsidP="00155927">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A98D04" w14:textId="77777777" w:rsidR="00155927" w:rsidRPr="00155927" w:rsidRDefault="00155927" w:rsidP="00155927">
      <w:pPr>
        <w:pStyle w:val="2-SectionHeading"/>
      </w:pPr>
      <w:r>
        <w:t>Sponsor’s Comment</w:t>
      </w:r>
    </w:p>
    <w:p w14:paraId="5E938182" w14:textId="77777777" w:rsidR="00155927" w:rsidRPr="001179AC" w:rsidRDefault="000633F6" w:rsidP="00155927">
      <w:pPr>
        <w:spacing w:after="120"/>
        <w:ind w:left="426"/>
        <w:rPr>
          <w:bCs/>
        </w:rPr>
      </w:pPr>
      <w:r w:rsidRPr="000633F6">
        <w:rPr>
          <w:bCs/>
        </w:rPr>
        <w:t>There are no TGA approved therapies reimbursed for neuromyelitis optica spectrum disorder (NMOSD) in Australia and given the severity and rare nature of this disease, Alexion is committed to continue to work with the Government to reach an agreement that ensures equitable access for people living with this devastating disease.</w:t>
      </w:r>
    </w:p>
    <w:p w14:paraId="5BDC34C3" w14:textId="77777777" w:rsidR="00826CD6" w:rsidRPr="00B02C2E" w:rsidRDefault="00826CD6" w:rsidP="000748B8">
      <w:pPr>
        <w:widowControl w:val="0"/>
        <w:rPr>
          <w:rFonts w:asciiTheme="minorHAnsi" w:hAnsiTheme="minorHAnsi"/>
          <w:b/>
          <w:bCs/>
          <w:snapToGrid w:val="0"/>
        </w:rPr>
      </w:pPr>
    </w:p>
    <w:bookmarkEnd w:id="38"/>
    <w:bookmarkEnd w:id="39"/>
    <w:p w14:paraId="29E10332" w14:textId="77777777" w:rsidR="00C56FCF" w:rsidRPr="00B02C2E" w:rsidRDefault="00C56FCF">
      <w:pPr>
        <w:jc w:val="left"/>
        <w:rPr>
          <w:color w:val="3366FF"/>
        </w:rPr>
      </w:pPr>
    </w:p>
    <w:sectPr w:rsidR="00C56FCF" w:rsidRPr="00B02C2E"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F0FA1" w16cid:durableId="25C234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A7B07" w14:textId="77777777" w:rsidR="00347B74" w:rsidRDefault="00347B74" w:rsidP="00124A51">
      <w:r>
        <w:separator/>
      </w:r>
    </w:p>
    <w:p w14:paraId="7FDEB23A" w14:textId="77777777" w:rsidR="00347B74" w:rsidRDefault="00347B74"/>
  </w:endnote>
  <w:endnote w:type="continuationSeparator" w:id="0">
    <w:p w14:paraId="45E470CD" w14:textId="77777777" w:rsidR="00347B74" w:rsidRDefault="00347B74" w:rsidP="00124A51">
      <w:r>
        <w:continuationSeparator/>
      </w:r>
    </w:p>
    <w:p w14:paraId="67C83473" w14:textId="77777777" w:rsidR="00347B74" w:rsidRDefault="00347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5731" w14:textId="77777777" w:rsidR="00347B74" w:rsidRDefault="00347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71CA" w14:textId="77777777" w:rsidR="00347B74" w:rsidRDefault="00347B74">
    <w:pPr>
      <w:pStyle w:val="Footer"/>
      <w:jc w:val="center"/>
    </w:pPr>
  </w:p>
  <w:sdt>
    <w:sdtPr>
      <w:id w:val="-1082292660"/>
      <w:docPartObj>
        <w:docPartGallery w:val="Page Numbers (Bottom of Page)"/>
        <w:docPartUnique/>
      </w:docPartObj>
    </w:sdtPr>
    <w:sdtEndPr>
      <w:rPr>
        <w:noProof/>
      </w:rPr>
    </w:sdtEndPr>
    <w:sdtContent>
      <w:p w14:paraId="401D1B83" w14:textId="12C9BAB7" w:rsidR="00347B74" w:rsidRDefault="00347B74">
        <w:pPr>
          <w:pStyle w:val="Footer"/>
          <w:jc w:val="center"/>
        </w:pPr>
        <w:r w:rsidRPr="000748B8">
          <w:rPr>
            <w:b/>
            <w:bCs/>
          </w:rPr>
          <w:fldChar w:fldCharType="begin"/>
        </w:r>
        <w:r w:rsidRPr="000748B8">
          <w:rPr>
            <w:b/>
            <w:bCs/>
          </w:rPr>
          <w:instrText xml:space="preserve"> PAGE   \* MERGEFORMAT </w:instrText>
        </w:r>
        <w:r w:rsidRPr="000748B8">
          <w:rPr>
            <w:b/>
            <w:bCs/>
          </w:rPr>
          <w:fldChar w:fldCharType="separate"/>
        </w:r>
        <w:r w:rsidR="006E4171">
          <w:rPr>
            <w:b/>
            <w:bCs/>
            <w:noProof/>
          </w:rPr>
          <w:t>33</w:t>
        </w:r>
        <w:r w:rsidRPr="000748B8">
          <w:rPr>
            <w:b/>
            <w:bCs/>
            <w:noProof/>
          </w:rPr>
          <w:fldChar w:fldCharType="end"/>
        </w:r>
      </w:p>
    </w:sdtContent>
  </w:sdt>
  <w:p w14:paraId="37B55538" w14:textId="77777777" w:rsidR="00347B74" w:rsidRDefault="00347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79A4" w14:textId="77777777" w:rsidR="00347B74" w:rsidRDefault="0034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4EDD" w14:textId="77777777" w:rsidR="00347B74" w:rsidRDefault="00347B74" w:rsidP="00124A51">
      <w:r>
        <w:separator/>
      </w:r>
    </w:p>
    <w:p w14:paraId="23EA3360" w14:textId="77777777" w:rsidR="00347B74" w:rsidRDefault="00347B74"/>
  </w:footnote>
  <w:footnote w:type="continuationSeparator" w:id="0">
    <w:p w14:paraId="2627D909" w14:textId="77777777" w:rsidR="00347B74" w:rsidRDefault="00347B74" w:rsidP="00124A51">
      <w:r>
        <w:continuationSeparator/>
      </w:r>
    </w:p>
    <w:p w14:paraId="61BDE9D6" w14:textId="77777777" w:rsidR="00347B74" w:rsidRDefault="00347B74"/>
  </w:footnote>
  <w:footnote w:id="1">
    <w:p w14:paraId="6B987F5B" w14:textId="77777777" w:rsidR="00347B74" w:rsidRDefault="00347B74">
      <w:pPr>
        <w:pStyle w:val="FootnoteText"/>
      </w:pPr>
      <w:r>
        <w:rPr>
          <w:rStyle w:val="FootnoteReference"/>
        </w:rPr>
        <w:footnoteRef/>
      </w:r>
      <w:r>
        <w:t xml:space="preserve"> Kurtzke JF. Rating neurologic impairment in multiple sclerosis: An expanded disability status scale (EDSS). Neurology. 1983;33(11):1444-1452.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27EB" w14:textId="77777777" w:rsidR="00347B74" w:rsidRDefault="00347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FEC0" w14:textId="77777777" w:rsidR="00347B74" w:rsidRPr="000748B8" w:rsidRDefault="00347B74" w:rsidP="000748B8">
    <w:pPr>
      <w:jc w:val="center"/>
      <w:rPr>
        <w:i/>
        <w:iCs/>
      </w:rPr>
    </w:pPr>
    <w:r w:rsidRPr="00155927">
      <w:rPr>
        <w:i/>
        <w:iCs/>
      </w:rPr>
      <w:t xml:space="preserve">Public Summary Document </w:t>
    </w:r>
    <w:r w:rsidRPr="000748B8">
      <w:rPr>
        <w:i/>
        <w:iCs/>
      </w:rPr>
      <w:t>– November 2021 PBAC Meeting</w:t>
    </w:r>
  </w:p>
  <w:p w14:paraId="12EDBF61" w14:textId="77777777" w:rsidR="00347B74" w:rsidRDefault="00347B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C380" w14:textId="77777777" w:rsidR="00347B74" w:rsidRDefault="0034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53954"/>
    <w:multiLevelType w:val="hybridMultilevel"/>
    <w:tmpl w:val="495CB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8321E"/>
    <w:multiLevelType w:val="multilevel"/>
    <w:tmpl w:val="AA782B0C"/>
    <w:lvl w:ilvl="0">
      <w:start w:val="1"/>
      <w:numFmt w:val="decimal"/>
      <w:lvlText w:val="%1"/>
      <w:lvlJc w:val="left"/>
      <w:pPr>
        <w:ind w:left="720" w:hanging="720"/>
      </w:pPr>
      <w:rPr>
        <w:rFonts w:hint="default"/>
        <w:b/>
      </w:rPr>
    </w:lvl>
    <w:lvl w:ilvl="1">
      <w:start w:val="1"/>
      <w:numFmt w:val="bullet"/>
      <w:lvlText w:val="o"/>
      <w:lvlJc w:val="left"/>
      <w:pPr>
        <w:ind w:left="2137"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2024B2"/>
    <w:multiLevelType w:val="multilevel"/>
    <w:tmpl w:val="EA4049F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317D1"/>
    <w:multiLevelType w:val="multilevel"/>
    <w:tmpl w:val="8DB4CAB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4C4D79"/>
    <w:multiLevelType w:val="multilevel"/>
    <w:tmpl w:val="A00C8CA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4480C"/>
    <w:multiLevelType w:val="multilevel"/>
    <w:tmpl w:val="A02AE922"/>
    <w:lvl w:ilvl="0">
      <w:start w:val="1"/>
      <w:numFmt w:val="decimal"/>
      <w:lvlText w:val="%1"/>
      <w:lvlJc w:val="left"/>
      <w:pPr>
        <w:ind w:left="720" w:hanging="720"/>
      </w:pPr>
      <w:rPr>
        <w:rFonts w:hint="default"/>
        <w:b/>
      </w:rPr>
    </w:lvl>
    <w:lvl w:ilvl="1">
      <w:start w:val="1"/>
      <w:numFmt w:val="bullet"/>
      <w:lvlText w:val=""/>
      <w:lvlJc w:val="left"/>
      <w:pPr>
        <w:ind w:left="1428"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8039C"/>
    <w:multiLevelType w:val="hybridMultilevel"/>
    <w:tmpl w:val="67905B66"/>
    <w:lvl w:ilvl="0" w:tplc="E8C2D66C">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6" w15:restartNumberingAfterBreak="0">
    <w:nsid w:val="53E3616F"/>
    <w:multiLevelType w:val="multilevel"/>
    <w:tmpl w:val="3094F04A"/>
    <w:lvl w:ilvl="0">
      <w:start w:val="1"/>
      <w:numFmt w:val="decimal"/>
      <w:lvlText w:val="%1"/>
      <w:lvlJc w:val="left"/>
      <w:pPr>
        <w:ind w:left="720" w:hanging="720"/>
      </w:pPr>
      <w:rPr>
        <w:rFonts w:hint="default"/>
        <w:b/>
      </w:rPr>
    </w:lvl>
    <w:lvl w:ilvl="1">
      <w:start w:val="1"/>
      <w:numFmt w:val="bullet"/>
      <w:lvlText w:val=""/>
      <w:lvlJc w:val="left"/>
      <w:pPr>
        <w:ind w:left="1429"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F53648"/>
    <w:multiLevelType w:val="hybridMultilevel"/>
    <w:tmpl w:val="62F4BAEE"/>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3DC4A53"/>
    <w:multiLevelType w:val="hybridMultilevel"/>
    <w:tmpl w:val="39283AEA"/>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502E8"/>
    <w:multiLevelType w:val="hybridMultilevel"/>
    <w:tmpl w:val="E9F2971A"/>
    <w:lvl w:ilvl="0" w:tplc="EE967B1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87A4E9F"/>
    <w:multiLevelType w:val="multilevel"/>
    <w:tmpl w:val="E9760C6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0A018C"/>
    <w:multiLevelType w:val="hybridMultilevel"/>
    <w:tmpl w:val="253CFAA2"/>
    <w:lvl w:ilvl="0" w:tplc="28D6F9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DD2726"/>
    <w:multiLevelType w:val="hybridMultilevel"/>
    <w:tmpl w:val="AA4833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310EF8"/>
    <w:multiLevelType w:val="hybridMultilevel"/>
    <w:tmpl w:val="C8585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CB0C31"/>
    <w:multiLevelType w:val="multilevel"/>
    <w:tmpl w:val="CF5218A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D86A05"/>
    <w:multiLevelType w:val="multilevel"/>
    <w:tmpl w:val="1BEA35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3"/>
  </w:num>
  <w:num w:numId="3">
    <w:abstractNumId w:val="0"/>
  </w:num>
  <w:num w:numId="4">
    <w:abstractNumId w:val="27"/>
  </w:num>
  <w:num w:numId="5">
    <w:abstractNumId w:val="16"/>
  </w:num>
  <w:num w:numId="6">
    <w:abstractNumId w:val="5"/>
  </w:num>
  <w:num w:numId="7">
    <w:abstractNumId w:val="26"/>
  </w:num>
  <w:num w:numId="8">
    <w:abstractNumId w:val="12"/>
  </w:num>
  <w:num w:numId="9">
    <w:abstractNumId w:val="29"/>
  </w:num>
  <w:num w:numId="10">
    <w:abstractNumId w:val="23"/>
  </w:num>
  <w:num w:numId="11">
    <w:abstractNumId w:val="14"/>
  </w:num>
  <w:num w:numId="12">
    <w:abstractNumId w:val="2"/>
  </w:num>
  <w:num w:numId="13">
    <w:abstractNumId w:val="28"/>
  </w:num>
  <w:num w:numId="14">
    <w:abstractNumId w:val="15"/>
  </w:num>
  <w:num w:numId="15">
    <w:abstractNumId w:val="30"/>
  </w:num>
  <w:num w:numId="16">
    <w:abstractNumId w:val="21"/>
  </w:num>
  <w:num w:numId="17">
    <w:abstractNumId w:val="9"/>
  </w:num>
  <w:num w:numId="18">
    <w:abstractNumId w:val="19"/>
  </w:num>
  <w:num w:numId="19">
    <w:abstractNumId w:val="8"/>
  </w:num>
  <w:num w:numId="20">
    <w:abstractNumId w:val="3"/>
  </w:num>
  <w:num w:numId="21">
    <w:abstractNumId w:val="17"/>
  </w:num>
  <w:num w:numId="22">
    <w:abstractNumId w:val="18"/>
  </w:num>
  <w:num w:numId="23">
    <w:abstractNumId w:val="4"/>
  </w:num>
  <w:num w:numId="24">
    <w:abstractNumId w:val="1"/>
  </w:num>
  <w:num w:numId="25">
    <w:abstractNumId w:val="7"/>
  </w:num>
  <w:num w:numId="26">
    <w:abstractNumId w:val="11"/>
  </w:num>
  <w:num w:numId="27">
    <w:abstractNumId w:val="6"/>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num>
  <w:num w:numId="31">
    <w:abstractNumId w:val="22"/>
  </w:num>
  <w:num w:numId="32">
    <w:abstractNumId w:val="24"/>
  </w:num>
  <w:num w:numId="33">
    <w:abstractNumId w:val="27"/>
  </w:num>
  <w:num w:numId="3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63"/>
    <w:rsid w:val="000006F7"/>
    <w:rsid w:val="00000790"/>
    <w:rsid w:val="0000110B"/>
    <w:rsid w:val="000016F5"/>
    <w:rsid w:val="000021AC"/>
    <w:rsid w:val="0000224E"/>
    <w:rsid w:val="00002F40"/>
    <w:rsid w:val="00003499"/>
    <w:rsid w:val="000039B7"/>
    <w:rsid w:val="000043ED"/>
    <w:rsid w:val="00004B02"/>
    <w:rsid w:val="000057D3"/>
    <w:rsid w:val="0000639A"/>
    <w:rsid w:val="00006615"/>
    <w:rsid w:val="000075C2"/>
    <w:rsid w:val="00010EE2"/>
    <w:rsid w:val="00012388"/>
    <w:rsid w:val="00012E34"/>
    <w:rsid w:val="00013247"/>
    <w:rsid w:val="00015880"/>
    <w:rsid w:val="00015886"/>
    <w:rsid w:val="000162EF"/>
    <w:rsid w:val="00016C35"/>
    <w:rsid w:val="00016EE3"/>
    <w:rsid w:val="0001712B"/>
    <w:rsid w:val="00017433"/>
    <w:rsid w:val="000206CE"/>
    <w:rsid w:val="000206D9"/>
    <w:rsid w:val="000207C9"/>
    <w:rsid w:val="0002225F"/>
    <w:rsid w:val="00022BDC"/>
    <w:rsid w:val="00022D46"/>
    <w:rsid w:val="00023763"/>
    <w:rsid w:val="00023DD6"/>
    <w:rsid w:val="00026378"/>
    <w:rsid w:val="00026CCF"/>
    <w:rsid w:val="00027231"/>
    <w:rsid w:val="000274B8"/>
    <w:rsid w:val="00027DB5"/>
    <w:rsid w:val="00027E31"/>
    <w:rsid w:val="00030252"/>
    <w:rsid w:val="00030591"/>
    <w:rsid w:val="00031681"/>
    <w:rsid w:val="00032031"/>
    <w:rsid w:val="00032064"/>
    <w:rsid w:val="00033863"/>
    <w:rsid w:val="00033DFF"/>
    <w:rsid w:val="00035C2D"/>
    <w:rsid w:val="00035C93"/>
    <w:rsid w:val="00035D61"/>
    <w:rsid w:val="00035DC0"/>
    <w:rsid w:val="00036790"/>
    <w:rsid w:val="00036829"/>
    <w:rsid w:val="00036C65"/>
    <w:rsid w:val="00036D42"/>
    <w:rsid w:val="000376C4"/>
    <w:rsid w:val="00040068"/>
    <w:rsid w:val="00040326"/>
    <w:rsid w:val="000403DD"/>
    <w:rsid w:val="00040895"/>
    <w:rsid w:val="00040CD4"/>
    <w:rsid w:val="00040E82"/>
    <w:rsid w:val="000413E4"/>
    <w:rsid w:val="00041AC1"/>
    <w:rsid w:val="00042849"/>
    <w:rsid w:val="00042A41"/>
    <w:rsid w:val="00042D93"/>
    <w:rsid w:val="000435EE"/>
    <w:rsid w:val="00043C37"/>
    <w:rsid w:val="00043DC1"/>
    <w:rsid w:val="000440E7"/>
    <w:rsid w:val="00044F42"/>
    <w:rsid w:val="00045017"/>
    <w:rsid w:val="00045353"/>
    <w:rsid w:val="000455BC"/>
    <w:rsid w:val="00045A2B"/>
    <w:rsid w:val="00045DDD"/>
    <w:rsid w:val="00046165"/>
    <w:rsid w:val="0004646A"/>
    <w:rsid w:val="0004698F"/>
    <w:rsid w:val="000474B6"/>
    <w:rsid w:val="00047B9A"/>
    <w:rsid w:val="00051432"/>
    <w:rsid w:val="000515E1"/>
    <w:rsid w:val="000519DF"/>
    <w:rsid w:val="00053294"/>
    <w:rsid w:val="000539D0"/>
    <w:rsid w:val="00054621"/>
    <w:rsid w:val="000546D7"/>
    <w:rsid w:val="000558C3"/>
    <w:rsid w:val="00056ECF"/>
    <w:rsid w:val="000604DF"/>
    <w:rsid w:val="00061016"/>
    <w:rsid w:val="00061700"/>
    <w:rsid w:val="000624A4"/>
    <w:rsid w:val="000633F6"/>
    <w:rsid w:val="00063804"/>
    <w:rsid w:val="000650E9"/>
    <w:rsid w:val="000653B5"/>
    <w:rsid w:val="00066360"/>
    <w:rsid w:val="00066AF8"/>
    <w:rsid w:val="00066BD2"/>
    <w:rsid w:val="00066C53"/>
    <w:rsid w:val="00067370"/>
    <w:rsid w:val="00067E83"/>
    <w:rsid w:val="0007051D"/>
    <w:rsid w:val="00070DF7"/>
    <w:rsid w:val="00071248"/>
    <w:rsid w:val="00071458"/>
    <w:rsid w:val="00071A56"/>
    <w:rsid w:val="00071A6B"/>
    <w:rsid w:val="000720B9"/>
    <w:rsid w:val="000737F7"/>
    <w:rsid w:val="000741C3"/>
    <w:rsid w:val="000748B8"/>
    <w:rsid w:val="00075079"/>
    <w:rsid w:val="00075F53"/>
    <w:rsid w:val="0007672F"/>
    <w:rsid w:val="00076B24"/>
    <w:rsid w:val="00076B54"/>
    <w:rsid w:val="00077140"/>
    <w:rsid w:val="00077175"/>
    <w:rsid w:val="000774F0"/>
    <w:rsid w:val="00077EFF"/>
    <w:rsid w:val="00080909"/>
    <w:rsid w:val="000812CA"/>
    <w:rsid w:val="00081E63"/>
    <w:rsid w:val="0008258D"/>
    <w:rsid w:val="00083E99"/>
    <w:rsid w:val="00084F58"/>
    <w:rsid w:val="00084FA8"/>
    <w:rsid w:val="000856C5"/>
    <w:rsid w:val="00085C31"/>
    <w:rsid w:val="000879CE"/>
    <w:rsid w:val="00090054"/>
    <w:rsid w:val="000902D9"/>
    <w:rsid w:val="00090C7E"/>
    <w:rsid w:val="00090CCE"/>
    <w:rsid w:val="00092600"/>
    <w:rsid w:val="0009262B"/>
    <w:rsid w:val="00093310"/>
    <w:rsid w:val="00093BA1"/>
    <w:rsid w:val="0009445C"/>
    <w:rsid w:val="000949D3"/>
    <w:rsid w:val="00095200"/>
    <w:rsid w:val="00095FE5"/>
    <w:rsid w:val="00096284"/>
    <w:rsid w:val="00096411"/>
    <w:rsid w:val="0009793E"/>
    <w:rsid w:val="000A0275"/>
    <w:rsid w:val="000A1BC0"/>
    <w:rsid w:val="000A1BC7"/>
    <w:rsid w:val="000A242A"/>
    <w:rsid w:val="000A37FB"/>
    <w:rsid w:val="000A4C34"/>
    <w:rsid w:val="000A52AB"/>
    <w:rsid w:val="000A5871"/>
    <w:rsid w:val="000A6039"/>
    <w:rsid w:val="000A6D41"/>
    <w:rsid w:val="000A7453"/>
    <w:rsid w:val="000A7490"/>
    <w:rsid w:val="000A7D08"/>
    <w:rsid w:val="000B0121"/>
    <w:rsid w:val="000B0181"/>
    <w:rsid w:val="000B0670"/>
    <w:rsid w:val="000B0E75"/>
    <w:rsid w:val="000B1DAE"/>
    <w:rsid w:val="000B22FF"/>
    <w:rsid w:val="000B2DCB"/>
    <w:rsid w:val="000B2F5D"/>
    <w:rsid w:val="000B42AC"/>
    <w:rsid w:val="000B5CE0"/>
    <w:rsid w:val="000B6CAC"/>
    <w:rsid w:val="000B7612"/>
    <w:rsid w:val="000B78AE"/>
    <w:rsid w:val="000C07A2"/>
    <w:rsid w:val="000C19E0"/>
    <w:rsid w:val="000C1C08"/>
    <w:rsid w:val="000C3BE3"/>
    <w:rsid w:val="000C3CAB"/>
    <w:rsid w:val="000C3DF9"/>
    <w:rsid w:val="000C443C"/>
    <w:rsid w:val="000C4501"/>
    <w:rsid w:val="000C5326"/>
    <w:rsid w:val="000C656A"/>
    <w:rsid w:val="000C6713"/>
    <w:rsid w:val="000C6C73"/>
    <w:rsid w:val="000C7888"/>
    <w:rsid w:val="000D0694"/>
    <w:rsid w:val="000D06A4"/>
    <w:rsid w:val="000D1BFC"/>
    <w:rsid w:val="000D1D5D"/>
    <w:rsid w:val="000D281A"/>
    <w:rsid w:val="000D2848"/>
    <w:rsid w:val="000D326A"/>
    <w:rsid w:val="000D3C9E"/>
    <w:rsid w:val="000D51FB"/>
    <w:rsid w:val="000D5D2E"/>
    <w:rsid w:val="000D6371"/>
    <w:rsid w:val="000D7392"/>
    <w:rsid w:val="000D77ED"/>
    <w:rsid w:val="000D78A1"/>
    <w:rsid w:val="000D79FE"/>
    <w:rsid w:val="000E0640"/>
    <w:rsid w:val="000E0EFF"/>
    <w:rsid w:val="000E135D"/>
    <w:rsid w:val="000E43E2"/>
    <w:rsid w:val="000E4888"/>
    <w:rsid w:val="000E489E"/>
    <w:rsid w:val="000E4D43"/>
    <w:rsid w:val="000E4F46"/>
    <w:rsid w:val="000E521D"/>
    <w:rsid w:val="000E5B66"/>
    <w:rsid w:val="000E63C6"/>
    <w:rsid w:val="000F00BA"/>
    <w:rsid w:val="000F1C82"/>
    <w:rsid w:val="000F2A27"/>
    <w:rsid w:val="000F2AFD"/>
    <w:rsid w:val="000F316A"/>
    <w:rsid w:val="000F31B8"/>
    <w:rsid w:val="000F33AF"/>
    <w:rsid w:val="000F3C74"/>
    <w:rsid w:val="000F444A"/>
    <w:rsid w:val="000F4BB8"/>
    <w:rsid w:val="000F4FA9"/>
    <w:rsid w:val="000F5068"/>
    <w:rsid w:val="000F5221"/>
    <w:rsid w:val="000F53FB"/>
    <w:rsid w:val="000F64C5"/>
    <w:rsid w:val="000F7127"/>
    <w:rsid w:val="000F738D"/>
    <w:rsid w:val="000F7B54"/>
    <w:rsid w:val="000F7CF1"/>
    <w:rsid w:val="00100F8A"/>
    <w:rsid w:val="00101048"/>
    <w:rsid w:val="001015D9"/>
    <w:rsid w:val="00101A3D"/>
    <w:rsid w:val="0010224E"/>
    <w:rsid w:val="001023CD"/>
    <w:rsid w:val="00102BD3"/>
    <w:rsid w:val="0010331E"/>
    <w:rsid w:val="001033C5"/>
    <w:rsid w:val="00103436"/>
    <w:rsid w:val="0010452E"/>
    <w:rsid w:val="001050D4"/>
    <w:rsid w:val="00105AE2"/>
    <w:rsid w:val="00105AE6"/>
    <w:rsid w:val="001060C6"/>
    <w:rsid w:val="00106589"/>
    <w:rsid w:val="00106839"/>
    <w:rsid w:val="00106B80"/>
    <w:rsid w:val="00106E8B"/>
    <w:rsid w:val="00107EE1"/>
    <w:rsid w:val="0011032E"/>
    <w:rsid w:val="00110529"/>
    <w:rsid w:val="001113C7"/>
    <w:rsid w:val="0011153F"/>
    <w:rsid w:val="001119CC"/>
    <w:rsid w:val="00111F17"/>
    <w:rsid w:val="001128F1"/>
    <w:rsid w:val="0011348B"/>
    <w:rsid w:val="00114909"/>
    <w:rsid w:val="00114E8D"/>
    <w:rsid w:val="00115826"/>
    <w:rsid w:val="00115982"/>
    <w:rsid w:val="0011605C"/>
    <w:rsid w:val="00116C53"/>
    <w:rsid w:val="00120521"/>
    <w:rsid w:val="00120E56"/>
    <w:rsid w:val="00120FD5"/>
    <w:rsid w:val="00121799"/>
    <w:rsid w:val="00121841"/>
    <w:rsid w:val="001222FC"/>
    <w:rsid w:val="001231D4"/>
    <w:rsid w:val="0012369B"/>
    <w:rsid w:val="00123902"/>
    <w:rsid w:val="00123C11"/>
    <w:rsid w:val="00124A51"/>
    <w:rsid w:val="00125501"/>
    <w:rsid w:val="0012631F"/>
    <w:rsid w:val="00126621"/>
    <w:rsid w:val="001267B7"/>
    <w:rsid w:val="00126B1D"/>
    <w:rsid w:val="00126E35"/>
    <w:rsid w:val="001301E9"/>
    <w:rsid w:val="00130E85"/>
    <w:rsid w:val="00130EF6"/>
    <w:rsid w:val="0013116E"/>
    <w:rsid w:val="00131951"/>
    <w:rsid w:val="00131C18"/>
    <w:rsid w:val="00131D82"/>
    <w:rsid w:val="00132B22"/>
    <w:rsid w:val="001339C9"/>
    <w:rsid w:val="00133B68"/>
    <w:rsid w:val="00133D36"/>
    <w:rsid w:val="00134613"/>
    <w:rsid w:val="00134BC6"/>
    <w:rsid w:val="00135B47"/>
    <w:rsid w:val="001361CB"/>
    <w:rsid w:val="001373FD"/>
    <w:rsid w:val="001375EA"/>
    <w:rsid w:val="00137645"/>
    <w:rsid w:val="0014015A"/>
    <w:rsid w:val="00140E99"/>
    <w:rsid w:val="00141C1A"/>
    <w:rsid w:val="00142357"/>
    <w:rsid w:val="00143F67"/>
    <w:rsid w:val="00145540"/>
    <w:rsid w:val="001455E4"/>
    <w:rsid w:val="001456B0"/>
    <w:rsid w:val="00145FE7"/>
    <w:rsid w:val="00146C09"/>
    <w:rsid w:val="00146C77"/>
    <w:rsid w:val="00147879"/>
    <w:rsid w:val="00147E05"/>
    <w:rsid w:val="00150367"/>
    <w:rsid w:val="0015056E"/>
    <w:rsid w:val="0015171F"/>
    <w:rsid w:val="0015254B"/>
    <w:rsid w:val="00153651"/>
    <w:rsid w:val="00153D07"/>
    <w:rsid w:val="00153ED5"/>
    <w:rsid w:val="001540FF"/>
    <w:rsid w:val="00154B4A"/>
    <w:rsid w:val="00155927"/>
    <w:rsid w:val="00156F8F"/>
    <w:rsid w:val="00157052"/>
    <w:rsid w:val="00157130"/>
    <w:rsid w:val="001576B1"/>
    <w:rsid w:val="0016047B"/>
    <w:rsid w:val="00160A4C"/>
    <w:rsid w:val="00162913"/>
    <w:rsid w:val="00162F83"/>
    <w:rsid w:val="00163215"/>
    <w:rsid w:val="001637A5"/>
    <w:rsid w:val="00163EFF"/>
    <w:rsid w:val="00163F66"/>
    <w:rsid w:val="0016459D"/>
    <w:rsid w:val="00164822"/>
    <w:rsid w:val="001651AF"/>
    <w:rsid w:val="001661FB"/>
    <w:rsid w:val="0016663C"/>
    <w:rsid w:val="0016676A"/>
    <w:rsid w:val="00166C86"/>
    <w:rsid w:val="001671A0"/>
    <w:rsid w:val="0016767F"/>
    <w:rsid w:val="0017040D"/>
    <w:rsid w:val="0017140A"/>
    <w:rsid w:val="0017246D"/>
    <w:rsid w:val="0017250B"/>
    <w:rsid w:val="001731C1"/>
    <w:rsid w:val="00173565"/>
    <w:rsid w:val="00173B07"/>
    <w:rsid w:val="00174827"/>
    <w:rsid w:val="00174DB0"/>
    <w:rsid w:val="00174EA1"/>
    <w:rsid w:val="001751FA"/>
    <w:rsid w:val="00177B97"/>
    <w:rsid w:val="0018099B"/>
    <w:rsid w:val="00180D43"/>
    <w:rsid w:val="001818EC"/>
    <w:rsid w:val="00181D9C"/>
    <w:rsid w:val="00181E9E"/>
    <w:rsid w:val="00181FCD"/>
    <w:rsid w:val="0018200F"/>
    <w:rsid w:val="00182C65"/>
    <w:rsid w:val="00184670"/>
    <w:rsid w:val="00184B0E"/>
    <w:rsid w:val="00186106"/>
    <w:rsid w:val="00186F29"/>
    <w:rsid w:val="0018752F"/>
    <w:rsid w:val="00187942"/>
    <w:rsid w:val="00187B79"/>
    <w:rsid w:val="001901EC"/>
    <w:rsid w:val="001908C2"/>
    <w:rsid w:val="001909DC"/>
    <w:rsid w:val="00190DE9"/>
    <w:rsid w:val="00192473"/>
    <w:rsid w:val="00192F4C"/>
    <w:rsid w:val="00193037"/>
    <w:rsid w:val="001933CD"/>
    <w:rsid w:val="00193838"/>
    <w:rsid w:val="00193A74"/>
    <w:rsid w:val="00194AA8"/>
    <w:rsid w:val="00194AD8"/>
    <w:rsid w:val="0019501A"/>
    <w:rsid w:val="0019517C"/>
    <w:rsid w:val="00195222"/>
    <w:rsid w:val="00195394"/>
    <w:rsid w:val="0019637E"/>
    <w:rsid w:val="001967FB"/>
    <w:rsid w:val="00196B45"/>
    <w:rsid w:val="001975D8"/>
    <w:rsid w:val="001979D5"/>
    <w:rsid w:val="00197A27"/>
    <w:rsid w:val="001A119C"/>
    <w:rsid w:val="001A178E"/>
    <w:rsid w:val="001A240A"/>
    <w:rsid w:val="001A43FA"/>
    <w:rsid w:val="001A47C5"/>
    <w:rsid w:val="001A48EC"/>
    <w:rsid w:val="001A4BED"/>
    <w:rsid w:val="001A4DEB"/>
    <w:rsid w:val="001A59FB"/>
    <w:rsid w:val="001A5D12"/>
    <w:rsid w:val="001A5E9E"/>
    <w:rsid w:val="001A6354"/>
    <w:rsid w:val="001A6366"/>
    <w:rsid w:val="001A7367"/>
    <w:rsid w:val="001A74EC"/>
    <w:rsid w:val="001A7AE8"/>
    <w:rsid w:val="001A7B65"/>
    <w:rsid w:val="001A7CD7"/>
    <w:rsid w:val="001B0206"/>
    <w:rsid w:val="001B0385"/>
    <w:rsid w:val="001B17B6"/>
    <w:rsid w:val="001B1E9D"/>
    <w:rsid w:val="001B1FA6"/>
    <w:rsid w:val="001B204E"/>
    <w:rsid w:val="001B208B"/>
    <w:rsid w:val="001B2372"/>
    <w:rsid w:val="001B3443"/>
    <w:rsid w:val="001B34C1"/>
    <w:rsid w:val="001B42AC"/>
    <w:rsid w:val="001B466E"/>
    <w:rsid w:val="001B4D20"/>
    <w:rsid w:val="001B53FD"/>
    <w:rsid w:val="001B5F65"/>
    <w:rsid w:val="001B686D"/>
    <w:rsid w:val="001C0658"/>
    <w:rsid w:val="001C0A83"/>
    <w:rsid w:val="001C19D4"/>
    <w:rsid w:val="001C2A9B"/>
    <w:rsid w:val="001C337D"/>
    <w:rsid w:val="001C4299"/>
    <w:rsid w:val="001C4595"/>
    <w:rsid w:val="001C45C1"/>
    <w:rsid w:val="001C47AB"/>
    <w:rsid w:val="001C4874"/>
    <w:rsid w:val="001C49D9"/>
    <w:rsid w:val="001C5F94"/>
    <w:rsid w:val="001C60A9"/>
    <w:rsid w:val="001C6380"/>
    <w:rsid w:val="001C6E66"/>
    <w:rsid w:val="001D07B7"/>
    <w:rsid w:val="001D1100"/>
    <w:rsid w:val="001D1391"/>
    <w:rsid w:val="001D1645"/>
    <w:rsid w:val="001D1869"/>
    <w:rsid w:val="001D24C7"/>
    <w:rsid w:val="001D25D7"/>
    <w:rsid w:val="001D29FB"/>
    <w:rsid w:val="001D31A0"/>
    <w:rsid w:val="001D5005"/>
    <w:rsid w:val="001D50B2"/>
    <w:rsid w:val="001D5181"/>
    <w:rsid w:val="001D52B7"/>
    <w:rsid w:val="001D5397"/>
    <w:rsid w:val="001D5A6E"/>
    <w:rsid w:val="001D6025"/>
    <w:rsid w:val="001D6AE7"/>
    <w:rsid w:val="001D7645"/>
    <w:rsid w:val="001E04D8"/>
    <w:rsid w:val="001E05A0"/>
    <w:rsid w:val="001E082E"/>
    <w:rsid w:val="001E1468"/>
    <w:rsid w:val="001E1544"/>
    <w:rsid w:val="001E1E86"/>
    <w:rsid w:val="001E238E"/>
    <w:rsid w:val="001E2483"/>
    <w:rsid w:val="001E2B1E"/>
    <w:rsid w:val="001E2CFF"/>
    <w:rsid w:val="001E2F24"/>
    <w:rsid w:val="001E30D4"/>
    <w:rsid w:val="001E34DF"/>
    <w:rsid w:val="001E5290"/>
    <w:rsid w:val="001E52EB"/>
    <w:rsid w:val="001E56D8"/>
    <w:rsid w:val="001E6146"/>
    <w:rsid w:val="001E61D2"/>
    <w:rsid w:val="001E68E3"/>
    <w:rsid w:val="001E740C"/>
    <w:rsid w:val="001F0A92"/>
    <w:rsid w:val="001F1235"/>
    <w:rsid w:val="001F158A"/>
    <w:rsid w:val="001F1CB3"/>
    <w:rsid w:val="001F2C68"/>
    <w:rsid w:val="001F2F10"/>
    <w:rsid w:val="001F38B5"/>
    <w:rsid w:val="001F4081"/>
    <w:rsid w:val="001F50B7"/>
    <w:rsid w:val="001F5914"/>
    <w:rsid w:val="001F59EE"/>
    <w:rsid w:val="001F5B69"/>
    <w:rsid w:val="001F6145"/>
    <w:rsid w:val="001F6C52"/>
    <w:rsid w:val="001F6EE3"/>
    <w:rsid w:val="001F7361"/>
    <w:rsid w:val="0020070D"/>
    <w:rsid w:val="00200EF8"/>
    <w:rsid w:val="002011B0"/>
    <w:rsid w:val="00201833"/>
    <w:rsid w:val="00201BA2"/>
    <w:rsid w:val="0020281A"/>
    <w:rsid w:val="00203181"/>
    <w:rsid w:val="00203783"/>
    <w:rsid w:val="0020385F"/>
    <w:rsid w:val="002042BB"/>
    <w:rsid w:val="00205464"/>
    <w:rsid w:val="00205D65"/>
    <w:rsid w:val="00206579"/>
    <w:rsid w:val="002068A0"/>
    <w:rsid w:val="00206A24"/>
    <w:rsid w:val="00206B86"/>
    <w:rsid w:val="00207021"/>
    <w:rsid w:val="0020732F"/>
    <w:rsid w:val="00207D00"/>
    <w:rsid w:val="002102ED"/>
    <w:rsid w:val="002105C1"/>
    <w:rsid w:val="00210A3F"/>
    <w:rsid w:val="00210FC8"/>
    <w:rsid w:val="002115B5"/>
    <w:rsid w:val="002115D9"/>
    <w:rsid w:val="00211778"/>
    <w:rsid w:val="00211CBE"/>
    <w:rsid w:val="002129D4"/>
    <w:rsid w:val="00212EE8"/>
    <w:rsid w:val="00213EF5"/>
    <w:rsid w:val="00214567"/>
    <w:rsid w:val="00214F44"/>
    <w:rsid w:val="00215F9D"/>
    <w:rsid w:val="00216BF5"/>
    <w:rsid w:val="00217037"/>
    <w:rsid w:val="00220A2A"/>
    <w:rsid w:val="00220B08"/>
    <w:rsid w:val="00220FC2"/>
    <w:rsid w:val="00221E63"/>
    <w:rsid w:val="0022250C"/>
    <w:rsid w:val="00222771"/>
    <w:rsid w:val="00222A44"/>
    <w:rsid w:val="0022358E"/>
    <w:rsid w:val="002238FC"/>
    <w:rsid w:val="00223B49"/>
    <w:rsid w:val="00223D5A"/>
    <w:rsid w:val="00224DD4"/>
    <w:rsid w:val="00225A34"/>
    <w:rsid w:val="00225C32"/>
    <w:rsid w:val="002278A0"/>
    <w:rsid w:val="00227916"/>
    <w:rsid w:val="00230928"/>
    <w:rsid w:val="002309A7"/>
    <w:rsid w:val="002309CC"/>
    <w:rsid w:val="00230ACC"/>
    <w:rsid w:val="00230C71"/>
    <w:rsid w:val="00230DB1"/>
    <w:rsid w:val="0023209F"/>
    <w:rsid w:val="00233C01"/>
    <w:rsid w:val="0023413C"/>
    <w:rsid w:val="002346F0"/>
    <w:rsid w:val="00234BC0"/>
    <w:rsid w:val="00235AEE"/>
    <w:rsid w:val="0023629D"/>
    <w:rsid w:val="00237255"/>
    <w:rsid w:val="00237AB8"/>
    <w:rsid w:val="00237F58"/>
    <w:rsid w:val="002424AF"/>
    <w:rsid w:val="002424BF"/>
    <w:rsid w:val="002439DC"/>
    <w:rsid w:val="002441D2"/>
    <w:rsid w:val="00244603"/>
    <w:rsid w:val="00244DC8"/>
    <w:rsid w:val="002458BA"/>
    <w:rsid w:val="00245CE9"/>
    <w:rsid w:val="0024636C"/>
    <w:rsid w:val="00246A66"/>
    <w:rsid w:val="00246C4A"/>
    <w:rsid w:val="00247925"/>
    <w:rsid w:val="00250C42"/>
    <w:rsid w:val="00250D08"/>
    <w:rsid w:val="00251006"/>
    <w:rsid w:val="002516D4"/>
    <w:rsid w:val="0025238A"/>
    <w:rsid w:val="002524D5"/>
    <w:rsid w:val="0025324E"/>
    <w:rsid w:val="00253B1D"/>
    <w:rsid w:val="00253B7D"/>
    <w:rsid w:val="002543E2"/>
    <w:rsid w:val="00254DCF"/>
    <w:rsid w:val="00255084"/>
    <w:rsid w:val="0025534B"/>
    <w:rsid w:val="002557ED"/>
    <w:rsid w:val="00255BB7"/>
    <w:rsid w:val="00255C98"/>
    <w:rsid w:val="002563C3"/>
    <w:rsid w:val="00257541"/>
    <w:rsid w:val="00257610"/>
    <w:rsid w:val="00257A39"/>
    <w:rsid w:val="00257AC4"/>
    <w:rsid w:val="00261AFC"/>
    <w:rsid w:val="00261EEF"/>
    <w:rsid w:val="00262106"/>
    <w:rsid w:val="00262794"/>
    <w:rsid w:val="002627CC"/>
    <w:rsid w:val="00262A1A"/>
    <w:rsid w:val="00262A87"/>
    <w:rsid w:val="00263449"/>
    <w:rsid w:val="00264D26"/>
    <w:rsid w:val="00265227"/>
    <w:rsid w:val="0026595E"/>
    <w:rsid w:val="0026635D"/>
    <w:rsid w:val="002673DD"/>
    <w:rsid w:val="00267642"/>
    <w:rsid w:val="00267AEA"/>
    <w:rsid w:val="002700E6"/>
    <w:rsid w:val="00270234"/>
    <w:rsid w:val="00272329"/>
    <w:rsid w:val="0027294B"/>
    <w:rsid w:val="00273EB4"/>
    <w:rsid w:val="00274556"/>
    <w:rsid w:val="00274682"/>
    <w:rsid w:val="00274767"/>
    <w:rsid w:val="00275847"/>
    <w:rsid w:val="00275C5A"/>
    <w:rsid w:val="00275CB6"/>
    <w:rsid w:val="002760AE"/>
    <w:rsid w:val="00276D24"/>
    <w:rsid w:val="00276E57"/>
    <w:rsid w:val="0027762E"/>
    <w:rsid w:val="002800F9"/>
    <w:rsid w:val="00280417"/>
    <w:rsid w:val="00281014"/>
    <w:rsid w:val="00282D0F"/>
    <w:rsid w:val="00283647"/>
    <w:rsid w:val="00283F06"/>
    <w:rsid w:val="0028552D"/>
    <w:rsid w:val="0028579B"/>
    <w:rsid w:val="0028665D"/>
    <w:rsid w:val="00287A9B"/>
    <w:rsid w:val="00290908"/>
    <w:rsid w:val="00290BF7"/>
    <w:rsid w:val="00292927"/>
    <w:rsid w:val="00293384"/>
    <w:rsid w:val="00293852"/>
    <w:rsid w:val="0029487F"/>
    <w:rsid w:val="00297098"/>
    <w:rsid w:val="00297CCD"/>
    <w:rsid w:val="002A06CF"/>
    <w:rsid w:val="002A14AB"/>
    <w:rsid w:val="002A2ADE"/>
    <w:rsid w:val="002A2E6F"/>
    <w:rsid w:val="002A2F50"/>
    <w:rsid w:val="002A3822"/>
    <w:rsid w:val="002A39E2"/>
    <w:rsid w:val="002A4B44"/>
    <w:rsid w:val="002A516D"/>
    <w:rsid w:val="002A6266"/>
    <w:rsid w:val="002A6307"/>
    <w:rsid w:val="002A6C86"/>
    <w:rsid w:val="002A7EFF"/>
    <w:rsid w:val="002B05A1"/>
    <w:rsid w:val="002B08D1"/>
    <w:rsid w:val="002B09A4"/>
    <w:rsid w:val="002B0BDF"/>
    <w:rsid w:val="002B1C1F"/>
    <w:rsid w:val="002B2478"/>
    <w:rsid w:val="002B376C"/>
    <w:rsid w:val="002B417D"/>
    <w:rsid w:val="002B432F"/>
    <w:rsid w:val="002B4AFE"/>
    <w:rsid w:val="002B5574"/>
    <w:rsid w:val="002B5BAB"/>
    <w:rsid w:val="002B62B3"/>
    <w:rsid w:val="002B6754"/>
    <w:rsid w:val="002B6CB6"/>
    <w:rsid w:val="002B6CCE"/>
    <w:rsid w:val="002B7C1F"/>
    <w:rsid w:val="002C0315"/>
    <w:rsid w:val="002C0A77"/>
    <w:rsid w:val="002C0E7C"/>
    <w:rsid w:val="002C13E5"/>
    <w:rsid w:val="002C18D9"/>
    <w:rsid w:val="002C237A"/>
    <w:rsid w:val="002C2510"/>
    <w:rsid w:val="002C2775"/>
    <w:rsid w:val="002C27C1"/>
    <w:rsid w:val="002C2B0B"/>
    <w:rsid w:val="002C3B1B"/>
    <w:rsid w:val="002C4811"/>
    <w:rsid w:val="002C4FDE"/>
    <w:rsid w:val="002C507C"/>
    <w:rsid w:val="002C5099"/>
    <w:rsid w:val="002C5889"/>
    <w:rsid w:val="002C5E31"/>
    <w:rsid w:val="002C6672"/>
    <w:rsid w:val="002C71CE"/>
    <w:rsid w:val="002C7E53"/>
    <w:rsid w:val="002D08F8"/>
    <w:rsid w:val="002D13D3"/>
    <w:rsid w:val="002D533F"/>
    <w:rsid w:val="002D577C"/>
    <w:rsid w:val="002D631E"/>
    <w:rsid w:val="002D68D4"/>
    <w:rsid w:val="002D72B1"/>
    <w:rsid w:val="002D76AF"/>
    <w:rsid w:val="002D79E7"/>
    <w:rsid w:val="002D7DB8"/>
    <w:rsid w:val="002D7FAC"/>
    <w:rsid w:val="002E013C"/>
    <w:rsid w:val="002E0E02"/>
    <w:rsid w:val="002E1071"/>
    <w:rsid w:val="002E15B9"/>
    <w:rsid w:val="002E191B"/>
    <w:rsid w:val="002E2158"/>
    <w:rsid w:val="002E2436"/>
    <w:rsid w:val="002E2B35"/>
    <w:rsid w:val="002E4F02"/>
    <w:rsid w:val="002E55AF"/>
    <w:rsid w:val="002E5A14"/>
    <w:rsid w:val="002E5CEB"/>
    <w:rsid w:val="002E6C90"/>
    <w:rsid w:val="002E7722"/>
    <w:rsid w:val="002E7F04"/>
    <w:rsid w:val="002F0323"/>
    <w:rsid w:val="002F0461"/>
    <w:rsid w:val="002F07BA"/>
    <w:rsid w:val="002F0DA9"/>
    <w:rsid w:val="002F1014"/>
    <w:rsid w:val="002F14C6"/>
    <w:rsid w:val="002F22DD"/>
    <w:rsid w:val="002F26ED"/>
    <w:rsid w:val="002F317A"/>
    <w:rsid w:val="002F4FF9"/>
    <w:rsid w:val="002F5BED"/>
    <w:rsid w:val="002F5E7E"/>
    <w:rsid w:val="002F643C"/>
    <w:rsid w:val="002F702C"/>
    <w:rsid w:val="002F71C0"/>
    <w:rsid w:val="002F74F1"/>
    <w:rsid w:val="0030038C"/>
    <w:rsid w:val="00300FFA"/>
    <w:rsid w:val="00301017"/>
    <w:rsid w:val="0030155F"/>
    <w:rsid w:val="003023D4"/>
    <w:rsid w:val="00302B81"/>
    <w:rsid w:val="003045A8"/>
    <w:rsid w:val="003049EB"/>
    <w:rsid w:val="00304BA5"/>
    <w:rsid w:val="0030587B"/>
    <w:rsid w:val="00306D98"/>
    <w:rsid w:val="0030772F"/>
    <w:rsid w:val="0030786C"/>
    <w:rsid w:val="00307CA8"/>
    <w:rsid w:val="003102E0"/>
    <w:rsid w:val="0031031A"/>
    <w:rsid w:val="00310981"/>
    <w:rsid w:val="00310A24"/>
    <w:rsid w:val="003111DB"/>
    <w:rsid w:val="003119E6"/>
    <w:rsid w:val="003124D9"/>
    <w:rsid w:val="00312594"/>
    <w:rsid w:val="00312AD8"/>
    <w:rsid w:val="003134D6"/>
    <w:rsid w:val="00313DB8"/>
    <w:rsid w:val="00313DEB"/>
    <w:rsid w:val="00314FFA"/>
    <w:rsid w:val="00315498"/>
    <w:rsid w:val="00316474"/>
    <w:rsid w:val="00316546"/>
    <w:rsid w:val="00316CC5"/>
    <w:rsid w:val="00317DBD"/>
    <w:rsid w:val="00317F0A"/>
    <w:rsid w:val="00320675"/>
    <w:rsid w:val="00320FA9"/>
    <w:rsid w:val="003216A8"/>
    <w:rsid w:val="00321BA1"/>
    <w:rsid w:val="00321F05"/>
    <w:rsid w:val="00321F0D"/>
    <w:rsid w:val="00322107"/>
    <w:rsid w:val="00322355"/>
    <w:rsid w:val="00322846"/>
    <w:rsid w:val="00322B4A"/>
    <w:rsid w:val="00322C1E"/>
    <w:rsid w:val="00322FD6"/>
    <w:rsid w:val="003233A0"/>
    <w:rsid w:val="00323B66"/>
    <w:rsid w:val="0032475E"/>
    <w:rsid w:val="00324C70"/>
    <w:rsid w:val="00324C7D"/>
    <w:rsid w:val="00325A80"/>
    <w:rsid w:val="00325F15"/>
    <w:rsid w:val="0032697F"/>
    <w:rsid w:val="00326B84"/>
    <w:rsid w:val="00326DA7"/>
    <w:rsid w:val="003270E4"/>
    <w:rsid w:val="003300DC"/>
    <w:rsid w:val="0033015E"/>
    <w:rsid w:val="00330DAA"/>
    <w:rsid w:val="00330F5C"/>
    <w:rsid w:val="003315B3"/>
    <w:rsid w:val="0033220A"/>
    <w:rsid w:val="0033518B"/>
    <w:rsid w:val="0033570E"/>
    <w:rsid w:val="003366C9"/>
    <w:rsid w:val="00336AF4"/>
    <w:rsid w:val="003371B0"/>
    <w:rsid w:val="00337A75"/>
    <w:rsid w:val="0034024F"/>
    <w:rsid w:val="00340547"/>
    <w:rsid w:val="00340B77"/>
    <w:rsid w:val="00340DF1"/>
    <w:rsid w:val="00340FBF"/>
    <w:rsid w:val="00341EE6"/>
    <w:rsid w:val="0034219A"/>
    <w:rsid w:val="0034229B"/>
    <w:rsid w:val="00342463"/>
    <w:rsid w:val="0034288E"/>
    <w:rsid w:val="00342C8A"/>
    <w:rsid w:val="003432F5"/>
    <w:rsid w:val="00343E0D"/>
    <w:rsid w:val="00344AFA"/>
    <w:rsid w:val="003459B6"/>
    <w:rsid w:val="003460D4"/>
    <w:rsid w:val="00346357"/>
    <w:rsid w:val="00346E16"/>
    <w:rsid w:val="003471A8"/>
    <w:rsid w:val="0034737B"/>
    <w:rsid w:val="00347B74"/>
    <w:rsid w:val="003504D3"/>
    <w:rsid w:val="003509B0"/>
    <w:rsid w:val="00350CD6"/>
    <w:rsid w:val="0035161A"/>
    <w:rsid w:val="003517F9"/>
    <w:rsid w:val="00351BA9"/>
    <w:rsid w:val="003529C9"/>
    <w:rsid w:val="00354F0D"/>
    <w:rsid w:val="00354F5F"/>
    <w:rsid w:val="00354F64"/>
    <w:rsid w:val="003556F5"/>
    <w:rsid w:val="0035620E"/>
    <w:rsid w:val="003565B6"/>
    <w:rsid w:val="0035662D"/>
    <w:rsid w:val="00357503"/>
    <w:rsid w:val="00357695"/>
    <w:rsid w:val="00360345"/>
    <w:rsid w:val="003606CD"/>
    <w:rsid w:val="00361A05"/>
    <w:rsid w:val="003624C4"/>
    <w:rsid w:val="003632C5"/>
    <w:rsid w:val="00363B00"/>
    <w:rsid w:val="003652EF"/>
    <w:rsid w:val="003654AC"/>
    <w:rsid w:val="003657C0"/>
    <w:rsid w:val="00365910"/>
    <w:rsid w:val="003663C1"/>
    <w:rsid w:val="00366A6A"/>
    <w:rsid w:val="00366E0B"/>
    <w:rsid w:val="003679D4"/>
    <w:rsid w:val="003701BD"/>
    <w:rsid w:val="0037034E"/>
    <w:rsid w:val="00370B90"/>
    <w:rsid w:val="003710CF"/>
    <w:rsid w:val="00371656"/>
    <w:rsid w:val="0037358A"/>
    <w:rsid w:val="00373977"/>
    <w:rsid w:val="003740EC"/>
    <w:rsid w:val="003750F6"/>
    <w:rsid w:val="0037543D"/>
    <w:rsid w:val="003760FC"/>
    <w:rsid w:val="003765DA"/>
    <w:rsid w:val="00376B01"/>
    <w:rsid w:val="00376EDD"/>
    <w:rsid w:val="00377FF0"/>
    <w:rsid w:val="003813A5"/>
    <w:rsid w:val="0038197B"/>
    <w:rsid w:val="00381CFE"/>
    <w:rsid w:val="003833A6"/>
    <w:rsid w:val="0038365C"/>
    <w:rsid w:val="0038369B"/>
    <w:rsid w:val="00383B78"/>
    <w:rsid w:val="003855D2"/>
    <w:rsid w:val="00385A1E"/>
    <w:rsid w:val="00385A9D"/>
    <w:rsid w:val="003868E1"/>
    <w:rsid w:val="0038744C"/>
    <w:rsid w:val="00387B67"/>
    <w:rsid w:val="00387CB6"/>
    <w:rsid w:val="00387E73"/>
    <w:rsid w:val="003902B1"/>
    <w:rsid w:val="0039179C"/>
    <w:rsid w:val="00392AA2"/>
    <w:rsid w:val="003943D1"/>
    <w:rsid w:val="00394D95"/>
    <w:rsid w:val="00395481"/>
    <w:rsid w:val="003958A4"/>
    <w:rsid w:val="00395A7F"/>
    <w:rsid w:val="00395EF5"/>
    <w:rsid w:val="00396896"/>
    <w:rsid w:val="00396FD0"/>
    <w:rsid w:val="00397CEE"/>
    <w:rsid w:val="003A0971"/>
    <w:rsid w:val="003A1280"/>
    <w:rsid w:val="003A1704"/>
    <w:rsid w:val="003A1A7A"/>
    <w:rsid w:val="003A1A82"/>
    <w:rsid w:val="003A1AFA"/>
    <w:rsid w:val="003A2392"/>
    <w:rsid w:val="003A27BD"/>
    <w:rsid w:val="003A2831"/>
    <w:rsid w:val="003A3CB6"/>
    <w:rsid w:val="003A3ED1"/>
    <w:rsid w:val="003A44DB"/>
    <w:rsid w:val="003A77E9"/>
    <w:rsid w:val="003B08C3"/>
    <w:rsid w:val="003B0BF0"/>
    <w:rsid w:val="003B17B2"/>
    <w:rsid w:val="003B21E2"/>
    <w:rsid w:val="003B2540"/>
    <w:rsid w:val="003B27E4"/>
    <w:rsid w:val="003B3971"/>
    <w:rsid w:val="003B42DE"/>
    <w:rsid w:val="003B4A52"/>
    <w:rsid w:val="003B4DB6"/>
    <w:rsid w:val="003B5009"/>
    <w:rsid w:val="003B55D1"/>
    <w:rsid w:val="003B5B61"/>
    <w:rsid w:val="003B722B"/>
    <w:rsid w:val="003B74DF"/>
    <w:rsid w:val="003B7732"/>
    <w:rsid w:val="003B7854"/>
    <w:rsid w:val="003B7E32"/>
    <w:rsid w:val="003C0C7A"/>
    <w:rsid w:val="003C154F"/>
    <w:rsid w:val="003C1654"/>
    <w:rsid w:val="003C5542"/>
    <w:rsid w:val="003C6A5D"/>
    <w:rsid w:val="003C72A6"/>
    <w:rsid w:val="003C7D19"/>
    <w:rsid w:val="003C7D2F"/>
    <w:rsid w:val="003D0421"/>
    <w:rsid w:val="003D1437"/>
    <w:rsid w:val="003D1828"/>
    <w:rsid w:val="003D1DE4"/>
    <w:rsid w:val="003D1E9A"/>
    <w:rsid w:val="003D22BB"/>
    <w:rsid w:val="003D2422"/>
    <w:rsid w:val="003D274C"/>
    <w:rsid w:val="003D28FA"/>
    <w:rsid w:val="003D35DF"/>
    <w:rsid w:val="003D39A1"/>
    <w:rsid w:val="003D3D5B"/>
    <w:rsid w:val="003D3FBF"/>
    <w:rsid w:val="003D4A30"/>
    <w:rsid w:val="003D7452"/>
    <w:rsid w:val="003D79BB"/>
    <w:rsid w:val="003D7C98"/>
    <w:rsid w:val="003D7D9D"/>
    <w:rsid w:val="003E0543"/>
    <w:rsid w:val="003E0AD5"/>
    <w:rsid w:val="003E1151"/>
    <w:rsid w:val="003E13F0"/>
    <w:rsid w:val="003E180F"/>
    <w:rsid w:val="003E1AD3"/>
    <w:rsid w:val="003E2A90"/>
    <w:rsid w:val="003E4426"/>
    <w:rsid w:val="003E4D78"/>
    <w:rsid w:val="003E4FAC"/>
    <w:rsid w:val="003E5053"/>
    <w:rsid w:val="003E5CA7"/>
    <w:rsid w:val="003E749E"/>
    <w:rsid w:val="003F15F7"/>
    <w:rsid w:val="003F1CE0"/>
    <w:rsid w:val="003F2F92"/>
    <w:rsid w:val="003F4156"/>
    <w:rsid w:val="003F439A"/>
    <w:rsid w:val="003F49B3"/>
    <w:rsid w:val="003F4E11"/>
    <w:rsid w:val="003F501F"/>
    <w:rsid w:val="003F5997"/>
    <w:rsid w:val="003F5ADF"/>
    <w:rsid w:val="003F6420"/>
    <w:rsid w:val="003F6826"/>
    <w:rsid w:val="003F68AF"/>
    <w:rsid w:val="003F6B55"/>
    <w:rsid w:val="003F7323"/>
    <w:rsid w:val="003F799B"/>
    <w:rsid w:val="003F7E62"/>
    <w:rsid w:val="00400B29"/>
    <w:rsid w:val="00401992"/>
    <w:rsid w:val="00404A07"/>
    <w:rsid w:val="00404BEE"/>
    <w:rsid w:val="0040504B"/>
    <w:rsid w:val="004052E9"/>
    <w:rsid w:val="004059F4"/>
    <w:rsid w:val="00407FE5"/>
    <w:rsid w:val="004101B0"/>
    <w:rsid w:val="00410326"/>
    <w:rsid w:val="004104AF"/>
    <w:rsid w:val="0041060C"/>
    <w:rsid w:val="00410708"/>
    <w:rsid w:val="00410860"/>
    <w:rsid w:val="00410EC7"/>
    <w:rsid w:val="00411318"/>
    <w:rsid w:val="00411A98"/>
    <w:rsid w:val="00411AA8"/>
    <w:rsid w:val="00411B39"/>
    <w:rsid w:val="004122DC"/>
    <w:rsid w:val="004127A7"/>
    <w:rsid w:val="00413A1E"/>
    <w:rsid w:val="00413CA0"/>
    <w:rsid w:val="00414476"/>
    <w:rsid w:val="00414C2E"/>
    <w:rsid w:val="004151CF"/>
    <w:rsid w:val="00415E66"/>
    <w:rsid w:val="00416364"/>
    <w:rsid w:val="00416989"/>
    <w:rsid w:val="00420321"/>
    <w:rsid w:val="0042047F"/>
    <w:rsid w:val="00420AA6"/>
    <w:rsid w:val="00420B9F"/>
    <w:rsid w:val="00420E78"/>
    <w:rsid w:val="00421196"/>
    <w:rsid w:val="004212BF"/>
    <w:rsid w:val="00421575"/>
    <w:rsid w:val="0042192C"/>
    <w:rsid w:val="00422260"/>
    <w:rsid w:val="00422A54"/>
    <w:rsid w:val="00423348"/>
    <w:rsid w:val="0042413F"/>
    <w:rsid w:val="004254B6"/>
    <w:rsid w:val="004257A2"/>
    <w:rsid w:val="00426DAD"/>
    <w:rsid w:val="00431204"/>
    <w:rsid w:val="004314FC"/>
    <w:rsid w:val="004315AA"/>
    <w:rsid w:val="004315CA"/>
    <w:rsid w:val="004319F8"/>
    <w:rsid w:val="00431E55"/>
    <w:rsid w:val="00431FD3"/>
    <w:rsid w:val="004321F6"/>
    <w:rsid w:val="00432C4C"/>
    <w:rsid w:val="00433044"/>
    <w:rsid w:val="004332DC"/>
    <w:rsid w:val="00433C36"/>
    <w:rsid w:val="00434088"/>
    <w:rsid w:val="00434D1B"/>
    <w:rsid w:val="00435284"/>
    <w:rsid w:val="004354AD"/>
    <w:rsid w:val="004375B9"/>
    <w:rsid w:val="00437D91"/>
    <w:rsid w:val="0044048C"/>
    <w:rsid w:val="004426EE"/>
    <w:rsid w:val="004428D0"/>
    <w:rsid w:val="00442BC3"/>
    <w:rsid w:val="00443EF2"/>
    <w:rsid w:val="00444185"/>
    <w:rsid w:val="004443A7"/>
    <w:rsid w:val="0044442C"/>
    <w:rsid w:val="0044467F"/>
    <w:rsid w:val="00444E7A"/>
    <w:rsid w:val="00445941"/>
    <w:rsid w:val="004464EB"/>
    <w:rsid w:val="0044792B"/>
    <w:rsid w:val="00447D26"/>
    <w:rsid w:val="00447DFC"/>
    <w:rsid w:val="00450955"/>
    <w:rsid w:val="00450DE4"/>
    <w:rsid w:val="004518B8"/>
    <w:rsid w:val="00451A2E"/>
    <w:rsid w:val="00452B7C"/>
    <w:rsid w:val="004532B1"/>
    <w:rsid w:val="00454BFF"/>
    <w:rsid w:val="00455117"/>
    <w:rsid w:val="00455D45"/>
    <w:rsid w:val="004560C6"/>
    <w:rsid w:val="004562F7"/>
    <w:rsid w:val="004576BF"/>
    <w:rsid w:val="00457DEB"/>
    <w:rsid w:val="004600EE"/>
    <w:rsid w:val="004610D1"/>
    <w:rsid w:val="00461603"/>
    <w:rsid w:val="00461EB5"/>
    <w:rsid w:val="004620D8"/>
    <w:rsid w:val="00462E26"/>
    <w:rsid w:val="00464595"/>
    <w:rsid w:val="00464A3D"/>
    <w:rsid w:val="004658B5"/>
    <w:rsid w:val="004664C9"/>
    <w:rsid w:val="0046699D"/>
    <w:rsid w:val="0047020A"/>
    <w:rsid w:val="00470D5B"/>
    <w:rsid w:val="004712B1"/>
    <w:rsid w:val="00471D86"/>
    <w:rsid w:val="00471EA5"/>
    <w:rsid w:val="004721EC"/>
    <w:rsid w:val="004722E0"/>
    <w:rsid w:val="004726D3"/>
    <w:rsid w:val="00472A79"/>
    <w:rsid w:val="004732D8"/>
    <w:rsid w:val="00473F19"/>
    <w:rsid w:val="00473F27"/>
    <w:rsid w:val="00475AB3"/>
    <w:rsid w:val="00475E22"/>
    <w:rsid w:val="00475E4D"/>
    <w:rsid w:val="00476624"/>
    <w:rsid w:val="004769E9"/>
    <w:rsid w:val="00477D54"/>
    <w:rsid w:val="0048088E"/>
    <w:rsid w:val="00480E7B"/>
    <w:rsid w:val="00480F2B"/>
    <w:rsid w:val="00481483"/>
    <w:rsid w:val="00481AEE"/>
    <w:rsid w:val="00482720"/>
    <w:rsid w:val="004835E7"/>
    <w:rsid w:val="0048364A"/>
    <w:rsid w:val="004839C9"/>
    <w:rsid w:val="0048415E"/>
    <w:rsid w:val="00484809"/>
    <w:rsid w:val="00485692"/>
    <w:rsid w:val="00485E15"/>
    <w:rsid w:val="004863EC"/>
    <w:rsid w:val="004867E2"/>
    <w:rsid w:val="00487744"/>
    <w:rsid w:val="00490762"/>
    <w:rsid w:val="00490B17"/>
    <w:rsid w:val="00491B3A"/>
    <w:rsid w:val="00492A7B"/>
    <w:rsid w:val="00492CFD"/>
    <w:rsid w:val="004938D2"/>
    <w:rsid w:val="00494207"/>
    <w:rsid w:val="00494399"/>
    <w:rsid w:val="0049494F"/>
    <w:rsid w:val="00494DD5"/>
    <w:rsid w:val="00494FC1"/>
    <w:rsid w:val="0049513C"/>
    <w:rsid w:val="004955F3"/>
    <w:rsid w:val="004962D2"/>
    <w:rsid w:val="0049798D"/>
    <w:rsid w:val="00497D56"/>
    <w:rsid w:val="004A0DA1"/>
    <w:rsid w:val="004A13D6"/>
    <w:rsid w:val="004A15B9"/>
    <w:rsid w:val="004A2580"/>
    <w:rsid w:val="004A5202"/>
    <w:rsid w:val="004A52E9"/>
    <w:rsid w:val="004A5EA5"/>
    <w:rsid w:val="004A6040"/>
    <w:rsid w:val="004A63A3"/>
    <w:rsid w:val="004A64C3"/>
    <w:rsid w:val="004A6597"/>
    <w:rsid w:val="004A7848"/>
    <w:rsid w:val="004A7AD9"/>
    <w:rsid w:val="004B0BA9"/>
    <w:rsid w:val="004B0C3B"/>
    <w:rsid w:val="004B1822"/>
    <w:rsid w:val="004B1CB4"/>
    <w:rsid w:val="004B2598"/>
    <w:rsid w:val="004B2B15"/>
    <w:rsid w:val="004B2F18"/>
    <w:rsid w:val="004B3DDB"/>
    <w:rsid w:val="004B44FD"/>
    <w:rsid w:val="004B460C"/>
    <w:rsid w:val="004B5367"/>
    <w:rsid w:val="004B5CFC"/>
    <w:rsid w:val="004B5DF4"/>
    <w:rsid w:val="004B6B93"/>
    <w:rsid w:val="004B6E5E"/>
    <w:rsid w:val="004B6F79"/>
    <w:rsid w:val="004B774D"/>
    <w:rsid w:val="004C0E77"/>
    <w:rsid w:val="004C1D16"/>
    <w:rsid w:val="004C25CB"/>
    <w:rsid w:val="004C2E70"/>
    <w:rsid w:val="004C3FBB"/>
    <w:rsid w:val="004C4AED"/>
    <w:rsid w:val="004C4EC6"/>
    <w:rsid w:val="004C627A"/>
    <w:rsid w:val="004C635D"/>
    <w:rsid w:val="004D09CB"/>
    <w:rsid w:val="004D0CFD"/>
    <w:rsid w:val="004D1A67"/>
    <w:rsid w:val="004D2242"/>
    <w:rsid w:val="004D2429"/>
    <w:rsid w:val="004D2AC1"/>
    <w:rsid w:val="004D2C2D"/>
    <w:rsid w:val="004D46FA"/>
    <w:rsid w:val="004D4EAE"/>
    <w:rsid w:val="004D529C"/>
    <w:rsid w:val="004D59D4"/>
    <w:rsid w:val="004D69B5"/>
    <w:rsid w:val="004D69F1"/>
    <w:rsid w:val="004D70D8"/>
    <w:rsid w:val="004D7227"/>
    <w:rsid w:val="004D7753"/>
    <w:rsid w:val="004E04C6"/>
    <w:rsid w:val="004E063F"/>
    <w:rsid w:val="004E0867"/>
    <w:rsid w:val="004E0E7F"/>
    <w:rsid w:val="004E0EB8"/>
    <w:rsid w:val="004E18E9"/>
    <w:rsid w:val="004E210D"/>
    <w:rsid w:val="004E2ADC"/>
    <w:rsid w:val="004E3E4A"/>
    <w:rsid w:val="004E4171"/>
    <w:rsid w:val="004E43B2"/>
    <w:rsid w:val="004E46EF"/>
    <w:rsid w:val="004E5AB5"/>
    <w:rsid w:val="004E6905"/>
    <w:rsid w:val="004E6A03"/>
    <w:rsid w:val="004E7C1A"/>
    <w:rsid w:val="004F17F4"/>
    <w:rsid w:val="004F1D02"/>
    <w:rsid w:val="004F212F"/>
    <w:rsid w:val="004F2467"/>
    <w:rsid w:val="004F2649"/>
    <w:rsid w:val="004F2679"/>
    <w:rsid w:val="004F2F21"/>
    <w:rsid w:val="004F3DE5"/>
    <w:rsid w:val="004F4AEC"/>
    <w:rsid w:val="004F629E"/>
    <w:rsid w:val="004F66AC"/>
    <w:rsid w:val="004F6913"/>
    <w:rsid w:val="004F7865"/>
    <w:rsid w:val="004F7FFB"/>
    <w:rsid w:val="00500203"/>
    <w:rsid w:val="005003ED"/>
    <w:rsid w:val="0050174E"/>
    <w:rsid w:val="00501854"/>
    <w:rsid w:val="00501E2E"/>
    <w:rsid w:val="00501F09"/>
    <w:rsid w:val="0050219B"/>
    <w:rsid w:val="00503F17"/>
    <w:rsid w:val="00504633"/>
    <w:rsid w:val="0050489C"/>
    <w:rsid w:val="0050652B"/>
    <w:rsid w:val="00506928"/>
    <w:rsid w:val="00507716"/>
    <w:rsid w:val="005077EF"/>
    <w:rsid w:val="005100D6"/>
    <w:rsid w:val="00511708"/>
    <w:rsid w:val="00511AD5"/>
    <w:rsid w:val="00511C60"/>
    <w:rsid w:val="00511DC7"/>
    <w:rsid w:val="00512671"/>
    <w:rsid w:val="005126D7"/>
    <w:rsid w:val="00512F14"/>
    <w:rsid w:val="0051420F"/>
    <w:rsid w:val="005142C5"/>
    <w:rsid w:val="0051431C"/>
    <w:rsid w:val="0051462F"/>
    <w:rsid w:val="0051501B"/>
    <w:rsid w:val="005152B5"/>
    <w:rsid w:val="00515586"/>
    <w:rsid w:val="00516C07"/>
    <w:rsid w:val="00517515"/>
    <w:rsid w:val="00517B56"/>
    <w:rsid w:val="0052123C"/>
    <w:rsid w:val="00521319"/>
    <w:rsid w:val="00521C7F"/>
    <w:rsid w:val="00522718"/>
    <w:rsid w:val="00522B00"/>
    <w:rsid w:val="00522BC8"/>
    <w:rsid w:val="005231AC"/>
    <w:rsid w:val="005237A0"/>
    <w:rsid w:val="00523C28"/>
    <w:rsid w:val="00524126"/>
    <w:rsid w:val="005251CA"/>
    <w:rsid w:val="00525577"/>
    <w:rsid w:val="00526E75"/>
    <w:rsid w:val="0052793B"/>
    <w:rsid w:val="00527943"/>
    <w:rsid w:val="0053003B"/>
    <w:rsid w:val="0053078C"/>
    <w:rsid w:val="00530D6D"/>
    <w:rsid w:val="0053165A"/>
    <w:rsid w:val="0053176B"/>
    <w:rsid w:val="00532177"/>
    <w:rsid w:val="00532B58"/>
    <w:rsid w:val="00532CEB"/>
    <w:rsid w:val="00534E74"/>
    <w:rsid w:val="00535172"/>
    <w:rsid w:val="0053600C"/>
    <w:rsid w:val="00536BC6"/>
    <w:rsid w:val="00536F42"/>
    <w:rsid w:val="00537182"/>
    <w:rsid w:val="0054177A"/>
    <w:rsid w:val="005419E6"/>
    <w:rsid w:val="00541EDD"/>
    <w:rsid w:val="0054235E"/>
    <w:rsid w:val="00542389"/>
    <w:rsid w:val="00542743"/>
    <w:rsid w:val="00542C2D"/>
    <w:rsid w:val="00542EEB"/>
    <w:rsid w:val="00543628"/>
    <w:rsid w:val="0054519E"/>
    <w:rsid w:val="00545398"/>
    <w:rsid w:val="00545D58"/>
    <w:rsid w:val="005478BD"/>
    <w:rsid w:val="005479D6"/>
    <w:rsid w:val="005479E3"/>
    <w:rsid w:val="00550195"/>
    <w:rsid w:val="00551848"/>
    <w:rsid w:val="00551985"/>
    <w:rsid w:val="0055200A"/>
    <w:rsid w:val="00552BD3"/>
    <w:rsid w:val="005532A0"/>
    <w:rsid w:val="00553B44"/>
    <w:rsid w:val="00553F58"/>
    <w:rsid w:val="005547BD"/>
    <w:rsid w:val="005549A5"/>
    <w:rsid w:val="00555109"/>
    <w:rsid w:val="00555A99"/>
    <w:rsid w:val="00556B0E"/>
    <w:rsid w:val="00556B35"/>
    <w:rsid w:val="0055741A"/>
    <w:rsid w:val="005611B7"/>
    <w:rsid w:val="005618D4"/>
    <w:rsid w:val="005623A7"/>
    <w:rsid w:val="00563D1A"/>
    <w:rsid w:val="00565DF0"/>
    <w:rsid w:val="00566616"/>
    <w:rsid w:val="0056696F"/>
    <w:rsid w:val="005671AF"/>
    <w:rsid w:val="00567D4B"/>
    <w:rsid w:val="00567F78"/>
    <w:rsid w:val="00572269"/>
    <w:rsid w:val="0057244A"/>
    <w:rsid w:val="00572F26"/>
    <w:rsid w:val="0057404F"/>
    <w:rsid w:val="005750C5"/>
    <w:rsid w:val="005752DE"/>
    <w:rsid w:val="00575D8D"/>
    <w:rsid w:val="005760A0"/>
    <w:rsid w:val="00576972"/>
    <w:rsid w:val="00576DE3"/>
    <w:rsid w:val="00576F39"/>
    <w:rsid w:val="005812B2"/>
    <w:rsid w:val="00581698"/>
    <w:rsid w:val="00583313"/>
    <w:rsid w:val="00583699"/>
    <w:rsid w:val="005836BC"/>
    <w:rsid w:val="005841F1"/>
    <w:rsid w:val="00585CDD"/>
    <w:rsid w:val="00587058"/>
    <w:rsid w:val="00587590"/>
    <w:rsid w:val="00590385"/>
    <w:rsid w:val="00591957"/>
    <w:rsid w:val="0059510C"/>
    <w:rsid w:val="005951E1"/>
    <w:rsid w:val="00595778"/>
    <w:rsid w:val="0059633D"/>
    <w:rsid w:val="00596595"/>
    <w:rsid w:val="005967FC"/>
    <w:rsid w:val="005977E4"/>
    <w:rsid w:val="00597BF9"/>
    <w:rsid w:val="00597EB5"/>
    <w:rsid w:val="005A1A48"/>
    <w:rsid w:val="005A1E34"/>
    <w:rsid w:val="005A2758"/>
    <w:rsid w:val="005A309A"/>
    <w:rsid w:val="005A31F5"/>
    <w:rsid w:val="005A3528"/>
    <w:rsid w:val="005A373D"/>
    <w:rsid w:val="005A3FA5"/>
    <w:rsid w:val="005A472A"/>
    <w:rsid w:val="005A4A6E"/>
    <w:rsid w:val="005A4B6F"/>
    <w:rsid w:val="005A54AA"/>
    <w:rsid w:val="005A5744"/>
    <w:rsid w:val="005B070F"/>
    <w:rsid w:val="005B0A3B"/>
    <w:rsid w:val="005B0B58"/>
    <w:rsid w:val="005B0D68"/>
    <w:rsid w:val="005B128B"/>
    <w:rsid w:val="005B1639"/>
    <w:rsid w:val="005B20A8"/>
    <w:rsid w:val="005B2B8A"/>
    <w:rsid w:val="005B3AA9"/>
    <w:rsid w:val="005B3CA5"/>
    <w:rsid w:val="005B3DBA"/>
    <w:rsid w:val="005B44D5"/>
    <w:rsid w:val="005B479D"/>
    <w:rsid w:val="005B4E53"/>
    <w:rsid w:val="005B5857"/>
    <w:rsid w:val="005B5A7F"/>
    <w:rsid w:val="005B5E5A"/>
    <w:rsid w:val="005B716F"/>
    <w:rsid w:val="005C0330"/>
    <w:rsid w:val="005C0495"/>
    <w:rsid w:val="005C0799"/>
    <w:rsid w:val="005C07FF"/>
    <w:rsid w:val="005C1845"/>
    <w:rsid w:val="005C1B83"/>
    <w:rsid w:val="005C1C24"/>
    <w:rsid w:val="005C24CC"/>
    <w:rsid w:val="005C25FF"/>
    <w:rsid w:val="005C2D55"/>
    <w:rsid w:val="005C2EA4"/>
    <w:rsid w:val="005C3322"/>
    <w:rsid w:val="005C346B"/>
    <w:rsid w:val="005C6A25"/>
    <w:rsid w:val="005C6DF1"/>
    <w:rsid w:val="005C754D"/>
    <w:rsid w:val="005D044D"/>
    <w:rsid w:val="005D0ABD"/>
    <w:rsid w:val="005D0DC6"/>
    <w:rsid w:val="005D111E"/>
    <w:rsid w:val="005D18AD"/>
    <w:rsid w:val="005D1BF4"/>
    <w:rsid w:val="005D26B4"/>
    <w:rsid w:val="005D3531"/>
    <w:rsid w:val="005D45FA"/>
    <w:rsid w:val="005D46DC"/>
    <w:rsid w:val="005D489F"/>
    <w:rsid w:val="005D506D"/>
    <w:rsid w:val="005D5D09"/>
    <w:rsid w:val="005D5FD3"/>
    <w:rsid w:val="005D60D0"/>
    <w:rsid w:val="005D64C8"/>
    <w:rsid w:val="005D6CB6"/>
    <w:rsid w:val="005D6D1C"/>
    <w:rsid w:val="005E080F"/>
    <w:rsid w:val="005E1849"/>
    <w:rsid w:val="005E26ED"/>
    <w:rsid w:val="005E2FBA"/>
    <w:rsid w:val="005E475C"/>
    <w:rsid w:val="005E4E00"/>
    <w:rsid w:val="005E58F0"/>
    <w:rsid w:val="005E5C63"/>
    <w:rsid w:val="005E5EB0"/>
    <w:rsid w:val="005E6CBC"/>
    <w:rsid w:val="005E72FF"/>
    <w:rsid w:val="005E73C0"/>
    <w:rsid w:val="005E7471"/>
    <w:rsid w:val="005E7C49"/>
    <w:rsid w:val="005F0077"/>
    <w:rsid w:val="005F0332"/>
    <w:rsid w:val="005F17F9"/>
    <w:rsid w:val="005F227C"/>
    <w:rsid w:val="005F2706"/>
    <w:rsid w:val="005F50DA"/>
    <w:rsid w:val="005F56A2"/>
    <w:rsid w:val="005F6232"/>
    <w:rsid w:val="005F6A8F"/>
    <w:rsid w:val="005F6BB7"/>
    <w:rsid w:val="005F6C81"/>
    <w:rsid w:val="005F6F3E"/>
    <w:rsid w:val="005F725A"/>
    <w:rsid w:val="005F7588"/>
    <w:rsid w:val="005F7D35"/>
    <w:rsid w:val="00600C7E"/>
    <w:rsid w:val="00601D4D"/>
    <w:rsid w:val="00602DAA"/>
    <w:rsid w:val="00603DB9"/>
    <w:rsid w:val="00603E85"/>
    <w:rsid w:val="00604BC1"/>
    <w:rsid w:val="00604E39"/>
    <w:rsid w:val="00606FBA"/>
    <w:rsid w:val="00607669"/>
    <w:rsid w:val="006076F4"/>
    <w:rsid w:val="00607AFD"/>
    <w:rsid w:val="00610211"/>
    <w:rsid w:val="0061043E"/>
    <w:rsid w:val="006106F6"/>
    <w:rsid w:val="00610789"/>
    <w:rsid w:val="00610BE1"/>
    <w:rsid w:val="00611BA6"/>
    <w:rsid w:val="00611C28"/>
    <w:rsid w:val="00612279"/>
    <w:rsid w:val="00612F97"/>
    <w:rsid w:val="0061345D"/>
    <w:rsid w:val="00615111"/>
    <w:rsid w:val="0061516F"/>
    <w:rsid w:val="0061549B"/>
    <w:rsid w:val="00615F7E"/>
    <w:rsid w:val="0061664F"/>
    <w:rsid w:val="00616802"/>
    <w:rsid w:val="00616F7A"/>
    <w:rsid w:val="00617845"/>
    <w:rsid w:val="00617B0A"/>
    <w:rsid w:val="00617E12"/>
    <w:rsid w:val="006204FE"/>
    <w:rsid w:val="00620C25"/>
    <w:rsid w:val="00621477"/>
    <w:rsid w:val="00621ADA"/>
    <w:rsid w:val="00621E06"/>
    <w:rsid w:val="0062287A"/>
    <w:rsid w:val="006232B9"/>
    <w:rsid w:val="00623D70"/>
    <w:rsid w:val="00623F7B"/>
    <w:rsid w:val="006247D6"/>
    <w:rsid w:val="006247FD"/>
    <w:rsid w:val="00625A71"/>
    <w:rsid w:val="00625A8D"/>
    <w:rsid w:val="00625DD3"/>
    <w:rsid w:val="00627B20"/>
    <w:rsid w:val="00627BAD"/>
    <w:rsid w:val="0063158F"/>
    <w:rsid w:val="00631D6B"/>
    <w:rsid w:val="00631FF5"/>
    <w:rsid w:val="00632183"/>
    <w:rsid w:val="00632E58"/>
    <w:rsid w:val="006330A1"/>
    <w:rsid w:val="0063384C"/>
    <w:rsid w:val="00634053"/>
    <w:rsid w:val="006342F8"/>
    <w:rsid w:val="0063479F"/>
    <w:rsid w:val="006353F0"/>
    <w:rsid w:val="006357B5"/>
    <w:rsid w:val="006364A1"/>
    <w:rsid w:val="0063678E"/>
    <w:rsid w:val="00637200"/>
    <w:rsid w:val="0063788C"/>
    <w:rsid w:val="00637BFD"/>
    <w:rsid w:val="006413C6"/>
    <w:rsid w:val="00641C4E"/>
    <w:rsid w:val="00641C60"/>
    <w:rsid w:val="00641C8F"/>
    <w:rsid w:val="00641FB3"/>
    <w:rsid w:val="006423C7"/>
    <w:rsid w:val="0064434C"/>
    <w:rsid w:val="006443BA"/>
    <w:rsid w:val="0064511C"/>
    <w:rsid w:val="00645CA4"/>
    <w:rsid w:val="00646256"/>
    <w:rsid w:val="006467AB"/>
    <w:rsid w:val="00646A5C"/>
    <w:rsid w:val="00646CF2"/>
    <w:rsid w:val="006471CC"/>
    <w:rsid w:val="00647A29"/>
    <w:rsid w:val="00650619"/>
    <w:rsid w:val="0065079F"/>
    <w:rsid w:val="00650AC4"/>
    <w:rsid w:val="0065167A"/>
    <w:rsid w:val="00651A4E"/>
    <w:rsid w:val="00652330"/>
    <w:rsid w:val="00652A28"/>
    <w:rsid w:val="0065348D"/>
    <w:rsid w:val="0065379F"/>
    <w:rsid w:val="00655DA2"/>
    <w:rsid w:val="00656188"/>
    <w:rsid w:val="006564C1"/>
    <w:rsid w:val="0065658B"/>
    <w:rsid w:val="0065715A"/>
    <w:rsid w:val="006610F1"/>
    <w:rsid w:val="0066113C"/>
    <w:rsid w:val="00661C6B"/>
    <w:rsid w:val="00663226"/>
    <w:rsid w:val="00663C34"/>
    <w:rsid w:val="0066574D"/>
    <w:rsid w:val="006657EC"/>
    <w:rsid w:val="00665C28"/>
    <w:rsid w:val="00665DA7"/>
    <w:rsid w:val="00667B9F"/>
    <w:rsid w:val="00667E78"/>
    <w:rsid w:val="00667F38"/>
    <w:rsid w:val="00667F99"/>
    <w:rsid w:val="00670711"/>
    <w:rsid w:val="00670865"/>
    <w:rsid w:val="0067098B"/>
    <w:rsid w:val="00671004"/>
    <w:rsid w:val="00671335"/>
    <w:rsid w:val="00671884"/>
    <w:rsid w:val="006724CC"/>
    <w:rsid w:val="00672646"/>
    <w:rsid w:val="00672835"/>
    <w:rsid w:val="00672BB2"/>
    <w:rsid w:val="006744C2"/>
    <w:rsid w:val="00674AE5"/>
    <w:rsid w:val="00674E42"/>
    <w:rsid w:val="0067744C"/>
    <w:rsid w:val="0067748E"/>
    <w:rsid w:val="006778FB"/>
    <w:rsid w:val="006812E8"/>
    <w:rsid w:val="006813F8"/>
    <w:rsid w:val="00682112"/>
    <w:rsid w:val="00682BA6"/>
    <w:rsid w:val="006835ED"/>
    <w:rsid w:val="006839D1"/>
    <w:rsid w:val="006845C1"/>
    <w:rsid w:val="00684A3C"/>
    <w:rsid w:val="00684E39"/>
    <w:rsid w:val="006855C5"/>
    <w:rsid w:val="00685FDD"/>
    <w:rsid w:val="00686448"/>
    <w:rsid w:val="00686957"/>
    <w:rsid w:val="006872BA"/>
    <w:rsid w:val="00687D6D"/>
    <w:rsid w:val="0069005A"/>
    <w:rsid w:val="00690287"/>
    <w:rsid w:val="0069049C"/>
    <w:rsid w:val="00690795"/>
    <w:rsid w:val="00690A4C"/>
    <w:rsid w:val="006914B9"/>
    <w:rsid w:val="00691520"/>
    <w:rsid w:val="00691648"/>
    <w:rsid w:val="006917D7"/>
    <w:rsid w:val="006929B7"/>
    <w:rsid w:val="006933DE"/>
    <w:rsid w:val="006941DC"/>
    <w:rsid w:val="0069434C"/>
    <w:rsid w:val="00694F44"/>
    <w:rsid w:val="0069525E"/>
    <w:rsid w:val="0069554E"/>
    <w:rsid w:val="00696718"/>
    <w:rsid w:val="00696933"/>
    <w:rsid w:val="00696F51"/>
    <w:rsid w:val="006973EB"/>
    <w:rsid w:val="006979A5"/>
    <w:rsid w:val="00697BBB"/>
    <w:rsid w:val="006A2520"/>
    <w:rsid w:val="006A3166"/>
    <w:rsid w:val="006A36F0"/>
    <w:rsid w:val="006A514F"/>
    <w:rsid w:val="006A52EA"/>
    <w:rsid w:val="006A54D7"/>
    <w:rsid w:val="006A5DE7"/>
    <w:rsid w:val="006A66E2"/>
    <w:rsid w:val="006A6B99"/>
    <w:rsid w:val="006A7E5F"/>
    <w:rsid w:val="006B1AB8"/>
    <w:rsid w:val="006B1AFD"/>
    <w:rsid w:val="006B1FC8"/>
    <w:rsid w:val="006B261B"/>
    <w:rsid w:val="006B2C90"/>
    <w:rsid w:val="006B35E6"/>
    <w:rsid w:val="006B3DBE"/>
    <w:rsid w:val="006B430F"/>
    <w:rsid w:val="006B465A"/>
    <w:rsid w:val="006B4E8B"/>
    <w:rsid w:val="006B5263"/>
    <w:rsid w:val="006B5D5E"/>
    <w:rsid w:val="006B6183"/>
    <w:rsid w:val="006B6711"/>
    <w:rsid w:val="006B6DD0"/>
    <w:rsid w:val="006B6DD4"/>
    <w:rsid w:val="006B7128"/>
    <w:rsid w:val="006B7C9A"/>
    <w:rsid w:val="006C0399"/>
    <w:rsid w:val="006C08A0"/>
    <w:rsid w:val="006C1A5C"/>
    <w:rsid w:val="006C22B8"/>
    <w:rsid w:val="006C22E7"/>
    <w:rsid w:val="006C2A8E"/>
    <w:rsid w:val="006C3255"/>
    <w:rsid w:val="006C3F26"/>
    <w:rsid w:val="006C41AA"/>
    <w:rsid w:val="006C52A0"/>
    <w:rsid w:val="006C6FC0"/>
    <w:rsid w:val="006D0D17"/>
    <w:rsid w:val="006D16CE"/>
    <w:rsid w:val="006D1FDA"/>
    <w:rsid w:val="006D3B98"/>
    <w:rsid w:val="006D3C7D"/>
    <w:rsid w:val="006D3F03"/>
    <w:rsid w:val="006D3F8D"/>
    <w:rsid w:val="006D4659"/>
    <w:rsid w:val="006D543A"/>
    <w:rsid w:val="006D5D5F"/>
    <w:rsid w:val="006D62E5"/>
    <w:rsid w:val="006D68FB"/>
    <w:rsid w:val="006D6F55"/>
    <w:rsid w:val="006D744E"/>
    <w:rsid w:val="006D78DB"/>
    <w:rsid w:val="006D7E4D"/>
    <w:rsid w:val="006E00AE"/>
    <w:rsid w:val="006E1196"/>
    <w:rsid w:val="006E1DE0"/>
    <w:rsid w:val="006E2868"/>
    <w:rsid w:val="006E2A37"/>
    <w:rsid w:val="006E2BA1"/>
    <w:rsid w:val="006E304B"/>
    <w:rsid w:val="006E3A0E"/>
    <w:rsid w:val="006E4171"/>
    <w:rsid w:val="006E4879"/>
    <w:rsid w:val="006E4B80"/>
    <w:rsid w:val="006E5C8B"/>
    <w:rsid w:val="006E5D26"/>
    <w:rsid w:val="006E5D5F"/>
    <w:rsid w:val="006E6303"/>
    <w:rsid w:val="006E6A02"/>
    <w:rsid w:val="006E6D88"/>
    <w:rsid w:val="006E783F"/>
    <w:rsid w:val="006F063F"/>
    <w:rsid w:val="006F0789"/>
    <w:rsid w:val="006F0FDC"/>
    <w:rsid w:val="006F1073"/>
    <w:rsid w:val="006F2591"/>
    <w:rsid w:val="006F29D7"/>
    <w:rsid w:val="006F306C"/>
    <w:rsid w:val="006F30AF"/>
    <w:rsid w:val="006F3101"/>
    <w:rsid w:val="006F628A"/>
    <w:rsid w:val="006F63A5"/>
    <w:rsid w:val="006F681F"/>
    <w:rsid w:val="006F6C68"/>
    <w:rsid w:val="006F7112"/>
    <w:rsid w:val="006F74DD"/>
    <w:rsid w:val="007005B6"/>
    <w:rsid w:val="0070142B"/>
    <w:rsid w:val="0070276E"/>
    <w:rsid w:val="00702F8F"/>
    <w:rsid w:val="0070331C"/>
    <w:rsid w:val="00703FA1"/>
    <w:rsid w:val="0070604A"/>
    <w:rsid w:val="007079FC"/>
    <w:rsid w:val="00707FC7"/>
    <w:rsid w:val="00711142"/>
    <w:rsid w:val="00711221"/>
    <w:rsid w:val="00711A36"/>
    <w:rsid w:val="00712D37"/>
    <w:rsid w:val="00713060"/>
    <w:rsid w:val="00713D04"/>
    <w:rsid w:val="00714C26"/>
    <w:rsid w:val="0071529C"/>
    <w:rsid w:val="00715A41"/>
    <w:rsid w:val="007170DA"/>
    <w:rsid w:val="007172AD"/>
    <w:rsid w:val="007173C3"/>
    <w:rsid w:val="00717792"/>
    <w:rsid w:val="00717B5F"/>
    <w:rsid w:val="0072001D"/>
    <w:rsid w:val="00720801"/>
    <w:rsid w:val="00720CF3"/>
    <w:rsid w:val="00722069"/>
    <w:rsid w:val="007227C8"/>
    <w:rsid w:val="00722B1B"/>
    <w:rsid w:val="007233A4"/>
    <w:rsid w:val="007239F9"/>
    <w:rsid w:val="00723C84"/>
    <w:rsid w:val="0072416F"/>
    <w:rsid w:val="00724D56"/>
    <w:rsid w:val="00724EE7"/>
    <w:rsid w:val="00725A52"/>
    <w:rsid w:val="00726C21"/>
    <w:rsid w:val="0072724C"/>
    <w:rsid w:val="00727C94"/>
    <w:rsid w:val="0073025B"/>
    <w:rsid w:val="007305BB"/>
    <w:rsid w:val="007311BD"/>
    <w:rsid w:val="0073120E"/>
    <w:rsid w:val="00731473"/>
    <w:rsid w:val="00731B0A"/>
    <w:rsid w:val="00731CE3"/>
    <w:rsid w:val="00731EAE"/>
    <w:rsid w:val="00732423"/>
    <w:rsid w:val="00732BEA"/>
    <w:rsid w:val="00733073"/>
    <w:rsid w:val="00734A53"/>
    <w:rsid w:val="00734B86"/>
    <w:rsid w:val="00734EC2"/>
    <w:rsid w:val="00735033"/>
    <w:rsid w:val="00735328"/>
    <w:rsid w:val="00735793"/>
    <w:rsid w:val="0073663B"/>
    <w:rsid w:val="00736744"/>
    <w:rsid w:val="0073685B"/>
    <w:rsid w:val="00736EEF"/>
    <w:rsid w:val="007374AB"/>
    <w:rsid w:val="00737E79"/>
    <w:rsid w:val="007405E2"/>
    <w:rsid w:val="00743148"/>
    <w:rsid w:val="00743D46"/>
    <w:rsid w:val="0074476A"/>
    <w:rsid w:val="0074479A"/>
    <w:rsid w:val="007449B4"/>
    <w:rsid w:val="007449BF"/>
    <w:rsid w:val="00745C49"/>
    <w:rsid w:val="007462E4"/>
    <w:rsid w:val="007465A1"/>
    <w:rsid w:val="00746BC0"/>
    <w:rsid w:val="00746F15"/>
    <w:rsid w:val="00747098"/>
    <w:rsid w:val="00747744"/>
    <w:rsid w:val="007503D5"/>
    <w:rsid w:val="007510B4"/>
    <w:rsid w:val="00752142"/>
    <w:rsid w:val="007523F9"/>
    <w:rsid w:val="0075357E"/>
    <w:rsid w:val="00755BF6"/>
    <w:rsid w:val="00756611"/>
    <w:rsid w:val="0075727F"/>
    <w:rsid w:val="007572C2"/>
    <w:rsid w:val="007573E8"/>
    <w:rsid w:val="00757A62"/>
    <w:rsid w:val="00757CCA"/>
    <w:rsid w:val="007607C4"/>
    <w:rsid w:val="00760C4E"/>
    <w:rsid w:val="00760F9E"/>
    <w:rsid w:val="007617B0"/>
    <w:rsid w:val="007621F5"/>
    <w:rsid w:val="00762669"/>
    <w:rsid w:val="007627BE"/>
    <w:rsid w:val="00762C20"/>
    <w:rsid w:val="00762F59"/>
    <w:rsid w:val="00763434"/>
    <w:rsid w:val="00764832"/>
    <w:rsid w:val="00764A84"/>
    <w:rsid w:val="00764F03"/>
    <w:rsid w:val="00765B1A"/>
    <w:rsid w:val="00766023"/>
    <w:rsid w:val="00767C35"/>
    <w:rsid w:val="00770219"/>
    <w:rsid w:val="0077168A"/>
    <w:rsid w:val="00771C40"/>
    <w:rsid w:val="00772AE6"/>
    <w:rsid w:val="00773205"/>
    <w:rsid w:val="007744C4"/>
    <w:rsid w:val="00775482"/>
    <w:rsid w:val="00775496"/>
    <w:rsid w:val="00776079"/>
    <w:rsid w:val="00776229"/>
    <w:rsid w:val="00776850"/>
    <w:rsid w:val="00776D40"/>
    <w:rsid w:val="00777335"/>
    <w:rsid w:val="00780081"/>
    <w:rsid w:val="00780445"/>
    <w:rsid w:val="00780ACE"/>
    <w:rsid w:val="00781612"/>
    <w:rsid w:val="0078167D"/>
    <w:rsid w:val="00782016"/>
    <w:rsid w:val="00783600"/>
    <w:rsid w:val="007843F2"/>
    <w:rsid w:val="007850AF"/>
    <w:rsid w:val="00785A9F"/>
    <w:rsid w:val="00786E31"/>
    <w:rsid w:val="007872D3"/>
    <w:rsid w:val="007905AE"/>
    <w:rsid w:val="007924DD"/>
    <w:rsid w:val="007925DF"/>
    <w:rsid w:val="007925F3"/>
    <w:rsid w:val="0079369C"/>
    <w:rsid w:val="007938BE"/>
    <w:rsid w:val="00794EA8"/>
    <w:rsid w:val="007954B0"/>
    <w:rsid w:val="00797AFA"/>
    <w:rsid w:val="00797D9E"/>
    <w:rsid w:val="007A05CB"/>
    <w:rsid w:val="007A05F3"/>
    <w:rsid w:val="007A08AA"/>
    <w:rsid w:val="007A0A12"/>
    <w:rsid w:val="007A0EC5"/>
    <w:rsid w:val="007A132D"/>
    <w:rsid w:val="007A1345"/>
    <w:rsid w:val="007A1698"/>
    <w:rsid w:val="007A2DDB"/>
    <w:rsid w:val="007A33C9"/>
    <w:rsid w:val="007A34F8"/>
    <w:rsid w:val="007A3605"/>
    <w:rsid w:val="007A4A39"/>
    <w:rsid w:val="007A4D42"/>
    <w:rsid w:val="007A50E8"/>
    <w:rsid w:val="007A517C"/>
    <w:rsid w:val="007A52DA"/>
    <w:rsid w:val="007A5B81"/>
    <w:rsid w:val="007A608A"/>
    <w:rsid w:val="007A60B2"/>
    <w:rsid w:val="007A642B"/>
    <w:rsid w:val="007A70BA"/>
    <w:rsid w:val="007A7177"/>
    <w:rsid w:val="007A7C4E"/>
    <w:rsid w:val="007B0D68"/>
    <w:rsid w:val="007B251D"/>
    <w:rsid w:val="007B481D"/>
    <w:rsid w:val="007B4F09"/>
    <w:rsid w:val="007B4F58"/>
    <w:rsid w:val="007B528D"/>
    <w:rsid w:val="007B596A"/>
    <w:rsid w:val="007B63CA"/>
    <w:rsid w:val="007B740A"/>
    <w:rsid w:val="007B77D1"/>
    <w:rsid w:val="007C033A"/>
    <w:rsid w:val="007C0516"/>
    <w:rsid w:val="007C07C7"/>
    <w:rsid w:val="007C1ABD"/>
    <w:rsid w:val="007C1CD9"/>
    <w:rsid w:val="007C272D"/>
    <w:rsid w:val="007C295A"/>
    <w:rsid w:val="007C3268"/>
    <w:rsid w:val="007C32EF"/>
    <w:rsid w:val="007C361D"/>
    <w:rsid w:val="007C42BA"/>
    <w:rsid w:val="007C4677"/>
    <w:rsid w:val="007C4B84"/>
    <w:rsid w:val="007C65D9"/>
    <w:rsid w:val="007C70FF"/>
    <w:rsid w:val="007C7C25"/>
    <w:rsid w:val="007D004F"/>
    <w:rsid w:val="007D0123"/>
    <w:rsid w:val="007D02AE"/>
    <w:rsid w:val="007D06C2"/>
    <w:rsid w:val="007D06F1"/>
    <w:rsid w:val="007D0B38"/>
    <w:rsid w:val="007D13CE"/>
    <w:rsid w:val="007D27F7"/>
    <w:rsid w:val="007D2EE6"/>
    <w:rsid w:val="007D5440"/>
    <w:rsid w:val="007D69EB"/>
    <w:rsid w:val="007D6AC3"/>
    <w:rsid w:val="007D70DE"/>
    <w:rsid w:val="007E0717"/>
    <w:rsid w:val="007E074D"/>
    <w:rsid w:val="007E0AB3"/>
    <w:rsid w:val="007E0BD1"/>
    <w:rsid w:val="007E128F"/>
    <w:rsid w:val="007E1436"/>
    <w:rsid w:val="007E1A9F"/>
    <w:rsid w:val="007E3956"/>
    <w:rsid w:val="007E3E87"/>
    <w:rsid w:val="007E4147"/>
    <w:rsid w:val="007E5537"/>
    <w:rsid w:val="007E6CDF"/>
    <w:rsid w:val="007E7652"/>
    <w:rsid w:val="007E7998"/>
    <w:rsid w:val="007E7F56"/>
    <w:rsid w:val="007F058E"/>
    <w:rsid w:val="007F1017"/>
    <w:rsid w:val="007F1AAA"/>
    <w:rsid w:val="007F20B0"/>
    <w:rsid w:val="007F2289"/>
    <w:rsid w:val="007F2FD5"/>
    <w:rsid w:val="007F4704"/>
    <w:rsid w:val="007F4A3F"/>
    <w:rsid w:val="007F4A61"/>
    <w:rsid w:val="007F5045"/>
    <w:rsid w:val="007F5255"/>
    <w:rsid w:val="007F52D9"/>
    <w:rsid w:val="007F5403"/>
    <w:rsid w:val="007F5628"/>
    <w:rsid w:val="007F56CC"/>
    <w:rsid w:val="007F5969"/>
    <w:rsid w:val="007F61C2"/>
    <w:rsid w:val="008002C5"/>
    <w:rsid w:val="0080064E"/>
    <w:rsid w:val="008019A3"/>
    <w:rsid w:val="008019B6"/>
    <w:rsid w:val="00801EAE"/>
    <w:rsid w:val="00802610"/>
    <w:rsid w:val="00802619"/>
    <w:rsid w:val="00802845"/>
    <w:rsid w:val="0080324F"/>
    <w:rsid w:val="00803CD4"/>
    <w:rsid w:val="00804AC1"/>
    <w:rsid w:val="00805142"/>
    <w:rsid w:val="00805433"/>
    <w:rsid w:val="00805E5A"/>
    <w:rsid w:val="00805FCE"/>
    <w:rsid w:val="0080621A"/>
    <w:rsid w:val="008062D3"/>
    <w:rsid w:val="00806415"/>
    <w:rsid w:val="008073C3"/>
    <w:rsid w:val="00807586"/>
    <w:rsid w:val="00807A02"/>
    <w:rsid w:val="00807A48"/>
    <w:rsid w:val="00807A8B"/>
    <w:rsid w:val="0081103F"/>
    <w:rsid w:val="00811383"/>
    <w:rsid w:val="00812149"/>
    <w:rsid w:val="00812CAC"/>
    <w:rsid w:val="008145B8"/>
    <w:rsid w:val="00816361"/>
    <w:rsid w:val="008166EF"/>
    <w:rsid w:val="008166FB"/>
    <w:rsid w:val="00816930"/>
    <w:rsid w:val="00816E30"/>
    <w:rsid w:val="00816FEF"/>
    <w:rsid w:val="00817179"/>
    <w:rsid w:val="00817D4D"/>
    <w:rsid w:val="00817F77"/>
    <w:rsid w:val="00817FCF"/>
    <w:rsid w:val="008205DE"/>
    <w:rsid w:val="0082097D"/>
    <w:rsid w:val="00820A8C"/>
    <w:rsid w:val="008210DA"/>
    <w:rsid w:val="00821303"/>
    <w:rsid w:val="008215FB"/>
    <w:rsid w:val="00821911"/>
    <w:rsid w:val="00822340"/>
    <w:rsid w:val="00823174"/>
    <w:rsid w:val="00823259"/>
    <w:rsid w:val="00823FF9"/>
    <w:rsid w:val="0082468D"/>
    <w:rsid w:val="00825090"/>
    <w:rsid w:val="00825751"/>
    <w:rsid w:val="00825FE5"/>
    <w:rsid w:val="008260C2"/>
    <w:rsid w:val="008260F5"/>
    <w:rsid w:val="008264EB"/>
    <w:rsid w:val="00826CD6"/>
    <w:rsid w:val="00827A1F"/>
    <w:rsid w:val="00831492"/>
    <w:rsid w:val="0083290C"/>
    <w:rsid w:val="00832C71"/>
    <w:rsid w:val="00833B05"/>
    <w:rsid w:val="00833E90"/>
    <w:rsid w:val="0083431A"/>
    <w:rsid w:val="008362B4"/>
    <w:rsid w:val="00836B60"/>
    <w:rsid w:val="0083710A"/>
    <w:rsid w:val="00840256"/>
    <w:rsid w:val="00840CA2"/>
    <w:rsid w:val="00841364"/>
    <w:rsid w:val="00841698"/>
    <w:rsid w:val="00841A26"/>
    <w:rsid w:val="00841E04"/>
    <w:rsid w:val="0084265E"/>
    <w:rsid w:val="0084374F"/>
    <w:rsid w:val="00844115"/>
    <w:rsid w:val="00844A22"/>
    <w:rsid w:val="00845A27"/>
    <w:rsid w:val="00846AAE"/>
    <w:rsid w:val="00847703"/>
    <w:rsid w:val="00847DF5"/>
    <w:rsid w:val="008505A1"/>
    <w:rsid w:val="00850811"/>
    <w:rsid w:val="00850FFA"/>
    <w:rsid w:val="008518A6"/>
    <w:rsid w:val="00851A85"/>
    <w:rsid w:val="0085309D"/>
    <w:rsid w:val="0085538C"/>
    <w:rsid w:val="00855B16"/>
    <w:rsid w:val="00855F4C"/>
    <w:rsid w:val="00856897"/>
    <w:rsid w:val="00856E63"/>
    <w:rsid w:val="00856E9A"/>
    <w:rsid w:val="008576BB"/>
    <w:rsid w:val="00857B94"/>
    <w:rsid w:val="0086075D"/>
    <w:rsid w:val="00861699"/>
    <w:rsid w:val="008621C7"/>
    <w:rsid w:val="008621F4"/>
    <w:rsid w:val="00862502"/>
    <w:rsid w:val="008626C7"/>
    <w:rsid w:val="0086271E"/>
    <w:rsid w:val="00862CC1"/>
    <w:rsid w:val="00863282"/>
    <w:rsid w:val="00863342"/>
    <w:rsid w:val="00864364"/>
    <w:rsid w:val="008660D4"/>
    <w:rsid w:val="00870428"/>
    <w:rsid w:val="00870F5C"/>
    <w:rsid w:val="00871FA9"/>
    <w:rsid w:val="00872538"/>
    <w:rsid w:val="008726F5"/>
    <w:rsid w:val="008728E9"/>
    <w:rsid w:val="00873649"/>
    <w:rsid w:val="0087392D"/>
    <w:rsid w:val="008742AD"/>
    <w:rsid w:val="0087441B"/>
    <w:rsid w:val="00874579"/>
    <w:rsid w:val="00874FE4"/>
    <w:rsid w:val="00876FAA"/>
    <w:rsid w:val="00877723"/>
    <w:rsid w:val="00880F87"/>
    <w:rsid w:val="00882022"/>
    <w:rsid w:val="0088234D"/>
    <w:rsid w:val="00882874"/>
    <w:rsid w:val="00882E3C"/>
    <w:rsid w:val="00883787"/>
    <w:rsid w:val="0088396F"/>
    <w:rsid w:val="00883EDC"/>
    <w:rsid w:val="00884506"/>
    <w:rsid w:val="00884E02"/>
    <w:rsid w:val="008855E4"/>
    <w:rsid w:val="00885BF1"/>
    <w:rsid w:val="00885EEA"/>
    <w:rsid w:val="008866BD"/>
    <w:rsid w:val="00886CD2"/>
    <w:rsid w:val="00887115"/>
    <w:rsid w:val="00890106"/>
    <w:rsid w:val="0089010C"/>
    <w:rsid w:val="008910A3"/>
    <w:rsid w:val="00891B45"/>
    <w:rsid w:val="00891E6F"/>
    <w:rsid w:val="008922F5"/>
    <w:rsid w:val="0089275D"/>
    <w:rsid w:val="00892A36"/>
    <w:rsid w:val="00893164"/>
    <w:rsid w:val="00893187"/>
    <w:rsid w:val="00893239"/>
    <w:rsid w:val="008935DB"/>
    <w:rsid w:val="00894489"/>
    <w:rsid w:val="008953EE"/>
    <w:rsid w:val="008963A5"/>
    <w:rsid w:val="00896851"/>
    <w:rsid w:val="00896D5D"/>
    <w:rsid w:val="00897377"/>
    <w:rsid w:val="00897AE6"/>
    <w:rsid w:val="008A217A"/>
    <w:rsid w:val="008A2592"/>
    <w:rsid w:val="008A2611"/>
    <w:rsid w:val="008A3363"/>
    <w:rsid w:val="008A3371"/>
    <w:rsid w:val="008A3783"/>
    <w:rsid w:val="008A3C3E"/>
    <w:rsid w:val="008A4255"/>
    <w:rsid w:val="008A4FC8"/>
    <w:rsid w:val="008A6C13"/>
    <w:rsid w:val="008A6FAD"/>
    <w:rsid w:val="008A7434"/>
    <w:rsid w:val="008A79DE"/>
    <w:rsid w:val="008B1109"/>
    <w:rsid w:val="008B1757"/>
    <w:rsid w:val="008B1D13"/>
    <w:rsid w:val="008B1E95"/>
    <w:rsid w:val="008B244F"/>
    <w:rsid w:val="008B37AD"/>
    <w:rsid w:val="008B4D0A"/>
    <w:rsid w:val="008B4FA4"/>
    <w:rsid w:val="008B7262"/>
    <w:rsid w:val="008B7992"/>
    <w:rsid w:val="008B7D7E"/>
    <w:rsid w:val="008C00A6"/>
    <w:rsid w:val="008C25D4"/>
    <w:rsid w:val="008C2747"/>
    <w:rsid w:val="008C2E06"/>
    <w:rsid w:val="008C4979"/>
    <w:rsid w:val="008C5404"/>
    <w:rsid w:val="008C5610"/>
    <w:rsid w:val="008C5739"/>
    <w:rsid w:val="008C587B"/>
    <w:rsid w:val="008C6B24"/>
    <w:rsid w:val="008C75DD"/>
    <w:rsid w:val="008C7A04"/>
    <w:rsid w:val="008C7ECB"/>
    <w:rsid w:val="008D046A"/>
    <w:rsid w:val="008D066E"/>
    <w:rsid w:val="008D0B2E"/>
    <w:rsid w:val="008D12FF"/>
    <w:rsid w:val="008D1CB3"/>
    <w:rsid w:val="008D1D85"/>
    <w:rsid w:val="008D30FD"/>
    <w:rsid w:val="008D36C5"/>
    <w:rsid w:val="008D3B86"/>
    <w:rsid w:val="008D4755"/>
    <w:rsid w:val="008D4C3D"/>
    <w:rsid w:val="008D4F43"/>
    <w:rsid w:val="008D5EB9"/>
    <w:rsid w:val="008D6086"/>
    <w:rsid w:val="008D66BA"/>
    <w:rsid w:val="008D6A3D"/>
    <w:rsid w:val="008D743C"/>
    <w:rsid w:val="008E0D3C"/>
    <w:rsid w:val="008E1B9E"/>
    <w:rsid w:val="008E332D"/>
    <w:rsid w:val="008E3A23"/>
    <w:rsid w:val="008E415C"/>
    <w:rsid w:val="008E41E0"/>
    <w:rsid w:val="008E55AB"/>
    <w:rsid w:val="008E5A82"/>
    <w:rsid w:val="008E62F5"/>
    <w:rsid w:val="008E7F06"/>
    <w:rsid w:val="008F017D"/>
    <w:rsid w:val="008F02DE"/>
    <w:rsid w:val="008F0CAE"/>
    <w:rsid w:val="008F0DCA"/>
    <w:rsid w:val="008F120A"/>
    <w:rsid w:val="008F17B5"/>
    <w:rsid w:val="008F2785"/>
    <w:rsid w:val="008F27E0"/>
    <w:rsid w:val="008F4258"/>
    <w:rsid w:val="008F48EB"/>
    <w:rsid w:val="008F4C25"/>
    <w:rsid w:val="008F4E8E"/>
    <w:rsid w:val="008F4F0B"/>
    <w:rsid w:val="008F6C27"/>
    <w:rsid w:val="008F736D"/>
    <w:rsid w:val="0090057C"/>
    <w:rsid w:val="00900FCD"/>
    <w:rsid w:val="00901536"/>
    <w:rsid w:val="00902660"/>
    <w:rsid w:val="00902747"/>
    <w:rsid w:val="00903F13"/>
    <w:rsid w:val="009046C4"/>
    <w:rsid w:val="00905B84"/>
    <w:rsid w:val="009062A4"/>
    <w:rsid w:val="009062A5"/>
    <w:rsid w:val="0090702F"/>
    <w:rsid w:val="00910182"/>
    <w:rsid w:val="00910265"/>
    <w:rsid w:val="00910FA7"/>
    <w:rsid w:val="00911272"/>
    <w:rsid w:val="009116AC"/>
    <w:rsid w:val="0091271C"/>
    <w:rsid w:val="009135D6"/>
    <w:rsid w:val="00913CC4"/>
    <w:rsid w:val="00914062"/>
    <w:rsid w:val="00914277"/>
    <w:rsid w:val="009142AF"/>
    <w:rsid w:val="00914C77"/>
    <w:rsid w:val="009150F2"/>
    <w:rsid w:val="009170FF"/>
    <w:rsid w:val="00917D0F"/>
    <w:rsid w:val="00920B76"/>
    <w:rsid w:val="00921ACB"/>
    <w:rsid w:val="00921C65"/>
    <w:rsid w:val="0092369B"/>
    <w:rsid w:val="00924A5A"/>
    <w:rsid w:val="0092523A"/>
    <w:rsid w:val="009252D3"/>
    <w:rsid w:val="00927342"/>
    <w:rsid w:val="0093045B"/>
    <w:rsid w:val="00931619"/>
    <w:rsid w:val="00934988"/>
    <w:rsid w:val="00936C0C"/>
    <w:rsid w:val="00937089"/>
    <w:rsid w:val="0094216D"/>
    <w:rsid w:val="0094318E"/>
    <w:rsid w:val="0094353A"/>
    <w:rsid w:val="00943E17"/>
    <w:rsid w:val="00943E2D"/>
    <w:rsid w:val="0094468B"/>
    <w:rsid w:val="009449A5"/>
    <w:rsid w:val="00944F8A"/>
    <w:rsid w:val="0094548C"/>
    <w:rsid w:val="009469CE"/>
    <w:rsid w:val="00947A0C"/>
    <w:rsid w:val="009510A2"/>
    <w:rsid w:val="00951977"/>
    <w:rsid w:val="00951C46"/>
    <w:rsid w:val="00953257"/>
    <w:rsid w:val="0095398D"/>
    <w:rsid w:val="009542EC"/>
    <w:rsid w:val="0095474C"/>
    <w:rsid w:val="0095569B"/>
    <w:rsid w:val="009560A9"/>
    <w:rsid w:val="009560D2"/>
    <w:rsid w:val="009606C6"/>
    <w:rsid w:val="00962CB9"/>
    <w:rsid w:val="00964312"/>
    <w:rsid w:val="009645FE"/>
    <w:rsid w:val="009648E9"/>
    <w:rsid w:val="00964A10"/>
    <w:rsid w:val="00964D6C"/>
    <w:rsid w:val="00964F45"/>
    <w:rsid w:val="009651DB"/>
    <w:rsid w:val="00965B8A"/>
    <w:rsid w:val="00965CAC"/>
    <w:rsid w:val="00965FA7"/>
    <w:rsid w:val="0097071F"/>
    <w:rsid w:val="009708FC"/>
    <w:rsid w:val="00970FEC"/>
    <w:rsid w:val="0097146A"/>
    <w:rsid w:val="009717AC"/>
    <w:rsid w:val="00971D36"/>
    <w:rsid w:val="00972883"/>
    <w:rsid w:val="009729A0"/>
    <w:rsid w:val="009730CC"/>
    <w:rsid w:val="00974664"/>
    <w:rsid w:val="009751C1"/>
    <w:rsid w:val="009759F1"/>
    <w:rsid w:val="0097683F"/>
    <w:rsid w:val="009770F6"/>
    <w:rsid w:val="00977EBA"/>
    <w:rsid w:val="00980001"/>
    <w:rsid w:val="009808B3"/>
    <w:rsid w:val="0098108F"/>
    <w:rsid w:val="009811F1"/>
    <w:rsid w:val="0098202B"/>
    <w:rsid w:val="009822C9"/>
    <w:rsid w:val="00983E57"/>
    <w:rsid w:val="009849AE"/>
    <w:rsid w:val="00984F4B"/>
    <w:rsid w:val="00985DE2"/>
    <w:rsid w:val="0098675D"/>
    <w:rsid w:val="0098679C"/>
    <w:rsid w:val="00987803"/>
    <w:rsid w:val="009926E0"/>
    <w:rsid w:val="00992D13"/>
    <w:rsid w:val="00993AAD"/>
    <w:rsid w:val="00993B0C"/>
    <w:rsid w:val="00993F59"/>
    <w:rsid w:val="0099451E"/>
    <w:rsid w:val="0099458E"/>
    <w:rsid w:val="00994602"/>
    <w:rsid w:val="00994DE2"/>
    <w:rsid w:val="009959A5"/>
    <w:rsid w:val="00996308"/>
    <w:rsid w:val="00996B1A"/>
    <w:rsid w:val="00997851"/>
    <w:rsid w:val="0099792D"/>
    <w:rsid w:val="009A0443"/>
    <w:rsid w:val="009A1D3A"/>
    <w:rsid w:val="009A2DCC"/>
    <w:rsid w:val="009A3F7F"/>
    <w:rsid w:val="009A5642"/>
    <w:rsid w:val="009A5ABC"/>
    <w:rsid w:val="009A647F"/>
    <w:rsid w:val="009A7076"/>
    <w:rsid w:val="009A7D91"/>
    <w:rsid w:val="009A7F10"/>
    <w:rsid w:val="009B0A80"/>
    <w:rsid w:val="009B0E9D"/>
    <w:rsid w:val="009B183B"/>
    <w:rsid w:val="009B1D62"/>
    <w:rsid w:val="009B1F78"/>
    <w:rsid w:val="009B3127"/>
    <w:rsid w:val="009B34AE"/>
    <w:rsid w:val="009B380F"/>
    <w:rsid w:val="009B3E26"/>
    <w:rsid w:val="009B3E7C"/>
    <w:rsid w:val="009B4898"/>
    <w:rsid w:val="009B573C"/>
    <w:rsid w:val="009B5B8F"/>
    <w:rsid w:val="009B5BB1"/>
    <w:rsid w:val="009B5FF2"/>
    <w:rsid w:val="009B60DB"/>
    <w:rsid w:val="009B7BB9"/>
    <w:rsid w:val="009C1421"/>
    <w:rsid w:val="009C1B57"/>
    <w:rsid w:val="009C3706"/>
    <w:rsid w:val="009C3A3A"/>
    <w:rsid w:val="009C3E51"/>
    <w:rsid w:val="009C43C2"/>
    <w:rsid w:val="009C493F"/>
    <w:rsid w:val="009C4D26"/>
    <w:rsid w:val="009C6CEA"/>
    <w:rsid w:val="009C7B85"/>
    <w:rsid w:val="009D0254"/>
    <w:rsid w:val="009D098F"/>
    <w:rsid w:val="009D0A19"/>
    <w:rsid w:val="009D16FB"/>
    <w:rsid w:val="009D1A64"/>
    <w:rsid w:val="009D2A04"/>
    <w:rsid w:val="009D4FA5"/>
    <w:rsid w:val="009D5B91"/>
    <w:rsid w:val="009D665D"/>
    <w:rsid w:val="009D6687"/>
    <w:rsid w:val="009D688F"/>
    <w:rsid w:val="009D792E"/>
    <w:rsid w:val="009E0068"/>
    <w:rsid w:val="009E0A46"/>
    <w:rsid w:val="009E0DFE"/>
    <w:rsid w:val="009E1905"/>
    <w:rsid w:val="009E2834"/>
    <w:rsid w:val="009E31F6"/>
    <w:rsid w:val="009E3BFA"/>
    <w:rsid w:val="009E48D7"/>
    <w:rsid w:val="009E4C07"/>
    <w:rsid w:val="009E587C"/>
    <w:rsid w:val="009E7868"/>
    <w:rsid w:val="009E7BB2"/>
    <w:rsid w:val="009F008C"/>
    <w:rsid w:val="009F078A"/>
    <w:rsid w:val="009F14F7"/>
    <w:rsid w:val="009F26AD"/>
    <w:rsid w:val="009F295D"/>
    <w:rsid w:val="009F4DC7"/>
    <w:rsid w:val="009F62F2"/>
    <w:rsid w:val="009F6820"/>
    <w:rsid w:val="00A00494"/>
    <w:rsid w:val="00A00B1A"/>
    <w:rsid w:val="00A01184"/>
    <w:rsid w:val="00A01704"/>
    <w:rsid w:val="00A01F84"/>
    <w:rsid w:val="00A037C2"/>
    <w:rsid w:val="00A03D43"/>
    <w:rsid w:val="00A03EDD"/>
    <w:rsid w:val="00A04380"/>
    <w:rsid w:val="00A04811"/>
    <w:rsid w:val="00A04A06"/>
    <w:rsid w:val="00A04F73"/>
    <w:rsid w:val="00A05472"/>
    <w:rsid w:val="00A058FB"/>
    <w:rsid w:val="00A05C32"/>
    <w:rsid w:val="00A0653F"/>
    <w:rsid w:val="00A06649"/>
    <w:rsid w:val="00A07103"/>
    <w:rsid w:val="00A07229"/>
    <w:rsid w:val="00A07268"/>
    <w:rsid w:val="00A07A69"/>
    <w:rsid w:val="00A07D3C"/>
    <w:rsid w:val="00A07E76"/>
    <w:rsid w:val="00A11BBD"/>
    <w:rsid w:val="00A11CD0"/>
    <w:rsid w:val="00A13948"/>
    <w:rsid w:val="00A13CD1"/>
    <w:rsid w:val="00A1496C"/>
    <w:rsid w:val="00A1555B"/>
    <w:rsid w:val="00A155C5"/>
    <w:rsid w:val="00A16AD8"/>
    <w:rsid w:val="00A16D3C"/>
    <w:rsid w:val="00A1702A"/>
    <w:rsid w:val="00A173F5"/>
    <w:rsid w:val="00A1783F"/>
    <w:rsid w:val="00A20B81"/>
    <w:rsid w:val="00A21468"/>
    <w:rsid w:val="00A21C95"/>
    <w:rsid w:val="00A21CF3"/>
    <w:rsid w:val="00A21DDF"/>
    <w:rsid w:val="00A21EA7"/>
    <w:rsid w:val="00A22BE4"/>
    <w:rsid w:val="00A22C3F"/>
    <w:rsid w:val="00A23A77"/>
    <w:rsid w:val="00A23FBB"/>
    <w:rsid w:val="00A24813"/>
    <w:rsid w:val="00A249C3"/>
    <w:rsid w:val="00A2581E"/>
    <w:rsid w:val="00A27AEC"/>
    <w:rsid w:val="00A320DB"/>
    <w:rsid w:val="00A323C2"/>
    <w:rsid w:val="00A325CD"/>
    <w:rsid w:val="00A32613"/>
    <w:rsid w:val="00A32D1E"/>
    <w:rsid w:val="00A3393A"/>
    <w:rsid w:val="00A35D16"/>
    <w:rsid w:val="00A36764"/>
    <w:rsid w:val="00A374B2"/>
    <w:rsid w:val="00A37680"/>
    <w:rsid w:val="00A37BCD"/>
    <w:rsid w:val="00A40C9B"/>
    <w:rsid w:val="00A41689"/>
    <w:rsid w:val="00A42592"/>
    <w:rsid w:val="00A43BF8"/>
    <w:rsid w:val="00A43C59"/>
    <w:rsid w:val="00A4407D"/>
    <w:rsid w:val="00A46013"/>
    <w:rsid w:val="00A46CBB"/>
    <w:rsid w:val="00A46FE5"/>
    <w:rsid w:val="00A47496"/>
    <w:rsid w:val="00A50ECD"/>
    <w:rsid w:val="00A514C8"/>
    <w:rsid w:val="00A518D5"/>
    <w:rsid w:val="00A518F3"/>
    <w:rsid w:val="00A526E0"/>
    <w:rsid w:val="00A52729"/>
    <w:rsid w:val="00A533D6"/>
    <w:rsid w:val="00A53675"/>
    <w:rsid w:val="00A542D6"/>
    <w:rsid w:val="00A54CCB"/>
    <w:rsid w:val="00A5623A"/>
    <w:rsid w:val="00A564D7"/>
    <w:rsid w:val="00A56B6A"/>
    <w:rsid w:val="00A577E4"/>
    <w:rsid w:val="00A578DC"/>
    <w:rsid w:val="00A60F0D"/>
    <w:rsid w:val="00A63023"/>
    <w:rsid w:val="00A63824"/>
    <w:rsid w:val="00A640E2"/>
    <w:rsid w:val="00A64B3F"/>
    <w:rsid w:val="00A64D65"/>
    <w:rsid w:val="00A65818"/>
    <w:rsid w:val="00A65BEA"/>
    <w:rsid w:val="00A65F9F"/>
    <w:rsid w:val="00A6600C"/>
    <w:rsid w:val="00A66A61"/>
    <w:rsid w:val="00A6725B"/>
    <w:rsid w:val="00A67AA3"/>
    <w:rsid w:val="00A70194"/>
    <w:rsid w:val="00A703EC"/>
    <w:rsid w:val="00A70605"/>
    <w:rsid w:val="00A70B7A"/>
    <w:rsid w:val="00A73134"/>
    <w:rsid w:val="00A738EF"/>
    <w:rsid w:val="00A748C3"/>
    <w:rsid w:val="00A749D4"/>
    <w:rsid w:val="00A75F7D"/>
    <w:rsid w:val="00A76001"/>
    <w:rsid w:val="00A76109"/>
    <w:rsid w:val="00A763A3"/>
    <w:rsid w:val="00A76737"/>
    <w:rsid w:val="00A777B2"/>
    <w:rsid w:val="00A80333"/>
    <w:rsid w:val="00A808CB"/>
    <w:rsid w:val="00A80E01"/>
    <w:rsid w:val="00A80E28"/>
    <w:rsid w:val="00A81233"/>
    <w:rsid w:val="00A82521"/>
    <w:rsid w:val="00A825D4"/>
    <w:rsid w:val="00A828F6"/>
    <w:rsid w:val="00A82B73"/>
    <w:rsid w:val="00A83F25"/>
    <w:rsid w:val="00A844F7"/>
    <w:rsid w:val="00A85784"/>
    <w:rsid w:val="00A85AD6"/>
    <w:rsid w:val="00A86E8B"/>
    <w:rsid w:val="00A87164"/>
    <w:rsid w:val="00A874BC"/>
    <w:rsid w:val="00A9133E"/>
    <w:rsid w:val="00A924EE"/>
    <w:rsid w:val="00A93072"/>
    <w:rsid w:val="00A938BD"/>
    <w:rsid w:val="00A93953"/>
    <w:rsid w:val="00A94169"/>
    <w:rsid w:val="00A958E8"/>
    <w:rsid w:val="00A959D8"/>
    <w:rsid w:val="00A95C65"/>
    <w:rsid w:val="00A96926"/>
    <w:rsid w:val="00A96AF9"/>
    <w:rsid w:val="00A96E19"/>
    <w:rsid w:val="00AA0DC3"/>
    <w:rsid w:val="00AA113D"/>
    <w:rsid w:val="00AA141B"/>
    <w:rsid w:val="00AA156A"/>
    <w:rsid w:val="00AA19B5"/>
    <w:rsid w:val="00AA1F9D"/>
    <w:rsid w:val="00AA20D4"/>
    <w:rsid w:val="00AA2525"/>
    <w:rsid w:val="00AA29FD"/>
    <w:rsid w:val="00AA2C9F"/>
    <w:rsid w:val="00AA38B6"/>
    <w:rsid w:val="00AA3D02"/>
    <w:rsid w:val="00AA6359"/>
    <w:rsid w:val="00AA6BD5"/>
    <w:rsid w:val="00AA6BD8"/>
    <w:rsid w:val="00AA6C7D"/>
    <w:rsid w:val="00AA752A"/>
    <w:rsid w:val="00AA7FD6"/>
    <w:rsid w:val="00AB042A"/>
    <w:rsid w:val="00AB138D"/>
    <w:rsid w:val="00AB19EF"/>
    <w:rsid w:val="00AB29ED"/>
    <w:rsid w:val="00AB2D34"/>
    <w:rsid w:val="00AB3430"/>
    <w:rsid w:val="00AB37B9"/>
    <w:rsid w:val="00AB3895"/>
    <w:rsid w:val="00AB3B92"/>
    <w:rsid w:val="00AB46F1"/>
    <w:rsid w:val="00AB4AD1"/>
    <w:rsid w:val="00AB560B"/>
    <w:rsid w:val="00AB58A3"/>
    <w:rsid w:val="00AB5E07"/>
    <w:rsid w:val="00AB5FBD"/>
    <w:rsid w:val="00AB7CFA"/>
    <w:rsid w:val="00AC0900"/>
    <w:rsid w:val="00AC1752"/>
    <w:rsid w:val="00AC3505"/>
    <w:rsid w:val="00AC3AC9"/>
    <w:rsid w:val="00AC3BB4"/>
    <w:rsid w:val="00AC3C6A"/>
    <w:rsid w:val="00AC4CA0"/>
    <w:rsid w:val="00AC5A95"/>
    <w:rsid w:val="00AC5B48"/>
    <w:rsid w:val="00AC6861"/>
    <w:rsid w:val="00AC7132"/>
    <w:rsid w:val="00AC780E"/>
    <w:rsid w:val="00AC7C0A"/>
    <w:rsid w:val="00AD11F2"/>
    <w:rsid w:val="00AD141B"/>
    <w:rsid w:val="00AD1450"/>
    <w:rsid w:val="00AD3717"/>
    <w:rsid w:val="00AD384B"/>
    <w:rsid w:val="00AD38AF"/>
    <w:rsid w:val="00AD53EA"/>
    <w:rsid w:val="00AD5781"/>
    <w:rsid w:val="00AD6502"/>
    <w:rsid w:val="00AD6E38"/>
    <w:rsid w:val="00AD7617"/>
    <w:rsid w:val="00AE0695"/>
    <w:rsid w:val="00AE0F19"/>
    <w:rsid w:val="00AE11AF"/>
    <w:rsid w:val="00AE2F22"/>
    <w:rsid w:val="00AE3D12"/>
    <w:rsid w:val="00AE3E7E"/>
    <w:rsid w:val="00AE4704"/>
    <w:rsid w:val="00AE7155"/>
    <w:rsid w:val="00AE7267"/>
    <w:rsid w:val="00AE78DC"/>
    <w:rsid w:val="00AF09A6"/>
    <w:rsid w:val="00AF1315"/>
    <w:rsid w:val="00AF14B6"/>
    <w:rsid w:val="00AF19BF"/>
    <w:rsid w:val="00AF2DC3"/>
    <w:rsid w:val="00AF3C71"/>
    <w:rsid w:val="00AF416F"/>
    <w:rsid w:val="00AF4464"/>
    <w:rsid w:val="00AF47AB"/>
    <w:rsid w:val="00AF5BFA"/>
    <w:rsid w:val="00AF5F1A"/>
    <w:rsid w:val="00AF5FB7"/>
    <w:rsid w:val="00AF61D0"/>
    <w:rsid w:val="00AF68A8"/>
    <w:rsid w:val="00AF7552"/>
    <w:rsid w:val="00B00341"/>
    <w:rsid w:val="00B003F0"/>
    <w:rsid w:val="00B009E8"/>
    <w:rsid w:val="00B017C6"/>
    <w:rsid w:val="00B0182B"/>
    <w:rsid w:val="00B0186E"/>
    <w:rsid w:val="00B02C2E"/>
    <w:rsid w:val="00B030D1"/>
    <w:rsid w:val="00B033E5"/>
    <w:rsid w:val="00B033F5"/>
    <w:rsid w:val="00B03A63"/>
    <w:rsid w:val="00B04026"/>
    <w:rsid w:val="00B043D8"/>
    <w:rsid w:val="00B07509"/>
    <w:rsid w:val="00B1022E"/>
    <w:rsid w:val="00B11209"/>
    <w:rsid w:val="00B11D12"/>
    <w:rsid w:val="00B146B0"/>
    <w:rsid w:val="00B153A1"/>
    <w:rsid w:val="00B15BAA"/>
    <w:rsid w:val="00B1637C"/>
    <w:rsid w:val="00B16F11"/>
    <w:rsid w:val="00B201A4"/>
    <w:rsid w:val="00B201D1"/>
    <w:rsid w:val="00B213A6"/>
    <w:rsid w:val="00B22F97"/>
    <w:rsid w:val="00B232B6"/>
    <w:rsid w:val="00B235B0"/>
    <w:rsid w:val="00B23D1C"/>
    <w:rsid w:val="00B23FE4"/>
    <w:rsid w:val="00B2402B"/>
    <w:rsid w:val="00B240BE"/>
    <w:rsid w:val="00B245CE"/>
    <w:rsid w:val="00B24A9F"/>
    <w:rsid w:val="00B24DF6"/>
    <w:rsid w:val="00B25703"/>
    <w:rsid w:val="00B259C9"/>
    <w:rsid w:val="00B25A67"/>
    <w:rsid w:val="00B25ACC"/>
    <w:rsid w:val="00B268CB"/>
    <w:rsid w:val="00B301C5"/>
    <w:rsid w:val="00B30495"/>
    <w:rsid w:val="00B30ECA"/>
    <w:rsid w:val="00B317DA"/>
    <w:rsid w:val="00B338A8"/>
    <w:rsid w:val="00B34566"/>
    <w:rsid w:val="00B34FE2"/>
    <w:rsid w:val="00B35166"/>
    <w:rsid w:val="00B357D8"/>
    <w:rsid w:val="00B360F4"/>
    <w:rsid w:val="00B362C0"/>
    <w:rsid w:val="00B36A00"/>
    <w:rsid w:val="00B370ED"/>
    <w:rsid w:val="00B37BFC"/>
    <w:rsid w:val="00B40358"/>
    <w:rsid w:val="00B41614"/>
    <w:rsid w:val="00B426A8"/>
    <w:rsid w:val="00B42757"/>
    <w:rsid w:val="00B42851"/>
    <w:rsid w:val="00B42CC5"/>
    <w:rsid w:val="00B42F80"/>
    <w:rsid w:val="00B435CB"/>
    <w:rsid w:val="00B43B73"/>
    <w:rsid w:val="00B43EFD"/>
    <w:rsid w:val="00B4402B"/>
    <w:rsid w:val="00B4469E"/>
    <w:rsid w:val="00B45C6C"/>
    <w:rsid w:val="00B45DA0"/>
    <w:rsid w:val="00B462E7"/>
    <w:rsid w:val="00B46CBC"/>
    <w:rsid w:val="00B505C8"/>
    <w:rsid w:val="00B505DE"/>
    <w:rsid w:val="00B50744"/>
    <w:rsid w:val="00B50DB8"/>
    <w:rsid w:val="00B510C6"/>
    <w:rsid w:val="00B517FB"/>
    <w:rsid w:val="00B52490"/>
    <w:rsid w:val="00B52955"/>
    <w:rsid w:val="00B53654"/>
    <w:rsid w:val="00B53905"/>
    <w:rsid w:val="00B53E3D"/>
    <w:rsid w:val="00B54713"/>
    <w:rsid w:val="00B54B5B"/>
    <w:rsid w:val="00B54EE6"/>
    <w:rsid w:val="00B5562E"/>
    <w:rsid w:val="00B55D65"/>
    <w:rsid w:val="00B57000"/>
    <w:rsid w:val="00B60939"/>
    <w:rsid w:val="00B60AFD"/>
    <w:rsid w:val="00B6140B"/>
    <w:rsid w:val="00B61A3C"/>
    <w:rsid w:val="00B61D6F"/>
    <w:rsid w:val="00B61FAD"/>
    <w:rsid w:val="00B61FD5"/>
    <w:rsid w:val="00B62457"/>
    <w:rsid w:val="00B62715"/>
    <w:rsid w:val="00B633C5"/>
    <w:rsid w:val="00B63D2C"/>
    <w:rsid w:val="00B6469C"/>
    <w:rsid w:val="00B65611"/>
    <w:rsid w:val="00B676EB"/>
    <w:rsid w:val="00B67708"/>
    <w:rsid w:val="00B7099D"/>
    <w:rsid w:val="00B70E8E"/>
    <w:rsid w:val="00B71FB2"/>
    <w:rsid w:val="00B727AF"/>
    <w:rsid w:val="00B72C5C"/>
    <w:rsid w:val="00B73CAD"/>
    <w:rsid w:val="00B74663"/>
    <w:rsid w:val="00B74C64"/>
    <w:rsid w:val="00B75C76"/>
    <w:rsid w:val="00B763C7"/>
    <w:rsid w:val="00B76516"/>
    <w:rsid w:val="00B76803"/>
    <w:rsid w:val="00B76C65"/>
    <w:rsid w:val="00B76C92"/>
    <w:rsid w:val="00B76D50"/>
    <w:rsid w:val="00B76E0A"/>
    <w:rsid w:val="00B76F4C"/>
    <w:rsid w:val="00B7702E"/>
    <w:rsid w:val="00B77560"/>
    <w:rsid w:val="00B809A5"/>
    <w:rsid w:val="00B818A4"/>
    <w:rsid w:val="00B823AB"/>
    <w:rsid w:val="00B8267E"/>
    <w:rsid w:val="00B84117"/>
    <w:rsid w:val="00B84879"/>
    <w:rsid w:val="00B858F0"/>
    <w:rsid w:val="00B85AA2"/>
    <w:rsid w:val="00B85CAA"/>
    <w:rsid w:val="00B85DE2"/>
    <w:rsid w:val="00B862F8"/>
    <w:rsid w:val="00B86339"/>
    <w:rsid w:val="00B8649C"/>
    <w:rsid w:val="00B8695D"/>
    <w:rsid w:val="00B87B97"/>
    <w:rsid w:val="00B87F0A"/>
    <w:rsid w:val="00B9092B"/>
    <w:rsid w:val="00B9100E"/>
    <w:rsid w:val="00B91586"/>
    <w:rsid w:val="00B921D6"/>
    <w:rsid w:val="00B92D0B"/>
    <w:rsid w:val="00B92D13"/>
    <w:rsid w:val="00B93146"/>
    <w:rsid w:val="00B9320C"/>
    <w:rsid w:val="00B93CE9"/>
    <w:rsid w:val="00B94945"/>
    <w:rsid w:val="00B94B95"/>
    <w:rsid w:val="00B94DD6"/>
    <w:rsid w:val="00B95842"/>
    <w:rsid w:val="00B9620A"/>
    <w:rsid w:val="00B96BA3"/>
    <w:rsid w:val="00B97B68"/>
    <w:rsid w:val="00BA1077"/>
    <w:rsid w:val="00BA1489"/>
    <w:rsid w:val="00BA22DB"/>
    <w:rsid w:val="00BA322D"/>
    <w:rsid w:val="00BA37DE"/>
    <w:rsid w:val="00BA519A"/>
    <w:rsid w:val="00BA534A"/>
    <w:rsid w:val="00BA6036"/>
    <w:rsid w:val="00BA638E"/>
    <w:rsid w:val="00BA63FA"/>
    <w:rsid w:val="00BA6B2A"/>
    <w:rsid w:val="00BA7237"/>
    <w:rsid w:val="00BA7A48"/>
    <w:rsid w:val="00BB00B3"/>
    <w:rsid w:val="00BB0BDD"/>
    <w:rsid w:val="00BB0E0C"/>
    <w:rsid w:val="00BB176C"/>
    <w:rsid w:val="00BB192C"/>
    <w:rsid w:val="00BB1C50"/>
    <w:rsid w:val="00BB2A73"/>
    <w:rsid w:val="00BB2FB6"/>
    <w:rsid w:val="00BB3A45"/>
    <w:rsid w:val="00BB4ACC"/>
    <w:rsid w:val="00BB51F5"/>
    <w:rsid w:val="00BB5912"/>
    <w:rsid w:val="00BB6761"/>
    <w:rsid w:val="00BB703E"/>
    <w:rsid w:val="00BB732D"/>
    <w:rsid w:val="00BB7405"/>
    <w:rsid w:val="00BC1F97"/>
    <w:rsid w:val="00BC3631"/>
    <w:rsid w:val="00BC420B"/>
    <w:rsid w:val="00BC4730"/>
    <w:rsid w:val="00BC4C67"/>
    <w:rsid w:val="00BC591F"/>
    <w:rsid w:val="00BC609A"/>
    <w:rsid w:val="00BC74B7"/>
    <w:rsid w:val="00BC7D6D"/>
    <w:rsid w:val="00BD00BD"/>
    <w:rsid w:val="00BD016B"/>
    <w:rsid w:val="00BD2108"/>
    <w:rsid w:val="00BD2FF8"/>
    <w:rsid w:val="00BD3F9D"/>
    <w:rsid w:val="00BD68A3"/>
    <w:rsid w:val="00BD6938"/>
    <w:rsid w:val="00BD6CF3"/>
    <w:rsid w:val="00BD6D92"/>
    <w:rsid w:val="00BD79CF"/>
    <w:rsid w:val="00BE0E7A"/>
    <w:rsid w:val="00BE0ECA"/>
    <w:rsid w:val="00BE1E05"/>
    <w:rsid w:val="00BE2180"/>
    <w:rsid w:val="00BE21F2"/>
    <w:rsid w:val="00BE21FD"/>
    <w:rsid w:val="00BE2F5C"/>
    <w:rsid w:val="00BE3FA5"/>
    <w:rsid w:val="00BE4275"/>
    <w:rsid w:val="00BE49C2"/>
    <w:rsid w:val="00BE51A6"/>
    <w:rsid w:val="00BE521E"/>
    <w:rsid w:val="00BE53E6"/>
    <w:rsid w:val="00BE6D16"/>
    <w:rsid w:val="00BE7DD1"/>
    <w:rsid w:val="00BF0020"/>
    <w:rsid w:val="00BF06AE"/>
    <w:rsid w:val="00BF0905"/>
    <w:rsid w:val="00BF0965"/>
    <w:rsid w:val="00BF0AA2"/>
    <w:rsid w:val="00BF0EA7"/>
    <w:rsid w:val="00BF0F95"/>
    <w:rsid w:val="00BF105B"/>
    <w:rsid w:val="00BF1097"/>
    <w:rsid w:val="00BF2433"/>
    <w:rsid w:val="00BF329D"/>
    <w:rsid w:val="00BF3744"/>
    <w:rsid w:val="00BF4771"/>
    <w:rsid w:val="00BF526E"/>
    <w:rsid w:val="00BF61C9"/>
    <w:rsid w:val="00BF6B9C"/>
    <w:rsid w:val="00BF6C94"/>
    <w:rsid w:val="00BF71B6"/>
    <w:rsid w:val="00C00403"/>
    <w:rsid w:val="00C00424"/>
    <w:rsid w:val="00C00ADB"/>
    <w:rsid w:val="00C00B4A"/>
    <w:rsid w:val="00C00BE9"/>
    <w:rsid w:val="00C00DE9"/>
    <w:rsid w:val="00C01E40"/>
    <w:rsid w:val="00C02FB8"/>
    <w:rsid w:val="00C07ED1"/>
    <w:rsid w:val="00C10BED"/>
    <w:rsid w:val="00C1179F"/>
    <w:rsid w:val="00C11B5B"/>
    <w:rsid w:val="00C122A7"/>
    <w:rsid w:val="00C12C14"/>
    <w:rsid w:val="00C12F3D"/>
    <w:rsid w:val="00C13105"/>
    <w:rsid w:val="00C13A9D"/>
    <w:rsid w:val="00C145E5"/>
    <w:rsid w:val="00C147E4"/>
    <w:rsid w:val="00C15F04"/>
    <w:rsid w:val="00C15F89"/>
    <w:rsid w:val="00C17766"/>
    <w:rsid w:val="00C179B3"/>
    <w:rsid w:val="00C17E3F"/>
    <w:rsid w:val="00C200AA"/>
    <w:rsid w:val="00C20812"/>
    <w:rsid w:val="00C2090C"/>
    <w:rsid w:val="00C20C5D"/>
    <w:rsid w:val="00C214C6"/>
    <w:rsid w:val="00C21711"/>
    <w:rsid w:val="00C21C33"/>
    <w:rsid w:val="00C226E2"/>
    <w:rsid w:val="00C22831"/>
    <w:rsid w:val="00C23143"/>
    <w:rsid w:val="00C2324F"/>
    <w:rsid w:val="00C237ED"/>
    <w:rsid w:val="00C24632"/>
    <w:rsid w:val="00C249D3"/>
    <w:rsid w:val="00C24F82"/>
    <w:rsid w:val="00C25418"/>
    <w:rsid w:val="00C25D9C"/>
    <w:rsid w:val="00C2778B"/>
    <w:rsid w:val="00C306E8"/>
    <w:rsid w:val="00C3087B"/>
    <w:rsid w:val="00C310AB"/>
    <w:rsid w:val="00C311A1"/>
    <w:rsid w:val="00C31649"/>
    <w:rsid w:val="00C341BB"/>
    <w:rsid w:val="00C3434C"/>
    <w:rsid w:val="00C34459"/>
    <w:rsid w:val="00C348F3"/>
    <w:rsid w:val="00C34E7A"/>
    <w:rsid w:val="00C35195"/>
    <w:rsid w:val="00C3560C"/>
    <w:rsid w:val="00C35C5B"/>
    <w:rsid w:val="00C37558"/>
    <w:rsid w:val="00C37E82"/>
    <w:rsid w:val="00C40385"/>
    <w:rsid w:val="00C404E0"/>
    <w:rsid w:val="00C40DD1"/>
    <w:rsid w:val="00C412B2"/>
    <w:rsid w:val="00C41768"/>
    <w:rsid w:val="00C420D9"/>
    <w:rsid w:val="00C4212E"/>
    <w:rsid w:val="00C42444"/>
    <w:rsid w:val="00C43CD5"/>
    <w:rsid w:val="00C4476D"/>
    <w:rsid w:val="00C44F74"/>
    <w:rsid w:val="00C45815"/>
    <w:rsid w:val="00C46507"/>
    <w:rsid w:val="00C46FBC"/>
    <w:rsid w:val="00C47101"/>
    <w:rsid w:val="00C475AA"/>
    <w:rsid w:val="00C4787B"/>
    <w:rsid w:val="00C51AB8"/>
    <w:rsid w:val="00C51C48"/>
    <w:rsid w:val="00C52562"/>
    <w:rsid w:val="00C5259E"/>
    <w:rsid w:val="00C52C34"/>
    <w:rsid w:val="00C53815"/>
    <w:rsid w:val="00C53C98"/>
    <w:rsid w:val="00C53CC9"/>
    <w:rsid w:val="00C545A7"/>
    <w:rsid w:val="00C54745"/>
    <w:rsid w:val="00C555E0"/>
    <w:rsid w:val="00C55BFC"/>
    <w:rsid w:val="00C55D3C"/>
    <w:rsid w:val="00C56748"/>
    <w:rsid w:val="00C56FCF"/>
    <w:rsid w:val="00C579A4"/>
    <w:rsid w:val="00C57B6C"/>
    <w:rsid w:val="00C606AA"/>
    <w:rsid w:val="00C613CF"/>
    <w:rsid w:val="00C61AFC"/>
    <w:rsid w:val="00C626EF"/>
    <w:rsid w:val="00C62779"/>
    <w:rsid w:val="00C628A6"/>
    <w:rsid w:val="00C6294B"/>
    <w:rsid w:val="00C633EF"/>
    <w:rsid w:val="00C634F3"/>
    <w:rsid w:val="00C64344"/>
    <w:rsid w:val="00C650C5"/>
    <w:rsid w:val="00C65108"/>
    <w:rsid w:val="00C65576"/>
    <w:rsid w:val="00C655C8"/>
    <w:rsid w:val="00C658CD"/>
    <w:rsid w:val="00C66165"/>
    <w:rsid w:val="00C66190"/>
    <w:rsid w:val="00C66C5C"/>
    <w:rsid w:val="00C67602"/>
    <w:rsid w:val="00C7060A"/>
    <w:rsid w:val="00C70A52"/>
    <w:rsid w:val="00C7151A"/>
    <w:rsid w:val="00C717E3"/>
    <w:rsid w:val="00C71F60"/>
    <w:rsid w:val="00C71FCC"/>
    <w:rsid w:val="00C72241"/>
    <w:rsid w:val="00C72508"/>
    <w:rsid w:val="00C74E0B"/>
    <w:rsid w:val="00C74FC8"/>
    <w:rsid w:val="00C750C8"/>
    <w:rsid w:val="00C752CD"/>
    <w:rsid w:val="00C754F1"/>
    <w:rsid w:val="00C7560F"/>
    <w:rsid w:val="00C7677C"/>
    <w:rsid w:val="00C804A1"/>
    <w:rsid w:val="00C80A0E"/>
    <w:rsid w:val="00C81442"/>
    <w:rsid w:val="00C81B7D"/>
    <w:rsid w:val="00C81E9F"/>
    <w:rsid w:val="00C8213F"/>
    <w:rsid w:val="00C825B4"/>
    <w:rsid w:val="00C844DF"/>
    <w:rsid w:val="00C84828"/>
    <w:rsid w:val="00C84E20"/>
    <w:rsid w:val="00C85154"/>
    <w:rsid w:val="00C85DDC"/>
    <w:rsid w:val="00C86592"/>
    <w:rsid w:val="00C8797A"/>
    <w:rsid w:val="00C900B8"/>
    <w:rsid w:val="00C90C71"/>
    <w:rsid w:val="00C90EBE"/>
    <w:rsid w:val="00C9151F"/>
    <w:rsid w:val="00C91AD8"/>
    <w:rsid w:val="00C91FD1"/>
    <w:rsid w:val="00C931CF"/>
    <w:rsid w:val="00C9335A"/>
    <w:rsid w:val="00C938CF"/>
    <w:rsid w:val="00C94053"/>
    <w:rsid w:val="00C9624D"/>
    <w:rsid w:val="00C96430"/>
    <w:rsid w:val="00C969DA"/>
    <w:rsid w:val="00C96B4B"/>
    <w:rsid w:val="00C971C4"/>
    <w:rsid w:val="00CA0914"/>
    <w:rsid w:val="00CA144A"/>
    <w:rsid w:val="00CA14A0"/>
    <w:rsid w:val="00CA1F16"/>
    <w:rsid w:val="00CA2C77"/>
    <w:rsid w:val="00CA2EA6"/>
    <w:rsid w:val="00CA3684"/>
    <w:rsid w:val="00CA37F7"/>
    <w:rsid w:val="00CA444F"/>
    <w:rsid w:val="00CA5245"/>
    <w:rsid w:val="00CA5C28"/>
    <w:rsid w:val="00CA6291"/>
    <w:rsid w:val="00CA688A"/>
    <w:rsid w:val="00CA6A8C"/>
    <w:rsid w:val="00CA6B77"/>
    <w:rsid w:val="00CA71F4"/>
    <w:rsid w:val="00CA7B09"/>
    <w:rsid w:val="00CB12A5"/>
    <w:rsid w:val="00CB1CAC"/>
    <w:rsid w:val="00CB2F2A"/>
    <w:rsid w:val="00CB5745"/>
    <w:rsid w:val="00CB5B1A"/>
    <w:rsid w:val="00CB6916"/>
    <w:rsid w:val="00CB69CB"/>
    <w:rsid w:val="00CB6AC9"/>
    <w:rsid w:val="00CB6B22"/>
    <w:rsid w:val="00CB7F5F"/>
    <w:rsid w:val="00CC0191"/>
    <w:rsid w:val="00CC11E8"/>
    <w:rsid w:val="00CC1B39"/>
    <w:rsid w:val="00CC1D2B"/>
    <w:rsid w:val="00CC2539"/>
    <w:rsid w:val="00CC35EA"/>
    <w:rsid w:val="00CC3848"/>
    <w:rsid w:val="00CC412B"/>
    <w:rsid w:val="00CC42F1"/>
    <w:rsid w:val="00CC5EFF"/>
    <w:rsid w:val="00CC6444"/>
    <w:rsid w:val="00CC6801"/>
    <w:rsid w:val="00CC70AD"/>
    <w:rsid w:val="00CC71FD"/>
    <w:rsid w:val="00CC72F0"/>
    <w:rsid w:val="00CC7ADE"/>
    <w:rsid w:val="00CD02E6"/>
    <w:rsid w:val="00CD0805"/>
    <w:rsid w:val="00CD2AF3"/>
    <w:rsid w:val="00CD367B"/>
    <w:rsid w:val="00CD3F77"/>
    <w:rsid w:val="00CD5F3C"/>
    <w:rsid w:val="00CD66C9"/>
    <w:rsid w:val="00CD6A72"/>
    <w:rsid w:val="00CD6ADC"/>
    <w:rsid w:val="00CD7193"/>
    <w:rsid w:val="00CD7286"/>
    <w:rsid w:val="00CE1933"/>
    <w:rsid w:val="00CE2575"/>
    <w:rsid w:val="00CE38C8"/>
    <w:rsid w:val="00CE3BD6"/>
    <w:rsid w:val="00CE3C35"/>
    <w:rsid w:val="00CE43F8"/>
    <w:rsid w:val="00CE5D10"/>
    <w:rsid w:val="00CE6274"/>
    <w:rsid w:val="00CE6464"/>
    <w:rsid w:val="00CE77B6"/>
    <w:rsid w:val="00CF18CF"/>
    <w:rsid w:val="00CF1EDD"/>
    <w:rsid w:val="00CF22B6"/>
    <w:rsid w:val="00CF26E6"/>
    <w:rsid w:val="00CF2B8D"/>
    <w:rsid w:val="00CF2CB1"/>
    <w:rsid w:val="00CF44EA"/>
    <w:rsid w:val="00CF456B"/>
    <w:rsid w:val="00CF470C"/>
    <w:rsid w:val="00CF4D9A"/>
    <w:rsid w:val="00CF5A22"/>
    <w:rsid w:val="00CF60C3"/>
    <w:rsid w:val="00CF680A"/>
    <w:rsid w:val="00CF6CDB"/>
    <w:rsid w:val="00CF757B"/>
    <w:rsid w:val="00D00155"/>
    <w:rsid w:val="00D003AB"/>
    <w:rsid w:val="00D003EF"/>
    <w:rsid w:val="00D018B3"/>
    <w:rsid w:val="00D01F61"/>
    <w:rsid w:val="00D0241F"/>
    <w:rsid w:val="00D0262E"/>
    <w:rsid w:val="00D034F6"/>
    <w:rsid w:val="00D03762"/>
    <w:rsid w:val="00D03D23"/>
    <w:rsid w:val="00D044B1"/>
    <w:rsid w:val="00D053BE"/>
    <w:rsid w:val="00D054DA"/>
    <w:rsid w:val="00D05524"/>
    <w:rsid w:val="00D05CA9"/>
    <w:rsid w:val="00D05E3D"/>
    <w:rsid w:val="00D06139"/>
    <w:rsid w:val="00D061B8"/>
    <w:rsid w:val="00D110BD"/>
    <w:rsid w:val="00D128E4"/>
    <w:rsid w:val="00D131D7"/>
    <w:rsid w:val="00D13675"/>
    <w:rsid w:val="00D141E1"/>
    <w:rsid w:val="00D15082"/>
    <w:rsid w:val="00D150B7"/>
    <w:rsid w:val="00D15314"/>
    <w:rsid w:val="00D1632B"/>
    <w:rsid w:val="00D17324"/>
    <w:rsid w:val="00D176ED"/>
    <w:rsid w:val="00D17B63"/>
    <w:rsid w:val="00D17D6C"/>
    <w:rsid w:val="00D2155B"/>
    <w:rsid w:val="00D216D3"/>
    <w:rsid w:val="00D21778"/>
    <w:rsid w:val="00D21ECE"/>
    <w:rsid w:val="00D22A5E"/>
    <w:rsid w:val="00D237EA"/>
    <w:rsid w:val="00D23D11"/>
    <w:rsid w:val="00D2421E"/>
    <w:rsid w:val="00D244B6"/>
    <w:rsid w:val="00D25724"/>
    <w:rsid w:val="00D261C4"/>
    <w:rsid w:val="00D2754D"/>
    <w:rsid w:val="00D275F7"/>
    <w:rsid w:val="00D27B27"/>
    <w:rsid w:val="00D27DAD"/>
    <w:rsid w:val="00D3023D"/>
    <w:rsid w:val="00D311D0"/>
    <w:rsid w:val="00D33667"/>
    <w:rsid w:val="00D33BE9"/>
    <w:rsid w:val="00D33F93"/>
    <w:rsid w:val="00D3401E"/>
    <w:rsid w:val="00D3485A"/>
    <w:rsid w:val="00D34BC8"/>
    <w:rsid w:val="00D34F62"/>
    <w:rsid w:val="00D357FF"/>
    <w:rsid w:val="00D35D92"/>
    <w:rsid w:val="00D3614B"/>
    <w:rsid w:val="00D40B51"/>
    <w:rsid w:val="00D424C7"/>
    <w:rsid w:val="00D432C1"/>
    <w:rsid w:val="00D43B2A"/>
    <w:rsid w:val="00D43D83"/>
    <w:rsid w:val="00D44680"/>
    <w:rsid w:val="00D4691B"/>
    <w:rsid w:val="00D46EAB"/>
    <w:rsid w:val="00D47575"/>
    <w:rsid w:val="00D47DD7"/>
    <w:rsid w:val="00D5086C"/>
    <w:rsid w:val="00D51375"/>
    <w:rsid w:val="00D5186F"/>
    <w:rsid w:val="00D5243B"/>
    <w:rsid w:val="00D52673"/>
    <w:rsid w:val="00D533EC"/>
    <w:rsid w:val="00D538C8"/>
    <w:rsid w:val="00D55738"/>
    <w:rsid w:val="00D56A95"/>
    <w:rsid w:val="00D6037A"/>
    <w:rsid w:val="00D61F7C"/>
    <w:rsid w:val="00D6214B"/>
    <w:rsid w:val="00D62A6D"/>
    <w:rsid w:val="00D62DD6"/>
    <w:rsid w:val="00D64448"/>
    <w:rsid w:val="00D646C0"/>
    <w:rsid w:val="00D64950"/>
    <w:rsid w:val="00D65EA7"/>
    <w:rsid w:val="00D65F93"/>
    <w:rsid w:val="00D662A0"/>
    <w:rsid w:val="00D669C1"/>
    <w:rsid w:val="00D66A24"/>
    <w:rsid w:val="00D66D38"/>
    <w:rsid w:val="00D70231"/>
    <w:rsid w:val="00D70A1A"/>
    <w:rsid w:val="00D70F16"/>
    <w:rsid w:val="00D71252"/>
    <w:rsid w:val="00D71522"/>
    <w:rsid w:val="00D7290F"/>
    <w:rsid w:val="00D72BAB"/>
    <w:rsid w:val="00D72F57"/>
    <w:rsid w:val="00D73E8C"/>
    <w:rsid w:val="00D74C84"/>
    <w:rsid w:val="00D76134"/>
    <w:rsid w:val="00D7639C"/>
    <w:rsid w:val="00D76524"/>
    <w:rsid w:val="00D765E6"/>
    <w:rsid w:val="00D76A44"/>
    <w:rsid w:val="00D77F50"/>
    <w:rsid w:val="00D80D30"/>
    <w:rsid w:val="00D815EF"/>
    <w:rsid w:val="00D816F0"/>
    <w:rsid w:val="00D817BD"/>
    <w:rsid w:val="00D81F26"/>
    <w:rsid w:val="00D83274"/>
    <w:rsid w:val="00D83C1F"/>
    <w:rsid w:val="00D83CBE"/>
    <w:rsid w:val="00D85533"/>
    <w:rsid w:val="00D86231"/>
    <w:rsid w:val="00D90C25"/>
    <w:rsid w:val="00D90FC3"/>
    <w:rsid w:val="00D9139E"/>
    <w:rsid w:val="00D91923"/>
    <w:rsid w:val="00D92B4A"/>
    <w:rsid w:val="00D93753"/>
    <w:rsid w:val="00D96294"/>
    <w:rsid w:val="00D96BA9"/>
    <w:rsid w:val="00D97EF3"/>
    <w:rsid w:val="00DA1829"/>
    <w:rsid w:val="00DA1A42"/>
    <w:rsid w:val="00DA1C4D"/>
    <w:rsid w:val="00DA1CA9"/>
    <w:rsid w:val="00DA1CBD"/>
    <w:rsid w:val="00DA2D47"/>
    <w:rsid w:val="00DA3167"/>
    <w:rsid w:val="00DA3E5E"/>
    <w:rsid w:val="00DA4688"/>
    <w:rsid w:val="00DA4DC3"/>
    <w:rsid w:val="00DA5F6B"/>
    <w:rsid w:val="00DA6CCD"/>
    <w:rsid w:val="00DA74DD"/>
    <w:rsid w:val="00DA77A5"/>
    <w:rsid w:val="00DA7CFA"/>
    <w:rsid w:val="00DA7D12"/>
    <w:rsid w:val="00DB0C80"/>
    <w:rsid w:val="00DB0FD5"/>
    <w:rsid w:val="00DB24C9"/>
    <w:rsid w:val="00DB3DBF"/>
    <w:rsid w:val="00DB4410"/>
    <w:rsid w:val="00DB466C"/>
    <w:rsid w:val="00DB484F"/>
    <w:rsid w:val="00DB49DC"/>
    <w:rsid w:val="00DB4FD9"/>
    <w:rsid w:val="00DB504A"/>
    <w:rsid w:val="00DB7E5C"/>
    <w:rsid w:val="00DC00E0"/>
    <w:rsid w:val="00DC047C"/>
    <w:rsid w:val="00DC04F6"/>
    <w:rsid w:val="00DC0690"/>
    <w:rsid w:val="00DC0E38"/>
    <w:rsid w:val="00DC12E1"/>
    <w:rsid w:val="00DC1D65"/>
    <w:rsid w:val="00DC2575"/>
    <w:rsid w:val="00DC2DEA"/>
    <w:rsid w:val="00DC3C57"/>
    <w:rsid w:val="00DC3ED3"/>
    <w:rsid w:val="00DC453D"/>
    <w:rsid w:val="00DC4B8B"/>
    <w:rsid w:val="00DC5501"/>
    <w:rsid w:val="00DC6B44"/>
    <w:rsid w:val="00DC7154"/>
    <w:rsid w:val="00DC767F"/>
    <w:rsid w:val="00DC7E8A"/>
    <w:rsid w:val="00DD0F78"/>
    <w:rsid w:val="00DD15BE"/>
    <w:rsid w:val="00DD1F7D"/>
    <w:rsid w:val="00DD273C"/>
    <w:rsid w:val="00DD3BB7"/>
    <w:rsid w:val="00DD3F28"/>
    <w:rsid w:val="00DD435D"/>
    <w:rsid w:val="00DD4537"/>
    <w:rsid w:val="00DD488C"/>
    <w:rsid w:val="00DD4E15"/>
    <w:rsid w:val="00DD4E28"/>
    <w:rsid w:val="00DD4FA3"/>
    <w:rsid w:val="00DD4FEE"/>
    <w:rsid w:val="00DD51E3"/>
    <w:rsid w:val="00DD5EB3"/>
    <w:rsid w:val="00DD65A3"/>
    <w:rsid w:val="00DD6C12"/>
    <w:rsid w:val="00DE0484"/>
    <w:rsid w:val="00DE04D4"/>
    <w:rsid w:val="00DE2304"/>
    <w:rsid w:val="00DE288B"/>
    <w:rsid w:val="00DE3138"/>
    <w:rsid w:val="00DE37F8"/>
    <w:rsid w:val="00DE4FCB"/>
    <w:rsid w:val="00DE5D07"/>
    <w:rsid w:val="00DE5D3C"/>
    <w:rsid w:val="00DE5DAF"/>
    <w:rsid w:val="00DE6422"/>
    <w:rsid w:val="00DE72A7"/>
    <w:rsid w:val="00DE7832"/>
    <w:rsid w:val="00DE7D30"/>
    <w:rsid w:val="00DE7FB3"/>
    <w:rsid w:val="00DF0203"/>
    <w:rsid w:val="00DF04FB"/>
    <w:rsid w:val="00DF06FF"/>
    <w:rsid w:val="00DF18FC"/>
    <w:rsid w:val="00DF1C5D"/>
    <w:rsid w:val="00DF29D9"/>
    <w:rsid w:val="00DF2B58"/>
    <w:rsid w:val="00DF30E0"/>
    <w:rsid w:val="00DF353D"/>
    <w:rsid w:val="00DF3A08"/>
    <w:rsid w:val="00DF3F64"/>
    <w:rsid w:val="00DF5175"/>
    <w:rsid w:val="00DF5605"/>
    <w:rsid w:val="00DF5D2B"/>
    <w:rsid w:val="00DF5EBD"/>
    <w:rsid w:val="00DF6174"/>
    <w:rsid w:val="00DF76DF"/>
    <w:rsid w:val="00DF7D59"/>
    <w:rsid w:val="00E00E8E"/>
    <w:rsid w:val="00E018B1"/>
    <w:rsid w:val="00E022C5"/>
    <w:rsid w:val="00E02306"/>
    <w:rsid w:val="00E0231F"/>
    <w:rsid w:val="00E045BE"/>
    <w:rsid w:val="00E049F6"/>
    <w:rsid w:val="00E04DDA"/>
    <w:rsid w:val="00E05254"/>
    <w:rsid w:val="00E05630"/>
    <w:rsid w:val="00E057F5"/>
    <w:rsid w:val="00E05A20"/>
    <w:rsid w:val="00E05AEB"/>
    <w:rsid w:val="00E06778"/>
    <w:rsid w:val="00E06DBB"/>
    <w:rsid w:val="00E07503"/>
    <w:rsid w:val="00E076D3"/>
    <w:rsid w:val="00E07827"/>
    <w:rsid w:val="00E10149"/>
    <w:rsid w:val="00E106BF"/>
    <w:rsid w:val="00E11340"/>
    <w:rsid w:val="00E114C8"/>
    <w:rsid w:val="00E122A1"/>
    <w:rsid w:val="00E12590"/>
    <w:rsid w:val="00E13438"/>
    <w:rsid w:val="00E14923"/>
    <w:rsid w:val="00E15589"/>
    <w:rsid w:val="00E16372"/>
    <w:rsid w:val="00E17B5C"/>
    <w:rsid w:val="00E202D8"/>
    <w:rsid w:val="00E204A0"/>
    <w:rsid w:val="00E208A9"/>
    <w:rsid w:val="00E20DB7"/>
    <w:rsid w:val="00E20E4D"/>
    <w:rsid w:val="00E20ED6"/>
    <w:rsid w:val="00E21358"/>
    <w:rsid w:val="00E2249B"/>
    <w:rsid w:val="00E22775"/>
    <w:rsid w:val="00E22A0D"/>
    <w:rsid w:val="00E22E13"/>
    <w:rsid w:val="00E244F6"/>
    <w:rsid w:val="00E2457F"/>
    <w:rsid w:val="00E26C44"/>
    <w:rsid w:val="00E2746F"/>
    <w:rsid w:val="00E2771E"/>
    <w:rsid w:val="00E305C0"/>
    <w:rsid w:val="00E311EF"/>
    <w:rsid w:val="00E3195D"/>
    <w:rsid w:val="00E31BBE"/>
    <w:rsid w:val="00E32180"/>
    <w:rsid w:val="00E32A87"/>
    <w:rsid w:val="00E3340A"/>
    <w:rsid w:val="00E33428"/>
    <w:rsid w:val="00E3381A"/>
    <w:rsid w:val="00E33C25"/>
    <w:rsid w:val="00E34948"/>
    <w:rsid w:val="00E34984"/>
    <w:rsid w:val="00E35ECA"/>
    <w:rsid w:val="00E3682A"/>
    <w:rsid w:val="00E37465"/>
    <w:rsid w:val="00E3748E"/>
    <w:rsid w:val="00E37569"/>
    <w:rsid w:val="00E37791"/>
    <w:rsid w:val="00E37856"/>
    <w:rsid w:val="00E37D88"/>
    <w:rsid w:val="00E401B2"/>
    <w:rsid w:val="00E4107E"/>
    <w:rsid w:val="00E414C9"/>
    <w:rsid w:val="00E41999"/>
    <w:rsid w:val="00E41E30"/>
    <w:rsid w:val="00E42F73"/>
    <w:rsid w:val="00E43C28"/>
    <w:rsid w:val="00E43D70"/>
    <w:rsid w:val="00E44486"/>
    <w:rsid w:val="00E44977"/>
    <w:rsid w:val="00E44ECA"/>
    <w:rsid w:val="00E45074"/>
    <w:rsid w:val="00E456DF"/>
    <w:rsid w:val="00E466F3"/>
    <w:rsid w:val="00E4718E"/>
    <w:rsid w:val="00E47AF6"/>
    <w:rsid w:val="00E47B2C"/>
    <w:rsid w:val="00E505B0"/>
    <w:rsid w:val="00E50D4C"/>
    <w:rsid w:val="00E51560"/>
    <w:rsid w:val="00E516C4"/>
    <w:rsid w:val="00E516D3"/>
    <w:rsid w:val="00E518C8"/>
    <w:rsid w:val="00E51FAF"/>
    <w:rsid w:val="00E52005"/>
    <w:rsid w:val="00E52D7C"/>
    <w:rsid w:val="00E53816"/>
    <w:rsid w:val="00E53FC8"/>
    <w:rsid w:val="00E54347"/>
    <w:rsid w:val="00E54ABD"/>
    <w:rsid w:val="00E55342"/>
    <w:rsid w:val="00E55374"/>
    <w:rsid w:val="00E55424"/>
    <w:rsid w:val="00E55915"/>
    <w:rsid w:val="00E55A78"/>
    <w:rsid w:val="00E55BB5"/>
    <w:rsid w:val="00E56112"/>
    <w:rsid w:val="00E567A4"/>
    <w:rsid w:val="00E56A44"/>
    <w:rsid w:val="00E603C7"/>
    <w:rsid w:val="00E604EF"/>
    <w:rsid w:val="00E60C14"/>
    <w:rsid w:val="00E63168"/>
    <w:rsid w:val="00E64EE1"/>
    <w:rsid w:val="00E658F5"/>
    <w:rsid w:val="00E65E79"/>
    <w:rsid w:val="00E663F5"/>
    <w:rsid w:val="00E6653C"/>
    <w:rsid w:val="00E66806"/>
    <w:rsid w:val="00E66BA2"/>
    <w:rsid w:val="00E67416"/>
    <w:rsid w:val="00E6772F"/>
    <w:rsid w:val="00E70F88"/>
    <w:rsid w:val="00E715E2"/>
    <w:rsid w:val="00E718B6"/>
    <w:rsid w:val="00E7227B"/>
    <w:rsid w:val="00E723BA"/>
    <w:rsid w:val="00E72FD0"/>
    <w:rsid w:val="00E73581"/>
    <w:rsid w:val="00E737CA"/>
    <w:rsid w:val="00E74284"/>
    <w:rsid w:val="00E75415"/>
    <w:rsid w:val="00E756A5"/>
    <w:rsid w:val="00E76363"/>
    <w:rsid w:val="00E7694F"/>
    <w:rsid w:val="00E76B3D"/>
    <w:rsid w:val="00E802BD"/>
    <w:rsid w:val="00E80409"/>
    <w:rsid w:val="00E80810"/>
    <w:rsid w:val="00E81D3E"/>
    <w:rsid w:val="00E81DE3"/>
    <w:rsid w:val="00E81E86"/>
    <w:rsid w:val="00E827DD"/>
    <w:rsid w:val="00E82B1E"/>
    <w:rsid w:val="00E833F7"/>
    <w:rsid w:val="00E83785"/>
    <w:rsid w:val="00E83BDF"/>
    <w:rsid w:val="00E83C55"/>
    <w:rsid w:val="00E84D58"/>
    <w:rsid w:val="00E85484"/>
    <w:rsid w:val="00E86BE3"/>
    <w:rsid w:val="00E87A1D"/>
    <w:rsid w:val="00E9094A"/>
    <w:rsid w:val="00E90C61"/>
    <w:rsid w:val="00E91474"/>
    <w:rsid w:val="00E91A70"/>
    <w:rsid w:val="00E91D35"/>
    <w:rsid w:val="00E924BA"/>
    <w:rsid w:val="00E926A5"/>
    <w:rsid w:val="00E942F4"/>
    <w:rsid w:val="00E95B86"/>
    <w:rsid w:val="00E96826"/>
    <w:rsid w:val="00E97383"/>
    <w:rsid w:val="00E9748F"/>
    <w:rsid w:val="00E9793F"/>
    <w:rsid w:val="00E97F45"/>
    <w:rsid w:val="00EA0F07"/>
    <w:rsid w:val="00EA1541"/>
    <w:rsid w:val="00EA17C3"/>
    <w:rsid w:val="00EA1A77"/>
    <w:rsid w:val="00EA2244"/>
    <w:rsid w:val="00EA2370"/>
    <w:rsid w:val="00EA240D"/>
    <w:rsid w:val="00EA2CAA"/>
    <w:rsid w:val="00EA3864"/>
    <w:rsid w:val="00EA4F8C"/>
    <w:rsid w:val="00EA6071"/>
    <w:rsid w:val="00EA64CF"/>
    <w:rsid w:val="00EA6B9D"/>
    <w:rsid w:val="00EA7F1C"/>
    <w:rsid w:val="00EB0042"/>
    <w:rsid w:val="00EB0207"/>
    <w:rsid w:val="00EB11B0"/>
    <w:rsid w:val="00EB15B6"/>
    <w:rsid w:val="00EB1831"/>
    <w:rsid w:val="00EB2172"/>
    <w:rsid w:val="00EB2FD1"/>
    <w:rsid w:val="00EB317B"/>
    <w:rsid w:val="00EB3529"/>
    <w:rsid w:val="00EB3D06"/>
    <w:rsid w:val="00EB3EAA"/>
    <w:rsid w:val="00EB44CD"/>
    <w:rsid w:val="00EB4916"/>
    <w:rsid w:val="00EB5351"/>
    <w:rsid w:val="00EB5C91"/>
    <w:rsid w:val="00EB5D35"/>
    <w:rsid w:val="00EB5D92"/>
    <w:rsid w:val="00EB7865"/>
    <w:rsid w:val="00EC00C9"/>
    <w:rsid w:val="00EC0DD9"/>
    <w:rsid w:val="00EC2649"/>
    <w:rsid w:val="00EC2720"/>
    <w:rsid w:val="00EC31ED"/>
    <w:rsid w:val="00EC41BB"/>
    <w:rsid w:val="00EC56C0"/>
    <w:rsid w:val="00EC5836"/>
    <w:rsid w:val="00EC5AD9"/>
    <w:rsid w:val="00EC65BA"/>
    <w:rsid w:val="00EC688C"/>
    <w:rsid w:val="00EC7554"/>
    <w:rsid w:val="00EC76A4"/>
    <w:rsid w:val="00EC7B0D"/>
    <w:rsid w:val="00EC7B47"/>
    <w:rsid w:val="00ED0597"/>
    <w:rsid w:val="00ED1045"/>
    <w:rsid w:val="00ED1E86"/>
    <w:rsid w:val="00ED240A"/>
    <w:rsid w:val="00ED2D80"/>
    <w:rsid w:val="00ED35D9"/>
    <w:rsid w:val="00ED4889"/>
    <w:rsid w:val="00ED4DEE"/>
    <w:rsid w:val="00ED57EA"/>
    <w:rsid w:val="00ED5BD4"/>
    <w:rsid w:val="00ED64EC"/>
    <w:rsid w:val="00ED704D"/>
    <w:rsid w:val="00ED71BC"/>
    <w:rsid w:val="00ED73C3"/>
    <w:rsid w:val="00EE049F"/>
    <w:rsid w:val="00EE06DD"/>
    <w:rsid w:val="00EE07D3"/>
    <w:rsid w:val="00EE0894"/>
    <w:rsid w:val="00EE0B4F"/>
    <w:rsid w:val="00EE1996"/>
    <w:rsid w:val="00EE1C01"/>
    <w:rsid w:val="00EE22AF"/>
    <w:rsid w:val="00EE28A2"/>
    <w:rsid w:val="00EE4E5A"/>
    <w:rsid w:val="00EE4F6D"/>
    <w:rsid w:val="00EE5A34"/>
    <w:rsid w:val="00EE75CF"/>
    <w:rsid w:val="00EE7C08"/>
    <w:rsid w:val="00EF0171"/>
    <w:rsid w:val="00EF030B"/>
    <w:rsid w:val="00EF0B84"/>
    <w:rsid w:val="00EF1B25"/>
    <w:rsid w:val="00EF1D83"/>
    <w:rsid w:val="00EF1D93"/>
    <w:rsid w:val="00EF1DA0"/>
    <w:rsid w:val="00EF1E9E"/>
    <w:rsid w:val="00EF21E3"/>
    <w:rsid w:val="00EF2BFA"/>
    <w:rsid w:val="00EF2C27"/>
    <w:rsid w:val="00EF45D3"/>
    <w:rsid w:val="00EF4747"/>
    <w:rsid w:val="00EF4BF8"/>
    <w:rsid w:val="00EF61CD"/>
    <w:rsid w:val="00EF670B"/>
    <w:rsid w:val="00EF6A82"/>
    <w:rsid w:val="00F01FB5"/>
    <w:rsid w:val="00F02253"/>
    <w:rsid w:val="00F03B05"/>
    <w:rsid w:val="00F03C2E"/>
    <w:rsid w:val="00F04A66"/>
    <w:rsid w:val="00F04B4B"/>
    <w:rsid w:val="00F04F26"/>
    <w:rsid w:val="00F0516C"/>
    <w:rsid w:val="00F061CE"/>
    <w:rsid w:val="00F0623C"/>
    <w:rsid w:val="00F067A2"/>
    <w:rsid w:val="00F06D54"/>
    <w:rsid w:val="00F07B9E"/>
    <w:rsid w:val="00F1020A"/>
    <w:rsid w:val="00F10717"/>
    <w:rsid w:val="00F1116F"/>
    <w:rsid w:val="00F1125D"/>
    <w:rsid w:val="00F121D7"/>
    <w:rsid w:val="00F12473"/>
    <w:rsid w:val="00F1263A"/>
    <w:rsid w:val="00F12AC5"/>
    <w:rsid w:val="00F12C72"/>
    <w:rsid w:val="00F1414D"/>
    <w:rsid w:val="00F152ED"/>
    <w:rsid w:val="00F15B77"/>
    <w:rsid w:val="00F16369"/>
    <w:rsid w:val="00F165E3"/>
    <w:rsid w:val="00F209A3"/>
    <w:rsid w:val="00F2124F"/>
    <w:rsid w:val="00F21E27"/>
    <w:rsid w:val="00F22832"/>
    <w:rsid w:val="00F23A02"/>
    <w:rsid w:val="00F2429F"/>
    <w:rsid w:val="00F24837"/>
    <w:rsid w:val="00F2575F"/>
    <w:rsid w:val="00F25B7B"/>
    <w:rsid w:val="00F270CB"/>
    <w:rsid w:val="00F2719F"/>
    <w:rsid w:val="00F27565"/>
    <w:rsid w:val="00F27DAA"/>
    <w:rsid w:val="00F30706"/>
    <w:rsid w:val="00F30B9F"/>
    <w:rsid w:val="00F310D4"/>
    <w:rsid w:val="00F312E2"/>
    <w:rsid w:val="00F31911"/>
    <w:rsid w:val="00F31D5A"/>
    <w:rsid w:val="00F323A4"/>
    <w:rsid w:val="00F3262A"/>
    <w:rsid w:val="00F33975"/>
    <w:rsid w:val="00F33CAC"/>
    <w:rsid w:val="00F33DE9"/>
    <w:rsid w:val="00F34F09"/>
    <w:rsid w:val="00F35D4A"/>
    <w:rsid w:val="00F35E6D"/>
    <w:rsid w:val="00F3619A"/>
    <w:rsid w:val="00F36C31"/>
    <w:rsid w:val="00F37C4B"/>
    <w:rsid w:val="00F40AAA"/>
    <w:rsid w:val="00F40BA7"/>
    <w:rsid w:val="00F40F9D"/>
    <w:rsid w:val="00F41ACD"/>
    <w:rsid w:val="00F43C3E"/>
    <w:rsid w:val="00F44ACA"/>
    <w:rsid w:val="00F44C1F"/>
    <w:rsid w:val="00F4516D"/>
    <w:rsid w:val="00F45E98"/>
    <w:rsid w:val="00F46CB6"/>
    <w:rsid w:val="00F4756D"/>
    <w:rsid w:val="00F47DE8"/>
    <w:rsid w:val="00F5009F"/>
    <w:rsid w:val="00F511F5"/>
    <w:rsid w:val="00F51545"/>
    <w:rsid w:val="00F51745"/>
    <w:rsid w:val="00F521CF"/>
    <w:rsid w:val="00F5240A"/>
    <w:rsid w:val="00F52E60"/>
    <w:rsid w:val="00F542C1"/>
    <w:rsid w:val="00F547E9"/>
    <w:rsid w:val="00F5527A"/>
    <w:rsid w:val="00F55E73"/>
    <w:rsid w:val="00F55EDA"/>
    <w:rsid w:val="00F562D9"/>
    <w:rsid w:val="00F564E3"/>
    <w:rsid w:val="00F56731"/>
    <w:rsid w:val="00F56C80"/>
    <w:rsid w:val="00F57617"/>
    <w:rsid w:val="00F60092"/>
    <w:rsid w:val="00F60F19"/>
    <w:rsid w:val="00F61A86"/>
    <w:rsid w:val="00F61C18"/>
    <w:rsid w:val="00F61D58"/>
    <w:rsid w:val="00F620C3"/>
    <w:rsid w:val="00F6255F"/>
    <w:rsid w:val="00F625E4"/>
    <w:rsid w:val="00F6349F"/>
    <w:rsid w:val="00F63A6D"/>
    <w:rsid w:val="00F64279"/>
    <w:rsid w:val="00F642F8"/>
    <w:rsid w:val="00F64D79"/>
    <w:rsid w:val="00F65E66"/>
    <w:rsid w:val="00F65F4B"/>
    <w:rsid w:val="00F6621D"/>
    <w:rsid w:val="00F6683E"/>
    <w:rsid w:val="00F669B0"/>
    <w:rsid w:val="00F6798F"/>
    <w:rsid w:val="00F67A69"/>
    <w:rsid w:val="00F67E90"/>
    <w:rsid w:val="00F703A7"/>
    <w:rsid w:val="00F70BFF"/>
    <w:rsid w:val="00F70C9D"/>
    <w:rsid w:val="00F714D4"/>
    <w:rsid w:val="00F72722"/>
    <w:rsid w:val="00F727B2"/>
    <w:rsid w:val="00F73D81"/>
    <w:rsid w:val="00F73ED3"/>
    <w:rsid w:val="00F74CD9"/>
    <w:rsid w:val="00F751E3"/>
    <w:rsid w:val="00F754EF"/>
    <w:rsid w:val="00F76A4D"/>
    <w:rsid w:val="00F779D8"/>
    <w:rsid w:val="00F80A7B"/>
    <w:rsid w:val="00F80E5D"/>
    <w:rsid w:val="00F8106D"/>
    <w:rsid w:val="00F8133E"/>
    <w:rsid w:val="00F81383"/>
    <w:rsid w:val="00F814E1"/>
    <w:rsid w:val="00F81E78"/>
    <w:rsid w:val="00F82E97"/>
    <w:rsid w:val="00F83B5D"/>
    <w:rsid w:val="00F83BB2"/>
    <w:rsid w:val="00F851CE"/>
    <w:rsid w:val="00F852DC"/>
    <w:rsid w:val="00F86C42"/>
    <w:rsid w:val="00F8791F"/>
    <w:rsid w:val="00F91078"/>
    <w:rsid w:val="00F91219"/>
    <w:rsid w:val="00F92444"/>
    <w:rsid w:val="00F926F3"/>
    <w:rsid w:val="00F9393E"/>
    <w:rsid w:val="00F94867"/>
    <w:rsid w:val="00F95212"/>
    <w:rsid w:val="00F96856"/>
    <w:rsid w:val="00F96877"/>
    <w:rsid w:val="00F9688B"/>
    <w:rsid w:val="00F96B4C"/>
    <w:rsid w:val="00F96B95"/>
    <w:rsid w:val="00F96FD0"/>
    <w:rsid w:val="00F97A78"/>
    <w:rsid w:val="00FA0B20"/>
    <w:rsid w:val="00FA0D0F"/>
    <w:rsid w:val="00FA1133"/>
    <w:rsid w:val="00FA217F"/>
    <w:rsid w:val="00FA24E7"/>
    <w:rsid w:val="00FA25D0"/>
    <w:rsid w:val="00FA26F9"/>
    <w:rsid w:val="00FA41C9"/>
    <w:rsid w:val="00FA526E"/>
    <w:rsid w:val="00FA554A"/>
    <w:rsid w:val="00FA593A"/>
    <w:rsid w:val="00FA5A06"/>
    <w:rsid w:val="00FA5EBA"/>
    <w:rsid w:val="00FA5EE6"/>
    <w:rsid w:val="00FA6C9D"/>
    <w:rsid w:val="00FA7317"/>
    <w:rsid w:val="00FA7956"/>
    <w:rsid w:val="00FB0220"/>
    <w:rsid w:val="00FB07B4"/>
    <w:rsid w:val="00FB1213"/>
    <w:rsid w:val="00FB19B4"/>
    <w:rsid w:val="00FB1B7B"/>
    <w:rsid w:val="00FB1B8B"/>
    <w:rsid w:val="00FB1FDB"/>
    <w:rsid w:val="00FB26C3"/>
    <w:rsid w:val="00FB2797"/>
    <w:rsid w:val="00FB284D"/>
    <w:rsid w:val="00FB2FCB"/>
    <w:rsid w:val="00FB398E"/>
    <w:rsid w:val="00FB439E"/>
    <w:rsid w:val="00FB600C"/>
    <w:rsid w:val="00FB6522"/>
    <w:rsid w:val="00FB7614"/>
    <w:rsid w:val="00FB7808"/>
    <w:rsid w:val="00FB7C55"/>
    <w:rsid w:val="00FC08F2"/>
    <w:rsid w:val="00FC1074"/>
    <w:rsid w:val="00FC1884"/>
    <w:rsid w:val="00FC3535"/>
    <w:rsid w:val="00FC371D"/>
    <w:rsid w:val="00FC3CD5"/>
    <w:rsid w:val="00FC3D0A"/>
    <w:rsid w:val="00FC40F3"/>
    <w:rsid w:val="00FC47B4"/>
    <w:rsid w:val="00FC5F0B"/>
    <w:rsid w:val="00FC65C9"/>
    <w:rsid w:val="00FC72A1"/>
    <w:rsid w:val="00FD04FB"/>
    <w:rsid w:val="00FD173A"/>
    <w:rsid w:val="00FD2100"/>
    <w:rsid w:val="00FD23D3"/>
    <w:rsid w:val="00FD436C"/>
    <w:rsid w:val="00FD446D"/>
    <w:rsid w:val="00FD4F2C"/>
    <w:rsid w:val="00FD5397"/>
    <w:rsid w:val="00FD626E"/>
    <w:rsid w:val="00FD6394"/>
    <w:rsid w:val="00FD784D"/>
    <w:rsid w:val="00FD7B82"/>
    <w:rsid w:val="00FE08B4"/>
    <w:rsid w:val="00FE0E6C"/>
    <w:rsid w:val="00FE1CDC"/>
    <w:rsid w:val="00FE3EA5"/>
    <w:rsid w:val="00FE475F"/>
    <w:rsid w:val="00FE4BC7"/>
    <w:rsid w:val="00FE5676"/>
    <w:rsid w:val="00FE5AF2"/>
    <w:rsid w:val="00FE5C7C"/>
    <w:rsid w:val="00FE6023"/>
    <w:rsid w:val="00FE6194"/>
    <w:rsid w:val="00FE62B3"/>
    <w:rsid w:val="00FE6F93"/>
    <w:rsid w:val="00FE70C3"/>
    <w:rsid w:val="00FE7392"/>
    <w:rsid w:val="00FE7724"/>
    <w:rsid w:val="00FE7FD8"/>
    <w:rsid w:val="00FF1521"/>
    <w:rsid w:val="00FF2AD9"/>
    <w:rsid w:val="00FF2D03"/>
    <w:rsid w:val="00FF31E8"/>
    <w:rsid w:val="00FF359F"/>
    <w:rsid w:val="00FF36F3"/>
    <w:rsid w:val="00FF3941"/>
    <w:rsid w:val="00FF3DCF"/>
    <w:rsid w:val="00FF492C"/>
    <w:rsid w:val="00FF4A21"/>
    <w:rsid w:val="00FF5AA3"/>
    <w:rsid w:val="00FF5AD8"/>
    <w:rsid w:val="00FF5C6E"/>
    <w:rsid w:val="00FF63EB"/>
    <w:rsid w:val="00FF7356"/>
    <w:rsid w:val="00FF736D"/>
    <w:rsid w:val="00FF7433"/>
    <w:rsid w:val="00FF767D"/>
    <w:rsid w:val="00FF7A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D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2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0BF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DB4FD9"/>
    <w:rPr>
      <w:sz w:val="16"/>
      <w:szCs w:val="16"/>
    </w:rPr>
  </w:style>
  <w:style w:type="paragraph" w:styleId="CommentText">
    <w:name w:val="annotation text"/>
    <w:basedOn w:val="Normal"/>
    <w:link w:val="CommentTextChar"/>
    <w:uiPriority w:val="99"/>
    <w:unhideWhenUsed/>
    <w:rsid w:val="00DB4FD9"/>
    <w:rPr>
      <w:sz w:val="20"/>
      <w:szCs w:val="20"/>
    </w:rPr>
  </w:style>
  <w:style w:type="character" w:customStyle="1" w:styleId="CommentTextChar">
    <w:name w:val="Comment Text Char"/>
    <w:basedOn w:val="DefaultParagraphFont"/>
    <w:link w:val="CommentText"/>
    <w:uiPriority w:val="99"/>
    <w:rsid w:val="00DB4FD9"/>
    <w:rPr>
      <w:rFonts w:ascii="Calibri" w:hAnsi="Calibri" w:cs="Arial"/>
    </w:rPr>
  </w:style>
  <w:style w:type="paragraph" w:styleId="CommentSubject">
    <w:name w:val="annotation subject"/>
    <w:basedOn w:val="CommentText"/>
    <w:next w:val="CommentText"/>
    <w:link w:val="CommentSubjectChar"/>
    <w:semiHidden/>
    <w:unhideWhenUsed/>
    <w:rsid w:val="00DB4FD9"/>
    <w:rPr>
      <w:b/>
      <w:bCs/>
    </w:rPr>
  </w:style>
  <w:style w:type="character" w:customStyle="1" w:styleId="CommentSubjectChar">
    <w:name w:val="Comment Subject Char"/>
    <w:basedOn w:val="CommentTextChar"/>
    <w:link w:val="CommentSubject"/>
    <w:semiHidden/>
    <w:rsid w:val="00DB4FD9"/>
    <w:rPr>
      <w:rFonts w:ascii="Calibri" w:hAnsi="Calibri" w:cs="Arial"/>
      <w:b/>
      <w:bCs/>
    </w:rPr>
  </w:style>
  <w:style w:type="paragraph" w:styleId="ListParagraph">
    <w:name w:val="List Paragraph"/>
    <w:aliases w:val="Numbered para,BulletPoints,Body Text Bullet Points,List Paragraph1,Bullet point,List Paragraph11,Recommendation,Section heading,Footnote,ES Paragraph,PBAC ES Paragraph,PBAC normal points,Bullet List,Figure_name,Numbered Indented Text,lp1"/>
    <w:basedOn w:val="Normal"/>
    <w:link w:val="ListParagraphChar"/>
    <w:uiPriority w:val="34"/>
    <w:qFormat/>
    <w:rsid w:val="00222A44"/>
    <w:pPr>
      <w:ind w:left="720"/>
      <w:contextualSpacing/>
    </w:p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lp1 Char"/>
    <w:basedOn w:val="DefaultParagraphFont"/>
    <w:link w:val="ListParagraph"/>
    <w:uiPriority w:val="34"/>
    <w:qFormat/>
    <w:locked/>
    <w:rsid w:val="00222A44"/>
    <w:rPr>
      <w:rFonts w:ascii="Calibri" w:hAnsi="Calibri" w:cs="Arial"/>
      <w:sz w:val="24"/>
      <w:szCs w:val="24"/>
    </w:rPr>
  </w:style>
  <w:style w:type="paragraph" w:customStyle="1" w:styleId="TableFooter">
    <w:name w:val="Table Footer"/>
    <w:basedOn w:val="Normal"/>
    <w:link w:val="TableFooterChar"/>
    <w:qFormat/>
    <w:rsid w:val="00A83F25"/>
    <w:pPr>
      <w:widowControl w:val="0"/>
    </w:pPr>
    <w:rPr>
      <w:rFonts w:ascii="Arial Narrow" w:hAnsi="Arial Narrow"/>
      <w:snapToGrid w:val="0"/>
      <w:sz w:val="18"/>
      <w:szCs w:val="22"/>
      <w:lang w:eastAsia="en-US"/>
    </w:rPr>
  </w:style>
  <w:style w:type="character" w:customStyle="1" w:styleId="TableFooterChar">
    <w:name w:val="Table Footer Char"/>
    <w:link w:val="TableFooter"/>
    <w:rsid w:val="00A83F25"/>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A83F25"/>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A83F25"/>
    <w:rPr>
      <w:rFonts w:ascii="Arial Narrow" w:eastAsiaTheme="minorHAnsi" w:hAnsi="Arial Narrow" w:cstheme="minorBidi"/>
      <w:b/>
      <w:szCs w:val="22"/>
      <w:lang w:eastAsia="en-US"/>
    </w:rPr>
  </w:style>
  <w:style w:type="paragraph" w:customStyle="1" w:styleId="V50Instructions">
    <w:name w:val="V5.0 Instructions"/>
    <w:basedOn w:val="Normal"/>
    <w:link w:val="V50InstructionsChar"/>
    <w:qFormat/>
    <w:rsid w:val="007850AF"/>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850AF"/>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link w:val="TabletextChar0"/>
    <w:uiPriority w:val="99"/>
    <w:qFormat/>
    <w:rsid w:val="007850AF"/>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7850AF"/>
    <w:rPr>
      <w:rFonts w:ascii="Arial Narrow" w:hAnsi="Arial Narrow"/>
      <w:szCs w:val="22"/>
      <w:lang w:eastAsia="en-US"/>
    </w:rPr>
  </w:style>
  <w:style w:type="paragraph" w:customStyle="1" w:styleId="TableHeader">
    <w:name w:val="Table Header"/>
    <w:basedOn w:val="Normal"/>
    <w:uiPriority w:val="3"/>
    <w:rsid w:val="007850AF"/>
    <w:pPr>
      <w:widowControl w:val="0"/>
    </w:pPr>
    <w:rPr>
      <w:b/>
      <w:snapToGrid w:val="0"/>
      <w:sz w:val="20"/>
      <w:szCs w:val="22"/>
      <w:lang w:eastAsia="en-US"/>
    </w:rPr>
  </w:style>
  <w:style w:type="paragraph" w:customStyle="1" w:styleId="PBACTableText">
    <w:name w:val="PBAC Table Text"/>
    <w:basedOn w:val="Normal"/>
    <w:link w:val="PBACTableTextChar"/>
    <w:qFormat/>
    <w:rsid w:val="007850AF"/>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7850AF"/>
    <w:rPr>
      <w:rFonts w:ascii="Arial Narrow" w:hAnsi="Arial Narrow"/>
      <w:lang w:eastAsia="en-US"/>
    </w:rPr>
  </w:style>
  <w:style w:type="character" w:customStyle="1" w:styleId="COMBodyChar">
    <w:name w:val="COMBody Char"/>
    <w:basedOn w:val="DefaultParagraphFont"/>
    <w:link w:val="COMBody"/>
    <w:locked/>
    <w:rsid w:val="00B04026"/>
    <w:rPr>
      <w:rFonts w:ascii="Calibri" w:hAnsi="Calibri" w:cs="Arial"/>
      <w:sz w:val="24"/>
    </w:rPr>
  </w:style>
  <w:style w:type="paragraph" w:customStyle="1" w:styleId="COMBody">
    <w:name w:val="COMBody"/>
    <w:basedOn w:val="Normal"/>
    <w:link w:val="COMBodyChar"/>
    <w:qFormat/>
    <w:rsid w:val="00B04026"/>
    <w:pPr>
      <w:widowControl w:val="0"/>
      <w:snapToGrid w:val="0"/>
    </w:pPr>
    <w:rPr>
      <w:szCs w:val="20"/>
    </w:rPr>
  </w:style>
  <w:style w:type="paragraph" w:customStyle="1" w:styleId="PBACcaption">
    <w:name w:val="PBAC caption"/>
    <w:basedOn w:val="Normal"/>
    <w:link w:val="PBACcaptionChar"/>
    <w:qFormat/>
    <w:rsid w:val="006F628A"/>
    <w:pPr>
      <w:keepNext/>
      <w:keepLines/>
      <w:spacing w:before="240" w:after="120"/>
      <w:ind w:left="992" w:hanging="992"/>
      <w:jc w:val="left"/>
    </w:pPr>
    <w:rPr>
      <w:rFonts w:ascii="Arial Narrow" w:eastAsiaTheme="minorHAnsi" w:hAnsi="Arial Narrow"/>
      <w:b/>
      <w:sz w:val="22"/>
      <w:szCs w:val="22"/>
      <w:lang w:eastAsia="en-US"/>
    </w:rPr>
  </w:style>
  <w:style w:type="character" w:customStyle="1" w:styleId="PBACcaptionChar">
    <w:name w:val="PBAC caption Char"/>
    <w:basedOn w:val="DefaultParagraphFont"/>
    <w:link w:val="PBACcaption"/>
    <w:rsid w:val="006F628A"/>
    <w:rPr>
      <w:rFonts w:ascii="Arial Narrow" w:eastAsiaTheme="minorHAnsi" w:hAnsi="Arial Narrow" w:cs="Arial"/>
      <w:b/>
      <w:sz w:val="22"/>
      <w:szCs w:val="22"/>
      <w:lang w:eastAsia="en-US"/>
    </w:rPr>
  </w:style>
  <w:style w:type="character" w:customStyle="1" w:styleId="UnresolvedMention1">
    <w:name w:val="Unresolved Mention1"/>
    <w:basedOn w:val="DefaultParagraphFont"/>
    <w:uiPriority w:val="99"/>
    <w:semiHidden/>
    <w:unhideWhenUsed/>
    <w:rsid w:val="00CC1D2B"/>
    <w:rPr>
      <w:color w:val="605E5C"/>
      <w:shd w:val="clear" w:color="auto" w:fill="E1DFDD"/>
    </w:rPr>
  </w:style>
  <w:style w:type="paragraph" w:styleId="Header">
    <w:name w:val="header"/>
    <w:basedOn w:val="Normal"/>
    <w:link w:val="HeaderChar"/>
    <w:unhideWhenUsed/>
    <w:qFormat/>
    <w:rsid w:val="00EA64CF"/>
    <w:pPr>
      <w:tabs>
        <w:tab w:val="center" w:pos="4513"/>
        <w:tab w:val="right" w:pos="9026"/>
      </w:tabs>
    </w:pPr>
  </w:style>
  <w:style w:type="character" w:customStyle="1" w:styleId="HeaderChar">
    <w:name w:val="Header Char"/>
    <w:basedOn w:val="DefaultParagraphFont"/>
    <w:link w:val="Header"/>
    <w:rsid w:val="00EA64CF"/>
    <w:rPr>
      <w:rFonts w:ascii="Calibri" w:hAnsi="Calibri" w:cs="Arial"/>
      <w:sz w:val="24"/>
      <w:szCs w:val="24"/>
    </w:rPr>
  </w:style>
  <w:style w:type="paragraph" w:styleId="Footer">
    <w:name w:val="footer"/>
    <w:basedOn w:val="Normal"/>
    <w:link w:val="FooterChar"/>
    <w:uiPriority w:val="99"/>
    <w:unhideWhenUsed/>
    <w:rsid w:val="00EA64CF"/>
    <w:pPr>
      <w:tabs>
        <w:tab w:val="center" w:pos="4513"/>
        <w:tab w:val="right" w:pos="9026"/>
      </w:tabs>
    </w:pPr>
  </w:style>
  <w:style w:type="character" w:customStyle="1" w:styleId="FooterChar">
    <w:name w:val="Footer Char"/>
    <w:basedOn w:val="DefaultParagraphFont"/>
    <w:link w:val="Footer"/>
    <w:uiPriority w:val="99"/>
    <w:rsid w:val="00EA64CF"/>
    <w:rPr>
      <w:rFonts w:ascii="Calibri" w:hAnsi="Calibri" w:cs="Arial"/>
      <w:sz w:val="24"/>
      <w:szCs w:val="24"/>
    </w:rPr>
  </w:style>
  <w:style w:type="paragraph" w:customStyle="1" w:styleId="COMtbl-HEADLeftAligned">
    <w:name w:val="COMtbl-HEAD Left Aligned"/>
    <w:basedOn w:val="Normal"/>
    <w:qFormat/>
    <w:rsid w:val="00187B79"/>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187B79"/>
    <w:pPr>
      <w:jc w:val="center"/>
    </w:pPr>
  </w:style>
  <w:style w:type="paragraph" w:customStyle="1" w:styleId="COMtbl-textLeftAligned">
    <w:name w:val="COMtbl-text Left Aligned"/>
    <w:basedOn w:val="COMtbl-HEADLeftAligned"/>
    <w:qFormat/>
    <w:rsid w:val="00187B79"/>
    <w:rPr>
      <w:b w:val="0"/>
    </w:rPr>
  </w:style>
  <w:style w:type="paragraph" w:customStyle="1" w:styleId="COMtbl-textCentred">
    <w:name w:val="COMtbl-text Centred"/>
    <w:basedOn w:val="COMtbl-HEADCentred"/>
    <w:qFormat/>
    <w:rsid w:val="00187B79"/>
    <w:rPr>
      <w:b w:val="0"/>
    </w:rPr>
  </w:style>
  <w:style w:type="paragraph" w:customStyle="1" w:styleId="PbacTableHeading">
    <w:name w:val="Pbac Table Heading"/>
    <w:basedOn w:val="PBACTableText"/>
    <w:qFormat/>
    <w:rsid w:val="00EF030B"/>
    <w:pPr>
      <w:spacing w:before="0" w:after="80"/>
    </w:pPr>
    <w:rPr>
      <w:rFonts w:eastAsiaTheme="minorHAnsi" w:cs="Arial"/>
      <w:b/>
    </w:rPr>
  </w:style>
  <w:style w:type="paragraph" w:styleId="NormalWeb">
    <w:name w:val="Normal (Web)"/>
    <w:basedOn w:val="Normal"/>
    <w:uiPriority w:val="99"/>
    <w:unhideWhenUsed/>
    <w:rsid w:val="00EF030B"/>
    <w:pPr>
      <w:spacing w:after="150"/>
      <w:jc w:val="left"/>
    </w:pPr>
    <w:rPr>
      <w:rFonts w:ascii="Times New Roman" w:hAnsi="Times New Roman" w:cs="Times New Roman"/>
      <w:color w:val="222222"/>
    </w:rPr>
  </w:style>
  <w:style w:type="paragraph" w:customStyle="1" w:styleId="3Bodytext">
    <w:name w:val="3. Body text"/>
    <w:basedOn w:val="ListParagraph"/>
    <w:link w:val="3BodytextChar"/>
    <w:qFormat/>
    <w:rsid w:val="00EF030B"/>
    <w:pPr>
      <w:spacing w:after="120"/>
      <w:ind w:hanging="720"/>
      <w:contextualSpacing w:val="0"/>
      <w:jc w:val="left"/>
    </w:pPr>
    <w:rPr>
      <w:rFonts w:asciiTheme="minorHAnsi" w:hAnsiTheme="minorHAnsi" w:cstheme="minorBidi"/>
      <w:sz w:val="22"/>
      <w:szCs w:val="22"/>
    </w:rPr>
  </w:style>
  <w:style w:type="character" w:customStyle="1" w:styleId="3BodytextChar">
    <w:name w:val="3. Body text Char"/>
    <w:basedOn w:val="ListParagraphChar"/>
    <w:link w:val="3Bodytext"/>
    <w:rsid w:val="00EF030B"/>
    <w:rPr>
      <w:rFonts w:asciiTheme="minorHAnsi" w:hAnsiTheme="minorHAnsi" w:cstheme="minorBidi"/>
      <w:sz w:val="22"/>
      <w:szCs w:val="22"/>
    </w:rPr>
  </w:style>
  <w:style w:type="paragraph" w:styleId="FootnoteText">
    <w:name w:val="footnote text"/>
    <w:basedOn w:val="Normal"/>
    <w:link w:val="FootnoteTextChar"/>
    <w:semiHidden/>
    <w:unhideWhenUsed/>
    <w:rsid w:val="00964D6C"/>
    <w:rPr>
      <w:sz w:val="20"/>
      <w:szCs w:val="20"/>
    </w:rPr>
  </w:style>
  <w:style w:type="character" w:customStyle="1" w:styleId="FootnoteTextChar">
    <w:name w:val="Footnote Text Char"/>
    <w:basedOn w:val="DefaultParagraphFont"/>
    <w:link w:val="FootnoteText"/>
    <w:semiHidden/>
    <w:rsid w:val="00964D6C"/>
    <w:rPr>
      <w:rFonts w:ascii="Calibri" w:hAnsi="Calibri" w:cs="Arial"/>
    </w:rPr>
  </w:style>
  <w:style w:type="character" w:styleId="FootnoteReference">
    <w:name w:val="footnote reference"/>
    <w:basedOn w:val="DefaultParagraphFont"/>
    <w:semiHidden/>
    <w:unhideWhenUsed/>
    <w:rsid w:val="00964D6C"/>
    <w:rPr>
      <w:vertAlign w:val="superscript"/>
    </w:rPr>
  </w:style>
  <w:style w:type="paragraph" w:styleId="NoSpacing">
    <w:name w:val="No Spacing"/>
    <w:uiPriority w:val="1"/>
    <w:qFormat/>
    <w:rsid w:val="000748B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688123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1196-887B-4B64-B942-3EF9CB2C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12996</Words>
  <Characters>77423</Characters>
  <Application>Microsoft Office Word</Application>
  <DocSecurity>0</DocSecurity>
  <Lines>645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2022-03-02T02:10:00Z</dcterms:created>
  <dcterms:modified xsi:type="dcterms:W3CDTF">2022-03-02T02:10:00Z</dcterms:modified>
</cp:coreProperties>
</file>