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704278" w:rsidRDefault="00D31FCE" w:rsidP="005E0D82">
      <w:pPr>
        <w:pStyle w:val="1MainTitle"/>
        <w:jc w:val="left"/>
        <w:rPr>
          <w:rFonts w:eastAsia="Calibri"/>
          <w:lang w:eastAsia="en-US"/>
        </w:rPr>
      </w:pPr>
      <w:r w:rsidRPr="00704278">
        <w:rPr>
          <w:rFonts w:eastAsia="Calibri"/>
          <w:lang w:eastAsia="en-US"/>
        </w:rPr>
        <w:t>7.06</w:t>
      </w:r>
      <w:r w:rsidRPr="00704278">
        <w:rPr>
          <w:rFonts w:eastAsia="Calibri"/>
          <w:lang w:eastAsia="en-US"/>
        </w:rPr>
        <w:tab/>
        <w:t>GUSELKUMAB</w:t>
      </w:r>
      <w:r w:rsidR="00A44EC1" w:rsidRPr="00704278">
        <w:rPr>
          <w:rFonts w:eastAsia="Calibri"/>
          <w:lang w:eastAsia="en-US"/>
        </w:rPr>
        <w:t xml:space="preserve">, </w:t>
      </w:r>
      <w:r w:rsidR="005E0D82" w:rsidRPr="00704278">
        <w:rPr>
          <w:rFonts w:eastAsia="Calibri"/>
          <w:lang w:eastAsia="en-US"/>
        </w:rPr>
        <w:br/>
      </w:r>
      <w:r w:rsidRPr="00704278">
        <w:rPr>
          <w:rFonts w:eastAsia="Calibri"/>
          <w:lang w:eastAsia="en-US"/>
        </w:rPr>
        <w:t>Injection 100 mg in 1 mL single use pre-filled pen</w:t>
      </w:r>
      <w:r w:rsidR="00BF27A0" w:rsidRPr="00704278">
        <w:rPr>
          <w:rFonts w:eastAsia="Calibri"/>
          <w:lang w:eastAsia="en-US"/>
        </w:rPr>
        <w:t>,</w:t>
      </w:r>
      <w:r w:rsidR="005E0D82" w:rsidRPr="00704278">
        <w:rPr>
          <w:rFonts w:eastAsia="Calibri"/>
          <w:lang w:eastAsia="en-US"/>
        </w:rPr>
        <w:br/>
      </w:r>
      <w:r w:rsidRPr="00704278">
        <w:rPr>
          <w:rFonts w:eastAsia="Calibri"/>
          <w:lang w:eastAsia="en-US"/>
        </w:rPr>
        <w:t>Tremfya</w:t>
      </w:r>
      <w:r w:rsidRPr="00704278">
        <w:rPr>
          <w:rFonts w:eastAsia="Calibri" w:cstheme="minorHAnsi"/>
          <w:lang w:eastAsia="en-US"/>
        </w:rPr>
        <w:t>®</w:t>
      </w:r>
      <w:r w:rsidR="00BF27A0" w:rsidRPr="00704278">
        <w:rPr>
          <w:rFonts w:eastAsia="Calibri"/>
          <w:lang w:eastAsia="en-US"/>
        </w:rPr>
        <w:t>,</w:t>
      </w:r>
      <w:r w:rsidR="005E0D82" w:rsidRPr="00704278">
        <w:rPr>
          <w:rFonts w:eastAsia="Calibri"/>
          <w:lang w:eastAsia="en-US"/>
        </w:rPr>
        <w:br/>
      </w:r>
      <w:r w:rsidRPr="00704278">
        <w:rPr>
          <w:rFonts w:eastAsia="Calibri"/>
          <w:lang w:eastAsia="en-US"/>
        </w:rPr>
        <w:t>Janssen-Cilag Pty Ltd</w:t>
      </w:r>
      <w:r w:rsidR="00BF27A0" w:rsidRPr="00704278">
        <w:rPr>
          <w:rFonts w:eastAsia="Calibri"/>
          <w:lang w:eastAsia="en-US"/>
        </w:rPr>
        <w:t xml:space="preserve"> </w:t>
      </w:r>
    </w:p>
    <w:p w:rsidR="008A50F1" w:rsidRPr="00704278" w:rsidRDefault="00CE10C4" w:rsidP="008F0213">
      <w:pPr>
        <w:pStyle w:val="2-SectionHeading"/>
      </w:pPr>
      <w:r w:rsidRPr="00704278">
        <w:t xml:space="preserve">Purpose of </w:t>
      </w:r>
      <w:r w:rsidR="0004240E" w:rsidRPr="00704278">
        <w:t>Application</w:t>
      </w:r>
      <w:r w:rsidR="00034905" w:rsidRPr="00704278">
        <w:t xml:space="preserve"> </w:t>
      </w:r>
    </w:p>
    <w:p w:rsidR="004B2348" w:rsidRPr="00704278" w:rsidRDefault="00502E64" w:rsidP="008A17A3">
      <w:pPr>
        <w:pStyle w:val="3Bodytext"/>
        <w:jc w:val="both"/>
      </w:pPr>
      <w:r w:rsidRPr="00704278">
        <w:t>The</w:t>
      </w:r>
      <w:r w:rsidR="00010860" w:rsidRPr="00704278">
        <w:t xml:space="preserve"> minor resubmission </w:t>
      </w:r>
      <w:r w:rsidR="00BC470E" w:rsidRPr="00704278">
        <w:t xml:space="preserve">requested </w:t>
      </w:r>
      <w:r w:rsidR="00010860" w:rsidRPr="00704278">
        <w:t xml:space="preserve">the PBAC reconsider its July 2020 recommendation so </w:t>
      </w:r>
      <w:r w:rsidR="008E77E4" w:rsidRPr="00704278">
        <w:t xml:space="preserve">that </w:t>
      </w:r>
      <w:r w:rsidRPr="00704278">
        <w:t>guselkumab</w:t>
      </w:r>
      <w:r w:rsidR="00E50790" w:rsidRPr="00704278">
        <w:t xml:space="preserve"> 100 mg</w:t>
      </w:r>
      <w:r w:rsidRPr="00704278">
        <w:t xml:space="preserve"> </w:t>
      </w:r>
      <w:r w:rsidR="00010860" w:rsidRPr="00704278">
        <w:t>pre-filled pen (</w:t>
      </w:r>
      <w:r w:rsidRPr="00704278">
        <w:t>PFP</w:t>
      </w:r>
      <w:r w:rsidR="00010860" w:rsidRPr="00704278">
        <w:t>)</w:t>
      </w:r>
      <w:r w:rsidRPr="00704278">
        <w:t xml:space="preserve"> </w:t>
      </w:r>
      <w:r w:rsidR="00010860" w:rsidRPr="00704278">
        <w:t xml:space="preserve">is </w:t>
      </w:r>
      <w:r w:rsidR="003B0D3A" w:rsidRPr="00704278">
        <w:t xml:space="preserve">cost-minimised </w:t>
      </w:r>
      <w:r w:rsidR="005E46EF" w:rsidRPr="00704278">
        <w:t xml:space="preserve">against the </w:t>
      </w:r>
      <w:r w:rsidR="003B0D3A" w:rsidRPr="00704278">
        <w:t xml:space="preserve">guselkumab </w:t>
      </w:r>
      <w:r w:rsidR="003173FC" w:rsidRPr="00704278">
        <w:t>100 mg pre-filled syringe (</w:t>
      </w:r>
      <w:r w:rsidR="003B0D3A" w:rsidRPr="00704278">
        <w:t>PFS</w:t>
      </w:r>
      <w:r w:rsidR="003173FC" w:rsidRPr="00704278">
        <w:t>)</w:t>
      </w:r>
      <w:r w:rsidR="005E46EF" w:rsidRPr="00704278">
        <w:t xml:space="preserve"> rather than against the lowest cost</w:t>
      </w:r>
      <w:r w:rsidR="00D429EC" w:rsidRPr="00704278">
        <w:t xml:space="preserve"> </w:t>
      </w:r>
      <w:r w:rsidR="005E46EF" w:rsidRPr="00704278">
        <w:t>biological disease modifying antirheumatic drugs (bDMARDs)</w:t>
      </w:r>
      <w:r w:rsidR="00704278">
        <w:t xml:space="preserve">. </w:t>
      </w:r>
    </w:p>
    <w:p w:rsidR="00FD3B6E" w:rsidRPr="00704278" w:rsidRDefault="00A01432" w:rsidP="006E2732">
      <w:pPr>
        <w:pStyle w:val="2-SectionHeading"/>
      </w:pPr>
      <w:r w:rsidRPr="00704278">
        <w:t xml:space="preserve">Background </w:t>
      </w:r>
    </w:p>
    <w:p w:rsidR="00010860" w:rsidRPr="00704278" w:rsidRDefault="00010860" w:rsidP="00F207B1">
      <w:pPr>
        <w:pStyle w:val="4-SubsectionHeading"/>
      </w:pPr>
      <w:r w:rsidRPr="00704278">
        <w:t>Previous PBAC consideration</w:t>
      </w:r>
    </w:p>
    <w:p w:rsidR="00FD3B6E" w:rsidRPr="00704278" w:rsidRDefault="00FD3B6E" w:rsidP="00D429EC">
      <w:pPr>
        <w:pStyle w:val="3Bodytext"/>
        <w:jc w:val="both"/>
      </w:pPr>
      <w:r w:rsidRPr="00704278">
        <w:t xml:space="preserve">At its July 2020 meeting, the PBAC recommended listing guselkumab 100 mg PFP, under the same arrangements as the currently listed guselkumab PFS, on a cost-minimisation basis against the lowest cost </w:t>
      </w:r>
      <w:r w:rsidR="00010860" w:rsidRPr="00704278">
        <w:t xml:space="preserve">bDMARDs </w:t>
      </w:r>
      <w:r w:rsidRPr="00704278">
        <w:t xml:space="preserve">available for severe </w:t>
      </w:r>
      <w:r w:rsidR="00010860" w:rsidRPr="00704278">
        <w:t>chronic plaque psoriasis (</w:t>
      </w:r>
      <w:r w:rsidRPr="00704278">
        <w:t>CPP</w:t>
      </w:r>
      <w:r w:rsidR="00010860" w:rsidRPr="00704278">
        <w:t>)</w:t>
      </w:r>
      <w:r w:rsidRPr="00704278">
        <w:t>.</w:t>
      </w:r>
    </w:p>
    <w:p w:rsidR="00253050" w:rsidRPr="00704278" w:rsidRDefault="00754DF9" w:rsidP="00253050">
      <w:pPr>
        <w:pStyle w:val="3Bodytext"/>
        <w:jc w:val="both"/>
      </w:pPr>
      <w:r w:rsidRPr="00704278">
        <w:t xml:space="preserve">The PBAC considered </w:t>
      </w:r>
      <w:r w:rsidR="007979BD" w:rsidRPr="00704278">
        <w:t xml:space="preserve">that any of the current PBS-listed bDMARDs for severe CPP could be an alternative therapy to guselkumab and that </w:t>
      </w:r>
      <w:r w:rsidRPr="00704278">
        <w:t>other re</w:t>
      </w:r>
      <w:r w:rsidR="00C06D79" w:rsidRPr="00704278">
        <w:t>levant comparators may include</w:t>
      </w:r>
      <w:r w:rsidRPr="00704278">
        <w:t xml:space="preserve"> adalimumab, etanercept, infliximab, ixekizumab, risankizumab, secukinumab, tildrakizumab and ustekinumab (guselkumab</w:t>
      </w:r>
      <w:r w:rsidR="003B12BD" w:rsidRPr="00704278">
        <w:t>,</w:t>
      </w:r>
      <w:r w:rsidRPr="00704278">
        <w:t xml:space="preserve"> Public Summary Document</w:t>
      </w:r>
      <w:r w:rsidR="003B12BD" w:rsidRPr="00704278">
        <w:t xml:space="preserve"> (PSD)</w:t>
      </w:r>
      <w:r w:rsidRPr="00704278">
        <w:t>, July</w:t>
      </w:r>
      <w:r w:rsidR="003B12BD" w:rsidRPr="00704278">
        <w:t> </w:t>
      </w:r>
      <w:r w:rsidRPr="00704278">
        <w:t>2020).</w:t>
      </w:r>
      <w:r w:rsidR="00253050" w:rsidRPr="00704278">
        <w:t xml:space="preserve"> </w:t>
      </w:r>
    </w:p>
    <w:p w:rsidR="00253050" w:rsidRPr="00704278" w:rsidRDefault="00253050" w:rsidP="00253050">
      <w:pPr>
        <w:pStyle w:val="3Bodytext"/>
        <w:numPr>
          <w:ilvl w:val="0"/>
          <w:numId w:val="0"/>
        </w:numPr>
        <w:jc w:val="both"/>
      </w:pPr>
      <w:r w:rsidRPr="00704278">
        <w:rPr>
          <w:i/>
        </w:rPr>
        <w:t>For more deta</w:t>
      </w:r>
      <w:r w:rsidR="007768C8" w:rsidRPr="00704278">
        <w:rPr>
          <w:i/>
        </w:rPr>
        <w:t xml:space="preserve">il on PBAC’s view, see section </w:t>
      </w:r>
      <w:r w:rsidR="00F207B1" w:rsidRPr="00704278">
        <w:rPr>
          <w:i/>
        </w:rPr>
        <w:t>5</w:t>
      </w:r>
      <w:r w:rsidRPr="00704278">
        <w:rPr>
          <w:i/>
        </w:rPr>
        <w:t xml:space="preserve"> PBAC outcome.</w:t>
      </w:r>
    </w:p>
    <w:p w:rsidR="005A3173" w:rsidRPr="00704278" w:rsidRDefault="005A3173" w:rsidP="00F20676">
      <w:pPr>
        <w:pStyle w:val="2-SectionHeading"/>
        <w:rPr>
          <w:color w:val="FF0000"/>
        </w:rPr>
      </w:pPr>
      <w:r w:rsidRPr="00704278">
        <w:t>Comparator</w:t>
      </w:r>
      <w:r w:rsidR="0099465B" w:rsidRPr="00704278">
        <w:t xml:space="preserve"> </w:t>
      </w:r>
    </w:p>
    <w:p w:rsidR="008A643E" w:rsidRPr="00704278" w:rsidRDefault="007979BD" w:rsidP="00087C4C">
      <w:pPr>
        <w:pStyle w:val="3Bodytext"/>
        <w:jc w:val="both"/>
        <w:rPr>
          <w:color w:val="FF0000"/>
        </w:rPr>
      </w:pPr>
      <w:r w:rsidRPr="00704278">
        <w:t>T</w:t>
      </w:r>
      <w:r w:rsidR="00EF6843" w:rsidRPr="00704278">
        <w:t xml:space="preserve">he Sponsor </w:t>
      </w:r>
      <w:r w:rsidR="005F0AD0" w:rsidRPr="00704278">
        <w:t>disagreed</w:t>
      </w:r>
      <w:r w:rsidR="00EF6843" w:rsidRPr="00704278">
        <w:t xml:space="preserve"> </w:t>
      </w:r>
      <w:r w:rsidR="00DF7507" w:rsidRPr="00704278">
        <w:t xml:space="preserve">with the </w:t>
      </w:r>
      <w:r w:rsidR="005E46EF" w:rsidRPr="00704278">
        <w:t xml:space="preserve">July 2020 </w:t>
      </w:r>
      <w:r w:rsidR="00DF7507" w:rsidRPr="00704278">
        <w:t xml:space="preserve">PBAC recommendation </w:t>
      </w:r>
      <w:r w:rsidR="00EF6843" w:rsidRPr="00704278">
        <w:t xml:space="preserve">that the other </w:t>
      </w:r>
      <w:r w:rsidR="005F0AD0" w:rsidRPr="00704278">
        <w:t xml:space="preserve">current PBS-listed bDMARDs </w:t>
      </w:r>
      <w:r w:rsidR="00EF6843" w:rsidRPr="00704278">
        <w:t>for severe CPP are rel</w:t>
      </w:r>
      <w:r w:rsidR="00755CC5" w:rsidRPr="00704278">
        <w:t xml:space="preserve">evant comparators for guselkumab PFP, </w:t>
      </w:r>
      <w:r w:rsidR="005E46EF" w:rsidRPr="00704278">
        <w:t>stating</w:t>
      </w:r>
      <w:r w:rsidR="00755CC5" w:rsidRPr="00704278">
        <w:t xml:space="preserve"> that </w:t>
      </w:r>
      <w:r w:rsidR="005E46EF" w:rsidRPr="00704278">
        <w:t xml:space="preserve">guselkumab PFP will primarily replace the PBS-listed </w:t>
      </w:r>
      <w:r w:rsidR="00755CC5" w:rsidRPr="00704278">
        <w:t>guselkumab</w:t>
      </w:r>
      <w:r w:rsidR="005E46EF" w:rsidRPr="00704278">
        <w:t xml:space="preserve"> PFS</w:t>
      </w:r>
      <w:r w:rsidR="00755CC5" w:rsidRPr="00704278">
        <w:t xml:space="preserve">. </w:t>
      </w:r>
    </w:p>
    <w:p w:rsidR="00087C4C" w:rsidRPr="00704278" w:rsidRDefault="00054E2B" w:rsidP="00514EAC">
      <w:pPr>
        <w:pStyle w:val="3Bodytext"/>
        <w:jc w:val="both"/>
        <w:rPr>
          <w:color w:val="FF0000"/>
        </w:rPr>
      </w:pPr>
      <w:r w:rsidRPr="00704278">
        <w:t xml:space="preserve">The </w:t>
      </w:r>
      <w:r w:rsidR="002B77D7" w:rsidRPr="00704278">
        <w:t>resubmission</w:t>
      </w:r>
      <w:r w:rsidRPr="00704278">
        <w:t xml:space="preserve"> argued that guselkumab PF</w:t>
      </w:r>
      <w:r w:rsidR="004D5ADD" w:rsidRPr="00704278">
        <w:t>S</w:t>
      </w:r>
      <w:r w:rsidRPr="00704278">
        <w:t xml:space="preserve"> </w:t>
      </w:r>
      <w:r w:rsidR="00420400" w:rsidRPr="00704278">
        <w:t xml:space="preserve">is the </w:t>
      </w:r>
      <w:r w:rsidR="004D5ADD" w:rsidRPr="00704278">
        <w:t xml:space="preserve">appropriate comparator for guselkumab PFP because it is the </w:t>
      </w:r>
      <w:r w:rsidR="00420400" w:rsidRPr="00704278">
        <w:t>same dr</w:t>
      </w:r>
      <w:r w:rsidR="00C57465" w:rsidRPr="00704278">
        <w:t>ug, man</w:t>
      </w:r>
      <w:r w:rsidR="007A6A2F" w:rsidRPr="00704278">
        <w:t>ner</w:t>
      </w:r>
      <w:r w:rsidR="00C57465" w:rsidRPr="00704278">
        <w:t xml:space="preserve"> of administration, and dosage as the PFS, and </w:t>
      </w:r>
      <w:r w:rsidR="00B812D6" w:rsidRPr="00704278">
        <w:t xml:space="preserve">the PFP </w:t>
      </w:r>
      <w:r w:rsidR="00280EDA" w:rsidRPr="00704278">
        <w:t xml:space="preserve">form </w:t>
      </w:r>
      <w:r w:rsidR="00B812D6" w:rsidRPr="00704278">
        <w:t xml:space="preserve">would only replace the </w:t>
      </w:r>
      <w:r w:rsidR="007A6A2F" w:rsidRPr="00704278">
        <w:t xml:space="preserve">guselkumab </w:t>
      </w:r>
      <w:r w:rsidR="00B812D6" w:rsidRPr="00704278">
        <w:t>PFS in clinical practice and w</w:t>
      </w:r>
      <w:r w:rsidR="007A6A2F" w:rsidRPr="00704278">
        <w:t>ould</w:t>
      </w:r>
      <w:r w:rsidR="00B812D6" w:rsidRPr="00704278">
        <w:t xml:space="preserve"> not change the utilisation of any other </w:t>
      </w:r>
      <w:r w:rsidR="005F0AD0" w:rsidRPr="00704278">
        <w:t>bDMARDs</w:t>
      </w:r>
      <w:r w:rsidR="005F0AD0" w:rsidRPr="00704278" w:rsidDel="005F0AD0">
        <w:t xml:space="preserve"> </w:t>
      </w:r>
      <w:r w:rsidR="00B812D6" w:rsidRPr="00704278">
        <w:t>for severe CPP.</w:t>
      </w:r>
      <w:r w:rsidR="005033D0" w:rsidRPr="00704278">
        <w:t xml:space="preserve"> The PBAC recalled its consideration in July 2018 and July 2020 that </w:t>
      </w:r>
      <w:r w:rsidR="00583DF6" w:rsidRPr="00704278">
        <w:t xml:space="preserve">any of the current PBS-listed bDMARDs for severe CPP could be an alternative therapy to guselkumab. The PBAC further recalled that </w:t>
      </w:r>
      <w:r w:rsidR="005033D0" w:rsidRPr="00704278">
        <w:t>PFS was recommended on a cost-minimisation basis against the lowest cost biological agent available for severe CPP.</w:t>
      </w:r>
    </w:p>
    <w:p w:rsidR="005170DA" w:rsidRPr="00704278" w:rsidRDefault="00124BF2" w:rsidP="005170DA">
      <w:pPr>
        <w:pStyle w:val="Bodytextitalics"/>
        <w:numPr>
          <w:ilvl w:val="1"/>
          <w:numId w:val="2"/>
        </w:numPr>
        <w:rPr>
          <w:i w:val="0"/>
          <w:color w:val="000000" w:themeColor="text1"/>
        </w:rPr>
      </w:pPr>
      <w:r w:rsidRPr="00704278">
        <w:rPr>
          <w:i w:val="0"/>
        </w:rPr>
        <w:lastRenderedPageBreak/>
        <w:t>The resubmission provid</w:t>
      </w:r>
      <w:r w:rsidR="00612A95" w:rsidRPr="00704278">
        <w:rPr>
          <w:i w:val="0"/>
        </w:rPr>
        <w:t xml:space="preserve">ed a </w:t>
      </w:r>
      <w:r w:rsidR="00DF7507" w:rsidRPr="00704278">
        <w:rPr>
          <w:i w:val="0"/>
        </w:rPr>
        <w:t xml:space="preserve">summary </w:t>
      </w:r>
      <w:r w:rsidR="00612A95" w:rsidRPr="00704278">
        <w:rPr>
          <w:i w:val="0"/>
        </w:rPr>
        <w:t xml:space="preserve">of </w:t>
      </w:r>
      <w:r w:rsidRPr="00704278">
        <w:rPr>
          <w:i w:val="0"/>
        </w:rPr>
        <w:t xml:space="preserve">previous PBAC considerations of </w:t>
      </w:r>
      <w:r w:rsidR="00612A95" w:rsidRPr="00704278">
        <w:rPr>
          <w:i w:val="0"/>
        </w:rPr>
        <w:t xml:space="preserve">new </w:t>
      </w:r>
      <w:r w:rsidR="00F20676" w:rsidRPr="00704278">
        <w:rPr>
          <w:i w:val="0"/>
        </w:rPr>
        <w:t>PFP</w:t>
      </w:r>
      <w:r w:rsidR="00612A95" w:rsidRPr="00704278">
        <w:rPr>
          <w:i w:val="0"/>
        </w:rPr>
        <w:t xml:space="preserve"> or auto-injector</w:t>
      </w:r>
      <w:r w:rsidR="00F20676" w:rsidRPr="00704278">
        <w:rPr>
          <w:i w:val="0"/>
        </w:rPr>
        <w:t xml:space="preserve"> presentations</w:t>
      </w:r>
      <w:r w:rsidR="00612A95" w:rsidRPr="00704278">
        <w:rPr>
          <w:i w:val="0"/>
        </w:rPr>
        <w:t xml:space="preserve"> </w:t>
      </w:r>
      <w:r w:rsidR="000B65F6" w:rsidRPr="00704278">
        <w:rPr>
          <w:i w:val="0"/>
        </w:rPr>
        <w:t xml:space="preserve">of </w:t>
      </w:r>
      <w:r w:rsidR="005F0AD0" w:rsidRPr="00704278">
        <w:rPr>
          <w:i w:val="0"/>
        </w:rPr>
        <w:t>bDMARDs</w:t>
      </w:r>
      <w:r w:rsidR="005F0AD0" w:rsidRPr="00704278" w:rsidDel="005F0AD0">
        <w:rPr>
          <w:i w:val="0"/>
        </w:rPr>
        <w:t xml:space="preserve"> </w:t>
      </w:r>
      <w:r w:rsidR="00612A95" w:rsidRPr="00704278">
        <w:rPr>
          <w:i w:val="0"/>
        </w:rPr>
        <w:t xml:space="preserve">for which </w:t>
      </w:r>
      <w:r w:rsidR="000B65F6" w:rsidRPr="00704278">
        <w:rPr>
          <w:i w:val="0"/>
        </w:rPr>
        <w:t>a subcutaneous injection presentation was already listed</w:t>
      </w:r>
      <w:r w:rsidR="00DF7507" w:rsidRPr="00704278">
        <w:rPr>
          <w:i w:val="0"/>
        </w:rPr>
        <w:t xml:space="preserve"> (Table 1)</w:t>
      </w:r>
      <w:r w:rsidR="00612A95" w:rsidRPr="00704278">
        <w:rPr>
          <w:i w:val="0"/>
        </w:rPr>
        <w:t>. The</w:t>
      </w:r>
      <w:r w:rsidR="009E2588" w:rsidRPr="00704278">
        <w:rPr>
          <w:i w:val="0"/>
        </w:rPr>
        <w:t xml:space="preserve"> resubmission argued that in each of these cases the PBAC recommended on the basis tha</w:t>
      </w:r>
      <w:bookmarkStart w:id="0" w:name="_GoBack"/>
      <w:bookmarkEnd w:id="0"/>
      <w:r w:rsidR="009E2588" w:rsidRPr="00704278">
        <w:rPr>
          <w:i w:val="0"/>
        </w:rPr>
        <w:t xml:space="preserve">t the new </w:t>
      </w:r>
      <w:r w:rsidR="00E50790" w:rsidRPr="00704278">
        <w:rPr>
          <w:i w:val="0"/>
        </w:rPr>
        <w:t xml:space="preserve">form </w:t>
      </w:r>
      <w:r w:rsidR="009E2588" w:rsidRPr="00704278">
        <w:rPr>
          <w:i w:val="0"/>
        </w:rPr>
        <w:t xml:space="preserve">would only replace </w:t>
      </w:r>
      <w:r w:rsidR="001A4413" w:rsidRPr="00704278">
        <w:rPr>
          <w:i w:val="0"/>
        </w:rPr>
        <w:t xml:space="preserve">the existing </w:t>
      </w:r>
      <w:r w:rsidR="00E50790" w:rsidRPr="00704278">
        <w:rPr>
          <w:i w:val="0"/>
        </w:rPr>
        <w:t xml:space="preserve">form </w:t>
      </w:r>
      <w:r w:rsidR="00F20676" w:rsidRPr="00704278">
        <w:rPr>
          <w:i w:val="0"/>
        </w:rPr>
        <w:t>of the same medicine,</w:t>
      </w:r>
      <w:r w:rsidR="001A4413" w:rsidRPr="00704278">
        <w:rPr>
          <w:i w:val="0"/>
        </w:rPr>
        <w:t xml:space="preserve"> without reference to the potential replacement of ot</w:t>
      </w:r>
      <w:r w:rsidR="00D429EC" w:rsidRPr="00704278">
        <w:rPr>
          <w:i w:val="0"/>
        </w:rPr>
        <w:t>her medicines.</w:t>
      </w:r>
      <w:r w:rsidR="005170DA" w:rsidRPr="00704278">
        <w:rPr>
          <w:i w:val="0"/>
          <w:color w:val="000000" w:themeColor="text1"/>
        </w:rPr>
        <w:t xml:space="preserve"> </w:t>
      </w:r>
      <w:r w:rsidR="00270B99" w:rsidRPr="00704278">
        <w:rPr>
          <w:i w:val="0"/>
          <w:color w:val="000000" w:themeColor="text1"/>
        </w:rPr>
        <w:t>The PBAC noted that n</w:t>
      </w:r>
      <w:r w:rsidR="001B0B79" w:rsidRPr="00704278">
        <w:rPr>
          <w:i w:val="0"/>
          <w:color w:val="000000" w:themeColor="text1"/>
        </w:rPr>
        <w:t xml:space="preserve">one of these cases were considered for the treatment of CPP. </w:t>
      </w:r>
    </w:p>
    <w:p w:rsidR="00B72906" w:rsidRPr="00704278" w:rsidRDefault="00B72906" w:rsidP="006C1AA0">
      <w:pPr>
        <w:pStyle w:val="Tabletitles"/>
        <w:jc w:val="left"/>
        <w:rPr>
          <w:szCs w:val="20"/>
        </w:rPr>
      </w:pPr>
      <w:r w:rsidRPr="00704278">
        <w:rPr>
          <w:szCs w:val="20"/>
        </w:rPr>
        <w:t xml:space="preserve">Table 1: Summary of previous PBAC considerations of new </w:t>
      </w:r>
      <w:r w:rsidR="00071A5B" w:rsidRPr="00704278">
        <w:rPr>
          <w:szCs w:val="20"/>
        </w:rPr>
        <w:t xml:space="preserve">biological </w:t>
      </w:r>
      <w:r w:rsidR="00E50790" w:rsidRPr="00704278">
        <w:rPr>
          <w:szCs w:val="20"/>
        </w:rPr>
        <w:t xml:space="preserve">forms </w:t>
      </w:r>
      <w:r w:rsidRPr="00704278">
        <w:rPr>
          <w:szCs w:val="20"/>
        </w:rPr>
        <w:t>discussed in the resubmission</w:t>
      </w:r>
    </w:p>
    <w:tbl>
      <w:tblPr>
        <w:tblStyle w:val="TableGrid"/>
        <w:tblW w:w="5000" w:type="pct"/>
        <w:tblLook w:val="04A0" w:firstRow="1" w:lastRow="0" w:firstColumn="1" w:lastColumn="0" w:noHBand="0" w:noVBand="1"/>
        <w:tblCaption w:val="Table 1: Summary of previous PBAC considerations of new biological forms discussed in the resubmission"/>
      </w:tblPr>
      <w:tblGrid>
        <w:gridCol w:w="2481"/>
        <w:gridCol w:w="6535"/>
      </w:tblGrid>
      <w:tr w:rsidR="008A1E85" w:rsidRPr="00704278" w:rsidTr="00637218">
        <w:trPr>
          <w:tblHeader/>
        </w:trPr>
        <w:tc>
          <w:tcPr>
            <w:tcW w:w="1376" w:type="pct"/>
          </w:tcPr>
          <w:p w:rsidR="008A1E85" w:rsidRPr="00704278" w:rsidRDefault="008A1E85" w:rsidP="006C1AA0">
            <w:pPr>
              <w:pStyle w:val="3Bodytext"/>
              <w:numPr>
                <w:ilvl w:val="0"/>
                <w:numId w:val="0"/>
              </w:numPr>
              <w:rPr>
                <w:rFonts w:ascii="Arial Narrow" w:hAnsi="Arial Narrow"/>
                <w:b/>
                <w:sz w:val="20"/>
                <w:szCs w:val="20"/>
              </w:rPr>
            </w:pPr>
            <w:r w:rsidRPr="00704278">
              <w:rPr>
                <w:rFonts w:ascii="Arial Narrow" w:hAnsi="Arial Narrow"/>
                <w:b/>
                <w:sz w:val="20"/>
                <w:szCs w:val="20"/>
              </w:rPr>
              <w:t>Medication</w:t>
            </w:r>
          </w:p>
        </w:tc>
        <w:tc>
          <w:tcPr>
            <w:tcW w:w="3624" w:type="pct"/>
          </w:tcPr>
          <w:p w:rsidR="008A1E85" w:rsidRPr="00704278" w:rsidRDefault="008A1E85" w:rsidP="006C1AA0">
            <w:pPr>
              <w:pStyle w:val="3Bodytext"/>
              <w:numPr>
                <w:ilvl w:val="0"/>
                <w:numId w:val="0"/>
              </w:numPr>
              <w:rPr>
                <w:rFonts w:ascii="Arial Narrow" w:hAnsi="Arial Narrow"/>
                <w:b/>
                <w:sz w:val="20"/>
                <w:szCs w:val="20"/>
              </w:rPr>
            </w:pPr>
            <w:r w:rsidRPr="00704278">
              <w:rPr>
                <w:rFonts w:ascii="Arial Narrow" w:hAnsi="Arial Narrow"/>
                <w:b/>
                <w:sz w:val="20"/>
                <w:szCs w:val="20"/>
              </w:rPr>
              <w:t>Discussion</w:t>
            </w:r>
          </w:p>
        </w:tc>
      </w:tr>
      <w:tr w:rsidR="008A1E85" w:rsidRPr="00704278" w:rsidTr="008A1E85">
        <w:tc>
          <w:tcPr>
            <w:tcW w:w="1376" w:type="pct"/>
          </w:tcPr>
          <w:p w:rsidR="008A1E85" w:rsidRPr="00704278" w:rsidRDefault="008A1E85" w:rsidP="006C1AA0">
            <w:pPr>
              <w:pStyle w:val="3Bodytext"/>
              <w:numPr>
                <w:ilvl w:val="0"/>
                <w:numId w:val="0"/>
              </w:numPr>
              <w:rPr>
                <w:rFonts w:ascii="Arial Narrow" w:hAnsi="Arial Narrow"/>
                <w:sz w:val="20"/>
                <w:szCs w:val="20"/>
              </w:rPr>
            </w:pPr>
            <w:r w:rsidRPr="00704278">
              <w:rPr>
                <w:rFonts w:ascii="Arial Narrow" w:hAnsi="Arial Narrow"/>
                <w:sz w:val="20"/>
                <w:szCs w:val="20"/>
              </w:rPr>
              <w:t>certolizumab pegol auto-injector/pre-filled pen (PFP)</w:t>
            </w:r>
          </w:p>
        </w:tc>
        <w:tc>
          <w:tcPr>
            <w:tcW w:w="3624" w:type="pct"/>
          </w:tcPr>
          <w:p w:rsidR="008A1E85" w:rsidRPr="00704278" w:rsidRDefault="008A1E85" w:rsidP="006C1AA0">
            <w:pPr>
              <w:pStyle w:val="NoSpacing"/>
              <w:tabs>
                <w:tab w:val="left" w:pos="426"/>
              </w:tabs>
              <w:spacing w:line="276" w:lineRule="auto"/>
              <w:jc w:val="left"/>
              <w:rPr>
                <w:rFonts w:ascii="Arial Narrow" w:hAnsi="Arial Narrow"/>
                <w:bCs/>
                <w:sz w:val="20"/>
                <w:szCs w:val="20"/>
              </w:rPr>
            </w:pPr>
            <w:r w:rsidRPr="00704278">
              <w:rPr>
                <w:rFonts w:ascii="Arial Narrow" w:hAnsi="Arial Narrow"/>
                <w:bCs/>
                <w:sz w:val="20"/>
                <w:szCs w:val="20"/>
              </w:rPr>
              <w:t>The PBAC considered the ce</w:t>
            </w:r>
            <w:r w:rsidR="00DF7507" w:rsidRPr="00704278">
              <w:rPr>
                <w:rFonts w:ascii="Arial Narrow" w:hAnsi="Arial Narrow"/>
                <w:bCs/>
                <w:sz w:val="20"/>
                <w:szCs w:val="20"/>
              </w:rPr>
              <w:t>r</w:t>
            </w:r>
            <w:r w:rsidRPr="00704278">
              <w:rPr>
                <w:rFonts w:ascii="Arial Narrow" w:hAnsi="Arial Narrow"/>
                <w:bCs/>
                <w:sz w:val="20"/>
                <w:szCs w:val="20"/>
              </w:rPr>
              <w:t xml:space="preserve">tolizumab PFS on 3 separate occasions prior to March 2017, and in all three instances, the PBAC recommended PBS listing of the certolizumab PFS on a cost-minimisation basis with </w:t>
            </w:r>
            <w:r w:rsidR="00640088" w:rsidRPr="00704278">
              <w:rPr>
                <w:rFonts w:ascii="Arial Narrow" w:hAnsi="Arial Narrow"/>
                <w:bCs/>
                <w:sz w:val="20"/>
                <w:szCs w:val="20"/>
              </w:rPr>
              <w:t>adalimumab</w:t>
            </w:r>
            <w:r w:rsidRPr="00704278">
              <w:rPr>
                <w:rFonts w:ascii="Arial Narrow" w:hAnsi="Arial Narrow"/>
                <w:bCs/>
                <w:sz w:val="20"/>
                <w:szCs w:val="20"/>
              </w:rPr>
              <w:t>.</w:t>
            </w:r>
          </w:p>
          <w:p w:rsidR="008A1E85" w:rsidRPr="00704278" w:rsidRDefault="008A1E85" w:rsidP="006C1AA0">
            <w:pPr>
              <w:pStyle w:val="NoSpacing"/>
              <w:tabs>
                <w:tab w:val="left" w:pos="426"/>
              </w:tabs>
              <w:spacing w:line="276" w:lineRule="auto"/>
              <w:jc w:val="left"/>
              <w:rPr>
                <w:rFonts w:ascii="Arial Narrow" w:hAnsi="Arial Narrow"/>
                <w:bCs/>
                <w:sz w:val="20"/>
                <w:szCs w:val="20"/>
              </w:rPr>
            </w:pPr>
          </w:p>
          <w:p w:rsidR="008A1E85" w:rsidRPr="00704278" w:rsidRDefault="008A1E85" w:rsidP="006C1AA0">
            <w:pPr>
              <w:pStyle w:val="NoSpacing"/>
              <w:tabs>
                <w:tab w:val="left" w:pos="426"/>
              </w:tabs>
              <w:spacing w:line="276" w:lineRule="auto"/>
              <w:jc w:val="left"/>
              <w:rPr>
                <w:rFonts w:ascii="Arial Narrow" w:hAnsi="Arial Narrow"/>
                <w:bCs/>
                <w:sz w:val="20"/>
                <w:szCs w:val="20"/>
              </w:rPr>
            </w:pPr>
            <w:r w:rsidRPr="00704278">
              <w:rPr>
                <w:rFonts w:ascii="Arial Narrow" w:hAnsi="Arial Narrow"/>
                <w:bCs/>
                <w:sz w:val="20"/>
                <w:szCs w:val="20"/>
              </w:rPr>
              <w:t xml:space="preserve">At its March 2017 meeting, the PBAC recommended PBS listing of the certolizumab PFP with the same conditions as the listed PFS presentation </w:t>
            </w:r>
            <w:r w:rsidR="007C06D2" w:rsidRPr="00704278">
              <w:rPr>
                <w:rFonts w:ascii="Arial Narrow" w:hAnsi="Arial Narrow"/>
                <w:bCs/>
                <w:sz w:val="20"/>
                <w:szCs w:val="20"/>
              </w:rPr>
              <w:t xml:space="preserve">and </w:t>
            </w:r>
            <w:r w:rsidRPr="00704278">
              <w:rPr>
                <w:rFonts w:ascii="Arial Narrow" w:hAnsi="Arial Narrow"/>
                <w:bCs/>
                <w:sz w:val="20"/>
                <w:szCs w:val="20"/>
              </w:rPr>
              <w:t>cost-minimis</w:t>
            </w:r>
            <w:r w:rsidR="007C06D2" w:rsidRPr="00704278">
              <w:rPr>
                <w:rFonts w:ascii="Arial Narrow" w:hAnsi="Arial Narrow"/>
                <w:bCs/>
                <w:sz w:val="20"/>
                <w:szCs w:val="20"/>
              </w:rPr>
              <w:t>ed to the PFS presentation</w:t>
            </w:r>
            <w:r w:rsidRPr="00704278">
              <w:rPr>
                <w:rFonts w:ascii="Arial Narrow" w:hAnsi="Arial Narrow"/>
                <w:bCs/>
                <w:sz w:val="20"/>
                <w:szCs w:val="20"/>
              </w:rPr>
              <w:t xml:space="preserve"> </w:t>
            </w:r>
            <w:r w:rsidR="00AA7006" w:rsidRPr="00704278">
              <w:rPr>
                <w:rFonts w:ascii="Arial Narrow" w:hAnsi="Arial Narrow"/>
                <w:bCs/>
                <w:sz w:val="20"/>
                <w:szCs w:val="20"/>
              </w:rPr>
              <w:t xml:space="preserve">(certolizumab pegol PSD, March 2017). </w:t>
            </w:r>
          </w:p>
        </w:tc>
      </w:tr>
      <w:tr w:rsidR="008A1E85" w:rsidRPr="00704278" w:rsidTr="008A1E85">
        <w:tc>
          <w:tcPr>
            <w:tcW w:w="1376" w:type="pct"/>
          </w:tcPr>
          <w:p w:rsidR="008A1E85" w:rsidRPr="00704278" w:rsidRDefault="008A1E85" w:rsidP="006C1AA0">
            <w:pPr>
              <w:pStyle w:val="3Bodytext"/>
              <w:numPr>
                <w:ilvl w:val="0"/>
                <w:numId w:val="0"/>
              </w:numPr>
              <w:rPr>
                <w:rFonts w:ascii="Arial Narrow" w:hAnsi="Arial Narrow"/>
                <w:sz w:val="20"/>
                <w:szCs w:val="20"/>
              </w:rPr>
            </w:pPr>
            <w:r w:rsidRPr="00704278">
              <w:rPr>
                <w:rFonts w:ascii="Arial Narrow" w:hAnsi="Arial Narrow"/>
                <w:sz w:val="20"/>
                <w:szCs w:val="20"/>
              </w:rPr>
              <w:t>tocilizumab auto-injector</w:t>
            </w:r>
          </w:p>
        </w:tc>
        <w:tc>
          <w:tcPr>
            <w:tcW w:w="3624" w:type="pct"/>
          </w:tcPr>
          <w:p w:rsidR="008A1E85" w:rsidRPr="00704278" w:rsidRDefault="00C664D2" w:rsidP="006C1AA0">
            <w:pPr>
              <w:pStyle w:val="NoSpacing"/>
              <w:tabs>
                <w:tab w:val="left" w:pos="426"/>
              </w:tabs>
              <w:spacing w:line="276" w:lineRule="auto"/>
              <w:jc w:val="left"/>
              <w:rPr>
                <w:rFonts w:ascii="Arial Narrow" w:hAnsi="Arial Narrow"/>
                <w:bCs/>
                <w:sz w:val="20"/>
                <w:szCs w:val="20"/>
              </w:rPr>
            </w:pPr>
            <w:r w:rsidRPr="00704278">
              <w:rPr>
                <w:rFonts w:ascii="Arial Narrow" w:hAnsi="Arial Narrow"/>
                <w:bCs/>
                <w:sz w:val="20"/>
                <w:szCs w:val="20"/>
              </w:rPr>
              <w:t>T</w:t>
            </w:r>
            <w:r w:rsidR="008A1E85" w:rsidRPr="00704278">
              <w:rPr>
                <w:rFonts w:ascii="Arial Narrow" w:hAnsi="Arial Narrow"/>
                <w:bCs/>
                <w:sz w:val="20"/>
                <w:szCs w:val="20"/>
              </w:rPr>
              <w:t xml:space="preserve">ocilizumab PFS was </w:t>
            </w:r>
            <w:r w:rsidRPr="00704278">
              <w:rPr>
                <w:rFonts w:ascii="Arial Narrow" w:hAnsi="Arial Narrow"/>
                <w:bCs/>
                <w:sz w:val="20"/>
                <w:szCs w:val="20"/>
              </w:rPr>
              <w:t xml:space="preserve">initially </w:t>
            </w:r>
            <w:r w:rsidR="008A1E85" w:rsidRPr="00704278">
              <w:rPr>
                <w:rFonts w:ascii="Arial Narrow" w:hAnsi="Arial Narrow"/>
                <w:bCs/>
                <w:sz w:val="20"/>
                <w:szCs w:val="20"/>
              </w:rPr>
              <w:t xml:space="preserve">recommended at the March 2016 PBAC meeting </w:t>
            </w:r>
            <w:r w:rsidRPr="00704278">
              <w:rPr>
                <w:rFonts w:ascii="Arial Narrow" w:hAnsi="Arial Narrow"/>
                <w:bCs/>
                <w:sz w:val="20"/>
                <w:szCs w:val="20"/>
              </w:rPr>
              <w:t xml:space="preserve">on </w:t>
            </w:r>
            <w:r w:rsidR="008A1E85" w:rsidRPr="00704278">
              <w:rPr>
                <w:rFonts w:ascii="Arial Narrow" w:hAnsi="Arial Narrow"/>
                <w:bCs/>
                <w:sz w:val="20"/>
                <w:szCs w:val="20"/>
              </w:rPr>
              <w:t xml:space="preserve">a cost-minimisation basis with the lowest cost biologic. </w:t>
            </w:r>
          </w:p>
          <w:p w:rsidR="008A1E85" w:rsidRPr="00704278" w:rsidRDefault="008A1E85" w:rsidP="006C1AA0">
            <w:pPr>
              <w:pStyle w:val="NoSpacing"/>
              <w:tabs>
                <w:tab w:val="left" w:pos="426"/>
              </w:tabs>
              <w:spacing w:line="276" w:lineRule="auto"/>
              <w:jc w:val="left"/>
              <w:rPr>
                <w:rFonts w:ascii="Arial Narrow" w:hAnsi="Arial Narrow"/>
                <w:bCs/>
                <w:sz w:val="20"/>
                <w:szCs w:val="20"/>
              </w:rPr>
            </w:pPr>
          </w:p>
          <w:p w:rsidR="008A1E85" w:rsidRPr="00704278" w:rsidRDefault="008A1E85" w:rsidP="006C1AA0">
            <w:pPr>
              <w:pStyle w:val="NoSpacing"/>
              <w:tabs>
                <w:tab w:val="left" w:pos="426"/>
              </w:tabs>
              <w:spacing w:line="276" w:lineRule="auto"/>
              <w:jc w:val="left"/>
              <w:rPr>
                <w:rFonts w:ascii="Arial Narrow" w:hAnsi="Arial Narrow"/>
                <w:bCs/>
                <w:sz w:val="20"/>
                <w:szCs w:val="20"/>
              </w:rPr>
            </w:pPr>
            <w:r w:rsidRPr="00704278">
              <w:rPr>
                <w:rFonts w:ascii="Arial Narrow" w:hAnsi="Arial Narrow"/>
                <w:bCs/>
                <w:sz w:val="20"/>
                <w:szCs w:val="20"/>
              </w:rPr>
              <w:t>At its July 2018 meeting, the PBAC recommended a new subcutaneously administered presentation of tocilizumab, an auto-injector for the treatment of severe active RA, under the same conditions as the listed PFS</w:t>
            </w:r>
            <w:r w:rsidR="007C06D2" w:rsidRPr="00704278">
              <w:rPr>
                <w:rFonts w:ascii="Arial Narrow" w:hAnsi="Arial Narrow"/>
                <w:bCs/>
                <w:sz w:val="20"/>
                <w:szCs w:val="20"/>
              </w:rPr>
              <w:t xml:space="preserve"> and cost-minimised to the PFS presentation</w:t>
            </w:r>
            <w:r w:rsidR="00AA7006" w:rsidRPr="00704278">
              <w:rPr>
                <w:rFonts w:ascii="Arial Narrow" w:hAnsi="Arial Narrow"/>
                <w:bCs/>
                <w:sz w:val="20"/>
                <w:szCs w:val="20"/>
              </w:rPr>
              <w:t xml:space="preserve"> (tocilizumab PSD, July 2018)</w:t>
            </w:r>
            <w:r w:rsidRPr="00704278">
              <w:rPr>
                <w:rFonts w:ascii="Arial Narrow" w:hAnsi="Arial Narrow"/>
                <w:bCs/>
                <w:sz w:val="20"/>
                <w:szCs w:val="20"/>
              </w:rPr>
              <w:t xml:space="preserve">. </w:t>
            </w:r>
          </w:p>
        </w:tc>
      </w:tr>
      <w:tr w:rsidR="008A1E85" w:rsidRPr="00704278" w:rsidTr="008A1E85">
        <w:tc>
          <w:tcPr>
            <w:tcW w:w="1376" w:type="pct"/>
          </w:tcPr>
          <w:p w:rsidR="008A1E85" w:rsidRPr="00704278" w:rsidRDefault="008A1E85" w:rsidP="006C1AA0">
            <w:pPr>
              <w:pStyle w:val="3Bodytext"/>
              <w:numPr>
                <w:ilvl w:val="0"/>
                <w:numId w:val="0"/>
              </w:numPr>
              <w:rPr>
                <w:rFonts w:ascii="Arial Narrow" w:hAnsi="Arial Narrow"/>
                <w:sz w:val="20"/>
                <w:szCs w:val="20"/>
              </w:rPr>
            </w:pPr>
            <w:r w:rsidRPr="00704278">
              <w:rPr>
                <w:rFonts w:ascii="Arial Narrow" w:hAnsi="Arial Narrow"/>
                <w:sz w:val="20"/>
                <w:szCs w:val="20"/>
              </w:rPr>
              <w:t xml:space="preserve">mepolizumab PFP and PFS and benralizumab PFP </w:t>
            </w:r>
          </w:p>
        </w:tc>
        <w:tc>
          <w:tcPr>
            <w:tcW w:w="3624" w:type="pct"/>
          </w:tcPr>
          <w:p w:rsidR="008A1E85" w:rsidRPr="00704278" w:rsidRDefault="008A1E85" w:rsidP="006C1AA0">
            <w:pPr>
              <w:pStyle w:val="NoSpacing"/>
              <w:tabs>
                <w:tab w:val="left" w:pos="426"/>
              </w:tabs>
              <w:spacing w:line="276" w:lineRule="auto"/>
              <w:jc w:val="left"/>
              <w:rPr>
                <w:rFonts w:ascii="Arial Narrow" w:hAnsi="Arial Narrow"/>
                <w:bCs/>
                <w:sz w:val="20"/>
                <w:szCs w:val="20"/>
              </w:rPr>
            </w:pPr>
            <w:r w:rsidRPr="00704278">
              <w:rPr>
                <w:rFonts w:ascii="Arial Narrow" w:hAnsi="Arial Narrow"/>
                <w:bCs/>
                <w:sz w:val="20"/>
                <w:szCs w:val="20"/>
              </w:rPr>
              <w:t>Mepolizumab</w:t>
            </w:r>
            <w:r w:rsidR="00640088" w:rsidRPr="00704278">
              <w:rPr>
                <w:rFonts w:ascii="Arial Narrow" w:hAnsi="Arial Narrow"/>
                <w:bCs/>
                <w:sz w:val="20"/>
                <w:szCs w:val="20"/>
              </w:rPr>
              <w:t xml:space="preserve"> vial was first recommended in March 2016</w:t>
            </w:r>
            <w:r w:rsidRPr="00704278">
              <w:rPr>
                <w:rFonts w:ascii="Arial Narrow" w:hAnsi="Arial Narrow"/>
                <w:bCs/>
                <w:sz w:val="20"/>
                <w:szCs w:val="20"/>
              </w:rPr>
              <w:t xml:space="preserve"> on a cost minimisation basis with omalizumab. Subsequently, benralizumab </w:t>
            </w:r>
            <w:r w:rsidR="00640088" w:rsidRPr="00704278">
              <w:rPr>
                <w:rFonts w:ascii="Arial Narrow" w:hAnsi="Arial Narrow"/>
                <w:bCs/>
                <w:sz w:val="20"/>
                <w:szCs w:val="20"/>
              </w:rPr>
              <w:t>PFS was recommended in</w:t>
            </w:r>
            <w:r w:rsidRPr="00704278">
              <w:rPr>
                <w:rFonts w:ascii="Arial Narrow" w:hAnsi="Arial Narrow"/>
                <w:bCs/>
                <w:sz w:val="20"/>
                <w:szCs w:val="20"/>
              </w:rPr>
              <w:t xml:space="preserve"> March 2018 on a cost-minimisation basis with mepolizumab.</w:t>
            </w:r>
          </w:p>
          <w:p w:rsidR="008A1E85" w:rsidRPr="00704278" w:rsidRDefault="008A1E85" w:rsidP="006C1AA0">
            <w:pPr>
              <w:pStyle w:val="NoSpacing"/>
              <w:tabs>
                <w:tab w:val="left" w:pos="426"/>
              </w:tabs>
              <w:spacing w:line="276" w:lineRule="auto"/>
              <w:jc w:val="left"/>
              <w:rPr>
                <w:rFonts w:ascii="Arial Narrow" w:hAnsi="Arial Narrow"/>
                <w:bCs/>
                <w:sz w:val="20"/>
                <w:szCs w:val="20"/>
              </w:rPr>
            </w:pPr>
          </w:p>
          <w:p w:rsidR="008A1E85" w:rsidRPr="00704278" w:rsidRDefault="008A1E85" w:rsidP="006C1AA0">
            <w:pPr>
              <w:pStyle w:val="NoSpacing"/>
              <w:tabs>
                <w:tab w:val="left" w:pos="426"/>
              </w:tabs>
              <w:spacing w:line="276" w:lineRule="auto"/>
              <w:jc w:val="left"/>
              <w:rPr>
                <w:rFonts w:ascii="Arial Narrow" w:hAnsi="Arial Narrow"/>
                <w:bCs/>
                <w:sz w:val="20"/>
                <w:szCs w:val="20"/>
              </w:rPr>
            </w:pPr>
            <w:r w:rsidRPr="00704278">
              <w:rPr>
                <w:rFonts w:ascii="Arial Narrow" w:hAnsi="Arial Narrow"/>
                <w:bCs/>
                <w:sz w:val="20"/>
                <w:szCs w:val="20"/>
              </w:rPr>
              <w:t xml:space="preserve">At </w:t>
            </w:r>
            <w:r w:rsidR="00071A5B" w:rsidRPr="00704278">
              <w:rPr>
                <w:rFonts w:ascii="Arial Narrow" w:hAnsi="Arial Narrow"/>
                <w:bCs/>
                <w:sz w:val="20"/>
                <w:szCs w:val="20"/>
              </w:rPr>
              <w:t>its</w:t>
            </w:r>
            <w:r w:rsidRPr="00704278">
              <w:rPr>
                <w:rFonts w:ascii="Arial Narrow" w:hAnsi="Arial Narrow"/>
                <w:bCs/>
                <w:sz w:val="20"/>
                <w:szCs w:val="20"/>
              </w:rPr>
              <w:t xml:space="preserve"> March 2020 meeting, the PBAC recommended the PBS listing of two new presentations of mepolizumab, a PFP and PFS</w:t>
            </w:r>
            <w:r w:rsidR="00071A5B" w:rsidRPr="00704278">
              <w:rPr>
                <w:rFonts w:ascii="Arial Narrow" w:hAnsi="Arial Narrow"/>
                <w:bCs/>
                <w:sz w:val="20"/>
                <w:szCs w:val="20"/>
              </w:rPr>
              <w:t>,</w:t>
            </w:r>
            <w:r w:rsidRPr="00704278">
              <w:rPr>
                <w:rFonts w:ascii="Arial Narrow" w:hAnsi="Arial Narrow"/>
                <w:bCs/>
                <w:sz w:val="20"/>
                <w:szCs w:val="20"/>
              </w:rPr>
              <w:t xml:space="preserve"> on a cost-minimisation basis to</w:t>
            </w:r>
            <w:r w:rsidR="00640088" w:rsidRPr="00704278">
              <w:rPr>
                <w:rFonts w:ascii="Arial Narrow" w:hAnsi="Arial Narrow"/>
                <w:bCs/>
                <w:sz w:val="20"/>
                <w:szCs w:val="20"/>
              </w:rPr>
              <w:t xml:space="preserve"> the</w:t>
            </w:r>
            <w:r w:rsidRPr="00704278">
              <w:rPr>
                <w:rFonts w:ascii="Arial Narrow" w:hAnsi="Arial Narrow"/>
                <w:bCs/>
                <w:sz w:val="20"/>
                <w:szCs w:val="20"/>
              </w:rPr>
              <w:t xml:space="preserve"> me</w:t>
            </w:r>
            <w:r w:rsidR="00640088" w:rsidRPr="00704278">
              <w:rPr>
                <w:rFonts w:ascii="Arial Narrow" w:hAnsi="Arial Narrow"/>
                <w:bCs/>
                <w:sz w:val="20"/>
                <w:szCs w:val="20"/>
              </w:rPr>
              <w:t>polizumab vial</w:t>
            </w:r>
            <w:r w:rsidR="00985D1A" w:rsidRPr="00704278">
              <w:rPr>
                <w:rFonts w:ascii="Arial Narrow" w:hAnsi="Arial Narrow"/>
                <w:bCs/>
                <w:sz w:val="20"/>
                <w:szCs w:val="20"/>
              </w:rPr>
              <w:t xml:space="preserve"> (mepolizumab PSD, March 2020)</w:t>
            </w:r>
            <w:r w:rsidRPr="00704278">
              <w:rPr>
                <w:rFonts w:ascii="Arial Narrow" w:hAnsi="Arial Narrow"/>
                <w:bCs/>
                <w:sz w:val="20"/>
                <w:szCs w:val="20"/>
              </w:rPr>
              <w:t>. At the same meeting, the PBAC recommended a new presentation of benralizumab</w:t>
            </w:r>
            <w:r w:rsidR="00640088" w:rsidRPr="00704278">
              <w:rPr>
                <w:rFonts w:ascii="Arial Narrow" w:hAnsi="Arial Narrow"/>
                <w:bCs/>
                <w:sz w:val="20"/>
                <w:szCs w:val="20"/>
              </w:rPr>
              <w:t xml:space="preserve"> </w:t>
            </w:r>
            <w:r w:rsidRPr="00704278">
              <w:rPr>
                <w:rFonts w:ascii="Arial Narrow" w:hAnsi="Arial Narrow"/>
                <w:bCs/>
                <w:sz w:val="20"/>
                <w:szCs w:val="20"/>
              </w:rPr>
              <w:t>PFP on a cost-minimisation basis with benralizumab PFS</w:t>
            </w:r>
            <w:r w:rsidR="00985D1A" w:rsidRPr="00704278">
              <w:rPr>
                <w:rFonts w:ascii="Arial Narrow" w:hAnsi="Arial Narrow"/>
                <w:bCs/>
                <w:sz w:val="20"/>
                <w:szCs w:val="20"/>
              </w:rPr>
              <w:t xml:space="preserve"> (benralizumab PSD, March 2020)</w:t>
            </w:r>
            <w:r w:rsidRPr="00704278">
              <w:rPr>
                <w:rFonts w:ascii="Arial Narrow" w:hAnsi="Arial Narrow"/>
                <w:bCs/>
                <w:sz w:val="20"/>
                <w:szCs w:val="20"/>
              </w:rPr>
              <w:t xml:space="preserve">. </w:t>
            </w:r>
          </w:p>
        </w:tc>
      </w:tr>
    </w:tbl>
    <w:p w:rsidR="00B0326D" w:rsidRPr="00704278" w:rsidRDefault="00B72906" w:rsidP="006C1AA0">
      <w:pPr>
        <w:pStyle w:val="TableFooter"/>
        <w:jc w:val="left"/>
        <w:rPr>
          <w:sz w:val="20"/>
          <w:szCs w:val="20"/>
        </w:rPr>
      </w:pPr>
      <w:r w:rsidRPr="00704278">
        <w:rPr>
          <w:sz w:val="20"/>
          <w:szCs w:val="20"/>
        </w:rPr>
        <w:t>Source: guselkumab resubmission, pg. 2-4.</w:t>
      </w:r>
    </w:p>
    <w:p w:rsidR="006A2515" w:rsidRPr="00704278" w:rsidRDefault="006A2515" w:rsidP="00B72906">
      <w:pPr>
        <w:pStyle w:val="TableFooter"/>
      </w:pPr>
    </w:p>
    <w:p w:rsidR="00D866EB" w:rsidRPr="00704278" w:rsidRDefault="00D866EB" w:rsidP="00DF021D">
      <w:pPr>
        <w:pStyle w:val="Bodytextitalics"/>
        <w:numPr>
          <w:ilvl w:val="1"/>
          <w:numId w:val="2"/>
        </w:numPr>
        <w:rPr>
          <w:i w:val="0"/>
          <w:color w:val="000000" w:themeColor="text1"/>
        </w:rPr>
      </w:pPr>
      <w:r w:rsidRPr="00704278">
        <w:rPr>
          <w:i w:val="0"/>
          <w:color w:val="000000" w:themeColor="text1"/>
        </w:rPr>
        <w:t xml:space="preserve">The </w:t>
      </w:r>
      <w:r w:rsidRPr="00704278">
        <w:rPr>
          <w:color w:val="000000" w:themeColor="text1"/>
        </w:rPr>
        <w:t>National Health Act 1953</w:t>
      </w:r>
      <w:r w:rsidR="002433B3" w:rsidRPr="00704278">
        <w:rPr>
          <w:i w:val="0"/>
          <w:color w:val="000000" w:themeColor="text1"/>
        </w:rPr>
        <w:t xml:space="preserve"> (the Act)</w:t>
      </w:r>
      <w:r w:rsidRPr="00704278">
        <w:rPr>
          <w:i w:val="0"/>
          <w:color w:val="000000" w:themeColor="text1"/>
        </w:rPr>
        <w:t xml:space="preserve">, Section 101(3B) stipulates that if the requested treatment is substantially more costly than alternative therapies, then the PBAC could only recommend listing at </w:t>
      </w:r>
      <w:r w:rsidR="00FE369C" w:rsidRPr="00704278">
        <w:rPr>
          <w:i w:val="0"/>
          <w:color w:val="000000" w:themeColor="text1"/>
        </w:rPr>
        <w:t>the</w:t>
      </w:r>
      <w:r w:rsidRPr="00704278">
        <w:rPr>
          <w:i w:val="0"/>
          <w:color w:val="000000" w:themeColor="text1"/>
        </w:rPr>
        <w:t xml:space="preserve"> higher price if it is satisfied that the treatment provides, for some patients, a significant improvement in efficacy or reduction of toxicity over the existing therapies</w:t>
      </w:r>
      <w:r w:rsidRPr="00704278">
        <w:rPr>
          <w:bCs/>
          <w:i w:val="0"/>
        </w:rPr>
        <w:t>.</w:t>
      </w:r>
      <w:r w:rsidR="005F0AD0" w:rsidRPr="00704278">
        <w:rPr>
          <w:bCs/>
          <w:i w:val="0"/>
        </w:rPr>
        <w:t xml:space="preserve"> </w:t>
      </w:r>
      <w:r w:rsidR="00B01FF4" w:rsidRPr="00704278">
        <w:rPr>
          <w:bCs/>
          <w:i w:val="0"/>
        </w:rPr>
        <w:t xml:space="preserve">The advice provided by the PBAC applies to each medicine on a case by case basis. </w:t>
      </w:r>
      <w:r w:rsidR="00B06767" w:rsidRPr="00704278">
        <w:rPr>
          <w:bCs/>
          <w:i w:val="0"/>
        </w:rPr>
        <w:t>In this case, t</w:t>
      </w:r>
      <w:r w:rsidR="005F0AD0" w:rsidRPr="00704278">
        <w:rPr>
          <w:bCs/>
          <w:i w:val="0"/>
        </w:rPr>
        <w:t xml:space="preserve">he PBAC </w:t>
      </w:r>
      <w:r w:rsidR="00B06767" w:rsidRPr="00704278">
        <w:rPr>
          <w:bCs/>
          <w:i w:val="0"/>
        </w:rPr>
        <w:t>considered</w:t>
      </w:r>
      <w:r w:rsidR="005F0AD0" w:rsidRPr="00704278">
        <w:rPr>
          <w:bCs/>
          <w:i w:val="0"/>
        </w:rPr>
        <w:t xml:space="preserve"> guselkumab PFP </w:t>
      </w:r>
      <w:r w:rsidR="00E50790" w:rsidRPr="00704278">
        <w:rPr>
          <w:bCs/>
          <w:i w:val="0"/>
        </w:rPr>
        <w:t xml:space="preserve">did </w:t>
      </w:r>
      <w:r w:rsidR="00B06767" w:rsidRPr="00704278">
        <w:rPr>
          <w:bCs/>
          <w:i w:val="0"/>
        </w:rPr>
        <w:t xml:space="preserve">not </w:t>
      </w:r>
      <w:r w:rsidR="00B01FF4" w:rsidRPr="00704278">
        <w:rPr>
          <w:bCs/>
          <w:i w:val="0"/>
        </w:rPr>
        <w:t xml:space="preserve">satisfy </w:t>
      </w:r>
      <w:r w:rsidR="00B06767" w:rsidRPr="00704278">
        <w:rPr>
          <w:bCs/>
          <w:i w:val="0"/>
        </w:rPr>
        <w:t xml:space="preserve">the criteria for a price higher </w:t>
      </w:r>
      <w:r w:rsidR="00E50EF9" w:rsidRPr="00704278">
        <w:rPr>
          <w:bCs/>
          <w:i w:val="0"/>
        </w:rPr>
        <w:t xml:space="preserve">than </w:t>
      </w:r>
      <w:r w:rsidR="00136D65" w:rsidRPr="00704278">
        <w:rPr>
          <w:bCs/>
          <w:i w:val="0"/>
        </w:rPr>
        <w:t>the lowest cost of other available</w:t>
      </w:r>
      <w:r w:rsidR="00B06767" w:rsidRPr="00704278">
        <w:rPr>
          <w:bCs/>
          <w:i w:val="0"/>
        </w:rPr>
        <w:t xml:space="preserve"> PBS-listed bDMARDs for the treatment of CPP.</w:t>
      </w:r>
      <w:r w:rsidR="005F0AD0" w:rsidRPr="00704278">
        <w:rPr>
          <w:bCs/>
          <w:i w:val="0"/>
        </w:rPr>
        <w:t xml:space="preserve"> </w:t>
      </w:r>
    </w:p>
    <w:p w:rsidR="000F0B0A" w:rsidRDefault="00253050" w:rsidP="00253050">
      <w:pPr>
        <w:pStyle w:val="Bodytextitalics"/>
      </w:pPr>
      <w:r w:rsidRPr="00704278">
        <w:t>For more deta</w:t>
      </w:r>
      <w:r w:rsidR="007768C8" w:rsidRPr="00704278">
        <w:t xml:space="preserve">il on PBAC’s view, see section </w:t>
      </w:r>
      <w:r w:rsidR="00F207B1" w:rsidRPr="00704278">
        <w:t>5</w:t>
      </w:r>
      <w:r w:rsidRPr="00704278">
        <w:t xml:space="preserve"> PBAC outcome.</w:t>
      </w:r>
    </w:p>
    <w:p w:rsidR="000F0B0A" w:rsidRDefault="000F0B0A">
      <w:pPr>
        <w:jc w:val="left"/>
        <w:rPr>
          <w:rFonts w:asciiTheme="minorHAnsi" w:eastAsiaTheme="minorHAnsi" w:hAnsiTheme="minorHAnsi" w:cstheme="minorBidi"/>
          <w:i/>
          <w:szCs w:val="22"/>
        </w:rPr>
      </w:pPr>
      <w:r>
        <w:br w:type="page"/>
      </w:r>
    </w:p>
    <w:p w:rsidR="005A59BB" w:rsidRPr="00704278" w:rsidRDefault="008D7A41" w:rsidP="005A59BB">
      <w:pPr>
        <w:pStyle w:val="Heading1"/>
        <w:keepLines/>
        <w:numPr>
          <w:ilvl w:val="0"/>
          <w:numId w:val="4"/>
        </w:numPr>
        <w:spacing w:before="240"/>
        <w:ind w:left="709" w:hanging="709"/>
        <w:rPr>
          <w:sz w:val="32"/>
          <w:szCs w:val="32"/>
        </w:rPr>
      </w:pPr>
      <w:r w:rsidRPr="00704278">
        <w:rPr>
          <w:sz w:val="32"/>
          <w:szCs w:val="32"/>
        </w:rPr>
        <w:t>C</w:t>
      </w:r>
      <w:r w:rsidR="00D84934" w:rsidRPr="00704278">
        <w:rPr>
          <w:sz w:val="32"/>
          <w:szCs w:val="32"/>
        </w:rPr>
        <w:t>onsideration of the evidence</w:t>
      </w:r>
    </w:p>
    <w:p w:rsidR="00C72354" w:rsidRPr="00845BAC" w:rsidRDefault="00C72354" w:rsidP="00845BAC">
      <w:pPr>
        <w:pStyle w:val="4-SubsectionHeading"/>
        <w:rPr>
          <w:lang w:eastAsia="en-US"/>
        </w:rPr>
      </w:pPr>
      <w:r w:rsidRPr="00845BAC">
        <w:rPr>
          <w:lang w:eastAsia="en-US"/>
        </w:rPr>
        <w:t>Sponsor hearing</w:t>
      </w:r>
    </w:p>
    <w:p w:rsidR="00C72354" w:rsidRPr="00704278" w:rsidRDefault="00C72354" w:rsidP="00D7507D">
      <w:pPr>
        <w:pStyle w:val="3Bodytext"/>
        <w:jc w:val="both"/>
        <w:rPr>
          <w:b/>
          <w:i/>
          <w:snapToGrid w:val="0"/>
          <w:szCs w:val="24"/>
        </w:rPr>
      </w:pPr>
      <w:r w:rsidRPr="00704278">
        <w:rPr>
          <w:snapToGrid w:val="0"/>
          <w:szCs w:val="24"/>
        </w:rPr>
        <w:t>There was no hearing for this item.</w:t>
      </w:r>
    </w:p>
    <w:p w:rsidR="00C72354" w:rsidRPr="00845BAC" w:rsidRDefault="00C72354" w:rsidP="00845BAC">
      <w:pPr>
        <w:pStyle w:val="4-SubsectionHeading"/>
        <w:rPr>
          <w:lang w:eastAsia="en-US"/>
        </w:rPr>
      </w:pPr>
      <w:r w:rsidRPr="00845BAC">
        <w:rPr>
          <w:lang w:eastAsia="en-US"/>
        </w:rPr>
        <w:t>Consumer comments</w:t>
      </w:r>
    </w:p>
    <w:p w:rsidR="00C72354" w:rsidRPr="00704278" w:rsidRDefault="00C72354" w:rsidP="00F207B1">
      <w:pPr>
        <w:pStyle w:val="3Bodytext"/>
        <w:jc w:val="both"/>
        <w:rPr>
          <w:b/>
          <w:i/>
          <w:snapToGrid w:val="0"/>
        </w:rPr>
      </w:pPr>
      <w:r w:rsidRPr="00704278">
        <w:rPr>
          <w:snapToGrid w:val="0"/>
        </w:rPr>
        <w:t xml:space="preserve">The PBAC noted </w:t>
      </w:r>
      <w:r w:rsidR="00270382" w:rsidRPr="00704278">
        <w:rPr>
          <w:snapToGrid w:val="0"/>
        </w:rPr>
        <w:t>the</w:t>
      </w:r>
      <w:r w:rsidR="00836957" w:rsidRPr="00704278">
        <w:rPr>
          <w:snapToGrid w:val="0"/>
        </w:rPr>
        <w:t xml:space="preserve"> </w:t>
      </w:r>
      <w:r w:rsidR="00862501" w:rsidRPr="00704278">
        <w:rPr>
          <w:snapToGrid w:val="0"/>
        </w:rPr>
        <w:t>input</w:t>
      </w:r>
      <w:r w:rsidR="00836957" w:rsidRPr="00704278">
        <w:rPr>
          <w:snapToGrid w:val="0"/>
        </w:rPr>
        <w:t xml:space="preserve"> from the</w:t>
      </w:r>
      <w:r w:rsidR="00270382" w:rsidRPr="00704278">
        <w:rPr>
          <w:snapToGrid w:val="0"/>
        </w:rPr>
        <w:t xml:space="preserve"> Australasian College of Dermatologists</w:t>
      </w:r>
      <w:r w:rsidR="00270B99" w:rsidRPr="00704278">
        <w:rPr>
          <w:snapToGrid w:val="0"/>
        </w:rPr>
        <w:t xml:space="preserve"> that the listing of guselkumab PFP will</w:t>
      </w:r>
      <w:r w:rsidR="00270382" w:rsidRPr="00704278">
        <w:rPr>
          <w:snapToGrid w:val="0"/>
        </w:rPr>
        <w:t xml:space="preserve"> enable more patients to self</w:t>
      </w:r>
      <w:r w:rsidR="00064752" w:rsidRPr="00704278">
        <w:rPr>
          <w:snapToGrid w:val="0"/>
        </w:rPr>
        <w:t>-</w:t>
      </w:r>
      <w:r w:rsidR="00270382" w:rsidRPr="00704278">
        <w:rPr>
          <w:snapToGrid w:val="0"/>
        </w:rPr>
        <w:t>inject</w:t>
      </w:r>
      <w:r w:rsidR="00270B99" w:rsidRPr="00704278">
        <w:rPr>
          <w:snapToGrid w:val="0"/>
        </w:rPr>
        <w:t xml:space="preserve"> and</w:t>
      </w:r>
      <w:r w:rsidR="00270382" w:rsidRPr="00704278">
        <w:rPr>
          <w:snapToGrid w:val="0"/>
        </w:rPr>
        <w:t xml:space="preserve"> reduc</w:t>
      </w:r>
      <w:r w:rsidR="00270B99" w:rsidRPr="00704278">
        <w:rPr>
          <w:snapToGrid w:val="0"/>
        </w:rPr>
        <w:t>e</w:t>
      </w:r>
      <w:r w:rsidR="00270382" w:rsidRPr="00704278">
        <w:rPr>
          <w:snapToGrid w:val="0"/>
        </w:rPr>
        <w:t xml:space="preserve"> the need for regular </w:t>
      </w:r>
      <w:r w:rsidR="00270B99" w:rsidRPr="00704278">
        <w:rPr>
          <w:snapToGrid w:val="0"/>
        </w:rPr>
        <w:t>eight</w:t>
      </w:r>
      <w:r w:rsidR="00270382" w:rsidRPr="00704278">
        <w:rPr>
          <w:snapToGrid w:val="0"/>
        </w:rPr>
        <w:t xml:space="preserve"> weekly visits </w:t>
      </w:r>
      <w:r w:rsidR="00270B99" w:rsidRPr="00704278">
        <w:rPr>
          <w:snapToGrid w:val="0"/>
        </w:rPr>
        <w:t>to their doctor for patients who are</w:t>
      </w:r>
      <w:r w:rsidR="00270382" w:rsidRPr="00704278">
        <w:rPr>
          <w:snapToGrid w:val="0"/>
        </w:rPr>
        <w:t xml:space="preserve"> unable to use the </w:t>
      </w:r>
      <w:r w:rsidR="00270B99" w:rsidRPr="00704278">
        <w:rPr>
          <w:snapToGrid w:val="0"/>
        </w:rPr>
        <w:t xml:space="preserve">currently PBS-listed </w:t>
      </w:r>
      <w:r w:rsidR="00270382" w:rsidRPr="00704278">
        <w:rPr>
          <w:snapToGrid w:val="0"/>
        </w:rPr>
        <w:t>guselkuma</w:t>
      </w:r>
      <w:r w:rsidR="00E50EF9" w:rsidRPr="00704278">
        <w:rPr>
          <w:snapToGrid w:val="0"/>
        </w:rPr>
        <w:t>b</w:t>
      </w:r>
      <w:r w:rsidR="00270382" w:rsidRPr="00704278">
        <w:rPr>
          <w:snapToGrid w:val="0"/>
        </w:rPr>
        <w:t xml:space="preserve"> PFS. </w:t>
      </w:r>
    </w:p>
    <w:p w:rsidR="00C72354" w:rsidRPr="00845BAC" w:rsidRDefault="00C72354" w:rsidP="00C72354">
      <w:pPr>
        <w:pStyle w:val="4-SubsectionHeading"/>
        <w:rPr>
          <w:lang w:eastAsia="en-US"/>
        </w:rPr>
      </w:pPr>
      <w:r w:rsidRPr="00845BAC">
        <w:rPr>
          <w:lang w:eastAsia="en-US"/>
        </w:rPr>
        <w:t>Estimated PBS usage &amp; financial implications</w:t>
      </w:r>
    </w:p>
    <w:p w:rsidR="00C00DA7" w:rsidRPr="00704278" w:rsidRDefault="00FF2801" w:rsidP="001306A5">
      <w:pPr>
        <w:pStyle w:val="3Bodytext"/>
        <w:jc w:val="both"/>
        <w:rPr>
          <w:b/>
          <w:color w:val="FF00FF"/>
        </w:rPr>
      </w:pPr>
      <w:r w:rsidRPr="00704278">
        <w:t xml:space="preserve">The minor </w:t>
      </w:r>
      <w:r w:rsidR="002A636A" w:rsidRPr="00704278">
        <w:t>re</w:t>
      </w:r>
      <w:r w:rsidRPr="00704278">
        <w:t xml:space="preserve">submission </w:t>
      </w:r>
      <w:r w:rsidR="002A636A" w:rsidRPr="00704278">
        <w:t>maintaine</w:t>
      </w:r>
      <w:r w:rsidRPr="00704278">
        <w:t>d</w:t>
      </w:r>
      <w:r w:rsidR="00C00DA7" w:rsidRPr="00704278">
        <w:t xml:space="preserve"> there to be no fi</w:t>
      </w:r>
      <w:r w:rsidR="002A636A" w:rsidRPr="00704278">
        <w:t xml:space="preserve">nancial implications to the PBS or </w:t>
      </w:r>
      <w:r w:rsidR="00C00DA7" w:rsidRPr="00704278">
        <w:t xml:space="preserve">changes in PBS </w:t>
      </w:r>
      <w:r w:rsidR="002A636A" w:rsidRPr="00704278">
        <w:t>usage as guselkumab PFP</w:t>
      </w:r>
      <w:r w:rsidR="00C00DA7" w:rsidRPr="00704278">
        <w:rPr>
          <w:color w:val="FF0000"/>
        </w:rPr>
        <w:t xml:space="preserve"> </w:t>
      </w:r>
      <w:r w:rsidR="00310A8B" w:rsidRPr="00704278">
        <w:t xml:space="preserve">is expected </w:t>
      </w:r>
      <w:r w:rsidR="002A636A" w:rsidRPr="00704278">
        <w:t>to only substitute for guselkumab PFS</w:t>
      </w:r>
      <w:r w:rsidR="00C00DA7" w:rsidRPr="00704278">
        <w:t xml:space="preserve">. </w:t>
      </w:r>
    </w:p>
    <w:p w:rsidR="00AA17B2" w:rsidRPr="00704278" w:rsidRDefault="0008050C" w:rsidP="00AA17B2">
      <w:pPr>
        <w:widowControl w:val="0"/>
        <w:numPr>
          <w:ilvl w:val="1"/>
          <w:numId w:val="2"/>
        </w:numPr>
        <w:spacing w:after="120"/>
      </w:pPr>
      <w:r w:rsidRPr="00704278">
        <w:t>While not a matter for PBAC, in its July 2020 application the sponsor stated the guselkumab PFP should be considered a ‘new presentation’ of an existing brand of guselkumab and not trigger a statutory price reduction, under section 99ACB(3A) of the</w:t>
      </w:r>
      <w:r w:rsidR="002433B3" w:rsidRPr="00704278">
        <w:t xml:space="preserve"> Act</w:t>
      </w:r>
      <w:r w:rsidRPr="00704278">
        <w:t xml:space="preserve">. The </w:t>
      </w:r>
      <w:r w:rsidR="00411A6C">
        <w:t xml:space="preserve">Minister’s </w:t>
      </w:r>
      <w:r w:rsidRPr="00704278">
        <w:t>delegate considered the sponsor</w:t>
      </w:r>
      <w:r w:rsidR="003F15F0" w:rsidRPr="00704278">
        <w:t>’</w:t>
      </w:r>
      <w:r w:rsidRPr="00704278">
        <w:t>s request and considered that guselkumab PFP is a new presentation. As such, if the listing of guselkumab PFP occurs prior to 1 February 202</w:t>
      </w:r>
      <w:r w:rsidR="00113D5C" w:rsidRPr="00704278">
        <w:t>4</w:t>
      </w:r>
      <w:r w:rsidRPr="00704278">
        <w:t>, it will not trigger a 25% first new brand reduction.</w:t>
      </w:r>
    </w:p>
    <w:p w:rsidR="005A59BB" w:rsidRPr="00704278" w:rsidRDefault="005A59BB" w:rsidP="005A59BB">
      <w:pPr>
        <w:widowControl w:val="0"/>
        <w:spacing w:after="120"/>
        <w:rPr>
          <w:i/>
        </w:rPr>
      </w:pPr>
      <w:r w:rsidRPr="00704278">
        <w:rPr>
          <w:i/>
        </w:rPr>
        <w:t xml:space="preserve">For more detail on PBAC’s view, see section </w:t>
      </w:r>
      <w:r w:rsidR="00F207B1" w:rsidRPr="00704278">
        <w:rPr>
          <w:i/>
        </w:rPr>
        <w:t>5</w:t>
      </w:r>
      <w:r w:rsidRPr="00704278">
        <w:rPr>
          <w:i/>
        </w:rPr>
        <w:t xml:space="preserve"> PBAC outcome.</w:t>
      </w:r>
    </w:p>
    <w:p w:rsidR="00AA17B2" w:rsidRPr="00704278" w:rsidRDefault="00AA17B2" w:rsidP="005A59BB">
      <w:pPr>
        <w:pStyle w:val="2-SectionHeading"/>
      </w:pPr>
      <w:r w:rsidRPr="00704278">
        <w:rPr>
          <w:bCs/>
        </w:rPr>
        <w:t>PBAC Outcome</w:t>
      </w:r>
    </w:p>
    <w:p w:rsidR="00CA4712" w:rsidRPr="00704278" w:rsidRDefault="002433B3" w:rsidP="00F207B1">
      <w:pPr>
        <w:pStyle w:val="3Bodytext"/>
        <w:jc w:val="both"/>
        <w:rPr>
          <w:rFonts w:cs="Arial"/>
          <w:bCs/>
          <w:snapToGrid w:val="0"/>
        </w:rPr>
      </w:pPr>
      <w:r w:rsidRPr="00704278">
        <w:t>The PBAC reaffirmed its recommendation</w:t>
      </w:r>
      <w:r w:rsidR="007643C1" w:rsidRPr="00704278">
        <w:t xml:space="preserve"> at its July 2020 meeting that </w:t>
      </w:r>
      <w:r w:rsidR="003B12BD" w:rsidRPr="00704278">
        <w:t xml:space="preserve">guselkumab </w:t>
      </w:r>
      <w:r w:rsidR="007643C1" w:rsidRPr="00704278">
        <w:t xml:space="preserve">100 mg </w:t>
      </w:r>
      <w:r w:rsidR="00A92C21" w:rsidRPr="00704278">
        <w:t>pre-filled pen (</w:t>
      </w:r>
      <w:r w:rsidR="003B12BD" w:rsidRPr="00704278">
        <w:t>PFP</w:t>
      </w:r>
      <w:r w:rsidR="00A92C21" w:rsidRPr="00704278">
        <w:t>) be listed</w:t>
      </w:r>
      <w:r w:rsidR="007643C1" w:rsidRPr="00704278">
        <w:t xml:space="preserve">, under the same arrangements as the currently listed guselkumab </w:t>
      </w:r>
      <w:r w:rsidR="00A92C21" w:rsidRPr="00704278">
        <w:t>pre-filled syringe (</w:t>
      </w:r>
      <w:r w:rsidR="007643C1" w:rsidRPr="00704278">
        <w:t>PFS</w:t>
      </w:r>
      <w:r w:rsidR="00A92C21" w:rsidRPr="00704278">
        <w:t>)</w:t>
      </w:r>
      <w:r w:rsidR="007643C1" w:rsidRPr="00704278">
        <w:t xml:space="preserve">, on a cost-minimisation basis against the lowest cost </w:t>
      </w:r>
      <w:r w:rsidR="008C1F5A" w:rsidRPr="00704278">
        <w:t xml:space="preserve">PBS-listed </w:t>
      </w:r>
      <w:r w:rsidR="00A92C21" w:rsidRPr="00704278">
        <w:t>biological disease-modifying antirheumatic drugs (</w:t>
      </w:r>
      <w:r w:rsidR="007643C1" w:rsidRPr="00704278">
        <w:t>bDMARDs</w:t>
      </w:r>
      <w:r w:rsidR="00A92C21" w:rsidRPr="00704278">
        <w:t>)</w:t>
      </w:r>
      <w:r w:rsidR="007643C1" w:rsidRPr="00704278">
        <w:t xml:space="preserve"> for </w:t>
      </w:r>
      <w:r w:rsidR="008C1F5A" w:rsidRPr="00704278">
        <w:t xml:space="preserve">the treatment of </w:t>
      </w:r>
      <w:r w:rsidR="007643C1" w:rsidRPr="00704278">
        <w:t xml:space="preserve">severe </w:t>
      </w:r>
      <w:r w:rsidR="00A92C21" w:rsidRPr="00704278">
        <w:t>chronic plaque psoriasis (</w:t>
      </w:r>
      <w:r w:rsidR="007643C1" w:rsidRPr="00704278">
        <w:t>CPP</w:t>
      </w:r>
      <w:r w:rsidR="00A92C21" w:rsidRPr="00704278">
        <w:t>)</w:t>
      </w:r>
      <w:r w:rsidR="007643C1" w:rsidRPr="00704278">
        <w:t>.</w:t>
      </w:r>
      <w:r w:rsidRPr="00704278">
        <w:t xml:space="preserve"> </w:t>
      </w:r>
    </w:p>
    <w:p w:rsidR="007643C1" w:rsidRPr="00704278" w:rsidRDefault="007643C1" w:rsidP="00010860">
      <w:pPr>
        <w:pStyle w:val="3Bodytext"/>
        <w:jc w:val="both"/>
      </w:pPr>
      <w:r w:rsidRPr="00704278">
        <w:t xml:space="preserve">The PBAC </w:t>
      </w:r>
      <w:r w:rsidR="00744F48" w:rsidRPr="00704278">
        <w:t xml:space="preserve">maintained </w:t>
      </w:r>
      <w:r w:rsidRPr="00704278">
        <w:t xml:space="preserve">its </w:t>
      </w:r>
      <w:r w:rsidR="000169AB" w:rsidRPr="00704278">
        <w:t xml:space="preserve">July 2020 </w:t>
      </w:r>
      <w:r w:rsidR="00744F48" w:rsidRPr="00704278">
        <w:t xml:space="preserve">recommendation </w:t>
      </w:r>
      <w:r w:rsidRPr="00704278">
        <w:t xml:space="preserve">that any of the current PBS-listed bDMARDs for severe CPP could be an alternative therapy to guselkumab and that other relevant comparators may include adalimumab, etanercept, infliximab, ixekizumab, risankizumab, secukinumab, tildrakizumab and ustekinumab (guselkumab, Public Summary Document (PSD), July 2020). </w:t>
      </w:r>
    </w:p>
    <w:p w:rsidR="00744F48" w:rsidRPr="00704278" w:rsidRDefault="00F47090" w:rsidP="00F207B1">
      <w:pPr>
        <w:pStyle w:val="3Bodytext"/>
        <w:jc w:val="both"/>
      </w:pPr>
      <w:r w:rsidRPr="00704278">
        <w:t xml:space="preserve">The PBAC </w:t>
      </w:r>
      <w:r w:rsidR="003B12BD" w:rsidRPr="00704278">
        <w:t xml:space="preserve">noted that </w:t>
      </w:r>
      <w:r w:rsidR="009F3CAE">
        <w:t>to</w:t>
      </w:r>
      <w:r w:rsidRPr="00704278">
        <w:t xml:space="preserve"> recommend </w:t>
      </w:r>
      <w:r w:rsidR="003B12BD" w:rsidRPr="00704278">
        <w:t xml:space="preserve">listing guselkumab PFP at the higher price </w:t>
      </w:r>
      <w:r w:rsidR="009F3CAE">
        <w:t>it would need to be</w:t>
      </w:r>
      <w:r w:rsidR="003B12BD" w:rsidRPr="00704278">
        <w:t xml:space="preserve"> satisfied that the treatment provides, for some patients, a significant improvement in efficacy or reduction of toxicity over the existing therapies. In this case, the PBAC considered that </w:t>
      </w:r>
      <w:r w:rsidR="00CA4712" w:rsidRPr="00704278">
        <w:t>guselkumab PFP did</w:t>
      </w:r>
      <w:r w:rsidR="003B12BD" w:rsidRPr="00704278">
        <w:t xml:space="preserve"> not meet these criteria to be listed at a price higher than the lowest cost of PBS-listed bDMARDs</w:t>
      </w:r>
      <w:r w:rsidR="007643C1" w:rsidRPr="00704278">
        <w:t xml:space="preserve"> for the treatment of severe CPP. </w:t>
      </w:r>
      <w:r w:rsidR="00744F48" w:rsidRPr="00704278">
        <w:t>The PBAC noted that there is not a high clinical need for a PFP for CPP given there are multiple agents available on the PBS for CPP.</w:t>
      </w:r>
    </w:p>
    <w:p w:rsidR="00FA2F93" w:rsidRPr="00704278" w:rsidRDefault="00A92C21" w:rsidP="00F207B1">
      <w:pPr>
        <w:pStyle w:val="3Bodytext"/>
        <w:jc w:val="both"/>
        <w:rPr>
          <w:rFonts w:cs="Arial"/>
          <w:bCs/>
          <w:snapToGrid w:val="0"/>
        </w:rPr>
      </w:pPr>
      <w:r w:rsidRPr="00704278">
        <w:rPr>
          <w:rFonts w:cs="Arial"/>
          <w:bCs/>
          <w:snapToGrid w:val="0"/>
        </w:rPr>
        <w:t xml:space="preserve">The PBAC maintained its </w:t>
      </w:r>
      <w:r w:rsidR="00744F48" w:rsidRPr="00704278">
        <w:rPr>
          <w:rFonts w:cs="Arial"/>
          <w:bCs/>
          <w:snapToGrid w:val="0"/>
        </w:rPr>
        <w:t xml:space="preserve">view from July 2020 that </w:t>
      </w:r>
      <w:r w:rsidRPr="00704278">
        <w:rPr>
          <w:rFonts w:cs="Arial"/>
          <w:bCs/>
          <w:snapToGrid w:val="0"/>
        </w:rPr>
        <w:t xml:space="preserve">because guselkumab PFP is not expected to provide a substantial and clinically relevant improvement in efficacy, or reduction of toxicity, over guselkumab PFS, or not expected to address a high and urgent unmet clinical need given the presence of an alternative therapy, the criteria prescribed by the </w:t>
      </w:r>
      <w:r w:rsidRPr="00704278">
        <w:rPr>
          <w:rFonts w:cs="Arial"/>
          <w:bCs/>
          <w:i/>
          <w:snapToGrid w:val="0"/>
        </w:rPr>
        <w:t>National Health (Pharmaceuticals and Vaccines – Cost Recovery) Regulations 2009</w:t>
      </w:r>
      <w:r w:rsidRPr="00704278">
        <w:rPr>
          <w:rFonts w:cs="Arial"/>
          <w:bCs/>
          <w:snapToGrid w:val="0"/>
        </w:rPr>
        <w:t xml:space="preserve"> for Pricing Pathway A were not met.</w:t>
      </w:r>
    </w:p>
    <w:p w:rsidR="00FA2F93" w:rsidRPr="00D26312" w:rsidRDefault="00FA2F93" w:rsidP="00F207B1">
      <w:pPr>
        <w:widowControl w:val="0"/>
        <w:numPr>
          <w:ilvl w:val="1"/>
          <w:numId w:val="2"/>
        </w:numPr>
        <w:spacing w:after="120"/>
        <w:rPr>
          <w:rFonts w:asciiTheme="minorHAnsi" w:hAnsiTheme="minorHAnsi"/>
          <w:bCs/>
          <w:snapToGrid w:val="0"/>
          <w:lang w:eastAsia="en-US"/>
        </w:rPr>
      </w:pPr>
      <w:r w:rsidRPr="00D26312">
        <w:rPr>
          <w:rFonts w:asciiTheme="minorHAnsi" w:hAnsiTheme="minorHAnsi"/>
          <w:bCs/>
          <w:snapToGrid w:val="0"/>
          <w:lang w:eastAsia="en-US"/>
        </w:rPr>
        <w:t xml:space="preserve">The PBAC noted that this submission is </w:t>
      </w:r>
      <w:r w:rsidR="000169AB" w:rsidRPr="00D26312">
        <w:rPr>
          <w:rFonts w:asciiTheme="minorHAnsi" w:hAnsiTheme="minorHAnsi"/>
          <w:bCs/>
          <w:snapToGrid w:val="0"/>
          <w:lang w:eastAsia="en-US"/>
        </w:rPr>
        <w:t xml:space="preserve">not </w:t>
      </w:r>
      <w:r w:rsidRPr="00D26312">
        <w:rPr>
          <w:rFonts w:asciiTheme="minorHAnsi" w:hAnsiTheme="minorHAnsi"/>
          <w:bCs/>
          <w:snapToGrid w:val="0"/>
          <w:lang w:eastAsia="en-US"/>
        </w:rPr>
        <w:t>eligible for an Independent Review</w:t>
      </w:r>
      <w:r w:rsidR="00704278">
        <w:rPr>
          <w:rFonts w:asciiTheme="minorHAnsi" w:hAnsiTheme="minorHAnsi"/>
          <w:bCs/>
          <w:snapToGrid w:val="0"/>
          <w:lang w:eastAsia="en-US"/>
        </w:rPr>
        <w:t xml:space="preserve">. </w:t>
      </w:r>
    </w:p>
    <w:p w:rsidR="00637F5F" w:rsidRPr="00704278" w:rsidRDefault="00637F5F">
      <w:pPr>
        <w:pStyle w:val="3Bodytext"/>
        <w:numPr>
          <w:ilvl w:val="0"/>
          <w:numId w:val="0"/>
        </w:numPr>
        <w:rPr>
          <w:rFonts w:cs="Arial"/>
          <w:bCs/>
          <w:snapToGrid w:val="0"/>
          <w:highlight w:val="yellow"/>
        </w:rPr>
      </w:pPr>
    </w:p>
    <w:p w:rsidR="005A59BB" w:rsidRPr="00704278" w:rsidRDefault="005A59BB" w:rsidP="003A1B52">
      <w:pPr>
        <w:rPr>
          <w:rFonts w:asciiTheme="minorHAnsi" w:hAnsiTheme="minorHAnsi" w:cstheme="minorHAnsi"/>
          <w:b/>
          <w:snapToGrid w:val="0"/>
        </w:rPr>
      </w:pPr>
      <w:r w:rsidRPr="00704278">
        <w:rPr>
          <w:rFonts w:asciiTheme="minorHAnsi" w:hAnsiTheme="minorHAnsi" w:cstheme="minorHAnsi"/>
          <w:b/>
          <w:snapToGrid w:val="0"/>
        </w:rPr>
        <w:t>Outcome:</w:t>
      </w:r>
    </w:p>
    <w:p w:rsidR="00D05333" w:rsidRPr="00704278" w:rsidRDefault="00BC5FD4" w:rsidP="003A1B52">
      <w:pPr>
        <w:rPr>
          <w:rFonts w:asciiTheme="minorHAnsi" w:hAnsiTheme="minorHAnsi" w:cstheme="minorHAnsi"/>
          <w:snapToGrid w:val="0"/>
        </w:rPr>
      </w:pPr>
      <w:r>
        <w:rPr>
          <w:rFonts w:asciiTheme="minorHAnsi" w:hAnsiTheme="minorHAnsi" w:cstheme="minorHAnsi"/>
          <w:snapToGrid w:val="0"/>
        </w:rPr>
        <w:t>Rejected</w:t>
      </w:r>
    </w:p>
    <w:p w:rsidR="00E263CB" w:rsidRDefault="00E263CB" w:rsidP="003A1B52">
      <w:pPr>
        <w:rPr>
          <w:rFonts w:asciiTheme="minorHAnsi" w:hAnsiTheme="minorHAnsi" w:cstheme="minorHAnsi"/>
          <w:snapToGrid w:val="0"/>
        </w:rPr>
      </w:pPr>
    </w:p>
    <w:p w:rsidR="00927E63" w:rsidRPr="00927E63" w:rsidRDefault="00927E63" w:rsidP="00927E63">
      <w:pPr>
        <w:pStyle w:val="2-SectionHeading"/>
        <w:rPr>
          <w:bCs/>
        </w:rPr>
      </w:pPr>
      <w:r w:rsidRPr="00927E63">
        <w:rPr>
          <w:bCs/>
        </w:rPr>
        <w:t>Context for Decision</w:t>
      </w:r>
    </w:p>
    <w:p w:rsidR="00927E63" w:rsidRPr="007129F2" w:rsidRDefault="00927E63" w:rsidP="00927E63">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27E63" w:rsidRPr="00927E63" w:rsidRDefault="00927E63" w:rsidP="00927E63">
      <w:pPr>
        <w:pStyle w:val="2-SectionHeading"/>
        <w:rPr>
          <w:bCs/>
        </w:rPr>
      </w:pPr>
      <w:r w:rsidRPr="00927E63">
        <w:rPr>
          <w:bCs/>
        </w:rPr>
        <w:t>Sponsor’s Comment</w:t>
      </w:r>
    </w:p>
    <w:p w:rsidR="00927E63" w:rsidRPr="001179AC" w:rsidRDefault="00927E63" w:rsidP="00927E63">
      <w:pPr>
        <w:spacing w:after="120"/>
        <w:ind w:left="426" w:firstLine="294"/>
        <w:rPr>
          <w:rFonts w:asciiTheme="minorHAnsi" w:hAnsiTheme="minorHAnsi" w:cs="Arial"/>
          <w:bCs/>
        </w:rPr>
      </w:pPr>
      <w:r w:rsidRPr="00C07617">
        <w:rPr>
          <w:rFonts w:asciiTheme="minorHAnsi" w:hAnsiTheme="minorHAnsi" w:cs="Arial"/>
          <w:bCs/>
        </w:rPr>
        <w:t>The sponsor had no comment.</w:t>
      </w:r>
    </w:p>
    <w:p w:rsidR="00927E63" w:rsidRPr="00704278" w:rsidRDefault="00927E63" w:rsidP="003A1B52">
      <w:pPr>
        <w:rPr>
          <w:rFonts w:asciiTheme="minorHAnsi" w:hAnsiTheme="minorHAnsi" w:cstheme="minorHAnsi"/>
          <w:snapToGrid w:val="0"/>
        </w:rPr>
      </w:pPr>
    </w:p>
    <w:sectPr w:rsidR="00927E63" w:rsidRPr="0070427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EA" w:rsidRDefault="00E176EA">
      <w:r>
        <w:separator/>
      </w:r>
    </w:p>
    <w:p w:rsidR="00E176EA" w:rsidRDefault="00E176EA"/>
  </w:endnote>
  <w:endnote w:type="continuationSeparator" w:id="0">
    <w:p w:rsidR="00E176EA" w:rsidRDefault="00E176EA">
      <w:r>
        <w:continuationSeparator/>
      </w:r>
    </w:p>
    <w:p w:rsidR="00E176EA" w:rsidRDefault="00E17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5322E" w:rsidTr="005A3173">
      <w:trPr>
        <w:trHeight w:val="151"/>
      </w:trPr>
      <w:tc>
        <w:tcPr>
          <w:tcW w:w="2250" w:type="pct"/>
          <w:tcBorders>
            <w:top w:val="nil"/>
            <w:left w:val="nil"/>
            <w:bottom w:val="single" w:sz="4" w:space="0" w:color="4F81BD"/>
            <w:right w:val="nil"/>
          </w:tcBorders>
        </w:tcPr>
        <w:p w:rsidR="0005322E" w:rsidRPr="005A3173" w:rsidRDefault="0005322E" w:rsidP="005A3173">
          <w:pPr>
            <w:pStyle w:val="Header"/>
            <w:spacing w:line="276" w:lineRule="auto"/>
            <w:rPr>
              <w:rFonts w:eastAsia="MS Gothic"/>
              <w:b/>
              <w:bCs/>
              <w:color w:val="4F81BD"/>
            </w:rPr>
          </w:pPr>
        </w:p>
      </w:tc>
      <w:tc>
        <w:tcPr>
          <w:tcW w:w="500" w:type="pct"/>
          <w:vMerge w:val="restart"/>
          <w:noWrap/>
          <w:vAlign w:val="center"/>
          <w:hideMark/>
        </w:tcPr>
        <w:p w:rsidR="0005322E" w:rsidRPr="005A3173" w:rsidRDefault="0005322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322E" w:rsidRPr="005A3173" w:rsidRDefault="0005322E" w:rsidP="005A3173">
          <w:pPr>
            <w:pStyle w:val="Header"/>
            <w:spacing w:line="276" w:lineRule="auto"/>
            <w:rPr>
              <w:rFonts w:eastAsia="MS Gothic"/>
              <w:b/>
              <w:bCs/>
              <w:color w:val="4F81BD"/>
            </w:rPr>
          </w:pPr>
        </w:p>
      </w:tc>
    </w:tr>
    <w:tr w:rsidR="0005322E" w:rsidTr="005A3173">
      <w:trPr>
        <w:trHeight w:val="150"/>
      </w:trPr>
      <w:tc>
        <w:tcPr>
          <w:tcW w:w="2250" w:type="pct"/>
          <w:tcBorders>
            <w:top w:val="single" w:sz="4" w:space="0" w:color="4F81BD"/>
            <w:left w:val="nil"/>
            <w:bottom w:val="nil"/>
            <w:right w:val="nil"/>
          </w:tcBorders>
        </w:tcPr>
        <w:p w:rsidR="0005322E" w:rsidRPr="005A3173" w:rsidRDefault="0005322E" w:rsidP="005A3173">
          <w:pPr>
            <w:pStyle w:val="Header"/>
            <w:spacing w:line="276" w:lineRule="auto"/>
            <w:rPr>
              <w:rFonts w:eastAsia="MS Gothic"/>
              <w:b/>
              <w:bCs/>
              <w:color w:val="4F81BD"/>
            </w:rPr>
          </w:pPr>
        </w:p>
      </w:tc>
      <w:tc>
        <w:tcPr>
          <w:tcW w:w="0" w:type="auto"/>
          <w:vMerge/>
          <w:vAlign w:val="center"/>
          <w:hideMark/>
        </w:tcPr>
        <w:p w:rsidR="0005322E" w:rsidRPr="005A3173" w:rsidRDefault="0005322E" w:rsidP="005A3173">
          <w:pPr>
            <w:rPr>
              <w:color w:val="365F91"/>
              <w:sz w:val="22"/>
              <w:szCs w:val="22"/>
            </w:rPr>
          </w:pPr>
        </w:p>
      </w:tc>
      <w:tc>
        <w:tcPr>
          <w:tcW w:w="2250" w:type="pct"/>
          <w:tcBorders>
            <w:top w:val="single" w:sz="4" w:space="0" w:color="4F81BD"/>
            <w:left w:val="nil"/>
            <w:bottom w:val="nil"/>
            <w:right w:val="nil"/>
          </w:tcBorders>
        </w:tcPr>
        <w:p w:rsidR="0005322E" w:rsidRPr="005A3173" w:rsidRDefault="0005322E" w:rsidP="005A3173">
          <w:pPr>
            <w:pStyle w:val="Header"/>
            <w:spacing w:line="276" w:lineRule="auto"/>
            <w:rPr>
              <w:rFonts w:eastAsia="MS Gothic"/>
              <w:b/>
              <w:bCs/>
              <w:color w:val="4F81BD"/>
            </w:rPr>
          </w:pPr>
        </w:p>
      </w:tc>
    </w:tr>
  </w:tbl>
  <w:p w:rsidR="0005322E" w:rsidRDefault="0005322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22E" w:rsidRDefault="0005322E">
    <w:pPr>
      <w:pStyle w:val="Footer"/>
    </w:pPr>
  </w:p>
  <w:p w:rsidR="0005322E" w:rsidRDefault="000532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9069867"/>
      <w:docPartObj>
        <w:docPartGallery w:val="Page Numbers (Bottom of Page)"/>
        <w:docPartUnique/>
      </w:docPartObj>
    </w:sdtPr>
    <w:sdtEndPr>
      <w:rPr>
        <w:noProof/>
      </w:rPr>
    </w:sdtEndPr>
    <w:sdtContent>
      <w:p w:rsidR="000545D7" w:rsidRPr="00F207B1" w:rsidRDefault="000545D7">
        <w:pPr>
          <w:pStyle w:val="Footer"/>
          <w:jc w:val="center"/>
          <w:rPr>
            <w:b/>
          </w:rPr>
        </w:pPr>
      </w:p>
      <w:p w:rsidR="0005322E" w:rsidRPr="00F207B1" w:rsidRDefault="000545D7" w:rsidP="000545D7">
        <w:pPr>
          <w:pStyle w:val="Footer"/>
          <w:jc w:val="center"/>
          <w:rPr>
            <w:b/>
          </w:rPr>
        </w:pPr>
        <w:r w:rsidRPr="00F207B1">
          <w:rPr>
            <w:b/>
          </w:rPr>
          <w:fldChar w:fldCharType="begin"/>
        </w:r>
        <w:r w:rsidRPr="00F207B1">
          <w:rPr>
            <w:b/>
          </w:rPr>
          <w:instrText xml:space="preserve"> PAGE   \* MERGEFORMAT </w:instrText>
        </w:r>
        <w:r w:rsidRPr="00F207B1">
          <w:rPr>
            <w:b/>
          </w:rPr>
          <w:fldChar w:fldCharType="separate"/>
        </w:r>
        <w:r w:rsidR="00637218">
          <w:rPr>
            <w:b/>
            <w:noProof/>
          </w:rPr>
          <w:t>1</w:t>
        </w:r>
        <w:r w:rsidRPr="00F207B1">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05322E" w:rsidTr="005A3173">
      <w:trPr>
        <w:trHeight w:val="151"/>
      </w:trPr>
      <w:tc>
        <w:tcPr>
          <w:tcW w:w="2250" w:type="pct"/>
          <w:tcBorders>
            <w:top w:val="nil"/>
            <w:left w:val="nil"/>
            <w:bottom w:val="single" w:sz="4" w:space="0" w:color="4F81BD"/>
            <w:right w:val="nil"/>
          </w:tcBorders>
        </w:tcPr>
        <w:p w:rsidR="0005322E" w:rsidRPr="005A3173" w:rsidRDefault="0005322E" w:rsidP="005A3173">
          <w:pPr>
            <w:pStyle w:val="Header"/>
            <w:spacing w:line="276" w:lineRule="auto"/>
            <w:rPr>
              <w:rFonts w:eastAsia="MS Gothic"/>
              <w:b/>
              <w:bCs/>
              <w:color w:val="4F81BD"/>
            </w:rPr>
          </w:pPr>
        </w:p>
      </w:tc>
      <w:tc>
        <w:tcPr>
          <w:tcW w:w="500" w:type="pct"/>
          <w:vMerge w:val="restart"/>
          <w:noWrap/>
          <w:vAlign w:val="center"/>
          <w:hideMark/>
        </w:tcPr>
        <w:p w:rsidR="0005322E" w:rsidRPr="005A3173" w:rsidRDefault="0005322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322E" w:rsidRPr="005A3173" w:rsidRDefault="0005322E" w:rsidP="005A3173">
          <w:pPr>
            <w:pStyle w:val="Header"/>
            <w:spacing w:line="276" w:lineRule="auto"/>
            <w:rPr>
              <w:rFonts w:eastAsia="MS Gothic"/>
              <w:b/>
              <w:bCs/>
              <w:color w:val="4F81BD"/>
            </w:rPr>
          </w:pPr>
        </w:p>
      </w:tc>
    </w:tr>
    <w:tr w:rsidR="0005322E" w:rsidTr="005A3173">
      <w:trPr>
        <w:trHeight w:val="150"/>
      </w:trPr>
      <w:tc>
        <w:tcPr>
          <w:tcW w:w="2250" w:type="pct"/>
          <w:tcBorders>
            <w:top w:val="single" w:sz="4" w:space="0" w:color="4F81BD"/>
            <w:left w:val="nil"/>
            <w:bottom w:val="nil"/>
            <w:right w:val="nil"/>
          </w:tcBorders>
        </w:tcPr>
        <w:p w:rsidR="0005322E" w:rsidRPr="005A3173" w:rsidRDefault="0005322E" w:rsidP="005A3173">
          <w:pPr>
            <w:pStyle w:val="Header"/>
            <w:spacing w:line="276" w:lineRule="auto"/>
            <w:rPr>
              <w:rFonts w:eastAsia="MS Gothic"/>
              <w:b/>
              <w:bCs/>
              <w:color w:val="4F81BD"/>
            </w:rPr>
          </w:pPr>
        </w:p>
      </w:tc>
      <w:tc>
        <w:tcPr>
          <w:tcW w:w="0" w:type="auto"/>
          <w:vMerge/>
          <w:vAlign w:val="center"/>
          <w:hideMark/>
        </w:tcPr>
        <w:p w:rsidR="0005322E" w:rsidRPr="005A3173" w:rsidRDefault="0005322E" w:rsidP="005A3173">
          <w:pPr>
            <w:rPr>
              <w:color w:val="365F91"/>
              <w:sz w:val="22"/>
              <w:szCs w:val="22"/>
            </w:rPr>
          </w:pPr>
        </w:p>
      </w:tc>
      <w:tc>
        <w:tcPr>
          <w:tcW w:w="2250" w:type="pct"/>
          <w:tcBorders>
            <w:top w:val="single" w:sz="4" w:space="0" w:color="4F81BD"/>
            <w:left w:val="nil"/>
            <w:bottom w:val="nil"/>
            <w:right w:val="nil"/>
          </w:tcBorders>
        </w:tcPr>
        <w:p w:rsidR="0005322E" w:rsidRPr="005A3173" w:rsidRDefault="0005322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5322E" w:rsidTr="005A3173">
      <w:trPr>
        <w:trHeight w:val="151"/>
      </w:trPr>
      <w:tc>
        <w:tcPr>
          <w:tcW w:w="2250" w:type="pct"/>
          <w:tcBorders>
            <w:top w:val="nil"/>
            <w:left w:val="nil"/>
            <w:bottom w:val="single" w:sz="4" w:space="0" w:color="4F81BD"/>
            <w:right w:val="nil"/>
          </w:tcBorders>
        </w:tcPr>
        <w:p w:rsidR="0005322E" w:rsidRPr="005A3173" w:rsidRDefault="0005322E" w:rsidP="005A3173">
          <w:pPr>
            <w:pStyle w:val="Header"/>
            <w:spacing w:line="276" w:lineRule="auto"/>
            <w:rPr>
              <w:rFonts w:eastAsia="MS Gothic"/>
              <w:b/>
              <w:bCs/>
              <w:color w:val="4F81BD"/>
            </w:rPr>
          </w:pPr>
        </w:p>
      </w:tc>
      <w:tc>
        <w:tcPr>
          <w:tcW w:w="500" w:type="pct"/>
          <w:vMerge w:val="restart"/>
          <w:noWrap/>
          <w:vAlign w:val="center"/>
          <w:hideMark/>
        </w:tcPr>
        <w:p w:rsidR="0005322E" w:rsidRPr="005A3173" w:rsidRDefault="0005322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322E" w:rsidRPr="005A3173" w:rsidRDefault="0005322E" w:rsidP="005A3173">
          <w:pPr>
            <w:pStyle w:val="Header"/>
            <w:spacing w:line="276" w:lineRule="auto"/>
            <w:rPr>
              <w:rFonts w:eastAsia="MS Gothic"/>
              <w:b/>
              <w:bCs/>
              <w:color w:val="4F81BD"/>
            </w:rPr>
          </w:pPr>
        </w:p>
      </w:tc>
    </w:tr>
    <w:tr w:rsidR="0005322E" w:rsidTr="005A3173">
      <w:trPr>
        <w:trHeight w:val="150"/>
      </w:trPr>
      <w:tc>
        <w:tcPr>
          <w:tcW w:w="2250" w:type="pct"/>
          <w:tcBorders>
            <w:top w:val="single" w:sz="4" w:space="0" w:color="4F81BD"/>
            <w:left w:val="nil"/>
            <w:bottom w:val="nil"/>
            <w:right w:val="nil"/>
          </w:tcBorders>
        </w:tcPr>
        <w:p w:rsidR="0005322E" w:rsidRPr="005A3173" w:rsidRDefault="0005322E" w:rsidP="005A3173">
          <w:pPr>
            <w:pStyle w:val="Header"/>
            <w:spacing w:line="276" w:lineRule="auto"/>
            <w:rPr>
              <w:rFonts w:eastAsia="MS Gothic"/>
              <w:b/>
              <w:bCs/>
              <w:color w:val="4F81BD"/>
            </w:rPr>
          </w:pPr>
        </w:p>
      </w:tc>
      <w:tc>
        <w:tcPr>
          <w:tcW w:w="0" w:type="auto"/>
          <w:vMerge/>
          <w:vAlign w:val="center"/>
          <w:hideMark/>
        </w:tcPr>
        <w:p w:rsidR="0005322E" w:rsidRPr="005A3173" w:rsidRDefault="0005322E" w:rsidP="005A3173">
          <w:pPr>
            <w:rPr>
              <w:color w:val="365F91"/>
              <w:sz w:val="22"/>
              <w:szCs w:val="22"/>
            </w:rPr>
          </w:pPr>
        </w:p>
      </w:tc>
      <w:tc>
        <w:tcPr>
          <w:tcW w:w="2250" w:type="pct"/>
          <w:tcBorders>
            <w:top w:val="single" w:sz="4" w:space="0" w:color="4F81BD"/>
            <w:left w:val="nil"/>
            <w:bottom w:val="nil"/>
            <w:right w:val="nil"/>
          </w:tcBorders>
        </w:tcPr>
        <w:p w:rsidR="0005322E" w:rsidRPr="005A3173" w:rsidRDefault="0005322E" w:rsidP="005A3173">
          <w:pPr>
            <w:pStyle w:val="Header"/>
            <w:spacing w:line="276" w:lineRule="auto"/>
            <w:rPr>
              <w:rFonts w:eastAsia="MS Gothic"/>
              <w:b/>
              <w:bCs/>
              <w:color w:val="4F81BD"/>
            </w:rPr>
          </w:pPr>
        </w:p>
      </w:tc>
    </w:tr>
  </w:tbl>
  <w:p w:rsidR="0005322E" w:rsidRPr="007C0F57" w:rsidRDefault="0005322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A05AED">
      <w:rPr>
        <w:rStyle w:val="PageNumber"/>
        <w:noProof/>
      </w:rPr>
      <w:t>1</w:t>
    </w:r>
    <w:r>
      <w:rPr>
        <w:rStyle w:val="PageNumber"/>
      </w:rPr>
      <w:fldChar w:fldCharType="end"/>
    </w:r>
    <w:r w:rsidRPr="007C0F57">
      <w:rPr>
        <w:b/>
        <w:i/>
        <w:sz w:val="20"/>
        <w:szCs w:val="20"/>
      </w:rPr>
      <w:t>BAC Meeting</w:t>
    </w:r>
  </w:p>
  <w:p w:rsidR="0005322E" w:rsidRPr="007C0F57" w:rsidRDefault="0005322E" w:rsidP="007C0F57">
    <w:pPr>
      <w:pStyle w:val="Footer"/>
      <w:jc w:val="center"/>
      <w:rPr>
        <w:b/>
        <w:i/>
        <w:sz w:val="20"/>
        <w:szCs w:val="20"/>
      </w:rPr>
    </w:pPr>
    <w:r w:rsidRPr="007C0F57">
      <w:rPr>
        <w:b/>
        <w:i/>
        <w:sz w:val="20"/>
        <w:szCs w:val="20"/>
      </w:rPr>
      <w:t>Commercial-in-Confidence</w:t>
    </w:r>
  </w:p>
  <w:p w:rsidR="0005322E" w:rsidRDefault="000532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EA" w:rsidRDefault="00E176EA">
      <w:r>
        <w:separator/>
      </w:r>
    </w:p>
    <w:p w:rsidR="00E176EA" w:rsidRDefault="00E176EA"/>
  </w:footnote>
  <w:footnote w:type="continuationSeparator" w:id="0">
    <w:p w:rsidR="00E176EA" w:rsidRDefault="00E176EA">
      <w:r>
        <w:continuationSeparator/>
      </w:r>
    </w:p>
    <w:p w:rsidR="00E176EA" w:rsidRDefault="00E176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05322E" w:rsidRPr="008E0D90" w:rsidTr="00A06225">
      <w:trPr>
        <w:trHeight w:val="151"/>
      </w:trPr>
      <w:tc>
        <w:tcPr>
          <w:tcW w:w="2389" w:type="pct"/>
          <w:tcBorders>
            <w:top w:val="nil"/>
            <w:left w:val="nil"/>
            <w:bottom w:val="single" w:sz="4" w:space="0" w:color="4F81BD"/>
            <w:right w:val="nil"/>
          </w:tcBorders>
        </w:tcPr>
        <w:p w:rsidR="0005322E" w:rsidRPr="00A06225" w:rsidRDefault="0005322E">
          <w:pPr>
            <w:pStyle w:val="Header"/>
            <w:spacing w:line="276" w:lineRule="auto"/>
            <w:rPr>
              <w:rFonts w:ascii="Cambria" w:eastAsia="MS Gothic" w:hAnsi="Cambria"/>
              <w:b/>
              <w:bCs/>
              <w:color w:val="4F81BD"/>
            </w:rPr>
          </w:pPr>
        </w:p>
      </w:tc>
      <w:tc>
        <w:tcPr>
          <w:tcW w:w="333" w:type="pct"/>
          <w:vMerge w:val="restart"/>
          <w:noWrap/>
          <w:vAlign w:val="center"/>
          <w:hideMark/>
        </w:tcPr>
        <w:p w:rsidR="0005322E" w:rsidRPr="00A06225" w:rsidRDefault="0005322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322E" w:rsidRPr="00A06225" w:rsidRDefault="0005322E">
          <w:pPr>
            <w:pStyle w:val="Header"/>
            <w:spacing w:line="276" w:lineRule="auto"/>
            <w:rPr>
              <w:rFonts w:ascii="Cambria" w:eastAsia="MS Gothic" w:hAnsi="Cambria"/>
              <w:b/>
              <w:bCs/>
              <w:color w:val="4F81BD"/>
            </w:rPr>
          </w:pPr>
        </w:p>
      </w:tc>
    </w:tr>
    <w:tr w:rsidR="0005322E" w:rsidRPr="008E0D90" w:rsidTr="00A06225">
      <w:trPr>
        <w:trHeight w:val="150"/>
      </w:trPr>
      <w:tc>
        <w:tcPr>
          <w:tcW w:w="2389" w:type="pct"/>
          <w:tcBorders>
            <w:top w:val="single" w:sz="4" w:space="0" w:color="4F81BD"/>
            <w:left w:val="nil"/>
            <w:bottom w:val="nil"/>
            <w:right w:val="nil"/>
          </w:tcBorders>
        </w:tcPr>
        <w:p w:rsidR="0005322E" w:rsidRPr="00A06225" w:rsidRDefault="0005322E">
          <w:pPr>
            <w:pStyle w:val="Header"/>
            <w:spacing w:line="276" w:lineRule="auto"/>
            <w:rPr>
              <w:rFonts w:ascii="Cambria" w:eastAsia="MS Gothic" w:hAnsi="Cambria"/>
              <w:b/>
              <w:bCs/>
              <w:color w:val="4F81BD"/>
            </w:rPr>
          </w:pPr>
        </w:p>
      </w:tc>
      <w:tc>
        <w:tcPr>
          <w:tcW w:w="0" w:type="auto"/>
          <w:vMerge/>
          <w:vAlign w:val="center"/>
          <w:hideMark/>
        </w:tcPr>
        <w:p w:rsidR="0005322E" w:rsidRPr="00A06225" w:rsidRDefault="0005322E">
          <w:pPr>
            <w:rPr>
              <w:rFonts w:ascii="Cambria" w:hAnsi="Cambria"/>
              <w:color w:val="4F81BD"/>
              <w:sz w:val="22"/>
              <w:szCs w:val="22"/>
            </w:rPr>
          </w:pPr>
        </w:p>
      </w:tc>
      <w:tc>
        <w:tcPr>
          <w:tcW w:w="2278" w:type="pct"/>
          <w:tcBorders>
            <w:top w:val="single" w:sz="4" w:space="0" w:color="4F81BD"/>
            <w:left w:val="nil"/>
            <w:bottom w:val="nil"/>
            <w:right w:val="nil"/>
          </w:tcBorders>
        </w:tcPr>
        <w:p w:rsidR="0005322E" w:rsidRPr="00A06225" w:rsidRDefault="0005322E">
          <w:pPr>
            <w:pStyle w:val="Header"/>
            <w:spacing w:line="276" w:lineRule="auto"/>
            <w:rPr>
              <w:rFonts w:ascii="Cambria" w:eastAsia="MS Gothic" w:hAnsi="Cambria"/>
              <w:b/>
              <w:bCs/>
              <w:color w:val="4F81BD"/>
            </w:rPr>
          </w:pPr>
        </w:p>
      </w:tc>
    </w:tr>
  </w:tbl>
  <w:p w:rsidR="0005322E" w:rsidRDefault="0005322E">
    <w:pPr>
      <w:pStyle w:val="Header"/>
    </w:pPr>
  </w:p>
  <w:p w:rsidR="0005322E" w:rsidRDefault="000532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D7" w:rsidRPr="00056684" w:rsidRDefault="00927E63" w:rsidP="000545D7">
    <w:pPr>
      <w:pStyle w:val="Header"/>
      <w:ind w:left="360"/>
      <w:rPr>
        <w:rFonts w:asciiTheme="minorHAnsi" w:hAnsiTheme="minorHAnsi" w:cs="Arial"/>
        <w:i/>
        <w:color w:val="808080"/>
      </w:rPr>
    </w:pPr>
    <w:r>
      <w:rPr>
        <w:rFonts w:asciiTheme="minorHAnsi" w:hAnsiTheme="minorHAnsi" w:cs="Arial"/>
        <w:i/>
        <w:color w:val="808080"/>
      </w:rPr>
      <w:t>Public Summary Document</w:t>
    </w:r>
    <w:r w:rsidR="000545D7" w:rsidRPr="00056684">
      <w:rPr>
        <w:rFonts w:asciiTheme="minorHAnsi" w:hAnsiTheme="minorHAnsi" w:cs="Arial"/>
        <w:i/>
        <w:color w:val="808080"/>
      </w:rPr>
      <w:t xml:space="preserve">– </w:t>
    </w:r>
    <w:r w:rsidR="000545D7">
      <w:rPr>
        <w:rFonts w:asciiTheme="minorHAnsi" w:hAnsiTheme="minorHAnsi" w:cs="Arial"/>
        <w:i/>
        <w:color w:val="808080"/>
      </w:rPr>
      <w:t>March 2021</w:t>
    </w:r>
    <w:r w:rsidR="000545D7" w:rsidRPr="00056684">
      <w:rPr>
        <w:rFonts w:asciiTheme="minorHAnsi" w:hAnsiTheme="minorHAnsi" w:cs="Arial"/>
        <w:i/>
        <w:color w:val="808080"/>
      </w:rPr>
      <w:t xml:space="preserve"> PBAC Meeting</w:t>
    </w:r>
  </w:p>
  <w:p w:rsidR="000545D7" w:rsidRPr="000545D7" w:rsidRDefault="000545D7" w:rsidP="000545D7">
    <w:pPr>
      <w:pStyle w:val="Header"/>
      <w:ind w:left="360"/>
      <w:rPr>
        <w:rFonts w:asciiTheme="minorHAnsi" w:hAnsiTheme="minorHAnsi"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ED" w:rsidRDefault="00A05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D0239"/>
    <w:multiLevelType w:val="hybridMultilevel"/>
    <w:tmpl w:val="090C8BA8"/>
    <w:lvl w:ilvl="0" w:tplc="4C721564">
      <w:start w:val="1"/>
      <w:numFmt w:val="bullet"/>
      <w:lvlText w:val="-"/>
      <w:lvlJc w:val="left"/>
      <w:pPr>
        <w:tabs>
          <w:tab w:val="num" w:pos="720"/>
        </w:tabs>
        <w:ind w:left="720" w:hanging="360"/>
      </w:pPr>
      <w:rPr>
        <w:rFonts w:ascii="Times New Roman" w:hAnsi="Times New Roman" w:hint="default"/>
      </w:rPr>
    </w:lvl>
    <w:lvl w:ilvl="1" w:tplc="038A16F0">
      <w:start w:val="1"/>
      <w:numFmt w:val="bullet"/>
      <w:lvlText w:val="-"/>
      <w:lvlJc w:val="left"/>
      <w:pPr>
        <w:tabs>
          <w:tab w:val="num" w:pos="1440"/>
        </w:tabs>
        <w:ind w:left="1440" w:hanging="360"/>
      </w:pPr>
      <w:rPr>
        <w:rFonts w:ascii="Times New Roman" w:hAnsi="Times New Roman" w:hint="default"/>
      </w:rPr>
    </w:lvl>
    <w:lvl w:ilvl="2" w:tplc="431CD804">
      <w:start w:val="1"/>
      <w:numFmt w:val="bullet"/>
      <w:lvlText w:val="-"/>
      <w:lvlJc w:val="left"/>
      <w:pPr>
        <w:tabs>
          <w:tab w:val="num" w:pos="2160"/>
        </w:tabs>
        <w:ind w:left="2160" w:hanging="360"/>
      </w:pPr>
      <w:rPr>
        <w:rFonts w:ascii="Times New Roman" w:hAnsi="Times New Roman" w:hint="default"/>
      </w:rPr>
    </w:lvl>
    <w:lvl w:ilvl="3" w:tplc="AE1255E4" w:tentative="1">
      <w:start w:val="1"/>
      <w:numFmt w:val="bullet"/>
      <w:lvlText w:val="-"/>
      <w:lvlJc w:val="left"/>
      <w:pPr>
        <w:tabs>
          <w:tab w:val="num" w:pos="2880"/>
        </w:tabs>
        <w:ind w:left="2880" w:hanging="360"/>
      </w:pPr>
      <w:rPr>
        <w:rFonts w:ascii="Times New Roman" w:hAnsi="Times New Roman" w:hint="default"/>
      </w:rPr>
    </w:lvl>
    <w:lvl w:ilvl="4" w:tplc="6254AB48" w:tentative="1">
      <w:start w:val="1"/>
      <w:numFmt w:val="bullet"/>
      <w:lvlText w:val="-"/>
      <w:lvlJc w:val="left"/>
      <w:pPr>
        <w:tabs>
          <w:tab w:val="num" w:pos="3600"/>
        </w:tabs>
        <w:ind w:left="3600" w:hanging="360"/>
      </w:pPr>
      <w:rPr>
        <w:rFonts w:ascii="Times New Roman" w:hAnsi="Times New Roman" w:hint="default"/>
      </w:rPr>
    </w:lvl>
    <w:lvl w:ilvl="5" w:tplc="7E6EADB0" w:tentative="1">
      <w:start w:val="1"/>
      <w:numFmt w:val="bullet"/>
      <w:lvlText w:val="-"/>
      <w:lvlJc w:val="left"/>
      <w:pPr>
        <w:tabs>
          <w:tab w:val="num" w:pos="4320"/>
        </w:tabs>
        <w:ind w:left="4320" w:hanging="360"/>
      </w:pPr>
      <w:rPr>
        <w:rFonts w:ascii="Times New Roman" w:hAnsi="Times New Roman" w:hint="default"/>
      </w:rPr>
    </w:lvl>
    <w:lvl w:ilvl="6" w:tplc="B86A622C" w:tentative="1">
      <w:start w:val="1"/>
      <w:numFmt w:val="bullet"/>
      <w:lvlText w:val="-"/>
      <w:lvlJc w:val="left"/>
      <w:pPr>
        <w:tabs>
          <w:tab w:val="num" w:pos="5040"/>
        </w:tabs>
        <w:ind w:left="5040" w:hanging="360"/>
      </w:pPr>
      <w:rPr>
        <w:rFonts w:ascii="Times New Roman" w:hAnsi="Times New Roman" w:hint="default"/>
      </w:rPr>
    </w:lvl>
    <w:lvl w:ilvl="7" w:tplc="ABFC8D0E" w:tentative="1">
      <w:start w:val="1"/>
      <w:numFmt w:val="bullet"/>
      <w:lvlText w:val="-"/>
      <w:lvlJc w:val="left"/>
      <w:pPr>
        <w:tabs>
          <w:tab w:val="num" w:pos="5760"/>
        </w:tabs>
        <w:ind w:left="5760" w:hanging="360"/>
      </w:pPr>
      <w:rPr>
        <w:rFonts w:ascii="Times New Roman" w:hAnsi="Times New Roman" w:hint="default"/>
      </w:rPr>
    </w:lvl>
    <w:lvl w:ilvl="8" w:tplc="FAC896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015B3"/>
    <w:multiLevelType w:val="hybridMultilevel"/>
    <w:tmpl w:val="1DA4780C"/>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96683"/>
    <w:multiLevelType w:val="hybridMultilevel"/>
    <w:tmpl w:val="9492516E"/>
    <w:lvl w:ilvl="0" w:tplc="7C06699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612AB1"/>
    <w:multiLevelType w:val="hybridMultilevel"/>
    <w:tmpl w:val="03B81D9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736B13"/>
    <w:multiLevelType w:val="hybridMultilevel"/>
    <w:tmpl w:val="F13E8C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B219F8"/>
    <w:multiLevelType w:val="hybridMultilevel"/>
    <w:tmpl w:val="C0B2ECE0"/>
    <w:lvl w:ilvl="0" w:tplc="E1DEBA0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11216"/>
    <w:multiLevelType w:val="hybridMultilevel"/>
    <w:tmpl w:val="FAFC4A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E1938B2"/>
    <w:multiLevelType w:val="hybridMultilevel"/>
    <w:tmpl w:val="A4DAC95E"/>
    <w:lvl w:ilvl="0" w:tplc="9C141A70">
      <w:start w:val="1"/>
      <w:numFmt w:val="bullet"/>
      <w:lvlText w:val="•"/>
      <w:lvlJc w:val="left"/>
      <w:pPr>
        <w:tabs>
          <w:tab w:val="num" w:pos="720"/>
        </w:tabs>
        <w:ind w:left="720" w:hanging="360"/>
      </w:pPr>
      <w:rPr>
        <w:rFonts w:ascii="Arial" w:hAnsi="Arial" w:hint="default"/>
      </w:rPr>
    </w:lvl>
    <w:lvl w:ilvl="1" w:tplc="A06A9080" w:tentative="1">
      <w:start w:val="1"/>
      <w:numFmt w:val="bullet"/>
      <w:lvlText w:val="•"/>
      <w:lvlJc w:val="left"/>
      <w:pPr>
        <w:tabs>
          <w:tab w:val="num" w:pos="1440"/>
        </w:tabs>
        <w:ind w:left="1440" w:hanging="360"/>
      </w:pPr>
      <w:rPr>
        <w:rFonts w:ascii="Arial" w:hAnsi="Arial" w:hint="default"/>
      </w:rPr>
    </w:lvl>
    <w:lvl w:ilvl="2" w:tplc="E21CC6AE" w:tentative="1">
      <w:start w:val="1"/>
      <w:numFmt w:val="bullet"/>
      <w:lvlText w:val="•"/>
      <w:lvlJc w:val="left"/>
      <w:pPr>
        <w:tabs>
          <w:tab w:val="num" w:pos="2160"/>
        </w:tabs>
        <w:ind w:left="2160" w:hanging="360"/>
      </w:pPr>
      <w:rPr>
        <w:rFonts w:ascii="Arial" w:hAnsi="Arial" w:hint="default"/>
      </w:rPr>
    </w:lvl>
    <w:lvl w:ilvl="3" w:tplc="AC642E1C" w:tentative="1">
      <w:start w:val="1"/>
      <w:numFmt w:val="bullet"/>
      <w:lvlText w:val="•"/>
      <w:lvlJc w:val="left"/>
      <w:pPr>
        <w:tabs>
          <w:tab w:val="num" w:pos="2880"/>
        </w:tabs>
        <w:ind w:left="2880" w:hanging="360"/>
      </w:pPr>
      <w:rPr>
        <w:rFonts w:ascii="Arial" w:hAnsi="Arial" w:hint="default"/>
      </w:rPr>
    </w:lvl>
    <w:lvl w:ilvl="4" w:tplc="690EA34C" w:tentative="1">
      <w:start w:val="1"/>
      <w:numFmt w:val="bullet"/>
      <w:lvlText w:val="•"/>
      <w:lvlJc w:val="left"/>
      <w:pPr>
        <w:tabs>
          <w:tab w:val="num" w:pos="3600"/>
        </w:tabs>
        <w:ind w:left="3600" w:hanging="360"/>
      </w:pPr>
      <w:rPr>
        <w:rFonts w:ascii="Arial" w:hAnsi="Arial" w:hint="default"/>
      </w:rPr>
    </w:lvl>
    <w:lvl w:ilvl="5" w:tplc="2340A172" w:tentative="1">
      <w:start w:val="1"/>
      <w:numFmt w:val="bullet"/>
      <w:lvlText w:val="•"/>
      <w:lvlJc w:val="left"/>
      <w:pPr>
        <w:tabs>
          <w:tab w:val="num" w:pos="4320"/>
        </w:tabs>
        <w:ind w:left="4320" w:hanging="360"/>
      </w:pPr>
      <w:rPr>
        <w:rFonts w:ascii="Arial" w:hAnsi="Arial" w:hint="default"/>
      </w:rPr>
    </w:lvl>
    <w:lvl w:ilvl="6" w:tplc="2D9C3186" w:tentative="1">
      <w:start w:val="1"/>
      <w:numFmt w:val="bullet"/>
      <w:lvlText w:val="•"/>
      <w:lvlJc w:val="left"/>
      <w:pPr>
        <w:tabs>
          <w:tab w:val="num" w:pos="5040"/>
        </w:tabs>
        <w:ind w:left="5040" w:hanging="360"/>
      </w:pPr>
      <w:rPr>
        <w:rFonts w:ascii="Arial" w:hAnsi="Arial" w:hint="default"/>
      </w:rPr>
    </w:lvl>
    <w:lvl w:ilvl="7" w:tplc="64D48ACC" w:tentative="1">
      <w:start w:val="1"/>
      <w:numFmt w:val="bullet"/>
      <w:lvlText w:val="•"/>
      <w:lvlJc w:val="left"/>
      <w:pPr>
        <w:tabs>
          <w:tab w:val="num" w:pos="5760"/>
        </w:tabs>
        <w:ind w:left="5760" w:hanging="360"/>
      </w:pPr>
      <w:rPr>
        <w:rFonts w:ascii="Arial" w:hAnsi="Arial" w:hint="default"/>
      </w:rPr>
    </w:lvl>
    <w:lvl w:ilvl="8" w:tplc="5DA033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46AD7"/>
    <w:multiLevelType w:val="hybridMultilevel"/>
    <w:tmpl w:val="0E704954"/>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54B4EE4"/>
    <w:multiLevelType w:val="hybridMultilevel"/>
    <w:tmpl w:val="D9F420B0"/>
    <w:lvl w:ilvl="0" w:tplc="61E85C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546A7"/>
    <w:multiLevelType w:val="hybridMultilevel"/>
    <w:tmpl w:val="6196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8"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20"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2B0253"/>
    <w:multiLevelType w:val="hybridMultilevel"/>
    <w:tmpl w:val="B664B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39332A"/>
    <w:multiLevelType w:val="hybridMultilevel"/>
    <w:tmpl w:val="BC62B366"/>
    <w:lvl w:ilvl="0" w:tplc="05946E4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B76422"/>
    <w:multiLevelType w:val="hybridMultilevel"/>
    <w:tmpl w:val="1622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6B0AB7"/>
    <w:multiLevelType w:val="hybridMultilevel"/>
    <w:tmpl w:val="B2561848"/>
    <w:lvl w:ilvl="0" w:tplc="84EE3A80">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A6E04DA"/>
    <w:multiLevelType w:val="hybridMultilevel"/>
    <w:tmpl w:val="9E58110C"/>
    <w:lvl w:ilvl="0" w:tplc="44E206FA">
      <w:start w:val="1"/>
      <w:numFmt w:val="bullet"/>
      <w:lvlText w:val="•"/>
      <w:lvlJc w:val="left"/>
      <w:pPr>
        <w:tabs>
          <w:tab w:val="num" w:pos="720"/>
        </w:tabs>
        <w:ind w:left="720" w:hanging="360"/>
      </w:pPr>
      <w:rPr>
        <w:rFonts w:ascii="Arial" w:hAnsi="Arial" w:hint="default"/>
      </w:rPr>
    </w:lvl>
    <w:lvl w:ilvl="1" w:tplc="0C86C384" w:tentative="1">
      <w:start w:val="1"/>
      <w:numFmt w:val="bullet"/>
      <w:lvlText w:val="•"/>
      <w:lvlJc w:val="left"/>
      <w:pPr>
        <w:tabs>
          <w:tab w:val="num" w:pos="1440"/>
        </w:tabs>
        <w:ind w:left="1440" w:hanging="360"/>
      </w:pPr>
      <w:rPr>
        <w:rFonts w:ascii="Arial" w:hAnsi="Arial" w:hint="default"/>
      </w:rPr>
    </w:lvl>
    <w:lvl w:ilvl="2" w:tplc="47E8042A" w:tentative="1">
      <w:start w:val="1"/>
      <w:numFmt w:val="bullet"/>
      <w:lvlText w:val="•"/>
      <w:lvlJc w:val="left"/>
      <w:pPr>
        <w:tabs>
          <w:tab w:val="num" w:pos="2160"/>
        </w:tabs>
        <w:ind w:left="2160" w:hanging="360"/>
      </w:pPr>
      <w:rPr>
        <w:rFonts w:ascii="Arial" w:hAnsi="Arial" w:hint="default"/>
      </w:rPr>
    </w:lvl>
    <w:lvl w:ilvl="3" w:tplc="3FA626EC" w:tentative="1">
      <w:start w:val="1"/>
      <w:numFmt w:val="bullet"/>
      <w:lvlText w:val="•"/>
      <w:lvlJc w:val="left"/>
      <w:pPr>
        <w:tabs>
          <w:tab w:val="num" w:pos="2880"/>
        </w:tabs>
        <w:ind w:left="2880" w:hanging="360"/>
      </w:pPr>
      <w:rPr>
        <w:rFonts w:ascii="Arial" w:hAnsi="Arial" w:hint="default"/>
      </w:rPr>
    </w:lvl>
    <w:lvl w:ilvl="4" w:tplc="863C1A4C" w:tentative="1">
      <w:start w:val="1"/>
      <w:numFmt w:val="bullet"/>
      <w:lvlText w:val="•"/>
      <w:lvlJc w:val="left"/>
      <w:pPr>
        <w:tabs>
          <w:tab w:val="num" w:pos="3600"/>
        </w:tabs>
        <w:ind w:left="3600" w:hanging="360"/>
      </w:pPr>
      <w:rPr>
        <w:rFonts w:ascii="Arial" w:hAnsi="Arial" w:hint="default"/>
      </w:rPr>
    </w:lvl>
    <w:lvl w:ilvl="5" w:tplc="40069D8C" w:tentative="1">
      <w:start w:val="1"/>
      <w:numFmt w:val="bullet"/>
      <w:lvlText w:val="•"/>
      <w:lvlJc w:val="left"/>
      <w:pPr>
        <w:tabs>
          <w:tab w:val="num" w:pos="4320"/>
        </w:tabs>
        <w:ind w:left="4320" w:hanging="360"/>
      </w:pPr>
      <w:rPr>
        <w:rFonts w:ascii="Arial" w:hAnsi="Arial" w:hint="default"/>
      </w:rPr>
    </w:lvl>
    <w:lvl w:ilvl="6" w:tplc="A3D25024" w:tentative="1">
      <w:start w:val="1"/>
      <w:numFmt w:val="bullet"/>
      <w:lvlText w:val="•"/>
      <w:lvlJc w:val="left"/>
      <w:pPr>
        <w:tabs>
          <w:tab w:val="num" w:pos="5040"/>
        </w:tabs>
        <w:ind w:left="5040" w:hanging="360"/>
      </w:pPr>
      <w:rPr>
        <w:rFonts w:ascii="Arial" w:hAnsi="Arial" w:hint="default"/>
      </w:rPr>
    </w:lvl>
    <w:lvl w:ilvl="7" w:tplc="09264998" w:tentative="1">
      <w:start w:val="1"/>
      <w:numFmt w:val="bullet"/>
      <w:lvlText w:val="•"/>
      <w:lvlJc w:val="left"/>
      <w:pPr>
        <w:tabs>
          <w:tab w:val="num" w:pos="5760"/>
        </w:tabs>
        <w:ind w:left="5760" w:hanging="360"/>
      </w:pPr>
      <w:rPr>
        <w:rFonts w:ascii="Arial" w:hAnsi="Arial" w:hint="default"/>
      </w:rPr>
    </w:lvl>
    <w:lvl w:ilvl="8" w:tplc="B7B2B8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054793"/>
    <w:multiLevelType w:val="multilevel"/>
    <w:tmpl w:val="24FEA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D71CA7"/>
    <w:multiLevelType w:val="multilevel"/>
    <w:tmpl w:val="E6C80498"/>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C3F0A"/>
    <w:multiLevelType w:val="hybridMultilevel"/>
    <w:tmpl w:val="42040E66"/>
    <w:lvl w:ilvl="0" w:tplc="B2F4EB3C">
      <w:start w:val="1"/>
      <w:numFmt w:val="bullet"/>
      <w:lvlText w:val="•"/>
      <w:lvlJc w:val="left"/>
      <w:pPr>
        <w:tabs>
          <w:tab w:val="num" w:pos="720"/>
        </w:tabs>
        <w:ind w:left="720" w:hanging="360"/>
      </w:pPr>
      <w:rPr>
        <w:rFonts w:ascii="Arial" w:hAnsi="Arial" w:hint="default"/>
      </w:rPr>
    </w:lvl>
    <w:lvl w:ilvl="1" w:tplc="EBF83A36">
      <w:start w:val="1"/>
      <w:numFmt w:val="bullet"/>
      <w:lvlText w:val="•"/>
      <w:lvlJc w:val="left"/>
      <w:pPr>
        <w:tabs>
          <w:tab w:val="num" w:pos="1440"/>
        </w:tabs>
        <w:ind w:left="1440" w:hanging="360"/>
      </w:pPr>
      <w:rPr>
        <w:rFonts w:ascii="Arial" w:hAnsi="Arial" w:hint="default"/>
      </w:rPr>
    </w:lvl>
    <w:lvl w:ilvl="2" w:tplc="9B081868">
      <w:start w:val="29"/>
      <w:numFmt w:val="bullet"/>
      <w:lvlText w:val="-"/>
      <w:lvlJc w:val="left"/>
      <w:pPr>
        <w:tabs>
          <w:tab w:val="num" w:pos="2160"/>
        </w:tabs>
        <w:ind w:left="2160" w:hanging="360"/>
      </w:pPr>
      <w:rPr>
        <w:rFonts w:ascii="Times New Roman" w:hAnsi="Times New Roman" w:hint="default"/>
      </w:rPr>
    </w:lvl>
    <w:lvl w:ilvl="3" w:tplc="B8A63AB6">
      <w:start w:val="29"/>
      <w:numFmt w:val="bullet"/>
      <w:lvlText w:val="-"/>
      <w:lvlJc w:val="left"/>
      <w:pPr>
        <w:tabs>
          <w:tab w:val="num" w:pos="2880"/>
        </w:tabs>
        <w:ind w:left="2880" w:hanging="360"/>
      </w:pPr>
      <w:rPr>
        <w:rFonts w:ascii="Times New Roman" w:hAnsi="Times New Roman" w:hint="default"/>
      </w:rPr>
    </w:lvl>
    <w:lvl w:ilvl="4" w:tplc="A33CA20A" w:tentative="1">
      <w:start w:val="1"/>
      <w:numFmt w:val="bullet"/>
      <w:lvlText w:val="•"/>
      <w:lvlJc w:val="left"/>
      <w:pPr>
        <w:tabs>
          <w:tab w:val="num" w:pos="3600"/>
        </w:tabs>
        <w:ind w:left="3600" w:hanging="360"/>
      </w:pPr>
      <w:rPr>
        <w:rFonts w:ascii="Arial" w:hAnsi="Arial" w:hint="default"/>
      </w:rPr>
    </w:lvl>
    <w:lvl w:ilvl="5" w:tplc="D83AAE58" w:tentative="1">
      <w:start w:val="1"/>
      <w:numFmt w:val="bullet"/>
      <w:lvlText w:val="•"/>
      <w:lvlJc w:val="left"/>
      <w:pPr>
        <w:tabs>
          <w:tab w:val="num" w:pos="4320"/>
        </w:tabs>
        <w:ind w:left="4320" w:hanging="360"/>
      </w:pPr>
      <w:rPr>
        <w:rFonts w:ascii="Arial" w:hAnsi="Arial" w:hint="default"/>
      </w:rPr>
    </w:lvl>
    <w:lvl w:ilvl="6" w:tplc="149C042E" w:tentative="1">
      <w:start w:val="1"/>
      <w:numFmt w:val="bullet"/>
      <w:lvlText w:val="•"/>
      <w:lvlJc w:val="left"/>
      <w:pPr>
        <w:tabs>
          <w:tab w:val="num" w:pos="5040"/>
        </w:tabs>
        <w:ind w:left="5040" w:hanging="360"/>
      </w:pPr>
      <w:rPr>
        <w:rFonts w:ascii="Arial" w:hAnsi="Arial" w:hint="default"/>
      </w:rPr>
    </w:lvl>
    <w:lvl w:ilvl="7" w:tplc="A5CC01C0" w:tentative="1">
      <w:start w:val="1"/>
      <w:numFmt w:val="bullet"/>
      <w:lvlText w:val="•"/>
      <w:lvlJc w:val="left"/>
      <w:pPr>
        <w:tabs>
          <w:tab w:val="num" w:pos="5760"/>
        </w:tabs>
        <w:ind w:left="5760" w:hanging="360"/>
      </w:pPr>
      <w:rPr>
        <w:rFonts w:ascii="Arial" w:hAnsi="Arial" w:hint="default"/>
      </w:rPr>
    </w:lvl>
    <w:lvl w:ilvl="8" w:tplc="9A46DE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54A29"/>
    <w:multiLevelType w:val="hybridMultilevel"/>
    <w:tmpl w:val="8946E786"/>
    <w:lvl w:ilvl="0" w:tplc="ACCEF81A">
      <w:start w:val="1"/>
      <w:numFmt w:val="bullet"/>
      <w:lvlText w:val="•"/>
      <w:lvlJc w:val="left"/>
      <w:pPr>
        <w:tabs>
          <w:tab w:val="num" w:pos="720"/>
        </w:tabs>
        <w:ind w:left="720" w:hanging="360"/>
      </w:pPr>
      <w:rPr>
        <w:rFonts w:ascii="Arial" w:hAnsi="Arial" w:hint="default"/>
      </w:rPr>
    </w:lvl>
    <w:lvl w:ilvl="1" w:tplc="A6E66EB6">
      <w:start w:val="245"/>
      <w:numFmt w:val="bullet"/>
      <w:lvlText w:val="•"/>
      <w:lvlJc w:val="left"/>
      <w:pPr>
        <w:tabs>
          <w:tab w:val="num" w:pos="1440"/>
        </w:tabs>
        <w:ind w:left="1440" w:hanging="360"/>
      </w:pPr>
      <w:rPr>
        <w:rFonts w:ascii="Arial" w:hAnsi="Arial" w:hint="default"/>
      </w:rPr>
    </w:lvl>
    <w:lvl w:ilvl="2" w:tplc="9E9E8D16" w:tentative="1">
      <w:start w:val="1"/>
      <w:numFmt w:val="bullet"/>
      <w:lvlText w:val="•"/>
      <w:lvlJc w:val="left"/>
      <w:pPr>
        <w:tabs>
          <w:tab w:val="num" w:pos="2160"/>
        </w:tabs>
        <w:ind w:left="2160" w:hanging="360"/>
      </w:pPr>
      <w:rPr>
        <w:rFonts w:ascii="Arial" w:hAnsi="Arial" w:hint="default"/>
      </w:rPr>
    </w:lvl>
    <w:lvl w:ilvl="3" w:tplc="FF109EAE" w:tentative="1">
      <w:start w:val="1"/>
      <w:numFmt w:val="bullet"/>
      <w:lvlText w:val="•"/>
      <w:lvlJc w:val="left"/>
      <w:pPr>
        <w:tabs>
          <w:tab w:val="num" w:pos="2880"/>
        </w:tabs>
        <w:ind w:left="2880" w:hanging="360"/>
      </w:pPr>
      <w:rPr>
        <w:rFonts w:ascii="Arial" w:hAnsi="Arial" w:hint="default"/>
      </w:rPr>
    </w:lvl>
    <w:lvl w:ilvl="4" w:tplc="E308625A" w:tentative="1">
      <w:start w:val="1"/>
      <w:numFmt w:val="bullet"/>
      <w:lvlText w:val="•"/>
      <w:lvlJc w:val="left"/>
      <w:pPr>
        <w:tabs>
          <w:tab w:val="num" w:pos="3600"/>
        </w:tabs>
        <w:ind w:left="3600" w:hanging="360"/>
      </w:pPr>
      <w:rPr>
        <w:rFonts w:ascii="Arial" w:hAnsi="Arial" w:hint="default"/>
      </w:rPr>
    </w:lvl>
    <w:lvl w:ilvl="5" w:tplc="7A30F01C" w:tentative="1">
      <w:start w:val="1"/>
      <w:numFmt w:val="bullet"/>
      <w:lvlText w:val="•"/>
      <w:lvlJc w:val="left"/>
      <w:pPr>
        <w:tabs>
          <w:tab w:val="num" w:pos="4320"/>
        </w:tabs>
        <w:ind w:left="4320" w:hanging="360"/>
      </w:pPr>
      <w:rPr>
        <w:rFonts w:ascii="Arial" w:hAnsi="Arial" w:hint="default"/>
      </w:rPr>
    </w:lvl>
    <w:lvl w:ilvl="6" w:tplc="2662D746" w:tentative="1">
      <w:start w:val="1"/>
      <w:numFmt w:val="bullet"/>
      <w:lvlText w:val="•"/>
      <w:lvlJc w:val="left"/>
      <w:pPr>
        <w:tabs>
          <w:tab w:val="num" w:pos="5040"/>
        </w:tabs>
        <w:ind w:left="5040" w:hanging="360"/>
      </w:pPr>
      <w:rPr>
        <w:rFonts w:ascii="Arial" w:hAnsi="Arial" w:hint="default"/>
      </w:rPr>
    </w:lvl>
    <w:lvl w:ilvl="7" w:tplc="2B362BB8" w:tentative="1">
      <w:start w:val="1"/>
      <w:numFmt w:val="bullet"/>
      <w:lvlText w:val="•"/>
      <w:lvlJc w:val="left"/>
      <w:pPr>
        <w:tabs>
          <w:tab w:val="num" w:pos="5760"/>
        </w:tabs>
        <w:ind w:left="5760" w:hanging="360"/>
      </w:pPr>
      <w:rPr>
        <w:rFonts w:ascii="Arial" w:hAnsi="Arial" w:hint="default"/>
      </w:rPr>
    </w:lvl>
    <w:lvl w:ilvl="8" w:tplc="BB6C92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4"/>
  </w:num>
  <w:num w:numId="2">
    <w:abstractNumId w:val="36"/>
  </w:num>
  <w:num w:numId="3">
    <w:abstractNumId w:val="0"/>
  </w:num>
  <w:num w:numId="4">
    <w:abstractNumId w:val="36"/>
  </w:num>
  <w:num w:numId="5">
    <w:abstractNumId w:val="27"/>
  </w:num>
  <w:num w:numId="6">
    <w:abstractNumId w:val="23"/>
  </w:num>
  <w:num w:numId="7">
    <w:abstractNumId w:val="39"/>
  </w:num>
  <w:num w:numId="8">
    <w:abstractNumId w:val="31"/>
  </w:num>
  <w:num w:numId="9">
    <w:abstractNumId w:val="35"/>
  </w:num>
  <w:num w:numId="10">
    <w:abstractNumId w:val="21"/>
  </w:num>
  <w:num w:numId="11">
    <w:abstractNumId w:val="5"/>
  </w:num>
  <w:num w:numId="12">
    <w:abstractNumId w:val="28"/>
  </w:num>
  <w:num w:numId="13">
    <w:abstractNumId w:val="32"/>
  </w:num>
  <w:num w:numId="14">
    <w:abstractNumId w:val="17"/>
  </w:num>
  <w:num w:numId="15">
    <w:abstractNumId w:val="17"/>
  </w:num>
  <w:num w:numId="16">
    <w:abstractNumId w:val="17"/>
    <w:lvlOverride w:ilvl="0">
      <w:startOverride w:val="1"/>
    </w:lvlOverride>
  </w:num>
  <w:num w:numId="17">
    <w:abstractNumId w:val="19"/>
  </w:num>
  <w:num w:numId="18">
    <w:abstractNumId w:val="17"/>
    <w:lvlOverride w:ilvl="0">
      <w:startOverride w:val="4"/>
    </w:lvlOverride>
  </w:num>
  <w:num w:numId="19">
    <w:abstractNumId w:val="3"/>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36"/>
  </w:num>
  <w:num w:numId="24">
    <w:abstractNumId w:val="9"/>
  </w:num>
  <w:num w:numId="25">
    <w:abstractNumId w:val="37"/>
  </w:num>
  <w:num w:numId="26">
    <w:abstractNumId w:val="29"/>
  </w:num>
  <w:num w:numId="27">
    <w:abstractNumId w:val="20"/>
  </w:num>
  <w:num w:numId="28">
    <w:abstractNumId w:val="18"/>
  </w:num>
  <w:num w:numId="29">
    <w:abstractNumId w:val="3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36"/>
  </w:num>
  <w:num w:numId="45">
    <w:abstractNumId w:val="36"/>
  </w:num>
  <w:num w:numId="46">
    <w:abstractNumId w:val="16"/>
  </w:num>
  <w:num w:numId="47">
    <w:abstractNumId w:val="36"/>
  </w:num>
  <w:num w:numId="48">
    <w:abstractNumId w:val="14"/>
  </w:num>
  <w:num w:numId="49">
    <w:abstractNumId w:val="17"/>
    <w:lvlOverride w:ilvl="0">
      <w:startOverride w:val="1"/>
    </w:lvlOverride>
  </w:num>
  <w:num w:numId="50">
    <w:abstractNumId w:val="11"/>
  </w:num>
  <w:num w:numId="51">
    <w:abstractNumId w:val="22"/>
  </w:num>
  <w:num w:numId="52">
    <w:abstractNumId w:val="36"/>
  </w:num>
  <w:num w:numId="53">
    <w:abstractNumId w:val="6"/>
  </w:num>
  <w:num w:numId="54">
    <w:abstractNumId w:val="25"/>
  </w:num>
  <w:num w:numId="55">
    <w:abstractNumId w:val="24"/>
  </w:num>
  <w:num w:numId="56">
    <w:abstractNumId w:val="7"/>
  </w:num>
  <w:num w:numId="57">
    <w:abstractNumId w:val="10"/>
  </w:num>
  <w:num w:numId="58">
    <w:abstractNumId w:val="40"/>
  </w:num>
  <w:num w:numId="59">
    <w:abstractNumId w:val="8"/>
  </w:num>
  <w:num w:numId="60">
    <w:abstractNumId w:val="33"/>
  </w:num>
  <w:num w:numId="61">
    <w:abstractNumId w:val="36"/>
  </w:num>
  <w:num w:numId="62">
    <w:abstractNumId w:val="36"/>
  </w:num>
  <w:num w:numId="63">
    <w:abstractNumId w:val="36"/>
  </w:num>
  <w:num w:numId="64">
    <w:abstractNumId w:val="34"/>
  </w:num>
  <w:num w:numId="65">
    <w:abstractNumId w:val="2"/>
  </w:num>
  <w:num w:numId="66">
    <w:abstractNumId w:val="26"/>
  </w:num>
  <w:num w:numId="67">
    <w:abstractNumId w:val="12"/>
  </w:num>
  <w:num w:numId="68">
    <w:abstractNumId w:val="38"/>
  </w:num>
  <w:num w:numId="69">
    <w:abstractNumId w:val="36"/>
  </w:num>
  <w:num w:numId="70">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10860"/>
    <w:rsid w:val="00011A59"/>
    <w:rsid w:val="00012A90"/>
    <w:rsid w:val="000169AB"/>
    <w:rsid w:val="00016A41"/>
    <w:rsid w:val="000214D1"/>
    <w:rsid w:val="0002464A"/>
    <w:rsid w:val="00025A04"/>
    <w:rsid w:val="0003050E"/>
    <w:rsid w:val="0003106B"/>
    <w:rsid w:val="00034905"/>
    <w:rsid w:val="000421A1"/>
    <w:rsid w:val="0004240E"/>
    <w:rsid w:val="00045E26"/>
    <w:rsid w:val="000465F1"/>
    <w:rsid w:val="000514B5"/>
    <w:rsid w:val="0005322E"/>
    <w:rsid w:val="000545D7"/>
    <w:rsid w:val="00054E2B"/>
    <w:rsid w:val="00060E64"/>
    <w:rsid w:val="00064752"/>
    <w:rsid w:val="00066193"/>
    <w:rsid w:val="00066755"/>
    <w:rsid w:val="00071A5B"/>
    <w:rsid w:val="000763D5"/>
    <w:rsid w:val="00077143"/>
    <w:rsid w:val="00077DF7"/>
    <w:rsid w:val="0008050C"/>
    <w:rsid w:val="000818BB"/>
    <w:rsid w:val="00082169"/>
    <w:rsid w:val="00083F01"/>
    <w:rsid w:val="00087C4C"/>
    <w:rsid w:val="000918CB"/>
    <w:rsid w:val="00091B06"/>
    <w:rsid w:val="000951C4"/>
    <w:rsid w:val="00095ADA"/>
    <w:rsid w:val="000969AD"/>
    <w:rsid w:val="000A3AA2"/>
    <w:rsid w:val="000A44B2"/>
    <w:rsid w:val="000A52F6"/>
    <w:rsid w:val="000B44C3"/>
    <w:rsid w:val="000B558D"/>
    <w:rsid w:val="000B5A89"/>
    <w:rsid w:val="000B65F6"/>
    <w:rsid w:val="000C22BA"/>
    <w:rsid w:val="000C5F95"/>
    <w:rsid w:val="000C6996"/>
    <w:rsid w:val="000C7C46"/>
    <w:rsid w:val="000D09E9"/>
    <w:rsid w:val="000D113F"/>
    <w:rsid w:val="000D23BA"/>
    <w:rsid w:val="000E20FC"/>
    <w:rsid w:val="000E5EA1"/>
    <w:rsid w:val="000E681E"/>
    <w:rsid w:val="000F0003"/>
    <w:rsid w:val="000F0B0A"/>
    <w:rsid w:val="000F3384"/>
    <w:rsid w:val="000F4E6A"/>
    <w:rsid w:val="000F7354"/>
    <w:rsid w:val="00101ABE"/>
    <w:rsid w:val="00102202"/>
    <w:rsid w:val="00102A78"/>
    <w:rsid w:val="00104227"/>
    <w:rsid w:val="00110213"/>
    <w:rsid w:val="001107BF"/>
    <w:rsid w:val="00113649"/>
    <w:rsid w:val="00113D5C"/>
    <w:rsid w:val="0012417C"/>
    <w:rsid w:val="00124BF2"/>
    <w:rsid w:val="0012749D"/>
    <w:rsid w:val="001306A5"/>
    <w:rsid w:val="001311AE"/>
    <w:rsid w:val="00136D65"/>
    <w:rsid w:val="00140B74"/>
    <w:rsid w:val="00140D94"/>
    <w:rsid w:val="00142395"/>
    <w:rsid w:val="00142714"/>
    <w:rsid w:val="00144D09"/>
    <w:rsid w:val="001452ED"/>
    <w:rsid w:val="00147A90"/>
    <w:rsid w:val="00147D84"/>
    <w:rsid w:val="001549C1"/>
    <w:rsid w:val="00162BDD"/>
    <w:rsid w:val="00162D4E"/>
    <w:rsid w:val="00163329"/>
    <w:rsid w:val="001637C5"/>
    <w:rsid w:val="00164623"/>
    <w:rsid w:val="001652DE"/>
    <w:rsid w:val="00165B64"/>
    <w:rsid w:val="00176B9D"/>
    <w:rsid w:val="00180713"/>
    <w:rsid w:val="00180720"/>
    <w:rsid w:val="001830CE"/>
    <w:rsid w:val="001836E3"/>
    <w:rsid w:val="0018643B"/>
    <w:rsid w:val="00192B99"/>
    <w:rsid w:val="00196307"/>
    <w:rsid w:val="001A33EA"/>
    <w:rsid w:val="001A4413"/>
    <w:rsid w:val="001A4C4F"/>
    <w:rsid w:val="001A76FB"/>
    <w:rsid w:val="001B017F"/>
    <w:rsid w:val="001B0B79"/>
    <w:rsid w:val="001B2BBC"/>
    <w:rsid w:val="001B3A40"/>
    <w:rsid w:val="001B3FFE"/>
    <w:rsid w:val="001B5129"/>
    <w:rsid w:val="001C0B4C"/>
    <w:rsid w:val="001C0EC4"/>
    <w:rsid w:val="001C1195"/>
    <w:rsid w:val="001C12AE"/>
    <w:rsid w:val="001C1E84"/>
    <w:rsid w:val="001C2E42"/>
    <w:rsid w:val="001D1F5F"/>
    <w:rsid w:val="001E06D2"/>
    <w:rsid w:val="001E17C4"/>
    <w:rsid w:val="001F005B"/>
    <w:rsid w:val="001F1850"/>
    <w:rsid w:val="001F2F1C"/>
    <w:rsid w:val="001F3189"/>
    <w:rsid w:val="001F43BC"/>
    <w:rsid w:val="00203FAC"/>
    <w:rsid w:val="00206770"/>
    <w:rsid w:val="0020752A"/>
    <w:rsid w:val="00213CFB"/>
    <w:rsid w:val="0021553C"/>
    <w:rsid w:val="0021557B"/>
    <w:rsid w:val="002174FD"/>
    <w:rsid w:val="00217BE1"/>
    <w:rsid w:val="002214B9"/>
    <w:rsid w:val="00230F63"/>
    <w:rsid w:val="00234252"/>
    <w:rsid w:val="00237AC6"/>
    <w:rsid w:val="002433B3"/>
    <w:rsid w:val="00244490"/>
    <w:rsid w:val="00245B9C"/>
    <w:rsid w:val="00245C65"/>
    <w:rsid w:val="00253050"/>
    <w:rsid w:val="00253499"/>
    <w:rsid w:val="002551A4"/>
    <w:rsid w:val="00257664"/>
    <w:rsid w:val="00265151"/>
    <w:rsid w:val="00265C2C"/>
    <w:rsid w:val="002664B6"/>
    <w:rsid w:val="00266509"/>
    <w:rsid w:val="00270382"/>
    <w:rsid w:val="00270B99"/>
    <w:rsid w:val="00271BA1"/>
    <w:rsid w:val="002762FA"/>
    <w:rsid w:val="00277505"/>
    <w:rsid w:val="00280EDA"/>
    <w:rsid w:val="002823B6"/>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212F"/>
    <w:rsid w:val="002C2F35"/>
    <w:rsid w:val="002C7485"/>
    <w:rsid w:val="002D283A"/>
    <w:rsid w:val="002D4543"/>
    <w:rsid w:val="002E3153"/>
    <w:rsid w:val="002E5292"/>
    <w:rsid w:val="002E72CA"/>
    <w:rsid w:val="002F600D"/>
    <w:rsid w:val="002F7E47"/>
    <w:rsid w:val="00300AD6"/>
    <w:rsid w:val="00300B1B"/>
    <w:rsid w:val="003019D0"/>
    <w:rsid w:val="003064AF"/>
    <w:rsid w:val="00310A8B"/>
    <w:rsid w:val="00310B68"/>
    <w:rsid w:val="003160D2"/>
    <w:rsid w:val="003173FC"/>
    <w:rsid w:val="00317C6C"/>
    <w:rsid w:val="00320CD3"/>
    <w:rsid w:val="00326E79"/>
    <w:rsid w:val="003301B1"/>
    <w:rsid w:val="00331189"/>
    <w:rsid w:val="0033263D"/>
    <w:rsid w:val="0033518A"/>
    <w:rsid w:val="00335535"/>
    <w:rsid w:val="003367EF"/>
    <w:rsid w:val="00341AE4"/>
    <w:rsid w:val="003476EE"/>
    <w:rsid w:val="003541DD"/>
    <w:rsid w:val="00356E5B"/>
    <w:rsid w:val="003736C9"/>
    <w:rsid w:val="00383B77"/>
    <w:rsid w:val="00384988"/>
    <w:rsid w:val="003872CF"/>
    <w:rsid w:val="0039782C"/>
    <w:rsid w:val="003A1B52"/>
    <w:rsid w:val="003A5B4A"/>
    <w:rsid w:val="003A5D95"/>
    <w:rsid w:val="003B0D3A"/>
    <w:rsid w:val="003B12BD"/>
    <w:rsid w:val="003B2302"/>
    <w:rsid w:val="003B23C5"/>
    <w:rsid w:val="003B2A75"/>
    <w:rsid w:val="003B6124"/>
    <w:rsid w:val="003C093A"/>
    <w:rsid w:val="003C1ECF"/>
    <w:rsid w:val="003C2FB5"/>
    <w:rsid w:val="003D24C5"/>
    <w:rsid w:val="003D4594"/>
    <w:rsid w:val="003D4AC4"/>
    <w:rsid w:val="003D63B7"/>
    <w:rsid w:val="003D74C5"/>
    <w:rsid w:val="003E1751"/>
    <w:rsid w:val="003E468B"/>
    <w:rsid w:val="003E62BD"/>
    <w:rsid w:val="003F0C3A"/>
    <w:rsid w:val="003F15F0"/>
    <w:rsid w:val="003F2453"/>
    <w:rsid w:val="003F249C"/>
    <w:rsid w:val="003F3228"/>
    <w:rsid w:val="003F5C8C"/>
    <w:rsid w:val="003F63CE"/>
    <w:rsid w:val="003F775A"/>
    <w:rsid w:val="00400E55"/>
    <w:rsid w:val="0040128E"/>
    <w:rsid w:val="0040216B"/>
    <w:rsid w:val="00411A6C"/>
    <w:rsid w:val="00420400"/>
    <w:rsid w:val="004252EC"/>
    <w:rsid w:val="00430D39"/>
    <w:rsid w:val="00442C91"/>
    <w:rsid w:val="004465BD"/>
    <w:rsid w:val="00446938"/>
    <w:rsid w:val="00454196"/>
    <w:rsid w:val="00461A44"/>
    <w:rsid w:val="00462D26"/>
    <w:rsid w:val="00466ADA"/>
    <w:rsid w:val="004702BB"/>
    <w:rsid w:val="0047494B"/>
    <w:rsid w:val="00476245"/>
    <w:rsid w:val="00477A9B"/>
    <w:rsid w:val="00483035"/>
    <w:rsid w:val="00485940"/>
    <w:rsid w:val="00486C95"/>
    <w:rsid w:val="004904B9"/>
    <w:rsid w:val="00496662"/>
    <w:rsid w:val="004A2484"/>
    <w:rsid w:val="004A5A85"/>
    <w:rsid w:val="004A71D1"/>
    <w:rsid w:val="004A7C5B"/>
    <w:rsid w:val="004B1845"/>
    <w:rsid w:val="004B2348"/>
    <w:rsid w:val="004B2E98"/>
    <w:rsid w:val="004B5640"/>
    <w:rsid w:val="004B6084"/>
    <w:rsid w:val="004B6EC2"/>
    <w:rsid w:val="004C03D0"/>
    <w:rsid w:val="004C1BD7"/>
    <w:rsid w:val="004C239C"/>
    <w:rsid w:val="004C31FE"/>
    <w:rsid w:val="004C524C"/>
    <w:rsid w:val="004C5FFA"/>
    <w:rsid w:val="004C691D"/>
    <w:rsid w:val="004C6C07"/>
    <w:rsid w:val="004C7E15"/>
    <w:rsid w:val="004D4FF6"/>
    <w:rsid w:val="004D5ADD"/>
    <w:rsid w:val="004E692D"/>
    <w:rsid w:val="004E7D87"/>
    <w:rsid w:val="004F2553"/>
    <w:rsid w:val="004F6053"/>
    <w:rsid w:val="00501554"/>
    <w:rsid w:val="00502AFE"/>
    <w:rsid w:val="00502E64"/>
    <w:rsid w:val="005033D0"/>
    <w:rsid w:val="00503AD7"/>
    <w:rsid w:val="00504E0C"/>
    <w:rsid w:val="00504E13"/>
    <w:rsid w:val="005109D4"/>
    <w:rsid w:val="00514CD7"/>
    <w:rsid w:val="00514EAC"/>
    <w:rsid w:val="005170DA"/>
    <w:rsid w:val="00520D6A"/>
    <w:rsid w:val="00522DB6"/>
    <w:rsid w:val="0052792D"/>
    <w:rsid w:val="005319B2"/>
    <w:rsid w:val="00532402"/>
    <w:rsid w:val="00532C74"/>
    <w:rsid w:val="00534E2E"/>
    <w:rsid w:val="0054064C"/>
    <w:rsid w:val="00540676"/>
    <w:rsid w:val="00544552"/>
    <w:rsid w:val="00545130"/>
    <w:rsid w:val="00545A7A"/>
    <w:rsid w:val="0055286A"/>
    <w:rsid w:val="00555745"/>
    <w:rsid w:val="00557D4F"/>
    <w:rsid w:val="0056484E"/>
    <w:rsid w:val="00575545"/>
    <w:rsid w:val="00576272"/>
    <w:rsid w:val="005764CD"/>
    <w:rsid w:val="00577C4D"/>
    <w:rsid w:val="00577DEF"/>
    <w:rsid w:val="00580532"/>
    <w:rsid w:val="00581932"/>
    <w:rsid w:val="00583DF6"/>
    <w:rsid w:val="005963BB"/>
    <w:rsid w:val="005A3173"/>
    <w:rsid w:val="005A3223"/>
    <w:rsid w:val="005A3DA3"/>
    <w:rsid w:val="005A52C4"/>
    <w:rsid w:val="005A59BB"/>
    <w:rsid w:val="005A63A1"/>
    <w:rsid w:val="005B2D16"/>
    <w:rsid w:val="005C4F73"/>
    <w:rsid w:val="005D03AB"/>
    <w:rsid w:val="005D401D"/>
    <w:rsid w:val="005D5017"/>
    <w:rsid w:val="005D5C3B"/>
    <w:rsid w:val="005D63FA"/>
    <w:rsid w:val="005E0C2D"/>
    <w:rsid w:val="005E0D82"/>
    <w:rsid w:val="005E1333"/>
    <w:rsid w:val="005E3136"/>
    <w:rsid w:val="005E46EF"/>
    <w:rsid w:val="005E507D"/>
    <w:rsid w:val="005F0AD0"/>
    <w:rsid w:val="00600B90"/>
    <w:rsid w:val="00601A91"/>
    <w:rsid w:val="00602BA3"/>
    <w:rsid w:val="00605B63"/>
    <w:rsid w:val="00605F9A"/>
    <w:rsid w:val="00606EED"/>
    <w:rsid w:val="00612A95"/>
    <w:rsid w:val="00612E34"/>
    <w:rsid w:val="00614159"/>
    <w:rsid w:val="00616C5F"/>
    <w:rsid w:val="00616DAC"/>
    <w:rsid w:val="00617C00"/>
    <w:rsid w:val="006263BF"/>
    <w:rsid w:val="0062748A"/>
    <w:rsid w:val="00630A2C"/>
    <w:rsid w:val="0063682E"/>
    <w:rsid w:val="00637218"/>
    <w:rsid w:val="00637F5F"/>
    <w:rsid w:val="00640088"/>
    <w:rsid w:val="00642672"/>
    <w:rsid w:val="00642DA8"/>
    <w:rsid w:val="006436CD"/>
    <w:rsid w:val="00651169"/>
    <w:rsid w:val="00653D69"/>
    <w:rsid w:val="006552E6"/>
    <w:rsid w:val="00655794"/>
    <w:rsid w:val="00657C63"/>
    <w:rsid w:val="00660D65"/>
    <w:rsid w:val="00661CBC"/>
    <w:rsid w:val="00662B85"/>
    <w:rsid w:val="006670BE"/>
    <w:rsid w:val="00670A76"/>
    <w:rsid w:val="006711AA"/>
    <w:rsid w:val="00672B57"/>
    <w:rsid w:val="00673F1F"/>
    <w:rsid w:val="00675622"/>
    <w:rsid w:val="0067747D"/>
    <w:rsid w:val="006818D5"/>
    <w:rsid w:val="00681CA4"/>
    <w:rsid w:val="0069039D"/>
    <w:rsid w:val="006906DB"/>
    <w:rsid w:val="00691E6C"/>
    <w:rsid w:val="00693DFB"/>
    <w:rsid w:val="0069501D"/>
    <w:rsid w:val="00696129"/>
    <w:rsid w:val="00697CF2"/>
    <w:rsid w:val="006A12A5"/>
    <w:rsid w:val="006A2515"/>
    <w:rsid w:val="006A5E20"/>
    <w:rsid w:val="006B0D94"/>
    <w:rsid w:val="006B485D"/>
    <w:rsid w:val="006C0C45"/>
    <w:rsid w:val="006C1AA0"/>
    <w:rsid w:val="006C334C"/>
    <w:rsid w:val="006C708E"/>
    <w:rsid w:val="006D14E7"/>
    <w:rsid w:val="006D4444"/>
    <w:rsid w:val="006D6493"/>
    <w:rsid w:val="006D6EC7"/>
    <w:rsid w:val="006E1BCD"/>
    <w:rsid w:val="006E2732"/>
    <w:rsid w:val="006F0A71"/>
    <w:rsid w:val="006F40C2"/>
    <w:rsid w:val="006F5125"/>
    <w:rsid w:val="006F733D"/>
    <w:rsid w:val="00702B6F"/>
    <w:rsid w:val="00704069"/>
    <w:rsid w:val="00704278"/>
    <w:rsid w:val="00706025"/>
    <w:rsid w:val="00706A2F"/>
    <w:rsid w:val="0070718E"/>
    <w:rsid w:val="00707E52"/>
    <w:rsid w:val="00710259"/>
    <w:rsid w:val="0071031F"/>
    <w:rsid w:val="0071340B"/>
    <w:rsid w:val="0071436D"/>
    <w:rsid w:val="00715BBB"/>
    <w:rsid w:val="007174BB"/>
    <w:rsid w:val="0072025D"/>
    <w:rsid w:val="00723328"/>
    <w:rsid w:val="0073137C"/>
    <w:rsid w:val="007353D3"/>
    <w:rsid w:val="0074156B"/>
    <w:rsid w:val="00744F48"/>
    <w:rsid w:val="00747092"/>
    <w:rsid w:val="00751577"/>
    <w:rsid w:val="00754DF9"/>
    <w:rsid w:val="007555E8"/>
    <w:rsid w:val="00755CC5"/>
    <w:rsid w:val="0076420C"/>
    <w:rsid w:val="007643C1"/>
    <w:rsid w:val="00771D07"/>
    <w:rsid w:val="00773BE3"/>
    <w:rsid w:val="007743DD"/>
    <w:rsid w:val="00774E2C"/>
    <w:rsid w:val="007753C2"/>
    <w:rsid w:val="007768C8"/>
    <w:rsid w:val="007838B8"/>
    <w:rsid w:val="007870BD"/>
    <w:rsid w:val="007915BA"/>
    <w:rsid w:val="00791844"/>
    <w:rsid w:val="007979BD"/>
    <w:rsid w:val="007A6A2F"/>
    <w:rsid w:val="007B024E"/>
    <w:rsid w:val="007B3DDC"/>
    <w:rsid w:val="007B72A6"/>
    <w:rsid w:val="007C06D2"/>
    <w:rsid w:val="007C0F57"/>
    <w:rsid w:val="007C40B6"/>
    <w:rsid w:val="007C729F"/>
    <w:rsid w:val="007D503D"/>
    <w:rsid w:val="007D59E7"/>
    <w:rsid w:val="007D5F2A"/>
    <w:rsid w:val="007E1D28"/>
    <w:rsid w:val="007F0021"/>
    <w:rsid w:val="007F2641"/>
    <w:rsid w:val="007F394C"/>
    <w:rsid w:val="007F7C36"/>
    <w:rsid w:val="008055AF"/>
    <w:rsid w:val="00806796"/>
    <w:rsid w:val="00811CC0"/>
    <w:rsid w:val="00814D8A"/>
    <w:rsid w:val="008151D6"/>
    <w:rsid w:val="008162B8"/>
    <w:rsid w:val="00821527"/>
    <w:rsid w:val="00822696"/>
    <w:rsid w:val="0082617E"/>
    <w:rsid w:val="008268BB"/>
    <w:rsid w:val="00826F6D"/>
    <w:rsid w:val="008306F3"/>
    <w:rsid w:val="00830E40"/>
    <w:rsid w:val="00832D9A"/>
    <w:rsid w:val="00835C62"/>
    <w:rsid w:val="00836957"/>
    <w:rsid w:val="00845BAC"/>
    <w:rsid w:val="00846056"/>
    <w:rsid w:val="0084681F"/>
    <w:rsid w:val="00847EC0"/>
    <w:rsid w:val="00855FD6"/>
    <w:rsid w:val="00856DDD"/>
    <w:rsid w:val="00862501"/>
    <w:rsid w:val="00863E68"/>
    <w:rsid w:val="008647B5"/>
    <w:rsid w:val="00867D64"/>
    <w:rsid w:val="00875DCB"/>
    <w:rsid w:val="00880EF5"/>
    <w:rsid w:val="00882085"/>
    <w:rsid w:val="00883188"/>
    <w:rsid w:val="00884A0C"/>
    <w:rsid w:val="00886ACA"/>
    <w:rsid w:val="00897D58"/>
    <w:rsid w:val="00897F22"/>
    <w:rsid w:val="008A0B39"/>
    <w:rsid w:val="008A17A3"/>
    <w:rsid w:val="008A1956"/>
    <w:rsid w:val="008A1E85"/>
    <w:rsid w:val="008A2419"/>
    <w:rsid w:val="008A4937"/>
    <w:rsid w:val="008A50F1"/>
    <w:rsid w:val="008A59D9"/>
    <w:rsid w:val="008A643E"/>
    <w:rsid w:val="008A6819"/>
    <w:rsid w:val="008B2EC0"/>
    <w:rsid w:val="008C1F5A"/>
    <w:rsid w:val="008D0945"/>
    <w:rsid w:val="008D1409"/>
    <w:rsid w:val="008D1B5C"/>
    <w:rsid w:val="008D3C82"/>
    <w:rsid w:val="008D447E"/>
    <w:rsid w:val="008D7A41"/>
    <w:rsid w:val="008E2C72"/>
    <w:rsid w:val="008E3680"/>
    <w:rsid w:val="008E5870"/>
    <w:rsid w:val="008E7357"/>
    <w:rsid w:val="008E77E4"/>
    <w:rsid w:val="008F0213"/>
    <w:rsid w:val="008F07ED"/>
    <w:rsid w:val="008F1434"/>
    <w:rsid w:val="008F3D6A"/>
    <w:rsid w:val="008F54C3"/>
    <w:rsid w:val="008F7355"/>
    <w:rsid w:val="009023DC"/>
    <w:rsid w:val="009027C5"/>
    <w:rsid w:val="00902A89"/>
    <w:rsid w:val="00904413"/>
    <w:rsid w:val="009067B7"/>
    <w:rsid w:val="00917D69"/>
    <w:rsid w:val="00926560"/>
    <w:rsid w:val="00927E63"/>
    <w:rsid w:val="00930291"/>
    <w:rsid w:val="00930937"/>
    <w:rsid w:val="00931AA1"/>
    <w:rsid w:val="009324A6"/>
    <w:rsid w:val="00933E6C"/>
    <w:rsid w:val="00937361"/>
    <w:rsid w:val="00937958"/>
    <w:rsid w:val="009406E5"/>
    <w:rsid w:val="00941602"/>
    <w:rsid w:val="00941FAA"/>
    <w:rsid w:val="00942160"/>
    <w:rsid w:val="0095146F"/>
    <w:rsid w:val="00957944"/>
    <w:rsid w:val="009602C5"/>
    <w:rsid w:val="00962223"/>
    <w:rsid w:val="00966D0D"/>
    <w:rsid w:val="0096783C"/>
    <w:rsid w:val="009722B3"/>
    <w:rsid w:val="00974C21"/>
    <w:rsid w:val="00975948"/>
    <w:rsid w:val="00977BF3"/>
    <w:rsid w:val="009803E4"/>
    <w:rsid w:val="00980B0E"/>
    <w:rsid w:val="009836A3"/>
    <w:rsid w:val="009855A8"/>
    <w:rsid w:val="00985D1A"/>
    <w:rsid w:val="009913F4"/>
    <w:rsid w:val="00991782"/>
    <w:rsid w:val="0099465B"/>
    <w:rsid w:val="009951A1"/>
    <w:rsid w:val="00997A44"/>
    <w:rsid w:val="009A0CDD"/>
    <w:rsid w:val="009A3168"/>
    <w:rsid w:val="009A61CA"/>
    <w:rsid w:val="009B0C64"/>
    <w:rsid w:val="009B0F67"/>
    <w:rsid w:val="009B3F8C"/>
    <w:rsid w:val="009C703C"/>
    <w:rsid w:val="009D000B"/>
    <w:rsid w:val="009D206E"/>
    <w:rsid w:val="009D3CAA"/>
    <w:rsid w:val="009D6532"/>
    <w:rsid w:val="009D6659"/>
    <w:rsid w:val="009D71FD"/>
    <w:rsid w:val="009E2588"/>
    <w:rsid w:val="009E2E8E"/>
    <w:rsid w:val="009E373F"/>
    <w:rsid w:val="009E40E1"/>
    <w:rsid w:val="009F0EFA"/>
    <w:rsid w:val="009F0F67"/>
    <w:rsid w:val="009F3CAE"/>
    <w:rsid w:val="009F4E46"/>
    <w:rsid w:val="009F5B65"/>
    <w:rsid w:val="009F5F2E"/>
    <w:rsid w:val="00A01432"/>
    <w:rsid w:val="00A05AED"/>
    <w:rsid w:val="00A06225"/>
    <w:rsid w:val="00A12587"/>
    <w:rsid w:val="00A128E6"/>
    <w:rsid w:val="00A144D3"/>
    <w:rsid w:val="00A22AC3"/>
    <w:rsid w:val="00A23F3F"/>
    <w:rsid w:val="00A24067"/>
    <w:rsid w:val="00A2744D"/>
    <w:rsid w:val="00A34E6C"/>
    <w:rsid w:val="00A34FD0"/>
    <w:rsid w:val="00A36398"/>
    <w:rsid w:val="00A37C8D"/>
    <w:rsid w:val="00A4020E"/>
    <w:rsid w:val="00A40FB5"/>
    <w:rsid w:val="00A42826"/>
    <w:rsid w:val="00A429B3"/>
    <w:rsid w:val="00A44891"/>
    <w:rsid w:val="00A44EC1"/>
    <w:rsid w:val="00A510E4"/>
    <w:rsid w:val="00A5273B"/>
    <w:rsid w:val="00A53A9D"/>
    <w:rsid w:val="00A55FEE"/>
    <w:rsid w:val="00A57422"/>
    <w:rsid w:val="00A62C1A"/>
    <w:rsid w:val="00A6426D"/>
    <w:rsid w:val="00A665C1"/>
    <w:rsid w:val="00A673A4"/>
    <w:rsid w:val="00A6749D"/>
    <w:rsid w:val="00A67D92"/>
    <w:rsid w:val="00A7001A"/>
    <w:rsid w:val="00A70622"/>
    <w:rsid w:val="00A70977"/>
    <w:rsid w:val="00A70D58"/>
    <w:rsid w:val="00A744F9"/>
    <w:rsid w:val="00A77613"/>
    <w:rsid w:val="00A77B87"/>
    <w:rsid w:val="00A81851"/>
    <w:rsid w:val="00A8390C"/>
    <w:rsid w:val="00A86AE0"/>
    <w:rsid w:val="00A91362"/>
    <w:rsid w:val="00A919C6"/>
    <w:rsid w:val="00A928BD"/>
    <w:rsid w:val="00A92C21"/>
    <w:rsid w:val="00A97DE9"/>
    <w:rsid w:val="00AA12CD"/>
    <w:rsid w:val="00AA17B2"/>
    <w:rsid w:val="00AA4D1C"/>
    <w:rsid w:val="00AA52FD"/>
    <w:rsid w:val="00AA7006"/>
    <w:rsid w:val="00AB5856"/>
    <w:rsid w:val="00AC193C"/>
    <w:rsid w:val="00AC30C1"/>
    <w:rsid w:val="00AC4DE5"/>
    <w:rsid w:val="00AC5206"/>
    <w:rsid w:val="00AD4322"/>
    <w:rsid w:val="00AE11A5"/>
    <w:rsid w:val="00AE13E2"/>
    <w:rsid w:val="00AE22D3"/>
    <w:rsid w:val="00AE5A49"/>
    <w:rsid w:val="00AF11D8"/>
    <w:rsid w:val="00AF27D6"/>
    <w:rsid w:val="00AF62DF"/>
    <w:rsid w:val="00AF68CC"/>
    <w:rsid w:val="00AF70D7"/>
    <w:rsid w:val="00B01AD6"/>
    <w:rsid w:val="00B01FF4"/>
    <w:rsid w:val="00B0326D"/>
    <w:rsid w:val="00B06478"/>
    <w:rsid w:val="00B06767"/>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3635"/>
    <w:rsid w:val="00B42AF4"/>
    <w:rsid w:val="00B43E90"/>
    <w:rsid w:val="00B467DC"/>
    <w:rsid w:val="00B56118"/>
    <w:rsid w:val="00B566E1"/>
    <w:rsid w:val="00B6773F"/>
    <w:rsid w:val="00B70EB3"/>
    <w:rsid w:val="00B72906"/>
    <w:rsid w:val="00B742EA"/>
    <w:rsid w:val="00B7525E"/>
    <w:rsid w:val="00B760FB"/>
    <w:rsid w:val="00B767AB"/>
    <w:rsid w:val="00B801BA"/>
    <w:rsid w:val="00B812D6"/>
    <w:rsid w:val="00B84D5C"/>
    <w:rsid w:val="00B85AF6"/>
    <w:rsid w:val="00B956ED"/>
    <w:rsid w:val="00BA2DA8"/>
    <w:rsid w:val="00BA347C"/>
    <w:rsid w:val="00BB2DB2"/>
    <w:rsid w:val="00BB5C49"/>
    <w:rsid w:val="00BB6240"/>
    <w:rsid w:val="00BB69F5"/>
    <w:rsid w:val="00BB7EC3"/>
    <w:rsid w:val="00BC470E"/>
    <w:rsid w:val="00BC4B9A"/>
    <w:rsid w:val="00BC5FD4"/>
    <w:rsid w:val="00BC6614"/>
    <w:rsid w:val="00BD02C3"/>
    <w:rsid w:val="00BD115E"/>
    <w:rsid w:val="00BD7483"/>
    <w:rsid w:val="00BD784C"/>
    <w:rsid w:val="00BE020A"/>
    <w:rsid w:val="00BE13DF"/>
    <w:rsid w:val="00BE5B18"/>
    <w:rsid w:val="00BF092C"/>
    <w:rsid w:val="00BF27A0"/>
    <w:rsid w:val="00BF4CB6"/>
    <w:rsid w:val="00C00DA7"/>
    <w:rsid w:val="00C04CDE"/>
    <w:rsid w:val="00C068A6"/>
    <w:rsid w:val="00C06D79"/>
    <w:rsid w:val="00C12768"/>
    <w:rsid w:val="00C12D70"/>
    <w:rsid w:val="00C16724"/>
    <w:rsid w:val="00C21B09"/>
    <w:rsid w:val="00C2673A"/>
    <w:rsid w:val="00C27B58"/>
    <w:rsid w:val="00C33186"/>
    <w:rsid w:val="00C35996"/>
    <w:rsid w:val="00C4747E"/>
    <w:rsid w:val="00C5151E"/>
    <w:rsid w:val="00C5342C"/>
    <w:rsid w:val="00C53B2B"/>
    <w:rsid w:val="00C57465"/>
    <w:rsid w:val="00C60272"/>
    <w:rsid w:val="00C603D4"/>
    <w:rsid w:val="00C6256A"/>
    <w:rsid w:val="00C664D2"/>
    <w:rsid w:val="00C710E2"/>
    <w:rsid w:val="00C71C3F"/>
    <w:rsid w:val="00C72354"/>
    <w:rsid w:val="00C7409E"/>
    <w:rsid w:val="00C74D6D"/>
    <w:rsid w:val="00C76E76"/>
    <w:rsid w:val="00C77891"/>
    <w:rsid w:val="00C829A9"/>
    <w:rsid w:val="00C91449"/>
    <w:rsid w:val="00C92D10"/>
    <w:rsid w:val="00CA4712"/>
    <w:rsid w:val="00CA48D9"/>
    <w:rsid w:val="00CB1193"/>
    <w:rsid w:val="00CB4767"/>
    <w:rsid w:val="00CB493D"/>
    <w:rsid w:val="00CC3B97"/>
    <w:rsid w:val="00CD4713"/>
    <w:rsid w:val="00CE10C4"/>
    <w:rsid w:val="00CE1131"/>
    <w:rsid w:val="00CE27B5"/>
    <w:rsid w:val="00CE6DAF"/>
    <w:rsid w:val="00CF410A"/>
    <w:rsid w:val="00D0321E"/>
    <w:rsid w:val="00D05333"/>
    <w:rsid w:val="00D07A8A"/>
    <w:rsid w:val="00D1455A"/>
    <w:rsid w:val="00D14A70"/>
    <w:rsid w:val="00D22093"/>
    <w:rsid w:val="00D2247B"/>
    <w:rsid w:val="00D26312"/>
    <w:rsid w:val="00D31150"/>
    <w:rsid w:val="00D3138B"/>
    <w:rsid w:val="00D31FCE"/>
    <w:rsid w:val="00D3280C"/>
    <w:rsid w:val="00D3406A"/>
    <w:rsid w:val="00D40B11"/>
    <w:rsid w:val="00D429EC"/>
    <w:rsid w:val="00D441F1"/>
    <w:rsid w:val="00D4572C"/>
    <w:rsid w:val="00D45EBA"/>
    <w:rsid w:val="00D469B2"/>
    <w:rsid w:val="00D51E9A"/>
    <w:rsid w:val="00D54B09"/>
    <w:rsid w:val="00D61396"/>
    <w:rsid w:val="00D6243E"/>
    <w:rsid w:val="00D65658"/>
    <w:rsid w:val="00D72B6F"/>
    <w:rsid w:val="00D741EB"/>
    <w:rsid w:val="00D7507D"/>
    <w:rsid w:val="00D7679C"/>
    <w:rsid w:val="00D820F3"/>
    <w:rsid w:val="00D83605"/>
    <w:rsid w:val="00D84934"/>
    <w:rsid w:val="00D866EB"/>
    <w:rsid w:val="00D91271"/>
    <w:rsid w:val="00D919F5"/>
    <w:rsid w:val="00D945F6"/>
    <w:rsid w:val="00D94F03"/>
    <w:rsid w:val="00D95161"/>
    <w:rsid w:val="00DA0A82"/>
    <w:rsid w:val="00DA0D14"/>
    <w:rsid w:val="00DA1FC9"/>
    <w:rsid w:val="00DA2CB5"/>
    <w:rsid w:val="00DA4BAC"/>
    <w:rsid w:val="00DB0151"/>
    <w:rsid w:val="00DB50E1"/>
    <w:rsid w:val="00DC0566"/>
    <w:rsid w:val="00DC1499"/>
    <w:rsid w:val="00DC2C3E"/>
    <w:rsid w:val="00DC3137"/>
    <w:rsid w:val="00DC4880"/>
    <w:rsid w:val="00DE6D27"/>
    <w:rsid w:val="00DF01F8"/>
    <w:rsid w:val="00DF021D"/>
    <w:rsid w:val="00DF217D"/>
    <w:rsid w:val="00DF26A7"/>
    <w:rsid w:val="00DF3277"/>
    <w:rsid w:val="00DF7507"/>
    <w:rsid w:val="00DF7919"/>
    <w:rsid w:val="00E00B4A"/>
    <w:rsid w:val="00E0207E"/>
    <w:rsid w:val="00E02AE6"/>
    <w:rsid w:val="00E03912"/>
    <w:rsid w:val="00E04035"/>
    <w:rsid w:val="00E078D9"/>
    <w:rsid w:val="00E10293"/>
    <w:rsid w:val="00E13E60"/>
    <w:rsid w:val="00E15627"/>
    <w:rsid w:val="00E160A8"/>
    <w:rsid w:val="00E164B3"/>
    <w:rsid w:val="00E16910"/>
    <w:rsid w:val="00E176EA"/>
    <w:rsid w:val="00E24E09"/>
    <w:rsid w:val="00E263CB"/>
    <w:rsid w:val="00E27234"/>
    <w:rsid w:val="00E3495C"/>
    <w:rsid w:val="00E42BDB"/>
    <w:rsid w:val="00E50790"/>
    <w:rsid w:val="00E50EF9"/>
    <w:rsid w:val="00E57EEB"/>
    <w:rsid w:val="00E62D94"/>
    <w:rsid w:val="00E64F37"/>
    <w:rsid w:val="00E65091"/>
    <w:rsid w:val="00E65E54"/>
    <w:rsid w:val="00E661C7"/>
    <w:rsid w:val="00E74E41"/>
    <w:rsid w:val="00E80155"/>
    <w:rsid w:val="00E8134B"/>
    <w:rsid w:val="00E81E0D"/>
    <w:rsid w:val="00E81F28"/>
    <w:rsid w:val="00E848C0"/>
    <w:rsid w:val="00E91B96"/>
    <w:rsid w:val="00E93D1E"/>
    <w:rsid w:val="00E941A1"/>
    <w:rsid w:val="00E95CE3"/>
    <w:rsid w:val="00EA0A51"/>
    <w:rsid w:val="00EA252F"/>
    <w:rsid w:val="00EA2825"/>
    <w:rsid w:val="00EA6518"/>
    <w:rsid w:val="00EA71A2"/>
    <w:rsid w:val="00EA7466"/>
    <w:rsid w:val="00EA7EDE"/>
    <w:rsid w:val="00EB0B63"/>
    <w:rsid w:val="00EB1936"/>
    <w:rsid w:val="00EB37BE"/>
    <w:rsid w:val="00EB5088"/>
    <w:rsid w:val="00ED1644"/>
    <w:rsid w:val="00ED2593"/>
    <w:rsid w:val="00ED26F4"/>
    <w:rsid w:val="00ED7D55"/>
    <w:rsid w:val="00ED7D9C"/>
    <w:rsid w:val="00EE31A2"/>
    <w:rsid w:val="00EF0069"/>
    <w:rsid w:val="00EF44A0"/>
    <w:rsid w:val="00EF4FED"/>
    <w:rsid w:val="00EF6843"/>
    <w:rsid w:val="00EF6FB3"/>
    <w:rsid w:val="00F007C6"/>
    <w:rsid w:val="00F0172E"/>
    <w:rsid w:val="00F050BD"/>
    <w:rsid w:val="00F05657"/>
    <w:rsid w:val="00F05AB0"/>
    <w:rsid w:val="00F146DD"/>
    <w:rsid w:val="00F1559A"/>
    <w:rsid w:val="00F17ED6"/>
    <w:rsid w:val="00F20676"/>
    <w:rsid w:val="00F207B1"/>
    <w:rsid w:val="00F209E2"/>
    <w:rsid w:val="00F25578"/>
    <w:rsid w:val="00F258E5"/>
    <w:rsid w:val="00F25B9C"/>
    <w:rsid w:val="00F26CC6"/>
    <w:rsid w:val="00F300BC"/>
    <w:rsid w:val="00F3263C"/>
    <w:rsid w:val="00F3334E"/>
    <w:rsid w:val="00F36CCB"/>
    <w:rsid w:val="00F374E5"/>
    <w:rsid w:val="00F37B93"/>
    <w:rsid w:val="00F37BAD"/>
    <w:rsid w:val="00F37ECA"/>
    <w:rsid w:val="00F40A1C"/>
    <w:rsid w:val="00F43AF2"/>
    <w:rsid w:val="00F45216"/>
    <w:rsid w:val="00F47090"/>
    <w:rsid w:val="00F5007E"/>
    <w:rsid w:val="00F50EC4"/>
    <w:rsid w:val="00F52232"/>
    <w:rsid w:val="00F550CF"/>
    <w:rsid w:val="00F553D2"/>
    <w:rsid w:val="00F57A6D"/>
    <w:rsid w:val="00F62F19"/>
    <w:rsid w:val="00F638CC"/>
    <w:rsid w:val="00F64C9E"/>
    <w:rsid w:val="00F64CC1"/>
    <w:rsid w:val="00F72317"/>
    <w:rsid w:val="00F80475"/>
    <w:rsid w:val="00F81390"/>
    <w:rsid w:val="00F8247A"/>
    <w:rsid w:val="00F82E5C"/>
    <w:rsid w:val="00F87CEA"/>
    <w:rsid w:val="00F948CC"/>
    <w:rsid w:val="00F9629A"/>
    <w:rsid w:val="00F97EFC"/>
    <w:rsid w:val="00FA0040"/>
    <w:rsid w:val="00FA0C7C"/>
    <w:rsid w:val="00FA1BDD"/>
    <w:rsid w:val="00FA2F93"/>
    <w:rsid w:val="00FA305C"/>
    <w:rsid w:val="00FA462E"/>
    <w:rsid w:val="00FA4DD5"/>
    <w:rsid w:val="00FA5883"/>
    <w:rsid w:val="00FA6055"/>
    <w:rsid w:val="00FB0B39"/>
    <w:rsid w:val="00FB322F"/>
    <w:rsid w:val="00FB442F"/>
    <w:rsid w:val="00FC118C"/>
    <w:rsid w:val="00FC1929"/>
    <w:rsid w:val="00FC5B46"/>
    <w:rsid w:val="00FD24BF"/>
    <w:rsid w:val="00FD3B6E"/>
    <w:rsid w:val="00FD6D8E"/>
    <w:rsid w:val="00FE0663"/>
    <w:rsid w:val="00FE0E94"/>
    <w:rsid w:val="00FE1A93"/>
    <w:rsid w:val="00FE369C"/>
    <w:rsid w:val="00FE3CD9"/>
    <w:rsid w:val="00FF00BD"/>
    <w:rsid w:val="00FF09B7"/>
    <w:rsid w:val="00FF0B13"/>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4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22"/>
      </w:numPr>
      <w:contextualSpacing/>
    </w:pPr>
  </w:style>
  <w:style w:type="paragraph" w:styleId="Revision">
    <w:name w:val="Revision"/>
    <w:hidden/>
    <w:uiPriority w:val="71"/>
    <w:semiHidden/>
    <w:rsid w:val="00DF021D"/>
    <w:rPr>
      <w:rFonts w:ascii="Calibri" w:hAnsi="Calibri"/>
      <w:sz w:val="24"/>
      <w:szCs w:val="24"/>
    </w:rPr>
  </w:style>
  <w:style w:type="paragraph" w:customStyle="1" w:styleId="ExecSumBodyText">
    <w:name w:val="Exec Sum Body Text"/>
    <w:basedOn w:val="Normal"/>
    <w:qFormat/>
    <w:rsid w:val="00FA2F93"/>
    <w:pPr>
      <w:spacing w:after="120"/>
      <w:ind w:left="720" w:hanging="720"/>
    </w:pPr>
    <w:rPr>
      <w:rFonts w:asciiTheme="minorHAnsi" w:hAnsiTheme="minorHAns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20896465">
      <w:bodyDiv w:val="1"/>
      <w:marLeft w:val="0"/>
      <w:marRight w:val="0"/>
      <w:marTop w:val="0"/>
      <w:marBottom w:val="0"/>
      <w:divBdr>
        <w:top w:val="none" w:sz="0" w:space="0" w:color="auto"/>
        <w:left w:val="none" w:sz="0" w:space="0" w:color="auto"/>
        <w:bottom w:val="none" w:sz="0" w:space="0" w:color="auto"/>
        <w:right w:val="none" w:sz="0" w:space="0" w:color="auto"/>
      </w:divBdr>
      <w:divsChild>
        <w:div w:id="2115439675">
          <w:marLeft w:val="432"/>
          <w:marRight w:val="0"/>
          <w:marTop w:val="100"/>
          <w:marBottom w:val="0"/>
          <w:divBdr>
            <w:top w:val="none" w:sz="0" w:space="0" w:color="auto"/>
            <w:left w:val="none" w:sz="0" w:space="0" w:color="auto"/>
            <w:bottom w:val="none" w:sz="0" w:space="0" w:color="auto"/>
            <w:right w:val="none" w:sz="0" w:space="0" w:color="auto"/>
          </w:divBdr>
        </w:div>
        <w:div w:id="2127649563">
          <w:marLeft w:val="1267"/>
          <w:marRight w:val="0"/>
          <w:marTop w:val="100"/>
          <w:marBottom w:val="0"/>
          <w:divBdr>
            <w:top w:val="none" w:sz="0" w:space="0" w:color="auto"/>
            <w:left w:val="none" w:sz="0" w:space="0" w:color="auto"/>
            <w:bottom w:val="none" w:sz="0" w:space="0" w:color="auto"/>
            <w:right w:val="none" w:sz="0" w:space="0" w:color="auto"/>
          </w:divBdr>
        </w:div>
        <w:div w:id="210582969">
          <w:marLeft w:val="1987"/>
          <w:marRight w:val="0"/>
          <w:marTop w:val="100"/>
          <w:marBottom w:val="0"/>
          <w:divBdr>
            <w:top w:val="none" w:sz="0" w:space="0" w:color="auto"/>
            <w:left w:val="none" w:sz="0" w:space="0" w:color="auto"/>
            <w:bottom w:val="none" w:sz="0" w:space="0" w:color="auto"/>
            <w:right w:val="none" w:sz="0" w:space="0" w:color="auto"/>
          </w:divBdr>
        </w:div>
        <w:div w:id="80562433">
          <w:marLeft w:val="1080"/>
          <w:marRight w:val="0"/>
          <w:marTop w:val="100"/>
          <w:marBottom w:val="0"/>
          <w:divBdr>
            <w:top w:val="none" w:sz="0" w:space="0" w:color="auto"/>
            <w:left w:val="none" w:sz="0" w:space="0" w:color="auto"/>
            <w:bottom w:val="none" w:sz="0" w:space="0" w:color="auto"/>
            <w:right w:val="none" w:sz="0" w:space="0" w:color="auto"/>
          </w:divBdr>
        </w:div>
        <w:div w:id="331222024">
          <w:marLeft w:val="360"/>
          <w:marRight w:val="0"/>
          <w:marTop w:val="200"/>
          <w:marBottom w:val="0"/>
          <w:divBdr>
            <w:top w:val="none" w:sz="0" w:space="0" w:color="auto"/>
            <w:left w:val="none" w:sz="0" w:space="0" w:color="auto"/>
            <w:bottom w:val="none" w:sz="0" w:space="0" w:color="auto"/>
            <w:right w:val="none" w:sz="0" w:space="0" w:color="auto"/>
          </w:divBdr>
        </w:div>
      </w:divsChild>
    </w:div>
    <w:div w:id="566303879">
      <w:bodyDiv w:val="1"/>
      <w:marLeft w:val="0"/>
      <w:marRight w:val="0"/>
      <w:marTop w:val="0"/>
      <w:marBottom w:val="0"/>
      <w:divBdr>
        <w:top w:val="none" w:sz="0" w:space="0" w:color="auto"/>
        <w:left w:val="none" w:sz="0" w:space="0" w:color="auto"/>
        <w:bottom w:val="none" w:sz="0" w:space="0" w:color="auto"/>
        <w:right w:val="none" w:sz="0" w:space="0" w:color="auto"/>
      </w:divBdr>
      <w:divsChild>
        <w:div w:id="1248423927">
          <w:marLeft w:val="360"/>
          <w:marRight w:val="0"/>
          <w:marTop w:val="200"/>
          <w:marBottom w:val="0"/>
          <w:divBdr>
            <w:top w:val="none" w:sz="0" w:space="0" w:color="auto"/>
            <w:left w:val="none" w:sz="0" w:space="0" w:color="auto"/>
            <w:bottom w:val="none" w:sz="0" w:space="0" w:color="auto"/>
            <w:right w:val="none" w:sz="0" w:space="0" w:color="auto"/>
          </w:divBdr>
        </w:div>
        <w:div w:id="796022830">
          <w:marLeft w:val="360"/>
          <w:marRight w:val="0"/>
          <w:marTop w:val="200"/>
          <w:marBottom w:val="0"/>
          <w:divBdr>
            <w:top w:val="none" w:sz="0" w:space="0" w:color="auto"/>
            <w:left w:val="none" w:sz="0" w:space="0" w:color="auto"/>
            <w:bottom w:val="none" w:sz="0" w:space="0" w:color="auto"/>
            <w:right w:val="none" w:sz="0" w:space="0" w:color="auto"/>
          </w:divBdr>
        </w:div>
        <w:div w:id="680395156">
          <w:marLeft w:val="1080"/>
          <w:marRight w:val="0"/>
          <w:marTop w:val="100"/>
          <w:marBottom w:val="0"/>
          <w:divBdr>
            <w:top w:val="none" w:sz="0" w:space="0" w:color="auto"/>
            <w:left w:val="none" w:sz="0" w:space="0" w:color="auto"/>
            <w:bottom w:val="none" w:sz="0" w:space="0" w:color="auto"/>
            <w:right w:val="none" w:sz="0" w:space="0" w:color="auto"/>
          </w:divBdr>
        </w:div>
        <w:div w:id="1179585919">
          <w:marLeft w:val="1080"/>
          <w:marRight w:val="0"/>
          <w:marTop w:val="100"/>
          <w:marBottom w:val="0"/>
          <w:divBdr>
            <w:top w:val="none" w:sz="0" w:space="0" w:color="auto"/>
            <w:left w:val="none" w:sz="0" w:space="0" w:color="auto"/>
            <w:bottom w:val="none" w:sz="0" w:space="0" w:color="auto"/>
            <w:right w:val="none" w:sz="0" w:space="0" w:color="auto"/>
          </w:divBdr>
        </w:div>
        <w:div w:id="601454598">
          <w:marLeft w:val="1080"/>
          <w:marRight w:val="0"/>
          <w:marTop w:val="1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8612206">
      <w:bodyDiv w:val="1"/>
      <w:marLeft w:val="0"/>
      <w:marRight w:val="0"/>
      <w:marTop w:val="0"/>
      <w:marBottom w:val="0"/>
      <w:divBdr>
        <w:top w:val="none" w:sz="0" w:space="0" w:color="auto"/>
        <w:left w:val="none" w:sz="0" w:space="0" w:color="auto"/>
        <w:bottom w:val="none" w:sz="0" w:space="0" w:color="auto"/>
        <w:right w:val="none" w:sz="0" w:space="0" w:color="auto"/>
      </w:divBdr>
      <w:divsChild>
        <w:div w:id="1874683937">
          <w:marLeft w:val="360"/>
          <w:marRight w:val="0"/>
          <w:marTop w:val="200"/>
          <w:marBottom w:val="0"/>
          <w:divBdr>
            <w:top w:val="none" w:sz="0" w:space="0" w:color="auto"/>
            <w:left w:val="none" w:sz="0" w:space="0" w:color="auto"/>
            <w:bottom w:val="none" w:sz="0" w:space="0" w:color="auto"/>
            <w:right w:val="none" w:sz="0" w:space="0" w:color="auto"/>
          </w:divBdr>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4046-4B22-42A4-9621-7A9BE167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7338</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7.06	GUSELKUMAB,  Injection 100 mg in 1 mL single use pre-filled pen, Tremfya®, </vt:lpstr>
      <vt:lpstr>Purpose of Application </vt:lpstr>
      <vt:lpstr>Background </vt:lpstr>
      <vt:lpstr>    Previous PBAC consideration</vt:lpstr>
      <vt:lpstr>Comparator </vt:lpstr>
      <vt:lpstr>Consideration of the evidence</vt:lpstr>
      <vt:lpstr>    Sponsor hearing</vt:lpstr>
      <vt:lpstr>    Consumer comments</vt:lpstr>
      <vt:lpstr>    Estimated PBS usage &amp; financial implications</vt:lpstr>
      <vt:lpstr>PBAC Outcome</vt:lpstr>
      <vt:lpstr>Context for Decision</vt:lpstr>
      <vt:lpstr>Sponsor’s Comment</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2021-07-01T01:29:00Z</dcterms:created>
  <dcterms:modified xsi:type="dcterms:W3CDTF">2021-07-01T01:30:00Z</dcterms:modified>
</cp:coreProperties>
</file>