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9E337F" w:rsidRDefault="007A625A" w:rsidP="00AC5155">
      <w:pPr>
        <w:pStyle w:val="1MainTitle"/>
        <w:ind w:left="1134" w:hanging="1134"/>
        <w:jc w:val="left"/>
        <w:rPr>
          <w:rFonts w:eastAsia="Calibri"/>
          <w:lang w:eastAsia="en-US"/>
        </w:rPr>
      </w:pPr>
      <w:r w:rsidRPr="009E337F">
        <w:rPr>
          <w:rFonts w:eastAsia="Calibri"/>
          <w:lang w:eastAsia="en-US"/>
        </w:rPr>
        <w:t>5</w:t>
      </w:r>
      <w:r w:rsidR="00BF27A0" w:rsidRPr="009E337F">
        <w:rPr>
          <w:rFonts w:eastAsia="Calibri"/>
          <w:lang w:eastAsia="en-US"/>
        </w:rPr>
        <w:t>.</w:t>
      </w:r>
      <w:r w:rsidRPr="009E337F">
        <w:rPr>
          <w:rFonts w:eastAsia="Calibri"/>
          <w:lang w:eastAsia="en-US"/>
        </w:rPr>
        <w:t>21</w:t>
      </w:r>
      <w:r w:rsidR="00BF27A0" w:rsidRPr="009E337F">
        <w:rPr>
          <w:rFonts w:eastAsia="Calibri"/>
          <w:lang w:eastAsia="en-US"/>
        </w:rPr>
        <w:tab/>
      </w:r>
      <w:r w:rsidRPr="009E337F">
        <w:rPr>
          <w:rFonts w:eastAsia="Calibri"/>
          <w:lang w:eastAsia="en-US"/>
        </w:rPr>
        <w:t>GLATIRAMER</w:t>
      </w:r>
      <w:r w:rsidR="00BF27A0" w:rsidRPr="009E337F">
        <w:rPr>
          <w:rFonts w:eastAsia="Calibri"/>
          <w:lang w:eastAsia="en-US"/>
        </w:rPr>
        <w:t>,</w:t>
      </w:r>
      <w:r w:rsidR="00F82E5C" w:rsidRPr="009E337F">
        <w:rPr>
          <w:rFonts w:eastAsia="Calibri"/>
          <w:lang w:eastAsia="en-US"/>
        </w:rPr>
        <w:t xml:space="preserve"> </w:t>
      </w:r>
      <w:r w:rsidR="0018596D" w:rsidRPr="009E337F">
        <w:rPr>
          <w:rFonts w:ascii="Calibri" w:eastAsia="Times New Roman" w:hAnsi="Calibri" w:cs="Calibri"/>
          <w:b w:val="0"/>
          <w:bCs/>
          <w:color w:val="FF0000"/>
          <w:spacing w:val="0"/>
          <w:kern w:val="0"/>
          <w:sz w:val="24"/>
          <w:szCs w:val="24"/>
          <w:lang w:eastAsia="en-US"/>
        </w:rPr>
        <w:br/>
      </w:r>
      <w:r w:rsidRPr="009E337F">
        <w:rPr>
          <w:rFonts w:eastAsia="Calibri"/>
          <w:lang w:eastAsia="en-US"/>
        </w:rPr>
        <w:t>Injection containing glatiramer acetate 20 mg in 1 mL single dose pre-filled syringe</w:t>
      </w:r>
      <w:r w:rsidRPr="009E337F">
        <w:rPr>
          <w:rFonts w:eastAsia="Calibri"/>
          <w:lang w:eastAsia="en-US"/>
        </w:rPr>
        <w:br/>
        <w:t>Injection containing glatiramer acetate 40 mg in 1 mL single dose pre-filled syringe</w:t>
      </w:r>
      <w:r w:rsidR="00BF27A0" w:rsidRPr="009E337F">
        <w:rPr>
          <w:rFonts w:eastAsia="Calibri"/>
          <w:lang w:eastAsia="en-US"/>
        </w:rPr>
        <w:t>,</w:t>
      </w:r>
      <w:r w:rsidR="005E0D82" w:rsidRPr="009E337F">
        <w:rPr>
          <w:rFonts w:eastAsia="Calibri"/>
          <w:lang w:eastAsia="en-US"/>
        </w:rPr>
        <w:br/>
      </w:r>
      <w:r w:rsidRPr="009E337F">
        <w:rPr>
          <w:rFonts w:eastAsia="Calibri"/>
          <w:lang w:eastAsia="en-US"/>
        </w:rPr>
        <w:t>Glatira</w:t>
      </w:r>
      <w:r w:rsidR="00D00AA3" w:rsidRPr="009E337F">
        <w:rPr>
          <w:rFonts w:eastAsia="Calibri" w:cstheme="minorHAnsi"/>
          <w:lang w:eastAsia="en-US"/>
        </w:rPr>
        <w:t>®</w:t>
      </w:r>
      <w:r w:rsidR="00BF27A0" w:rsidRPr="009E337F">
        <w:rPr>
          <w:rFonts w:eastAsia="Calibri"/>
          <w:lang w:eastAsia="en-US"/>
        </w:rPr>
        <w:t>,</w:t>
      </w:r>
      <w:r w:rsidR="005E0D82" w:rsidRPr="009E337F">
        <w:rPr>
          <w:rFonts w:eastAsia="Calibri"/>
          <w:lang w:eastAsia="en-US"/>
        </w:rPr>
        <w:br/>
      </w:r>
      <w:r w:rsidRPr="009E337F">
        <w:rPr>
          <w:rFonts w:eastAsia="Calibri"/>
          <w:lang w:eastAsia="en-US"/>
        </w:rPr>
        <w:t>Juno Pharmaceuticals Pty Ltd</w:t>
      </w:r>
      <w:r w:rsidR="00BF27A0" w:rsidRPr="009E337F">
        <w:rPr>
          <w:rFonts w:eastAsia="Calibri"/>
          <w:lang w:eastAsia="en-US"/>
        </w:rPr>
        <w:t xml:space="preserve"> </w:t>
      </w:r>
    </w:p>
    <w:p w:rsidR="008A50F1" w:rsidRPr="009E337F" w:rsidRDefault="00CE10C4" w:rsidP="008F0213">
      <w:pPr>
        <w:pStyle w:val="2-SectionHeading"/>
      </w:pPr>
      <w:r w:rsidRPr="009E337F">
        <w:t xml:space="preserve">Purpose of </w:t>
      </w:r>
      <w:r w:rsidR="0004240E" w:rsidRPr="009E337F">
        <w:t>Application</w:t>
      </w:r>
      <w:r w:rsidR="00034905" w:rsidRPr="009E337F">
        <w:t xml:space="preserve"> </w:t>
      </w:r>
    </w:p>
    <w:p w:rsidR="008F5E3D" w:rsidRPr="009E337F" w:rsidRDefault="00EF44A0" w:rsidP="004F2C07">
      <w:pPr>
        <w:pStyle w:val="3Bodytext"/>
        <w:jc w:val="both"/>
      </w:pPr>
      <w:r w:rsidRPr="009E337F">
        <w:t>The mi</w:t>
      </w:r>
      <w:r w:rsidR="00FF2801" w:rsidRPr="009E337F">
        <w:t>nor submission requested</w:t>
      </w:r>
      <w:r w:rsidR="004E4430" w:rsidRPr="009E337F">
        <w:t xml:space="preserve"> </w:t>
      </w:r>
      <w:r w:rsidR="009E7C84" w:rsidRPr="009E337F">
        <w:t>a</w:t>
      </w:r>
      <w:r w:rsidR="00CC1B0C" w:rsidRPr="009E337F">
        <w:t xml:space="preserve"> </w:t>
      </w:r>
      <w:r w:rsidR="006C7F64" w:rsidRPr="009E337F">
        <w:t xml:space="preserve">complex </w:t>
      </w:r>
      <w:r w:rsidR="009E7C84" w:rsidRPr="009E337F">
        <w:t xml:space="preserve">generic </w:t>
      </w:r>
      <w:r w:rsidR="00F8421B" w:rsidRPr="009E337F">
        <w:t xml:space="preserve">brand </w:t>
      </w:r>
      <w:r w:rsidR="004E4430" w:rsidRPr="009E337F">
        <w:t>listing for glatiramer (Glatira</w:t>
      </w:r>
      <w:r w:rsidR="0018596D" w:rsidRPr="009E337F">
        <w:rPr>
          <w:rFonts w:cstheme="minorHAnsi"/>
        </w:rPr>
        <w:t>®</w:t>
      </w:r>
      <w:r w:rsidR="004E4430" w:rsidRPr="009E337F">
        <w:t>) 40</w:t>
      </w:r>
      <w:r w:rsidR="0018596D" w:rsidRPr="009E337F">
        <w:t xml:space="preserve"> </w:t>
      </w:r>
      <w:r w:rsidR="004E4430" w:rsidRPr="009E337F">
        <w:t>mg/mL for the treatment of</w:t>
      </w:r>
      <w:r w:rsidR="002F06F6" w:rsidRPr="009E337F">
        <w:t xml:space="preserve"> </w:t>
      </w:r>
      <w:r w:rsidR="00DE23DB" w:rsidRPr="009E337F">
        <w:t>m</w:t>
      </w:r>
      <w:r w:rsidR="004E4430" w:rsidRPr="009E337F">
        <w:t xml:space="preserve">ultiple </w:t>
      </w:r>
      <w:r w:rsidR="00DE23DB" w:rsidRPr="009E337F">
        <w:t>s</w:t>
      </w:r>
      <w:r w:rsidR="004E4430" w:rsidRPr="009E337F">
        <w:t>clerosis</w:t>
      </w:r>
      <w:r w:rsidR="001F74F7" w:rsidRPr="009E337F">
        <w:t xml:space="preserve"> (</w:t>
      </w:r>
      <w:r w:rsidR="004E2E0D" w:rsidRPr="009E337F">
        <w:t>MS)</w:t>
      </w:r>
      <w:r w:rsidR="004E4430" w:rsidRPr="009E337F">
        <w:t>.</w:t>
      </w:r>
      <w:r w:rsidR="006C7F64" w:rsidRPr="009E337F">
        <w:t xml:space="preserve"> Glatiramer is a complex heterogeneous mixture of synthetic polypeptides. </w:t>
      </w:r>
    </w:p>
    <w:p w:rsidR="00126DEB" w:rsidRPr="009E337F" w:rsidRDefault="009E7C84" w:rsidP="004F2C07">
      <w:pPr>
        <w:pStyle w:val="3Bodytext"/>
        <w:jc w:val="both"/>
      </w:pPr>
      <w:r w:rsidRPr="009E337F">
        <w:t>The Department has specifically</w:t>
      </w:r>
      <w:r w:rsidR="00F8421B" w:rsidRPr="009E337F">
        <w:t xml:space="preserve"> referred the listing of the 40 </w:t>
      </w:r>
      <w:r w:rsidRPr="009E337F">
        <w:t xml:space="preserve">mg product to the PBAC in the absence of a statement of bioequivalence from the TGA. </w:t>
      </w:r>
      <w:r w:rsidR="008F5E3D" w:rsidRPr="009E337F">
        <w:t>Applications to list</w:t>
      </w:r>
      <w:r w:rsidRPr="009E337F">
        <w:t xml:space="preserve"> generic brands</w:t>
      </w:r>
      <w:r w:rsidR="008F5E3D" w:rsidRPr="009E337F">
        <w:t xml:space="preserve"> of products already listed on the PBS</w:t>
      </w:r>
      <w:r w:rsidR="00126DEB" w:rsidRPr="009E337F">
        <w:t xml:space="preserve"> </w:t>
      </w:r>
      <w:r w:rsidRPr="009E337F">
        <w:t xml:space="preserve">are </w:t>
      </w:r>
      <w:r w:rsidR="008F5E3D" w:rsidRPr="009E337F">
        <w:t>usually processed</w:t>
      </w:r>
      <w:r w:rsidRPr="009E337F">
        <w:t xml:space="preserve"> by the Department without </w:t>
      </w:r>
      <w:r w:rsidR="008F5E3D" w:rsidRPr="009E337F">
        <w:t xml:space="preserve">referral to </w:t>
      </w:r>
      <w:r w:rsidRPr="009E337F">
        <w:t>the PBAC</w:t>
      </w:r>
      <w:r w:rsidR="00126DEB" w:rsidRPr="009E337F">
        <w:t xml:space="preserve"> in circumstances where acceptance of bioequivalence has been stated by the TGA</w:t>
      </w:r>
      <w:r w:rsidRPr="009E337F">
        <w:t>.</w:t>
      </w:r>
      <w:r w:rsidR="004E4430" w:rsidRPr="009E337F">
        <w:t xml:space="preserve"> </w:t>
      </w:r>
    </w:p>
    <w:p w:rsidR="004E4430" w:rsidRPr="009E337F" w:rsidRDefault="00212E77" w:rsidP="004F2C07">
      <w:pPr>
        <w:pStyle w:val="3Bodytext"/>
        <w:jc w:val="both"/>
      </w:pPr>
      <w:r w:rsidRPr="009E337F">
        <w:t xml:space="preserve">The minor submission </w:t>
      </w:r>
      <w:r w:rsidR="007938F8" w:rsidRPr="009E337F">
        <w:t>also</w:t>
      </w:r>
      <w:r w:rsidRPr="009E337F">
        <w:t xml:space="preserve"> request</w:t>
      </w:r>
      <w:r w:rsidR="00126DEB" w:rsidRPr="009E337F">
        <w:t>ed listing</w:t>
      </w:r>
      <w:r w:rsidR="00183797" w:rsidRPr="009E337F">
        <w:t xml:space="preserve"> of </w:t>
      </w:r>
      <w:r w:rsidR="00126DEB" w:rsidRPr="009E337F">
        <w:t>Glatira</w:t>
      </w:r>
      <w:r w:rsidR="00183797" w:rsidRPr="009E337F">
        <w:t xml:space="preserve"> 20 </w:t>
      </w:r>
      <w:r w:rsidRPr="009E337F">
        <w:t xml:space="preserve">mg/mL injection </w:t>
      </w:r>
      <w:r w:rsidR="00D62DE0" w:rsidRPr="009E337F">
        <w:t>on the PBS</w:t>
      </w:r>
      <w:r w:rsidR="007938F8" w:rsidRPr="009E337F">
        <w:t>.</w:t>
      </w:r>
      <w:r w:rsidR="0040314A" w:rsidRPr="009E337F">
        <w:t xml:space="preserve"> </w:t>
      </w:r>
    </w:p>
    <w:p w:rsidR="00C3784B" w:rsidRPr="009E337F" w:rsidRDefault="00C5151E" w:rsidP="00621F08">
      <w:pPr>
        <w:pStyle w:val="3Bodytext"/>
      </w:pPr>
      <w:r w:rsidRPr="009E337F">
        <w:rPr>
          <w:rFonts w:cs="Arial"/>
          <w:snapToGrid w:val="0"/>
        </w:rPr>
        <w:t xml:space="preserve">Listing </w:t>
      </w:r>
      <w:r w:rsidR="000268B9" w:rsidRPr="009E337F">
        <w:rPr>
          <w:rFonts w:cs="Arial"/>
          <w:snapToGrid w:val="0"/>
        </w:rPr>
        <w:t xml:space="preserve">of the both 20 mg/mL and 40 mg/mL injections </w:t>
      </w:r>
      <w:r w:rsidRPr="009E337F">
        <w:rPr>
          <w:rFonts w:cs="Arial"/>
          <w:snapToGrid w:val="0"/>
        </w:rPr>
        <w:t>w</w:t>
      </w:r>
      <w:r w:rsidR="004E4430" w:rsidRPr="009E337F">
        <w:rPr>
          <w:rFonts w:cs="Arial"/>
          <w:snapToGrid w:val="0"/>
        </w:rPr>
        <w:t xml:space="preserve">as requested </w:t>
      </w:r>
      <w:r w:rsidR="006D7B83" w:rsidRPr="009E337F">
        <w:rPr>
          <w:rFonts w:cs="Arial"/>
          <w:snapToGrid w:val="0"/>
        </w:rPr>
        <w:t>based on</w:t>
      </w:r>
      <w:r w:rsidR="004E4430" w:rsidRPr="009E337F">
        <w:rPr>
          <w:rFonts w:cs="Arial"/>
          <w:snapToGrid w:val="0"/>
        </w:rPr>
        <w:t xml:space="preserve"> a </w:t>
      </w:r>
      <w:r w:rsidRPr="009E337F">
        <w:rPr>
          <w:rFonts w:cs="Arial"/>
          <w:snapToGrid w:val="0"/>
        </w:rPr>
        <w:t>cost-minimisation</w:t>
      </w:r>
      <w:r w:rsidR="004E4430" w:rsidRPr="009E337F">
        <w:rPr>
          <w:rFonts w:cs="Arial"/>
          <w:snapToGrid w:val="0"/>
        </w:rPr>
        <w:t xml:space="preserve"> analysis </w:t>
      </w:r>
      <w:r w:rsidR="006D7B83" w:rsidRPr="009E337F">
        <w:t>to</w:t>
      </w:r>
      <w:r w:rsidR="00DE23DB" w:rsidRPr="009E337F">
        <w:t xml:space="preserve"> the</w:t>
      </w:r>
      <w:r w:rsidR="006D7B83" w:rsidRPr="009E337F">
        <w:t xml:space="preserve"> </w:t>
      </w:r>
      <w:r w:rsidR="004E4430" w:rsidRPr="009E337F">
        <w:t>Copaxone</w:t>
      </w:r>
      <w:r w:rsidR="00C262B0" w:rsidRPr="009E337F">
        <w:rPr>
          <w:rFonts w:cstheme="minorHAnsi"/>
        </w:rPr>
        <w:t>®</w:t>
      </w:r>
      <w:r w:rsidR="00DE23DB" w:rsidRPr="009E337F">
        <w:rPr>
          <w:rFonts w:cstheme="minorHAnsi"/>
        </w:rPr>
        <w:t xml:space="preserve"> brand of glatiramer</w:t>
      </w:r>
      <w:r w:rsidR="006D7B83" w:rsidRPr="009E337F">
        <w:t>.</w:t>
      </w:r>
    </w:p>
    <w:p w:rsidR="00A01432" w:rsidRPr="009E337F" w:rsidRDefault="00A01432" w:rsidP="006F0A71">
      <w:pPr>
        <w:pStyle w:val="2-SectionHeading"/>
      </w:pPr>
      <w:r w:rsidRPr="009E337F">
        <w:t xml:space="preserve">Background </w:t>
      </w:r>
    </w:p>
    <w:p w:rsidR="00A01432" w:rsidRPr="009E337F" w:rsidRDefault="00A01432" w:rsidP="00B16273">
      <w:pPr>
        <w:pStyle w:val="4-SubsectionHeading"/>
      </w:pPr>
      <w:r w:rsidRPr="009E337F">
        <w:t>Registration status</w:t>
      </w:r>
    </w:p>
    <w:p w:rsidR="00A01432" w:rsidRPr="009E337F" w:rsidRDefault="002F06F6" w:rsidP="004F2C07">
      <w:pPr>
        <w:pStyle w:val="3Bodytext"/>
        <w:jc w:val="both"/>
      </w:pPr>
      <w:r w:rsidRPr="009E337F">
        <w:t>Glatira</w:t>
      </w:r>
      <w:r w:rsidR="00A01432" w:rsidRPr="009E337F">
        <w:t xml:space="preserve"> was TGA registered on </w:t>
      </w:r>
      <w:r w:rsidRPr="009E337F">
        <w:t>12 November 2020 with the same listed indications as Copaxone: ‘Reduction of the frequency of relapses in patients with Relapsing Remitting Multiple Sclerosis’ and ‘Treatment of patients with a single clinical event suggestive of multiple sclerosis and at least two clinically silent MRI lesions characteristic of multiple sclerosis, if alternative diagnoses have been excluded’</w:t>
      </w:r>
      <w:r w:rsidR="00A01432" w:rsidRPr="009E337F">
        <w:t xml:space="preserve">. </w:t>
      </w:r>
    </w:p>
    <w:p w:rsidR="00614B7E" w:rsidRPr="009E337F" w:rsidRDefault="00614B7E" w:rsidP="004F2C07">
      <w:pPr>
        <w:pStyle w:val="3Bodytext"/>
        <w:jc w:val="both"/>
      </w:pPr>
      <w:r w:rsidRPr="009E337F">
        <w:t xml:space="preserve">The TGA clinical evaluator </w:t>
      </w:r>
      <w:r w:rsidR="00212E77" w:rsidRPr="009E337F">
        <w:t>(</w:t>
      </w:r>
      <w:r w:rsidR="00E84B80" w:rsidRPr="009E337F">
        <w:t xml:space="preserve">TGA </w:t>
      </w:r>
      <w:r w:rsidR="00212E77" w:rsidRPr="009E337F">
        <w:t>Clinical Evaluator Report</w:t>
      </w:r>
      <w:r w:rsidR="00E84B80" w:rsidRPr="009E337F">
        <w:t xml:space="preserve"> p27</w:t>
      </w:r>
      <w:r w:rsidR="00212E77" w:rsidRPr="009E337F">
        <w:t xml:space="preserve">) </w:t>
      </w:r>
      <w:r w:rsidRPr="009E337F">
        <w:t>was satisfied that the efficacy of Glatira was</w:t>
      </w:r>
      <w:r w:rsidR="00212E77" w:rsidRPr="009E337F">
        <w:t xml:space="preserve"> </w:t>
      </w:r>
      <w:r w:rsidRPr="009E337F">
        <w:t xml:space="preserve">equivalent to that of Copaxone in patients with MS, and the safety profiles were comparable. </w:t>
      </w:r>
    </w:p>
    <w:p w:rsidR="00A01432" w:rsidRPr="009E337F" w:rsidRDefault="00A01432" w:rsidP="00B16273">
      <w:pPr>
        <w:pStyle w:val="4-SubsectionHeading"/>
      </w:pPr>
      <w:r w:rsidRPr="009E337F">
        <w:t xml:space="preserve">Previous PBAC consideration </w:t>
      </w:r>
    </w:p>
    <w:p w:rsidR="00842532" w:rsidRPr="009E337F" w:rsidRDefault="00842532" w:rsidP="004F2C07">
      <w:pPr>
        <w:pStyle w:val="3Bodytext"/>
        <w:jc w:val="both"/>
      </w:pPr>
      <w:r w:rsidRPr="009E337F">
        <w:t>Glatiramer 40 mg</w:t>
      </w:r>
      <w:r w:rsidR="00E93432" w:rsidRPr="009E337F">
        <w:t>/</w:t>
      </w:r>
      <w:r w:rsidRPr="009E337F">
        <w:t xml:space="preserve">mL </w:t>
      </w:r>
      <w:r w:rsidR="00E93432" w:rsidRPr="009E337F">
        <w:t>injection</w:t>
      </w:r>
      <w:r w:rsidR="00500C15" w:rsidRPr="009E337F">
        <w:t xml:space="preserve"> </w:t>
      </w:r>
      <w:r w:rsidRPr="009E337F">
        <w:t>with the brand name Copaxone is currently listed on the PBS as an Authority Required (STREAMLINED) listing for</w:t>
      </w:r>
      <w:r w:rsidR="00E93432" w:rsidRPr="009E337F">
        <w:t xml:space="preserve"> the treatment of</w:t>
      </w:r>
      <w:r w:rsidRPr="009E337F">
        <w:t xml:space="preserve"> </w:t>
      </w:r>
      <w:r w:rsidR="00500C15" w:rsidRPr="009E337F">
        <w:t>MS</w:t>
      </w:r>
      <w:r w:rsidR="00E93432" w:rsidRPr="009E337F">
        <w:t>.</w:t>
      </w:r>
    </w:p>
    <w:p w:rsidR="00A01432" w:rsidRPr="009E337F" w:rsidRDefault="00842532" w:rsidP="004F2C07">
      <w:pPr>
        <w:pStyle w:val="3Bodytext"/>
        <w:jc w:val="both"/>
      </w:pPr>
      <w:r w:rsidRPr="009E337F">
        <w:lastRenderedPageBreak/>
        <w:t xml:space="preserve">Glatiramer 40 mg/mL with the brand name </w:t>
      </w:r>
      <w:r w:rsidR="004E2E0D" w:rsidRPr="009E337F">
        <w:t>Glatira</w:t>
      </w:r>
      <w:r w:rsidR="003559AA" w:rsidRPr="009E337F">
        <w:t xml:space="preserve"> </w:t>
      </w:r>
      <w:r w:rsidR="00A01432" w:rsidRPr="009E337F">
        <w:t>ha</w:t>
      </w:r>
      <w:r w:rsidR="00B20041" w:rsidRPr="009E337F">
        <w:t>d</w:t>
      </w:r>
      <w:r w:rsidR="00A01432" w:rsidRPr="009E337F">
        <w:t xml:space="preserve"> not b</w:t>
      </w:r>
      <w:r w:rsidR="00500C15" w:rsidRPr="009E337F">
        <w:t>een considered by the PBAC</w:t>
      </w:r>
      <w:r w:rsidR="00A01432" w:rsidRPr="009E337F">
        <w:t xml:space="preserve">. </w:t>
      </w:r>
    </w:p>
    <w:p w:rsidR="003559AA" w:rsidRPr="009E337F" w:rsidRDefault="003559AA" w:rsidP="004F2C07">
      <w:pPr>
        <w:pStyle w:val="3Bodytext"/>
        <w:jc w:val="both"/>
      </w:pPr>
      <w:r w:rsidRPr="009E337F">
        <w:t>Copaxone 20 mg</w:t>
      </w:r>
      <w:r w:rsidR="00CD7B32" w:rsidRPr="009E337F">
        <w:t>/</w:t>
      </w:r>
      <w:r w:rsidRPr="009E337F">
        <w:t xml:space="preserve">mL </w:t>
      </w:r>
      <w:r w:rsidR="00CD7B32" w:rsidRPr="009E337F">
        <w:t xml:space="preserve">injection </w:t>
      </w:r>
      <w:r w:rsidRPr="009E337F">
        <w:t>was first listed on the PBS in June 1999</w:t>
      </w:r>
      <w:r w:rsidR="00CD7B32" w:rsidRPr="009E337F">
        <w:t xml:space="preserve"> with a</w:t>
      </w:r>
      <w:r w:rsidR="009E7C84" w:rsidRPr="009E337F">
        <w:t xml:space="preserve"> maximum quantity of 28</w:t>
      </w:r>
      <w:r w:rsidR="00CD7B32" w:rsidRPr="009E337F">
        <w:t xml:space="preserve"> units</w:t>
      </w:r>
      <w:r w:rsidR="009E7C84" w:rsidRPr="009E337F">
        <w:t xml:space="preserve"> with 5 repeats.</w:t>
      </w:r>
      <w:r w:rsidRPr="009E337F">
        <w:t xml:space="preserve"> </w:t>
      </w:r>
      <w:r w:rsidR="00D62DE0" w:rsidRPr="009E337F">
        <w:t xml:space="preserve">It was the sole glatiramer strength at the time on the PBS. </w:t>
      </w:r>
      <w:r w:rsidRPr="009E337F">
        <w:t xml:space="preserve">The PBAC recommended </w:t>
      </w:r>
      <w:r w:rsidR="00CD7B32" w:rsidRPr="009E337F">
        <w:t xml:space="preserve">listing of </w:t>
      </w:r>
      <w:r w:rsidRPr="009E337F">
        <w:t>the 40 mg</w:t>
      </w:r>
      <w:r w:rsidR="00CD7B32" w:rsidRPr="009E337F">
        <w:t>/</w:t>
      </w:r>
      <w:r w:rsidRPr="009E337F">
        <w:t xml:space="preserve">mL </w:t>
      </w:r>
      <w:r w:rsidR="00CD7B32" w:rsidRPr="009E337F">
        <w:t>injection</w:t>
      </w:r>
      <w:r w:rsidRPr="009E337F">
        <w:t xml:space="preserve"> at the March 2015 meeting. </w:t>
      </w:r>
      <w:r w:rsidR="00D62DE0" w:rsidRPr="009E337F">
        <w:t>The 40 mg strength is administered 3 times a week and was intended to reduce injection burden relative to the 20 mg strength (once daily dosing).</w:t>
      </w:r>
    </w:p>
    <w:p w:rsidR="00A01432" w:rsidRPr="009E337F" w:rsidRDefault="00DB5F54" w:rsidP="004F2C07">
      <w:pPr>
        <w:pStyle w:val="3Bodytext"/>
        <w:jc w:val="both"/>
      </w:pPr>
      <w:r w:rsidRPr="009E337F">
        <w:t xml:space="preserve">The </w:t>
      </w:r>
      <w:r w:rsidR="00B20041" w:rsidRPr="009E337F">
        <w:t>s</w:t>
      </w:r>
      <w:r w:rsidR="0040314A" w:rsidRPr="009E337F">
        <w:t xml:space="preserve">ponsor of Copaxone (Teva Pharma Australia Pty Limited) requested deletion of glatiramer 20 mg/mL injection from the PBS on the basis of clinician and patient preference for the Copaxone 40 mg/mL presentation for subcutaneous administration 3 times a week. The deletion request was considered by the PBAC in November 2018. The PBAC acknowledged the clinical use of 20 mg/mL daily injection </w:t>
      </w:r>
      <w:r w:rsidR="00B20041" w:rsidRPr="009E337F">
        <w:t>wa</w:t>
      </w:r>
      <w:r w:rsidR="0040314A" w:rsidRPr="009E337F">
        <w:t>s diminishing and therefore had no objections to this deletion request.</w:t>
      </w:r>
      <w:r w:rsidR="00234AC7" w:rsidRPr="009E337F">
        <w:t xml:space="preserve"> </w:t>
      </w:r>
      <w:r w:rsidR="006C7F64" w:rsidRPr="009E337F">
        <w:t xml:space="preserve">Copaxone 20 mg/mL injection was delisted on 1 July 2019. </w:t>
      </w:r>
      <w:r w:rsidR="008E0D93" w:rsidRPr="009E337F">
        <w:t>T</w:t>
      </w:r>
      <w:r w:rsidR="00621F08" w:rsidRPr="009E337F">
        <w:rPr>
          <w:rFonts w:cs="Arial"/>
          <w:snapToGrid w:val="0"/>
        </w:rPr>
        <w:t>here is currently no PBS listing for</w:t>
      </w:r>
      <w:r w:rsidR="00621F08" w:rsidRPr="009E337F">
        <w:t xml:space="preserve"> glatiramer 20 mg/mL </w:t>
      </w:r>
      <w:r w:rsidR="00883E56" w:rsidRPr="009E337F">
        <w:t>injection</w:t>
      </w:r>
      <w:r w:rsidR="00621F08" w:rsidRPr="009E337F">
        <w:t>.</w:t>
      </w:r>
    </w:p>
    <w:p w:rsidR="00B17EE5" w:rsidRPr="009E337F" w:rsidRDefault="00B17EE5" w:rsidP="00917D69">
      <w:pPr>
        <w:pStyle w:val="2-SectionHeading"/>
      </w:pPr>
      <w:r w:rsidRPr="009E337F">
        <w:t>Requested listing</w:t>
      </w:r>
    </w:p>
    <w:p w:rsidR="00B17EE5" w:rsidRPr="009E337F" w:rsidRDefault="00B17EE5" w:rsidP="004F2C07">
      <w:pPr>
        <w:pStyle w:val="3Bodytext"/>
        <w:jc w:val="both"/>
      </w:pPr>
      <w:r w:rsidRPr="009E337F">
        <w:t xml:space="preserve">The </w:t>
      </w:r>
      <w:r w:rsidR="00E8151E" w:rsidRPr="009E337F">
        <w:t xml:space="preserve">minor </w:t>
      </w:r>
      <w:r w:rsidRPr="009E337F">
        <w:t>submission requested the following new listing</w:t>
      </w:r>
      <w:r w:rsidR="00E15CE9" w:rsidRPr="009E337F">
        <w:t>s</w:t>
      </w:r>
      <w:r w:rsidR="00427B61" w:rsidRPr="009E337F">
        <w:t>. Suggested additions are in italics and deletions are in strikethrough</w:t>
      </w:r>
      <w:r w:rsidR="004F2C07" w:rsidRPr="009E337F">
        <w:t>.</w:t>
      </w:r>
      <w:r w:rsidRPr="009E337F">
        <w:t xml:space="preserve"> </w:t>
      </w:r>
    </w:p>
    <w:p w:rsidR="007743DD" w:rsidRPr="009E337F" w:rsidRDefault="007743DD" w:rsidP="004F2C07">
      <w:pPr>
        <w:spacing w:after="120"/>
        <w:rPr>
          <w:rFonts w:asciiTheme="minorHAnsi" w:hAnsiTheme="minorHAnsi" w:cstheme="minorHAnsi"/>
        </w:rPr>
      </w:pPr>
      <w:bookmarkStart w:id="0" w:name="_Toc535915928"/>
      <w:r w:rsidRPr="009E337F">
        <w:rPr>
          <w:rFonts w:asciiTheme="minorHAnsi" w:hAnsiTheme="minorHAnsi" w:cstheme="minorHAnsi"/>
          <w:i/>
        </w:rPr>
        <w:t>Add new</w:t>
      </w:r>
      <w:r w:rsidR="00463E35" w:rsidRPr="009E337F">
        <w:rPr>
          <w:rFonts w:asciiTheme="minorHAnsi" w:hAnsiTheme="minorHAnsi" w:cstheme="minorHAnsi"/>
          <w:i/>
        </w:rPr>
        <w:t xml:space="preserve"> medicinal product pack (20 mg/mL strength) and new a-flagged trade product (Glatira 40 mg/mL)</w:t>
      </w:r>
      <w:r w:rsidRPr="009E337F">
        <w:rPr>
          <w:rFonts w:asciiTheme="minorHAnsi" w:hAnsiTheme="minorHAnsi" w:cstheme="minorHAnsi"/>
          <w:i/>
        </w:rPr>
        <w:t xml:space="preserve">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3125"/>
        <w:gridCol w:w="1134"/>
        <w:gridCol w:w="851"/>
        <w:gridCol w:w="850"/>
        <w:gridCol w:w="709"/>
        <w:gridCol w:w="1417"/>
      </w:tblGrid>
      <w:tr w:rsidR="007743DD" w:rsidRPr="002B416F" w:rsidTr="0081170D">
        <w:trPr>
          <w:cantSplit/>
          <w:trHeight w:val="471"/>
        </w:trPr>
        <w:tc>
          <w:tcPr>
            <w:tcW w:w="4106" w:type="dxa"/>
            <w:gridSpan w:val="2"/>
          </w:tcPr>
          <w:bookmarkEnd w:id="0"/>
          <w:p w:rsidR="007743DD" w:rsidRPr="002B416F" w:rsidRDefault="007743DD" w:rsidP="0081170D">
            <w:pPr>
              <w:keepNext/>
              <w:ind w:left="-57"/>
              <w:rPr>
                <w:rFonts w:ascii="Arial Narrow" w:hAnsi="Arial Narrow" w:cs="Arial"/>
                <w:b/>
                <w:bCs/>
                <w:sz w:val="20"/>
                <w:szCs w:val="20"/>
              </w:rPr>
            </w:pPr>
            <w:r w:rsidRPr="002B416F">
              <w:rPr>
                <w:rFonts w:ascii="Arial Narrow" w:hAnsi="Arial Narrow" w:cs="Arial"/>
                <w:b/>
                <w:bCs/>
                <w:sz w:val="20"/>
                <w:szCs w:val="20"/>
              </w:rPr>
              <w:t>MEDICINAL PRODUCT</w:t>
            </w:r>
          </w:p>
          <w:p w:rsidR="007743DD" w:rsidRPr="002B416F" w:rsidRDefault="0081170D" w:rsidP="0081170D">
            <w:pPr>
              <w:keepNext/>
              <w:ind w:left="-57"/>
              <w:rPr>
                <w:rFonts w:ascii="Arial Narrow" w:hAnsi="Arial Narrow" w:cs="Arial"/>
                <w:b/>
                <w:sz w:val="20"/>
                <w:szCs w:val="20"/>
              </w:rPr>
            </w:pPr>
            <w:r w:rsidRPr="002B416F">
              <w:rPr>
                <w:rFonts w:ascii="Arial Narrow" w:hAnsi="Arial Narrow" w:cs="Arial"/>
                <w:b/>
                <w:bCs/>
                <w:sz w:val="20"/>
                <w:szCs w:val="20"/>
              </w:rPr>
              <w:t>medicinal p</w:t>
            </w:r>
            <w:r w:rsidR="007743DD" w:rsidRPr="002B416F">
              <w:rPr>
                <w:rFonts w:ascii="Arial Narrow" w:hAnsi="Arial Narrow" w:cs="Arial"/>
                <w:b/>
                <w:bCs/>
                <w:sz w:val="20"/>
                <w:szCs w:val="20"/>
              </w:rPr>
              <w:t xml:space="preserve">roduct </w:t>
            </w:r>
            <w:r w:rsidRPr="002B416F">
              <w:rPr>
                <w:rFonts w:ascii="Arial Narrow" w:hAnsi="Arial Narrow" w:cs="Arial"/>
                <w:b/>
                <w:bCs/>
                <w:sz w:val="20"/>
                <w:szCs w:val="20"/>
              </w:rPr>
              <w:t>p</w:t>
            </w:r>
            <w:r w:rsidR="007743DD" w:rsidRPr="002B416F">
              <w:rPr>
                <w:rFonts w:ascii="Arial Narrow" w:hAnsi="Arial Narrow" w:cs="Arial"/>
                <w:b/>
                <w:bCs/>
                <w:sz w:val="20"/>
                <w:szCs w:val="20"/>
              </w:rPr>
              <w:t>ack</w:t>
            </w:r>
          </w:p>
        </w:tc>
        <w:tc>
          <w:tcPr>
            <w:tcW w:w="1134" w:type="dxa"/>
          </w:tcPr>
          <w:p w:rsidR="007743DD" w:rsidRPr="002B416F" w:rsidRDefault="007743DD" w:rsidP="006C0C45">
            <w:pPr>
              <w:keepNext/>
              <w:ind w:left="-108"/>
              <w:jc w:val="center"/>
              <w:rPr>
                <w:rFonts w:ascii="Arial Narrow" w:hAnsi="Arial Narrow" w:cs="Arial"/>
                <w:b/>
                <w:sz w:val="20"/>
                <w:szCs w:val="20"/>
              </w:rPr>
            </w:pPr>
            <w:r w:rsidRPr="002B416F">
              <w:rPr>
                <w:rFonts w:ascii="Arial Narrow" w:hAnsi="Arial Narrow" w:cs="Arial"/>
                <w:b/>
                <w:sz w:val="20"/>
                <w:szCs w:val="20"/>
              </w:rPr>
              <w:t>PBS item code</w:t>
            </w:r>
          </w:p>
        </w:tc>
        <w:tc>
          <w:tcPr>
            <w:tcW w:w="851" w:type="dxa"/>
          </w:tcPr>
          <w:p w:rsidR="007743DD" w:rsidRPr="002B416F" w:rsidRDefault="007743DD" w:rsidP="006C0C45">
            <w:pPr>
              <w:keepNext/>
              <w:ind w:left="-108"/>
              <w:jc w:val="center"/>
              <w:rPr>
                <w:rFonts w:ascii="Arial Narrow" w:hAnsi="Arial Narrow" w:cs="Arial"/>
                <w:b/>
                <w:sz w:val="20"/>
                <w:szCs w:val="20"/>
              </w:rPr>
            </w:pPr>
            <w:r w:rsidRPr="002B416F">
              <w:rPr>
                <w:rFonts w:ascii="Arial Narrow" w:hAnsi="Arial Narrow" w:cs="Arial"/>
                <w:b/>
                <w:sz w:val="20"/>
                <w:szCs w:val="20"/>
              </w:rPr>
              <w:t>Max. qty packs</w:t>
            </w:r>
          </w:p>
        </w:tc>
        <w:tc>
          <w:tcPr>
            <w:tcW w:w="850" w:type="dxa"/>
          </w:tcPr>
          <w:p w:rsidR="007743DD" w:rsidRPr="002B416F" w:rsidRDefault="007743DD" w:rsidP="006C0C45">
            <w:pPr>
              <w:keepNext/>
              <w:ind w:left="-108"/>
              <w:jc w:val="center"/>
              <w:rPr>
                <w:rFonts w:ascii="Arial Narrow" w:hAnsi="Arial Narrow" w:cs="Arial"/>
                <w:b/>
                <w:sz w:val="20"/>
                <w:szCs w:val="20"/>
              </w:rPr>
            </w:pPr>
            <w:r w:rsidRPr="002B416F">
              <w:rPr>
                <w:rFonts w:ascii="Arial Narrow" w:hAnsi="Arial Narrow" w:cs="Arial"/>
                <w:b/>
                <w:sz w:val="20"/>
                <w:szCs w:val="20"/>
              </w:rPr>
              <w:t>Max. qty units</w:t>
            </w:r>
          </w:p>
        </w:tc>
        <w:tc>
          <w:tcPr>
            <w:tcW w:w="709" w:type="dxa"/>
          </w:tcPr>
          <w:p w:rsidR="007743DD" w:rsidRPr="002B416F" w:rsidRDefault="007743DD" w:rsidP="006C0C45">
            <w:pPr>
              <w:keepNext/>
              <w:ind w:left="-108"/>
              <w:jc w:val="center"/>
              <w:rPr>
                <w:rFonts w:ascii="Arial Narrow" w:hAnsi="Arial Narrow" w:cs="Arial"/>
                <w:b/>
                <w:sz w:val="20"/>
                <w:szCs w:val="20"/>
              </w:rPr>
            </w:pPr>
            <w:r w:rsidRPr="002B416F">
              <w:rPr>
                <w:rFonts w:ascii="Arial Narrow" w:hAnsi="Arial Narrow" w:cs="Arial"/>
                <w:b/>
                <w:sz w:val="20"/>
                <w:szCs w:val="20"/>
              </w:rPr>
              <w:t>№.of</w:t>
            </w:r>
          </w:p>
          <w:p w:rsidR="007743DD" w:rsidRPr="002B416F" w:rsidRDefault="007743DD" w:rsidP="006C0C45">
            <w:pPr>
              <w:keepNext/>
              <w:ind w:left="-108"/>
              <w:jc w:val="center"/>
              <w:rPr>
                <w:rFonts w:ascii="Arial Narrow" w:hAnsi="Arial Narrow" w:cs="Arial"/>
                <w:b/>
                <w:sz w:val="20"/>
                <w:szCs w:val="20"/>
              </w:rPr>
            </w:pPr>
            <w:r w:rsidRPr="002B416F">
              <w:rPr>
                <w:rFonts w:ascii="Arial Narrow" w:hAnsi="Arial Narrow" w:cs="Arial"/>
                <w:b/>
                <w:sz w:val="20"/>
                <w:szCs w:val="20"/>
              </w:rPr>
              <w:t>Rpts</w:t>
            </w:r>
          </w:p>
        </w:tc>
        <w:tc>
          <w:tcPr>
            <w:tcW w:w="1417" w:type="dxa"/>
          </w:tcPr>
          <w:p w:rsidR="007743DD" w:rsidRPr="002B416F" w:rsidRDefault="007743DD" w:rsidP="006C0C45">
            <w:pPr>
              <w:keepNext/>
              <w:rPr>
                <w:rFonts w:ascii="Arial Narrow" w:hAnsi="Arial Narrow" w:cs="Arial"/>
                <w:b/>
                <w:sz w:val="20"/>
                <w:szCs w:val="20"/>
              </w:rPr>
            </w:pPr>
            <w:r w:rsidRPr="002B416F">
              <w:rPr>
                <w:rFonts w:ascii="Arial Narrow" w:hAnsi="Arial Narrow" w:cs="Arial"/>
                <w:b/>
                <w:sz w:val="20"/>
                <w:szCs w:val="20"/>
              </w:rPr>
              <w:t>Available brands</w:t>
            </w:r>
          </w:p>
        </w:tc>
      </w:tr>
      <w:tr w:rsidR="0081170D" w:rsidRPr="002B416F" w:rsidTr="0081170D">
        <w:trPr>
          <w:cantSplit/>
          <w:trHeight w:val="293"/>
        </w:trPr>
        <w:tc>
          <w:tcPr>
            <w:tcW w:w="9067" w:type="dxa"/>
            <w:gridSpan w:val="7"/>
          </w:tcPr>
          <w:p w:rsidR="0081170D" w:rsidRPr="002B416F" w:rsidRDefault="0081170D" w:rsidP="0081170D">
            <w:pPr>
              <w:keepNext/>
              <w:ind w:left="-57"/>
              <w:rPr>
                <w:rFonts w:ascii="Arial Narrow" w:hAnsi="Arial Narrow" w:cs="Arial"/>
                <w:sz w:val="20"/>
                <w:szCs w:val="20"/>
              </w:rPr>
            </w:pPr>
            <w:r w:rsidRPr="002B416F">
              <w:rPr>
                <w:rFonts w:ascii="Arial Narrow" w:hAnsi="Arial Narrow" w:cs="Arial"/>
                <w:sz w:val="20"/>
                <w:szCs w:val="20"/>
              </w:rPr>
              <w:t>GLATIRAMER ACETATE</w:t>
            </w:r>
          </w:p>
        </w:tc>
      </w:tr>
      <w:tr w:rsidR="007743DD" w:rsidRPr="002B416F" w:rsidTr="0081170D">
        <w:trPr>
          <w:cantSplit/>
          <w:trHeight w:val="347"/>
        </w:trPr>
        <w:tc>
          <w:tcPr>
            <w:tcW w:w="4106" w:type="dxa"/>
            <w:gridSpan w:val="2"/>
          </w:tcPr>
          <w:p w:rsidR="0018059F" w:rsidRPr="002B416F" w:rsidRDefault="0018059F" w:rsidP="0081170D">
            <w:pPr>
              <w:keepNext/>
              <w:ind w:left="-57"/>
              <w:rPr>
                <w:rFonts w:ascii="Arial Narrow" w:hAnsi="Arial Narrow" w:cs="Arial"/>
                <w:sz w:val="20"/>
                <w:szCs w:val="20"/>
              </w:rPr>
            </w:pPr>
            <w:r w:rsidRPr="002B416F">
              <w:rPr>
                <w:rFonts w:ascii="Arial Narrow" w:hAnsi="Arial Narrow" w:cs="Arial Narrow"/>
                <w:sz w:val="20"/>
                <w:szCs w:val="20"/>
              </w:rPr>
              <w:t>glatiramer acetate 40 mg/mL injection, 12 x 1 mL syringes</w:t>
            </w:r>
            <w:r w:rsidRPr="002B416F">
              <w:rPr>
                <w:rFonts w:ascii="Arial Narrow" w:hAnsi="Arial Narrow" w:cs="Arial"/>
                <w:sz w:val="20"/>
                <w:szCs w:val="20"/>
              </w:rPr>
              <w:t xml:space="preserve"> </w:t>
            </w:r>
          </w:p>
          <w:p w:rsidR="007743DD" w:rsidRPr="002B416F" w:rsidRDefault="007743DD" w:rsidP="0081170D">
            <w:pPr>
              <w:keepNext/>
              <w:ind w:left="-57"/>
              <w:rPr>
                <w:rFonts w:ascii="Arial Narrow" w:hAnsi="Arial Narrow" w:cs="Arial"/>
                <w:sz w:val="20"/>
                <w:szCs w:val="20"/>
              </w:rPr>
            </w:pPr>
          </w:p>
        </w:tc>
        <w:tc>
          <w:tcPr>
            <w:tcW w:w="1134" w:type="dxa"/>
          </w:tcPr>
          <w:p w:rsidR="0018059F" w:rsidRPr="002B416F" w:rsidRDefault="0018059F" w:rsidP="0018059F">
            <w:pPr>
              <w:keepNext/>
              <w:ind w:left="-108"/>
              <w:jc w:val="center"/>
              <w:rPr>
                <w:rFonts w:ascii="Arial Narrow" w:hAnsi="Arial Narrow" w:cs="Arial"/>
                <w:sz w:val="20"/>
                <w:szCs w:val="20"/>
              </w:rPr>
            </w:pPr>
            <w:r w:rsidRPr="002B416F">
              <w:rPr>
                <w:rFonts w:ascii="Arial Narrow" w:hAnsi="Arial Narrow" w:cs="Arial"/>
                <w:sz w:val="20"/>
                <w:szCs w:val="20"/>
              </w:rPr>
              <w:t xml:space="preserve">10416F </w:t>
            </w:r>
          </w:p>
          <w:p w:rsidR="007743DD" w:rsidRPr="002B416F" w:rsidRDefault="007743DD" w:rsidP="006C0C45">
            <w:pPr>
              <w:keepNext/>
              <w:ind w:left="-108"/>
              <w:jc w:val="center"/>
              <w:rPr>
                <w:rFonts w:ascii="Arial Narrow" w:hAnsi="Arial Narrow" w:cs="Arial"/>
                <w:sz w:val="20"/>
                <w:szCs w:val="20"/>
              </w:rPr>
            </w:pPr>
          </w:p>
        </w:tc>
        <w:tc>
          <w:tcPr>
            <w:tcW w:w="851" w:type="dxa"/>
          </w:tcPr>
          <w:p w:rsidR="007743DD" w:rsidRPr="002B416F" w:rsidRDefault="007743DD" w:rsidP="006C0C45">
            <w:pPr>
              <w:keepNext/>
              <w:jc w:val="center"/>
              <w:rPr>
                <w:rFonts w:ascii="Arial Narrow" w:hAnsi="Arial Narrow" w:cs="Arial"/>
                <w:sz w:val="20"/>
                <w:szCs w:val="20"/>
              </w:rPr>
            </w:pPr>
            <w:r w:rsidRPr="002B416F">
              <w:rPr>
                <w:rFonts w:ascii="Arial Narrow" w:hAnsi="Arial Narrow" w:cs="Arial"/>
                <w:sz w:val="20"/>
                <w:szCs w:val="20"/>
              </w:rPr>
              <w:t>1</w:t>
            </w:r>
          </w:p>
        </w:tc>
        <w:tc>
          <w:tcPr>
            <w:tcW w:w="850" w:type="dxa"/>
          </w:tcPr>
          <w:p w:rsidR="007743DD" w:rsidRPr="002B416F" w:rsidRDefault="0018059F" w:rsidP="006C0C45">
            <w:pPr>
              <w:keepNext/>
              <w:ind w:left="-108"/>
              <w:jc w:val="center"/>
              <w:rPr>
                <w:rFonts w:ascii="Arial Narrow" w:hAnsi="Arial Narrow" w:cs="Arial"/>
                <w:sz w:val="20"/>
                <w:szCs w:val="20"/>
              </w:rPr>
            </w:pPr>
            <w:r w:rsidRPr="002B416F">
              <w:rPr>
                <w:rFonts w:ascii="Arial Narrow" w:hAnsi="Arial Narrow" w:cs="Arial"/>
                <w:sz w:val="20"/>
                <w:szCs w:val="20"/>
              </w:rPr>
              <w:t>12</w:t>
            </w:r>
          </w:p>
        </w:tc>
        <w:tc>
          <w:tcPr>
            <w:tcW w:w="709" w:type="dxa"/>
          </w:tcPr>
          <w:p w:rsidR="007743DD" w:rsidRPr="002B416F" w:rsidRDefault="007743DD" w:rsidP="006C0C45">
            <w:pPr>
              <w:keepNext/>
              <w:ind w:left="-108"/>
              <w:jc w:val="center"/>
              <w:rPr>
                <w:rFonts w:ascii="Arial Narrow" w:hAnsi="Arial Narrow" w:cs="Arial"/>
                <w:sz w:val="20"/>
                <w:szCs w:val="20"/>
              </w:rPr>
            </w:pPr>
            <w:r w:rsidRPr="002B416F">
              <w:rPr>
                <w:rFonts w:ascii="Arial Narrow" w:hAnsi="Arial Narrow" w:cs="Arial"/>
                <w:sz w:val="20"/>
                <w:szCs w:val="20"/>
              </w:rPr>
              <w:t>5</w:t>
            </w:r>
          </w:p>
        </w:tc>
        <w:tc>
          <w:tcPr>
            <w:tcW w:w="1417" w:type="dxa"/>
          </w:tcPr>
          <w:p w:rsidR="007743DD" w:rsidRPr="002B416F" w:rsidRDefault="00080B19" w:rsidP="006C0C45">
            <w:pPr>
              <w:keepNext/>
              <w:rPr>
                <w:rFonts w:ascii="Arial Narrow" w:hAnsi="Arial Narrow" w:cs="Arial"/>
                <w:i/>
                <w:sz w:val="20"/>
                <w:szCs w:val="20"/>
              </w:rPr>
            </w:pPr>
            <w:r w:rsidRPr="002B416F">
              <w:rPr>
                <w:rFonts w:ascii="Arial Narrow" w:hAnsi="Arial Narrow" w:cs="Arial"/>
                <w:sz w:val="20"/>
                <w:szCs w:val="20"/>
                <w:vertAlign w:val="superscript"/>
              </w:rPr>
              <w:t>a</w:t>
            </w:r>
            <w:r w:rsidR="0018059F" w:rsidRPr="002B416F">
              <w:rPr>
                <w:rFonts w:ascii="Arial Narrow" w:hAnsi="Arial Narrow" w:cs="Arial"/>
                <w:i/>
                <w:sz w:val="20"/>
                <w:szCs w:val="20"/>
              </w:rPr>
              <w:t xml:space="preserve">Glatira </w:t>
            </w:r>
          </w:p>
          <w:p w:rsidR="0081170D" w:rsidRPr="002B416F" w:rsidRDefault="00080B19" w:rsidP="006C0C45">
            <w:pPr>
              <w:keepNext/>
              <w:rPr>
                <w:rFonts w:ascii="Arial Narrow" w:hAnsi="Arial Narrow" w:cs="Arial"/>
                <w:sz w:val="20"/>
                <w:szCs w:val="20"/>
              </w:rPr>
            </w:pPr>
            <w:r w:rsidRPr="002B416F">
              <w:rPr>
                <w:rFonts w:ascii="Arial Narrow" w:hAnsi="Arial Narrow" w:cs="Arial"/>
                <w:sz w:val="20"/>
                <w:szCs w:val="20"/>
                <w:vertAlign w:val="superscript"/>
              </w:rPr>
              <w:t>a</w:t>
            </w:r>
            <w:r w:rsidR="0081170D" w:rsidRPr="002B416F">
              <w:rPr>
                <w:rFonts w:ascii="Arial Narrow" w:hAnsi="Arial Narrow" w:cs="Arial"/>
                <w:sz w:val="20"/>
                <w:szCs w:val="20"/>
              </w:rPr>
              <w:t>Copaxone</w:t>
            </w:r>
          </w:p>
        </w:tc>
      </w:tr>
      <w:tr w:rsidR="007743DD" w:rsidRPr="002B416F" w:rsidTr="0081170D">
        <w:trPr>
          <w:cantSplit/>
          <w:trHeight w:val="327"/>
        </w:trPr>
        <w:tc>
          <w:tcPr>
            <w:tcW w:w="4106" w:type="dxa"/>
            <w:gridSpan w:val="2"/>
          </w:tcPr>
          <w:p w:rsidR="007743DD" w:rsidRPr="002B416F" w:rsidRDefault="0018059F" w:rsidP="0081170D">
            <w:pPr>
              <w:keepNext/>
              <w:tabs>
                <w:tab w:val="left" w:pos="1077"/>
              </w:tabs>
              <w:ind w:left="-57"/>
              <w:rPr>
                <w:rFonts w:ascii="Arial Narrow" w:hAnsi="Arial Narrow" w:cs="Arial"/>
                <w:i/>
                <w:sz w:val="20"/>
                <w:szCs w:val="20"/>
              </w:rPr>
            </w:pPr>
            <w:r w:rsidRPr="002B416F">
              <w:rPr>
                <w:rFonts w:ascii="Arial Narrow" w:hAnsi="Arial Narrow" w:cs="Arial Narrow"/>
                <w:i/>
                <w:sz w:val="20"/>
                <w:szCs w:val="20"/>
              </w:rPr>
              <w:t>glatiramer acetate 20 mg/mL injection, 28 x 1 mL syringes</w:t>
            </w:r>
          </w:p>
        </w:tc>
        <w:tc>
          <w:tcPr>
            <w:tcW w:w="1134" w:type="dxa"/>
          </w:tcPr>
          <w:p w:rsidR="007743DD" w:rsidRPr="002B416F" w:rsidRDefault="0018059F" w:rsidP="0018059F">
            <w:pPr>
              <w:keepNext/>
              <w:jc w:val="center"/>
              <w:rPr>
                <w:rFonts w:ascii="Arial Narrow" w:hAnsi="Arial Narrow" w:cs="Arial"/>
                <w:i/>
                <w:sz w:val="20"/>
                <w:szCs w:val="20"/>
              </w:rPr>
            </w:pPr>
            <w:r w:rsidRPr="002B416F">
              <w:rPr>
                <w:rFonts w:ascii="Arial Narrow" w:hAnsi="Arial Narrow" w:cs="Arial"/>
                <w:i/>
                <w:sz w:val="20"/>
                <w:szCs w:val="20"/>
              </w:rPr>
              <w:t>NEW</w:t>
            </w:r>
          </w:p>
        </w:tc>
        <w:tc>
          <w:tcPr>
            <w:tcW w:w="851" w:type="dxa"/>
          </w:tcPr>
          <w:p w:rsidR="007743DD" w:rsidRPr="002B416F" w:rsidRDefault="0018059F" w:rsidP="006C0C45">
            <w:pPr>
              <w:keepNext/>
              <w:jc w:val="center"/>
              <w:rPr>
                <w:rFonts w:ascii="Arial Narrow" w:hAnsi="Arial Narrow" w:cs="Arial"/>
                <w:i/>
                <w:sz w:val="20"/>
                <w:szCs w:val="20"/>
              </w:rPr>
            </w:pPr>
            <w:r w:rsidRPr="002B416F">
              <w:rPr>
                <w:rFonts w:ascii="Arial Narrow" w:hAnsi="Arial Narrow" w:cs="Arial"/>
                <w:i/>
                <w:sz w:val="20"/>
                <w:szCs w:val="20"/>
              </w:rPr>
              <w:t>1</w:t>
            </w:r>
          </w:p>
        </w:tc>
        <w:tc>
          <w:tcPr>
            <w:tcW w:w="850" w:type="dxa"/>
          </w:tcPr>
          <w:p w:rsidR="007743DD" w:rsidRPr="002B416F" w:rsidRDefault="0018059F" w:rsidP="006C0C45">
            <w:pPr>
              <w:keepNext/>
              <w:ind w:left="-108"/>
              <w:jc w:val="center"/>
              <w:rPr>
                <w:rFonts w:ascii="Arial Narrow" w:hAnsi="Arial Narrow" w:cs="Arial"/>
                <w:i/>
                <w:sz w:val="20"/>
                <w:szCs w:val="20"/>
              </w:rPr>
            </w:pPr>
            <w:r w:rsidRPr="002B416F">
              <w:rPr>
                <w:rFonts w:ascii="Arial Narrow" w:hAnsi="Arial Narrow" w:cs="Arial"/>
                <w:i/>
                <w:sz w:val="20"/>
                <w:szCs w:val="20"/>
              </w:rPr>
              <w:t>28</w:t>
            </w:r>
          </w:p>
        </w:tc>
        <w:tc>
          <w:tcPr>
            <w:tcW w:w="709" w:type="dxa"/>
          </w:tcPr>
          <w:p w:rsidR="007743DD" w:rsidRPr="002B416F" w:rsidRDefault="0018059F" w:rsidP="006C0C45">
            <w:pPr>
              <w:keepNext/>
              <w:ind w:left="-108"/>
              <w:jc w:val="center"/>
              <w:rPr>
                <w:rFonts w:ascii="Arial Narrow" w:hAnsi="Arial Narrow" w:cs="Arial"/>
                <w:i/>
                <w:sz w:val="20"/>
                <w:szCs w:val="20"/>
              </w:rPr>
            </w:pPr>
            <w:r w:rsidRPr="002B416F">
              <w:rPr>
                <w:rFonts w:ascii="Arial Narrow" w:hAnsi="Arial Narrow" w:cs="Arial"/>
                <w:i/>
                <w:sz w:val="20"/>
                <w:szCs w:val="20"/>
              </w:rPr>
              <w:t>5</w:t>
            </w:r>
          </w:p>
        </w:tc>
        <w:tc>
          <w:tcPr>
            <w:tcW w:w="1417" w:type="dxa"/>
          </w:tcPr>
          <w:p w:rsidR="007743DD" w:rsidRPr="002B416F" w:rsidRDefault="0018059F" w:rsidP="006C0C45">
            <w:pPr>
              <w:keepNext/>
              <w:rPr>
                <w:rFonts w:ascii="Arial Narrow" w:hAnsi="Arial Narrow" w:cs="Arial"/>
                <w:i/>
                <w:sz w:val="20"/>
                <w:szCs w:val="20"/>
              </w:rPr>
            </w:pPr>
            <w:r w:rsidRPr="002B416F">
              <w:rPr>
                <w:rFonts w:ascii="Arial Narrow" w:hAnsi="Arial Narrow" w:cs="Arial"/>
                <w:i/>
                <w:sz w:val="20"/>
                <w:szCs w:val="20"/>
              </w:rPr>
              <w:t>Glatira</w:t>
            </w:r>
          </w:p>
        </w:tc>
      </w:tr>
      <w:tr w:rsidR="0081170D" w:rsidRPr="002B416F" w:rsidTr="0081170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81170D" w:rsidRPr="002B416F" w:rsidRDefault="0081170D" w:rsidP="006C0C45">
            <w:pPr>
              <w:rPr>
                <w:rFonts w:ascii="Arial Narrow" w:hAnsi="Arial Narrow" w:cs="Arial"/>
                <w:b/>
                <w:sz w:val="20"/>
                <w:szCs w:val="20"/>
              </w:rPr>
            </w:pPr>
          </w:p>
        </w:tc>
      </w:tr>
      <w:tr w:rsidR="0081170D" w:rsidRPr="002B416F" w:rsidTr="0081170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81170D" w:rsidRPr="002B416F" w:rsidRDefault="0081170D" w:rsidP="006C0C45">
            <w:pPr>
              <w:rPr>
                <w:rFonts w:ascii="Arial Narrow" w:hAnsi="Arial Narrow" w:cs="Arial"/>
                <w:b/>
                <w:sz w:val="20"/>
                <w:szCs w:val="20"/>
              </w:rPr>
            </w:pPr>
            <w:r w:rsidRPr="002B416F">
              <w:rPr>
                <w:rFonts w:ascii="Arial Narrow" w:hAnsi="Arial Narrow" w:cs="Arial"/>
                <w:b/>
                <w:sz w:val="20"/>
                <w:szCs w:val="20"/>
              </w:rPr>
              <w:t>Restriction Summary 7698 / Treatment of Concept: 7695</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7743DD" w:rsidRPr="002B416F" w:rsidRDefault="007743DD" w:rsidP="0081170D">
            <w:pPr>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743DD" w:rsidRPr="002B416F" w:rsidRDefault="007743DD" w:rsidP="006C0C45">
            <w:pPr>
              <w:rPr>
                <w:rFonts w:ascii="Arial Narrow" w:hAnsi="Arial Narrow" w:cs="Arial"/>
                <w:sz w:val="20"/>
                <w:szCs w:val="20"/>
              </w:rPr>
            </w:pPr>
            <w:r w:rsidRPr="002B416F">
              <w:rPr>
                <w:rFonts w:ascii="Arial Narrow" w:hAnsi="Arial Narrow" w:cs="Arial"/>
                <w:b/>
                <w:sz w:val="20"/>
                <w:szCs w:val="20"/>
              </w:rPr>
              <w:t xml:space="preserve">Category / Program:   </w:t>
            </w:r>
            <w:r w:rsidRPr="002B416F">
              <w:rPr>
                <w:rFonts w:ascii="Arial Narrow" w:hAnsi="Arial Narrow" w:cs="Arial"/>
                <w:sz w:val="20"/>
                <w:szCs w:val="20"/>
              </w:rPr>
              <w:t xml:space="preserve">GENERAL – General Schedule (Code GE) </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7743DD" w:rsidRPr="002B416F" w:rsidRDefault="007743DD" w:rsidP="006C0C45">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743DD" w:rsidRPr="002B416F" w:rsidRDefault="007743DD" w:rsidP="004C1441">
            <w:pPr>
              <w:rPr>
                <w:rFonts w:ascii="Arial Narrow" w:hAnsi="Arial Narrow" w:cs="Arial"/>
                <w:b/>
                <w:sz w:val="20"/>
                <w:szCs w:val="20"/>
              </w:rPr>
            </w:pPr>
            <w:r w:rsidRPr="002B416F">
              <w:rPr>
                <w:rFonts w:ascii="Arial Narrow" w:hAnsi="Arial Narrow" w:cs="Arial"/>
                <w:b/>
                <w:sz w:val="20"/>
                <w:szCs w:val="20"/>
              </w:rPr>
              <w:t xml:space="preserve">Prescriber type:  </w:t>
            </w:r>
            <w:r w:rsidR="004C1441" w:rsidRPr="002B416F">
              <w:rPr>
                <w:rFonts w:ascii="Arial Narrow" w:hAnsi="Arial Narrow" w:cs="Arial"/>
                <w:sz w:val="20"/>
                <w:szCs w:val="20"/>
              </w:rPr>
              <w:fldChar w:fldCharType="begin">
                <w:ffData>
                  <w:name w:val=""/>
                  <w:enabled/>
                  <w:calcOnExit w:val="0"/>
                  <w:checkBox>
                    <w:sizeAuto/>
                    <w:default w:val="1"/>
                  </w:checkBox>
                </w:ffData>
              </w:fldChar>
            </w:r>
            <w:r w:rsidR="004C1441" w:rsidRPr="002B416F">
              <w:rPr>
                <w:rFonts w:ascii="Arial Narrow" w:hAnsi="Arial Narrow" w:cs="Arial"/>
                <w:sz w:val="20"/>
                <w:szCs w:val="20"/>
              </w:rPr>
              <w:instrText xml:space="preserve"> FORMCHECKBOX </w:instrText>
            </w:r>
            <w:r w:rsidR="00EC4EC1">
              <w:rPr>
                <w:rFonts w:ascii="Arial Narrow" w:hAnsi="Arial Narrow" w:cs="Arial"/>
                <w:sz w:val="20"/>
                <w:szCs w:val="20"/>
              </w:rPr>
            </w:r>
            <w:r w:rsidR="00EC4EC1">
              <w:rPr>
                <w:rFonts w:ascii="Arial Narrow" w:hAnsi="Arial Narrow" w:cs="Arial"/>
                <w:sz w:val="20"/>
                <w:szCs w:val="20"/>
              </w:rPr>
              <w:fldChar w:fldCharType="separate"/>
            </w:r>
            <w:r w:rsidR="004C1441" w:rsidRPr="002B416F">
              <w:rPr>
                <w:rFonts w:ascii="Arial Narrow" w:hAnsi="Arial Narrow" w:cs="Arial"/>
                <w:sz w:val="20"/>
                <w:szCs w:val="20"/>
              </w:rPr>
              <w:fldChar w:fldCharType="end"/>
            </w:r>
            <w:r w:rsidRPr="002B416F">
              <w:rPr>
                <w:rFonts w:ascii="Arial Narrow" w:hAnsi="Arial Narrow" w:cs="Arial"/>
                <w:sz w:val="20"/>
                <w:szCs w:val="20"/>
              </w:rPr>
              <w:t xml:space="preserve">Medical Practitioners </w:t>
            </w:r>
          </w:p>
        </w:tc>
      </w:tr>
      <w:tr w:rsidR="007743DD" w:rsidRPr="002B416F" w:rsidTr="00150113">
        <w:tblPrEx>
          <w:tblCellMar>
            <w:top w:w="15" w:type="dxa"/>
            <w:left w:w="15" w:type="dxa"/>
            <w:bottom w:w="15" w:type="dxa"/>
            <w:right w:w="15" w:type="dxa"/>
          </w:tblCellMar>
        </w:tblPrEx>
        <w:trPr>
          <w:trHeight w:val="264"/>
        </w:trPr>
        <w:tc>
          <w:tcPr>
            <w:tcW w:w="981" w:type="dxa"/>
            <w:vMerge/>
            <w:tcBorders>
              <w:left w:val="single" w:sz="4" w:space="0" w:color="auto"/>
              <w:bottom w:val="single" w:sz="4" w:space="0" w:color="auto"/>
              <w:right w:val="single" w:sz="4" w:space="0" w:color="auto"/>
            </w:tcBorders>
          </w:tcPr>
          <w:p w:rsidR="007743DD" w:rsidRPr="002B416F" w:rsidRDefault="007743DD" w:rsidP="006C0C45">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743DD" w:rsidRPr="002B416F" w:rsidRDefault="007743DD" w:rsidP="004C1441">
            <w:pPr>
              <w:rPr>
                <w:rFonts w:ascii="Arial Narrow" w:hAnsi="Arial Narrow" w:cs="Arial"/>
                <w:b/>
                <w:sz w:val="20"/>
                <w:szCs w:val="20"/>
              </w:rPr>
            </w:pPr>
            <w:r w:rsidRPr="002B416F">
              <w:rPr>
                <w:rFonts w:ascii="Arial Narrow" w:hAnsi="Arial Narrow" w:cs="Arial"/>
                <w:b/>
                <w:sz w:val="20"/>
                <w:szCs w:val="20"/>
              </w:rPr>
              <w:t xml:space="preserve">Restriction </w:t>
            </w:r>
            <w:r w:rsidR="0081170D" w:rsidRPr="002B416F">
              <w:rPr>
                <w:rFonts w:ascii="Arial Narrow" w:hAnsi="Arial Narrow" w:cs="Arial"/>
                <w:b/>
                <w:sz w:val="20"/>
                <w:szCs w:val="20"/>
              </w:rPr>
              <w:t>t</w:t>
            </w:r>
            <w:r w:rsidRPr="002B416F">
              <w:rPr>
                <w:rFonts w:ascii="Arial Narrow" w:hAnsi="Arial Narrow" w:cs="Arial"/>
                <w:b/>
                <w:sz w:val="20"/>
                <w:szCs w:val="20"/>
              </w:rPr>
              <w:t>yp</w:t>
            </w:r>
            <w:r w:rsidR="0081170D" w:rsidRPr="002B416F">
              <w:rPr>
                <w:rFonts w:ascii="Arial Narrow" w:hAnsi="Arial Narrow" w:cs="Arial"/>
                <w:b/>
                <w:sz w:val="20"/>
                <w:szCs w:val="20"/>
              </w:rPr>
              <w:t>e</w:t>
            </w:r>
            <w:r w:rsidRPr="002B416F">
              <w:rPr>
                <w:rFonts w:ascii="Arial Narrow" w:hAnsi="Arial Narrow" w:cs="Arial"/>
                <w:b/>
                <w:sz w:val="20"/>
                <w:szCs w:val="20"/>
              </w:rPr>
              <w:t>:</w:t>
            </w:r>
            <w:r w:rsidR="0081170D" w:rsidRPr="002B416F">
              <w:rPr>
                <w:rFonts w:ascii="Arial Narrow" w:hAnsi="Arial Narrow" w:cs="Arial"/>
                <w:b/>
                <w:sz w:val="20"/>
                <w:szCs w:val="20"/>
              </w:rPr>
              <w:t xml:space="preserve"> </w:t>
            </w:r>
            <w:r w:rsidR="0018059F" w:rsidRPr="002B416F">
              <w:rPr>
                <w:rFonts w:ascii="Arial Narrow" w:eastAsia="Calibri" w:hAnsi="Arial Narrow" w:cs="Arial"/>
                <w:sz w:val="20"/>
                <w:szCs w:val="20"/>
              </w:rPr>
              <w:fldChar w:fldCharType="begin">
                <w:ffData>
                  <w:name w:val=""/>
                  <w:enabled/>
                  <w:calcOnExit w:val="0"/>
                  <w:checkBox>
                    <w:sizeAuto/>
                    <w:default w:val="1"/>
                  </w:checkBox>
                </w:ffData>
              </w:fldChar>
            </w:r>
            <w:r w:rsidR="0018059F" w:rsidRPr="002B416F">
              <w:rPr>
                <w:rFonts w:ascii="Arial Narrow" w:eastAsia="Calibri" w:hAnsi="Arial Narrow" w:cs="Arial"/>
                <w:sz w:val="20"/>
                <w:szCs w:val="20"/>
              </w:rPr>
              <w:instrText xml:space="preserve"> FORMCHECKBOX </w:instrText>
            </w:r>
            <w:r w:rsidR="00EC4EC1">
              <w:rPr>
                <w:rFonts w:ascii="Arial Narrow" w:eastAsia="Calibri" w:hAnsi="Arial Narrow" w:cs="Arial"/>
                <w:sz w:val="20"/>
                <w:szCs w:val="20"/>
              </w:rPr>
            </w:r>
            <w:r w:rsidR="00EC4EC1">
              <w:rPr>
                <w:rFonts w:ascii="Arial Narrow" w:eastAsia="Calibri" w:hAnsi="Arial Narrow" w:cs="Arial"/>
                <w:sz w:val="20"/>
                <w:szCs w:val="20"/>
              </w:rPr>
              <w:fldChar w:fldCharType="separate"/>
            </w:r>
            <w:r w:rsidR="0018059F" w:rsidRPr="002B416F">
              <w:rPr>
                <w:rFonts w:ascii="Arial Narrow" w:eastAsia="Calibri" w:hAnsi="Arial Narrow" w:cs="Arial"/>
                <w:sz w:val="20"/>
                <w:szCs w:val="20"/>
              </w:rPr>
              <w:fldChar w:fldCharType="end"/>
            </w:r>
            <w:r w:rsidRPr="002B416F">
              <w:rPr>
                <w:rFonts w:ascii="Arial Narrow" w:eastAsia="Calibri" w:hAnsi="Arial Narrow" w:cs="Arial"/>
                <w:sz w:val="20"/>
                <w:szCs w:val="20"/>
              </w:rPr>
              <w:t>Authority Required – Streamlined [</w:t>
            </w:r>
            <w:r w:rsidR="004C1441" w:rsidRPr="002B416F">
              <w:rPr>
                <w:rFonts w:ascii="Arial Narrow" w:eastAsia="Calibri" w:hAnsi="Arial Narrow" w:cs="Arial"/>
                <w:sz w:val="20"/>
                <w:szCs w:val="20"/>
              </w:rPr>
              <w:t>7695</w:t>
            </w:r>
            <w:r w:rsidRPr="002B416F">
              <w:rPr>
                <w:rFonts w:ascii="Arial Narrow" w:eastAsia="Calibri" w:hAnsi="Arial Narrow" w:cs="Arial"/>
                <w:sz w:val="20"/>
                <w:szCs w:val="20"/>
              </w:rPr>
              <w:t xml:space="preserve">] </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tcPr>
          <w:p w:rsidR="007743DD" w:rsidRPr="002B416F" w:rsidRDefault="007743DD" w:rsidP="006C0C45">
            <w:pPr>
              <w:rPr>
                <w:rFonts w:ascii="Arial Narrow" w:hAnsi="Arial Narrow"/>
                <w:i/>
                <w:color w:val="333333"/>
                <w:sz w:val="20"/>
                <w:szCs w:val="20"/>
              </w:rPr>
            </w:pPr>
            <w:r w:rsidRPr="002B416F">
              <w:rPr>
                <w:rFonts w:ascii="Arial Narrow" w:hAnsi="Arial Narrow"/>
                <w:b/>
                <w:bCs/>
                <w:i/>
                <w:color w:val="333333"/>
                <w:sz w:val="20"/>
                <w:szCs w:val="20"/>
              </w:rPr>
              <w:t>Administrative Advice:</w:t>
            </w:r>
            <w:r w:rsidR="0081170D" w:rsidRPr="002B416F">
              <w:rPr>
                <w:rFonts w:ascii="Arial Narrow" w:hAnsi="Arial Narrow"/>
                <w:i/>
                <w:color w:val="333333"/>
                <w:sz w:val="20"/>
                <w:szCs w:val="20"/>
              </w:rPr>
              <w:t xml:space="preserve"> </w:t>
            </w:r>
            <w:r w:rsidR="004C1441" w:rsidRPr="002B416F">
              <w:rPr>
                <w:rFonts w:ascii="Arial Narrow" w:hAnsi="Arial Narrow"/>
                <w:i/>
                <w:color w:val="333333"/>
                <w:sz w:val="20"/>
                <w:szCs w:val="20"/>
              </w:rPr>
              <w:t>No increase in the maximum quantity or number of units may be authorised.</w:t>
            </w:r>
          </w:p>
        </w:tc>
      </w:tr>
      <w:tr w:rsidR="004C1441"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4C1441" w:rsidRPr="002B416F" w:rsidRDefault="004C1441" w:rsidP="006C0C45">
            <w:pPr>
              <w:jc w:val="center"/>
              <w:rPr>
                <w:rFonts w:ascii="Arial Narrow" w:hAnsi="Arial Narrow"/>
                <w:color w:val="333333"/>
                <w:sz w:val="20"/>
                <w:szCs w:val="20"/>
              </w:rPr>
            </w:pPr>
          </w:p>
        </w:tc>
        <w:tc>
          <w:tcPr>
            <w:tcW w:w="8086" w:type="dxa"/>
            <w:gridSpan w:val="6"/>
            <w:vAlign w:val="center"/>
          </w:tcPr>
          <w:p w:rsidR="004C1441" w:rsidRPr="002B416F" w:rsidRDefault="004C1441" w:rsidP="006C0C45">
            <w:pPr>
              <w:rPr>
                <w:rFonts w:ascii="Arial Narrow" w:hAnsi="Arial Narrow" w:cs="Arial"/>
                <w:i/>
                <w:color w:val="222222"/>
                <w:sz w:val="20"/>
                <w:szCs w:val="20"/>
                <w:shd w:val="clear" w:color="auto" w:fill="EEEEEE"/>
              </w:rPr>
            </w:pPr>
            <w:r w:rsidRPr="002B416F">
              <w:rPr>
                <w:rFonts w:ascii="Arial Narrow" w:hAnsi="Arial Narrow"/>
                <w:b/>
                <w:bCs/>
                <w:i/>
                <w:color w:val="333333"/>
                <w:sz w:val="20"/>
                <w:szCs w:val="20"/>
              </w:rPr>
              <w:t>Administrative Advice:</w:t>
            </w:r>
            <w:r w:rsidR="0081170D" w:rsidRPr="002B416F">
              <w:rPr>
                <w:rFonts w:ascii="Arial Narrow" w:hAnsi="Arial Narrow" w:cs="Arial"/>
                <w:i/>
                <w:color w:val="222222"/>
                <w:sz w:val="20"/>
                <w:szCs w:val="20"/>
                <w:shd w:val="clear" w:color="auto" w:fill="EEEEEE"/>
              </w:rPr>
              <w:t xml:space="preserve"> </w:t>
            </w:r>
            <w:r w:rsidRPr="002B416F">
              <w:rPr>
                <w:rFonts w:ascii="Arial Narrow" w:hAnsi="Arial Narrow"/>
                <w:i/>
                <w:color w:val="333333"/>
                <w:sz w:val="20"/>
                <w:szCs w:val="20"/>
              </w:rPr>
              <w:t>No increase in the maximum number of repeats may be authorised.</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hideMark/>
          </w:tcPr>
          <w:p w:rsidR="007743DD" w:rsidRPr="002B416F" w:rsidRDefault="007743DD" w:rsidP="006C0C45">
            <w:pPr>
              <w:rPr>
                <w:rFonts w:ascii="Arial Narrow" w:hAnsi="Arial Narrow"/>
                <w:color w:val="333333"/>
                <w:sz w:val="20"/>
                <w:szCs w:val="20"/>
              </w:rPr>
            </w:pPr>
            <w:r w:rsidRPr="002B416F">
              <w:rPr>
                <w:rFonts w:ascii="Arial Narrow" w:hAnsi="Arial Narrow"/>
                <w:b/>
                <w:bCs/>
                <w:color w:val="333333"/>
                <w:sz w:val="20"/>
                <w:szCs w:val="20"/>
              </w:rPr>
              <w:t>Indication:</w:t>
            </w:r>
            <w:r w:rsidRPr="002B416F">
              <w:rPr>
                <w:rFonts w:ascii="Arial Narrow" w:hAnsi="Arial Narrow"/>
                <w:color w:val="333333"/>
                <w:sz w:val="20"/>
                <w:szCs w:val="20"/>
              </w:rPr>
              <w:t xml:space="preserve"> </w:t>
            </w:r>
            <w:r w:rsidR="0018059F" w:rsidRPr="002B416F">
              <w:rPr>
                <w:rFonts w:ascii="Arial Narrow" w:hAnsi="Arial Narrow"/>
                <w:bCs/>
                <w:color w:val="333333"/>
                <w:sz w:val="20"/>
                <w:szCs w:val="20"/>
              </w:rPr>
              <w:t>Multiple Sclerosis</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hideMark/>
          </w:tcPr>
          <w:p w:rsidR="007743DD" w:rsidRPr="002B416F" w:rsidRDefault="007743DD" w:rsidP="0018059F">
            <w:pPr>
              <w:rPr>
                <w:rFonts w:ascii="Arial Narrow" w:hAnsi="Arial Narrow"/>
                <w:i/>
                <w:color w:val="333333"/>
                <w:sz w:val="20"/>
                <w:szCs w:val="20"/>
              </w:rPr>
            </w:pPr>
            <w:r w:rsidRPr="002B416F">
              <w:rPr>
                <w:rFonts w:ascii="Arial Narrow" w:hAnsi="Arial Narrow"/>
                <w:b/>
                <w:bCs/>
                <w:color w:val="333333"/>
                <w:sz w:val="20"/>
                <w:szCs w:val="20"/>
              </w:rPr>
              <w:t>Treatment Phase:</w:t>
            </w:r>
            <w:r w:rsidRPr="002B416F">
              <w:rPr>
                <w:rFonts w:ascii="Arial Narrow" w:hAnsi="Arial Narrow"/>
                <w:color w:val="333333"/>
                <w:sz w:val="20"/>
                <w:szCs w:val="20"/>
              </w:rPr>
              <w:t xml:space="preserve"> </w:t>
            </w:r>
            <w:r w:rsidR="0018059F" w:rsidRPr="002B416F">
              <w:rPr>
                <w:rFonts w:ascii="Arial Narrow" w:hAnsi="Arial Narrow"/>
                <w:color w:val="333333"/>
                <w:sz w:val="20"/>
                <w:szCs w:val="20"/>
              </w:rPr>
              <w:t xml:space="preserve">Initial </w:t>
            </w:r>
            <w:r w:rsidR="00D414DB" w:rsidRPr="002B416F">
              <w:rPr>
                <w:rFonts w:ascii="Arial Narrow" w:hAnsi="Arial Narrow"/>
                <w:i/>
                <w:color w:val="333333"/>
                <w:sz w:val="20"/>
                <w:szCs w:val="20"/>
              </w:rPr>
              <w:t xml:space="preserve">treatment </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4C1441">
            <w:pPr>
              <w:jc w:val="center"/>
              <w:rPr>
                <w:rFonts w:ascii="Arial Narrow" w:hAnsi="Arial Narrow"/>
                <w:color w:val="333333"/>
                <w:sz w:val="20"/>
                <w:szCs w:val="20"/>
              </w:rPr>
            </w:pPr>
          </w:p>
        </w:tc>
        <w:tc>
          <w:tcPr>
            <w:tcW w:w="8086" w:type="dxa"/>
            <w:gridSpan w:val="6"/>
            <w:vAlign w:val="center"/>
            <w:hideMark/>
          </w:tcPr>
          <w:p w:rsidR="007743DD" w:rsidRPr="002B416F" w:rsidRDefault="007743DD" w:rsidP="006C0C45">
            <w:pPr>
              <w:rPr>
                <w:rFonts w:ascii="Arial Narrow" w:hAnsi="Arial Narrow"/>
                <w:color w:val="333333"/>
                <w:sz w:val="20"/>
                <w:szCs w:val="20"/>
              </w:rPr>
            </w:pPr>
            <w:r w:rsidRPr="002B416F">
              <w:rPr>
                <w:rFonts w:ascii="Arial Narrow" w:hAnsi="Arial Narrow"/>
                <w:b/>
                <w:bCs/>
                <w:color w:val="333333"/>
                <w:sz w:val="20"/>
                <w:szCs w:val="20"/>
              </w:rPr>
              <w:t>Clinical criteria:</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hideMark/>
          </w:tcPr>
          <w:p w:rsidR="007743DD" w:rsidRPr="002B416F" w:rsidRDefault="004C1441" w:rsidP="00E3495C">
            <w:pPr>
              <w:jc w:val="left"/>
              <w:rPr>
                <w:rFonts w:ascii="Arial Narrow" w:hAnsi="Arial Narrow"/>
                <w:color w:val="333333"/>
                <w:sz w:val="20"/>
                <w:szCs w:val="20"/>
              </w:rPr>
            </w:pPr>
            <w:r w:rsidRPr="002B416F">
              <w:rPr>
                <w:rFonts w:ascii="Arial Narrow" w:hAnsi="Arial Narrow"/>
                <w:color w:val="333333"/>
                <w:sz w:val="20"/>
                <w:szCs w:val="20"/>
              </w:rPr>
              <w:t>The condition must be diagnosed as clinically definite relapsing-remitting multiple sclerosis by magnetic resonance imaging of the brain and/or spinal cord</w:t>
            </w:r>
            <w:r w:rsidR="0081170D" w:rsidRPr="002B416F">
              <w:rPr>
                <w:rFonts w:ascii="Arial Narrow" w:hAnsi="Arial Narrow"/>
                <w:color w:val="333333"/>
                <w:sz w:val="20"/>
                <w:szCs w:val="20"/>
              </w:rPr>
              <w:t>; or</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hideMark/>
          </w:tcPr>
          <w:p w:rsidR="007743DD" w:rsidRPr="002B416F" w:rsidRDefault="004C1441" w:rsidP="004C1441">
            <w:pPr>
              <w:jc w:val="left"/>
              <w:rPr>
                <w:rFonts w:ascii="Arial Narrow" w:hAnsi="Arial Narrow"/>
                <w:color w:val="333333"/>
                <w:sz w:val="20"/>
                <w:szCs w:val="20"/>
              </w:rPr>
            </w:pPr>
            <w:r w:rsidRPr="002B416F">
              <w:rPr>
                <w:rFonts w:ascii="Arial Narrow" w:hAnsi="Arial Narrow"/>
                <w:color w:val="333333"/>
                <w:sz w:val="20"/>
                <w:szCs w:val="20"/>
              </w:rPr>
              <w:t>The condition must be diagnosed as clinically definite relapsing-remitting multiple sclerosis, with written certification provided by a radiologist that a magnetic resonance imaging scan is contraindicated because of the risk of physical (not psychological) injury to the patient</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hideMark/>
          </w:tcPr>
          <w:p w:rsidR="007743DD" w:rsidRPr="002B416F" w:rsidRDefault="007743DD" w:rsidP="006C0C45">
            <w:pPr>
              <w:rPr>
                <w:rFonts w:ascii="Arial Narrow" w:hAnsi="Arial Narrow"/>
                <w:color w:val="333333"/>
                <w:sz w:val="20"/>
                <w:szCs w:val="20"/>
              </w:rPr>
            </w:pPr>
            <w:r w:rsidRPr="002B416F">
              <w:rPr>
                <w:rFonts w:ascii="Arial Narrow" w:hAnsi="Arial Narrow"/>
                <w:b/>
                <w:bCs/>
                <w:color w:val="333333"/>
                <w:sz w:val="20"/>
                <w:szCs w:val="20"/>
              </w:rPr>
              <w:t>AND</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hideMark/>
          </w:tcPr>
          <w:p w:rsidR="007743DD" w:rsidRPr="002B416F" w:rsidRDefault="0081170D" w:rsidP="006C0C45">
            <w:pPr>
              <w:rPr>
                <w:rFonts w:ascii="Arial Narrow" w:hAnsi="Arial Narrow"/>
                <w:color w:val="333333"/>
                <w:sz w:val="20"/>
                <w:szCs w:val="20"/>
              </w:rPr>
            </w:pPr>
            <w:r w:rsidRPr="002B416F">
              <w:rPr>
                <w:rFonts w:ascii="Arial Narrow" w:hAnsi="Arial Narrow"/>
                <w:b/>
                <w:bCs/>
                <w:color w:val="333333"/>
                <w:sz w:val="20"/>
                <w:szCs w:val="20"/>
              </w:rPr>
              <w:t xml:space="preserve">Clinical </w:t>
            </w:r>
            <w:r w:rsidR="007743DD" w:rsidRPr="002B416F">
              <w:rPr>
                <w:rFonts w:ascii="Arial Narrow" w:hAnsi="Arial Narrow"/>
                <w:b/>
                <w:bCs/>
                <w:color w:val="333333"/>
                <w:sz w:val="20"/>
                <w:szCs w:val="20"/>
              </w:rPr>
              <w:t>criteria:</w:t>
            </w:r>
          </w:p>
        </w:tc>
      </w:tr>
      <w:tr w:rsidR="007743DD"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7743DD" w:rsidRPr="002B416F" w:rsidRDefault="007743DD" w:rsidP="006C0C45">
            <w:pPr>
              <w:jc w:val="center"/>
              <w:rPr>
                <w:rFonts w:ascii="Arial Narrow" w:hAnsi="Arial Narrow"/>
                <w:color w:val="333333"/>
                <w:sz w:val="20"/>
                <w:szCs w:val="20"/>
              </w:rPr>
            </w:pPr>
          </w:p>
        </w:tc>
        <w:tc>
          <w:tcPr>
            <w:tcW w:w="8086" w:type="dxa"/>
            <w:gridSpan w:val="6"/>
            <w:vAlign w:val="center"/>
            <w:hideMark/>
          </w:tcPr>
          <w:p w:rsidR="007743DD" w:rsidRPr="002B416F" w:rsidRDefault="004C1441" w:rsidP="006C0C45">
            <w:pPr>
              <w:autoSpaceDE w:val="0"/>
              <w:autoSpaceDN w:val="0"/>
              <w:adjustRightInd w:val="0"/>
              <w:rPr>
                <w:rFonts w:ascii="Arial Narrow" w:hAnsi="Arial Narrow" w:cs="Arial Narrow"/>
                <w:i/>
                <w:iCs/>
                <w:sz w:val="20"/>
                <w:szCs w:val="20"/>
              </w:rPr>
            </w:pPr>
            <w:r w:rsidRPr="002B416F">
              <w:rPr>
                <w:rFonts w:ascii="Arial Narrow" w:hAnsi="Arial Narrow"/>
                <w:color w:val="333333"/>
                <w:sz w:val="20"/>
                <w:szCs w:val="20"/>
              </w:rPr>
              <w:t xml:space="preserve">Patient must have experienced at least 2 documented attacks of neurological dysfunction, believed to be due to multiple sclerosis, in the preceding 2 years of commencing a PBS-subsidised </w:t>
            </w:r>
            <w:r w:rsidR="0081170D" w:rsidRPr="002B416F">
              <w:rPr>
                <w:rFonts w:ascii="Arial Narrow" w:hAnsi="Arial Narrow"/>
                <w:i/>
                <w:color w:val="333333"/>
                <w:sz w:val="20"/>
                <w:szCs w:val="20"/>
              </w:rPr>
              <w:t xml:space="preserve">disease </w:t>
            </w:r>
            <w:r w:rsidRPr="002B416F">
              <w:rPr>
                <w:rFonts w:ascii="Arial Narrow" w:hAnsi="Arial Narrow"/>
                <w:color w:val="333333"/>
                <w:sz w:val="20"/>
                <w:szCs w:val="20"/>
              </w:rPr>
              <w:t>modifying therapy for this condition</w:t>
            </w:r>
          </w:p>
        </w:tc>
      </w:tr>
      <w:tr w:rsidR="004C1441"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4C1441" w:rsidRPr="002B416F" w:rsidRDefault="004C1441" w:rsidP="004C1441">
            <w:pPr>
              <w:jc w:val="center"/>
              <w:rPr>
                <w:rFonts w:ascii="Arial Narrow" w:hAnsi="Arial Narrow"/>
                <w:color w:val="333333"/>
                <w:sz w:val="20"/>
                <w:szCs w:val="20"/>
              </w:rPr>
            </w:pPr>
          </w:p>
        </w:tc>
        <w:tc>
          <w:tcPr>
            <w:tcW w:w="8086" w:type="dxa"/>
            <w:gridSpan w:val="6"/>
            <w:vAlign w:val="center"/>
          </w:tcPr>
          <w:p w:rsidR="004C1441" w:rsidRPr="002B416F" w:rsidRDefault="004C1441" w:rsidP="004C1441">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AND</w:t>
            </w:r>
          </w:p>
        </w:tc>
      </w:tr>
      <w:tr w:rsidR="004C1441"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4C1441" w:rsidRPr="002B416F" w:rsidRDefault="004C1441" w:rsidP="004C1441">
            <w:pPr>
              <w:jc w:val="center"/>
              <w:rPr>
                <w:rFonts w:ascii="Arial Narrow" w:hAnsi="Arial Narrow"/>
                <w:color w:val="333333"/>
                <w:sz w:val="20"/>
                <w:szCs w:val="20"/>
              </w:rPr>
            </w:pPr>
          </w:p>
        </w:tc>
        <w:tc>
          <w:tcPr>
            <w:tcW w:w="8086" w:type="dxa"/>
            <w:gridSpan w:val="6"/>
            <w:vAlign w:val="center"/>
          </w:tcPr>
          <w:p w:rsidR="004C1441" w:rsidRPr="002B416F" w:rsidRDefault="0081170D" w:rsidP="004C1441">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 xml:space="preserve">Clinical </w:t>
            </w:r>
            <w:r w:rsidR="004C1441" w:rsidRPr="002B416F">
              <w:rPr>
                <w:rFonts w:ascii="Arial Narrow" w:hAnsi="Arial Narrow"/>
                <w:b/>
                <w:bCs/>
                <w:color w:val="333333"/>
                <w:sz w:val="20"/>
                <w:szCs w:val="20"/>
              </w:rPr>
              <w:t>criteria:</w:t>
            </w:r>
          </w:p>
        </w:tc>
      </w:tr>
      <w:tr w:rsidR="004C1441"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4C1441" w:rsidRPr="002B416F" w:rsidRDefault="004C1441" w:rsidP="004C1441">
            <w:pPr>
              <w:jc w:val="center"/>
              <w:rPr>
                <w:rFonts w:ascii="Arial Narrow" w:hAnsi="Arial Narrow"/>
                <w:color w:val="333333"/>
                <w:sz w:val="20"/>
                <w:szCs w:val="20"/>
              </w:rPr>
            </w:pPr>
          </w:p>
        </w:tc>
        <w:tc>
          <w:tcPr>
            <w:tcW w:w="8086" w:type="dxa"/>
            <w:gridSpan w:val="6"/>
            <w:vAlign w:val="center"/>
          </w:tcPr>
          <w:p w:rsidR="004C1441" w:rsidRPr="002B416F" w:rsidRDefault="004C1441" w:rsidP="004C1441">
            <w:pPr>
              <w:autoSpaceDE w:val="0"/>
              <w:autoSpaceDN w:val="0"/>
              <w:adjustRightInd w:val="0"/>
              <w:rPr>
                <w:rFonts w:ascii="Arial Narrow" w:hAnsi="Arial Narrow"/>
                <w:color w:val="333333"/>
                <w:sz w:val="20"/>
                <w:szCs w:val="20"/>
              </w:rPr>
            </w:pPr>
            <w:r w:rsidRPr="002B416F">
              <w:rPr>
                <w:rFonts w:ascii="Arial Narrow" w:hAnsi="Arial Narrow"/>
                <w:color w:val="333333"/>
                <w:sz w:val="20"/>
                <w:szCs w:val="20"/>
              </w:rPr>
              <w:t>Patient must be ambulatory (without assistance or support)</w:t>
            </w:r>
          </w:p>
        </w:tc>
      </w:tr>
      <w:tr w:rsidR="004C1441" w:rsidRPr="002B416F" w:rsidTr="0081170D">
        <w:tblPrEx>
          <w:tblCellMar>
            <w:top w:w="15" w:type="dxa"/>
            <w:left w:w="15" w:type="dxa"/>
            <w:bottom w:w="15" w:type="dxa"/>
            <w:right w:w="15" w:type="dxa"/>
          </w:tblCellMar>
          <w:tblLook w:val="04A0" w:firstRow="1" w:lastRow="0" w:firstColumn="1" w:lastColumn="0" w:noHBand="0" w:noVBand="1"/>
        </w:tblPrEx>
        <w:tc>
          <w:tcPr>
            <w:tcW w:w="981" w:type="dxa"/>
            <w:vAlign w:val="center"/>
          </w:tcPr>
          <w:p w:rsidR="004C1441" w:rsidRPr="002B416F" w:rsidRDefault="004C1441" w:rsidP="004C1441">
            <w:pPr>
              <w:jc w:val="center"/>
              <w:rPr>
                <w:rFonts w:ascii="Arial Narrow" w:hAnsi="Arial Narrow"/>
                <w:color w:val="333333"/>
                <w:sz w:val="20"/>
                <w:szCs w:val="20"/>
              </w:rPr>
            </w:pPr>
          </w:p>
        </w:tc>
        <w:tc>
          <w:tcPr>
            <w:tcW w:w="8086" w:type="dxa"/>
            <w:gridSpan w:val="6"/>
            <w:vAlign w:val="center"/>
            <w:hideMark/>
          </w:tcPr>
          <w:p w:rsidR="004C1441" w:rsidRPr="002B416F" w:rsidRDefault="004C1441" w:rsidP="004C1441">
            <w:pPr>
              <w:rPr>
                <w:rFonts w:ascii="Arial Narrow" w:hAnsi="Arial Narrow"/>
                <w:i/>
                <w:color w:val="333333"/>
                <w:sz w:val="20"/>
                <w:szCs w:val="20"/>
              </w:rPr>
            </w:pPr>
            <w:r w:rsidRPr="002B416F">
              <w:rPr>
                <w:rFonts w:ascii="Arial Narrow" w:hAnsi="Arial Narrow"/>
                <w:b/>
                <w:bCs/>
                <w:i/>
                <w:color w:val="333333"/>
                <w:sz w:val="20"/>
                <w:szCs w:val="20"/>
              </w:rPr>
              <w:t>Prescribing Instructions:</w:t>
            </w:r>
          </w:p>
          <w:p w:rsidR="004C1441" w:rsidRPr="002B416F" w:rsidRDefault="004C1441" w:rsidP="004C1441">
            <w:pPr>
              <w:rPr>
                <w:rFonts w:ascii="Arial Narrow" w:hAnsi="Arial Narrow"/>
                <w:i/>
                <w:color w:val="333333"/>
                <w:sz w:val="20"/>
                <w:szCs w:val="20"/>
              </w:rPr>
            </w:pPr>
            <w:r w:rsidRPr="002B416F">
              <w:rPr>
                <w:rFonts w:ascii="Arial Narrow" w:hAnsi="Arial Narrow"/>
                <w:i/>
                <w:color w:val="333333"/>
                <w:sz w:val="20"/>
                <w:szCs w:val="20"/>
              </w:rPr>
              <w:t>Where applicable, the date of the magnetic resonance imaging scan must be recorded in the patient's medical records.</w:t>
            </w:r>
          </w:p>
        </w:tc>
      </w:tr>
      <w:tr w:rsidR="0081170D" w:rsidRPr="002B416F" w:rsidTr="00D415E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81170D" w:rsidRPr="002B416F" w:rsidRDefault="0081170D" w:rsidP="00212E77">
            <w:pPr>
              <w:rPr>
                <w:rFonts w:ascii="Arial Narrow" w:hAnsi="Arial Narrow" w:cs="Arial"/>
                <w:b/>
                <w:sz w:val="20"/>
                <w:szCs w:val="20"/>
              </w:rPr>
            </w:pPr>
          </w:p>
        </w:tc>
      </w:tr>
      <w:tr w:rsidR="0081170D" w:rsidRPr="002B416F" w:rsidTr="00D415E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81170D" w:rsidRPr="002B416F" w:rsidRDefault="0081170D" w:rsidP="00212E77">
            <w:pPr>
              <w:rPr>
                <w:rFonts w:ascii="Arial Narrow" w:hAnsi="Arial Narrow" w:cs="Arial"/>
                <w:b/>
                <w:sz w:val="20"/>
                <w:szCs w:val="20"/>
              </w:rPr>
            </w:pPr>
            <w:r w:rsidRPr="002B416F">
              <w:rPr>
                <w:rFonts w:ascii="Arial Narrow" w:hAnsi="Arial Narrow" w:cs="Arial"/>
                <w:b/>
                <w:sz w:val="20"/>
                <w:szCs w:val="20"/>
              </w:rPr>
              <w:t xml:space="preserve">Restriction Summary </w:t>
            </w:r>
            <w:r w:rsidR="00D415E3" w:rsidRPr="002B416F">
              <w:rPr>
                <w:rFonts w:ascii="Arial Narrow" w:hAnsi="Arial Narrow" w:cs="Arial"/>
                <w:b/>
                <w:sz w:val="20"/>
                <w:szCs w:val="20"/>
              </w:rPr>
              <w:t>6860</w:t>
            </w:r>
            <w:r w:rsidRPr="002B416F">
              <w:rPr>
                <w:rFonts w:ascii="Arial Narrow" w:hAnsi="Arial Narrow" w:cs="Arial"/>
                <w:b/>
                <w:sz w:val="20"/>
                <w:szCs w:val="20"/>
              </w:rPr>
              <w:t xml:space="preserve"> / Treatment of Concept: </w:t>
            </w:r>
            <w:r w:rsidR="00D415E3" w:rsidRPr="002B416F">
              <w:rPr>
                <w:rFonts w:ascii="Arial Narrow" w:hAnsi="Arial Narrow" w:cs="Arial"/>
                <w:b/>
                <w:sz w:val="20"/>
                <w:szCs w:val="20"/>
              </w:rPr>
              <w:t>6860</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D414DB" w:rsidRPr="002B416F" w:rsidRDefault="00D414DB" w:rsidP="00212E77">
            <w:pPr>
              <w:rPr>
                <w:rFonts w:ascii="Arial Narrow" w:hAnsi="Arial Narrow" w:cs="Arial"/>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D414DB" w:rsidRPr="002B416F" w:rsidRDefault="00D414DB" w:rsidP="00212E77">
            <w:pPr>
              <w:rPr>
                <w:rFonts w:ascii="Arial Narrow" w:hAnsi="Arial Narrow" w:cs="Arial"/>
                <w:sz w:val="20"/>
                <w:szCs w:val="20"/>
              </w:rPr>
            </w:pPr>
            <w:r w:rsidRPr="002B416F">
              <w:rPr>
                <w:rFonts w:ascii="Arial Narrow" w:hAnsi="Arial Narrow" w:cs="Arial"/>
                <w:b/>
                <w:sz w:val="20"/>
                <w:szCs w:val="20"/>
              </w:rPr>
              <w:t xml:space="preserve">Category / Program:   </w:t>
            </w:r>
            <w:r w:rsidRPr="002B416F">
              <w:rPr>
                <w:rFonts w:ascii="Arial Narrow" w:hAnsi="Arial Narrow" w:cs="Arial"/>
                <w:sz w:val="20"/>
                <w:szCs w:val="20"/>
              </w:rPr>
              <w:t xml:space="preserve">GENERAL – General Schedule (Code GE) </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D414DB" w:rsidRPr="002B416F" w:rsidRDefault="00D414DB" w:rsidP="00212E77">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D414DB" w:rsidRPr="002B416F" w:rsidRDefault="00D414DB" w:rsidP="00212E77">
            <w:pPr>
              <w:rPr>
                <w:rFonts w:ascii="Arial Narrow" w:hAnsi="Arial Narrow" w:cs="Arial"/>
                <w:b/>
                <w:sz w:val="20"/>
                <w:szCs w:val="20"/>
              </w:rPr>
            </w:pPr>
            <w:r w:rsidRPr="002B416F">
              <w:rPr>
                <w:rFonts w:ascii="Arial Narrow" w:hAnsi="Arial Narrow" w:cs="Arial"/>
                <w:b/>
                <w:sz w:val="20"/>
                <w:szCs w:val="20"/>
              </w:rPr>
              <w:t xml:space="preserve">Prescriber type:   </w:t>
            </w:r>
            <w:r w:rsidRPr="002B416F">
              <w:rPr>
                <w:rFonts w:ascii="Arial Narrow" w:hAnsi="Arial Narrow" w:cs="Arial"/>
                <w:sz w:val="20"/>
                <w:szCs w:val="20"/>
              </w:rPr>
              <w:fldChar w:fldCharType="begin">
                <w:ffData>
                  <w:name w:val=""/>
                  <w:enabled/>
                  <w:calcOnExit w:val="0"/>
                  <w:checkBox>
                    <w:sizeAuto/>
                    <w:default w:val="1"/>
                  </w:checkBox>
                </w:ffData>
              </w:fldChar>
            </w:r>
            <w:r w:rsidRPr="002B416F">
              <w:rPr>
                <w:rFonts w:ascii="Arial Narrow" w:hAnsi="Arial Narrow" w:cs="Arial"/>
                <w:sz w:val="20"/>
                <w:szCs w:val="20"/>
              </w:rPr>
              <w:instrText xml:space="preserve"> FORMCHECKBOX </w:instrText>
            </w:r>
            <w:r w:rsidR="00EC4EC1">
              <w:rPr>
                <w:rFonts w:ascii="Arial Narrow" w:hAnsi="Arial Narrow" w:cs="Arial"/>
                <w:sz w:val="20"/>
                <w:szCs w:val="20"/>
              </w:rPr>
            </w:r>
            <w:r w:rsidR="00EC4EC1">
              <w:rPr>
                <w:rFonts w:ascii="Arial Narrow" w:hAnsi="Arial Narrow" w:cs="Arial"/>
                <w:sz w:val="20"/>
                <w:szCs w:val="20"/>
              </w:rPr>
              <w:fldChar w:fldCharType="separate"/>
            </w:r>
            <w:r w:rsidRPr="002B416F">
              <w:rPr>
                <w:rFonts w:ascii="Arial Narrow" w:hAnsi="Arial Narrow" w:cs="Arial"/>
                <w:sz w:val="20"/>
                <w:szCs w:val="20"/>
              </w:rPr>
              <w:fldChar w:fldCharType="end"/>
            </w:r>
            <w:r w:rsidRPr="002B416F">
              <w:rPr>
                <w:rFonts w:ascii="Arial Narrow" w:hAnsi="Arial Narrow" w:cs="Arial"/>
                <w:sz w:val="20"/>
                <w:szCs w:val="20"/>
              </w:rPr>
              <w:t xml:space="preserve">Medical Practitioners </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D414DB" w:rsidRPr="002B416F" w:rsidRDefault="00D414DB" w:rsidP="00212E77">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D414DB" w:rsidRPr="002B416F" w:rsidRDefault="00D414DB" w:rsidP="00D414DB">
            <w:pPr>
              <w:rPr>
                <w:rFonts w:ascii="Arial Narrow" w:hAnsi="Arial Narrow" w:cs="Arial"/>
                <w:b/>
                <w:sz w:val="20"/>
                <w:szCs w:val="20"/>
              </w:rPr>
            </w:pPr>
            <w:r w:rsidRPr="002B416F">
              <w:rPr>
                <w:rFonts w:ascii="Arial Narrow" w:hAnsi="Arial Narrow" w:cs="Arial"/>
                <w:b/>
                <w:sz w:val="20"/>
                <w:szCs w:val="20"/>
              </w:rPr>
              <w:t xml:space="preserve">Restriction </w:t>
            </w:r>
            <w:r w:rsidR="00D415E3" w:rsidRPr="002B416F">
              <w:rPr>
                <w:rFonts w:ascii="Arial Narrow" w:hAnsi="Arial Narrow" w:cs="Arial"/>
                <w:b/>
                <w:sz w:val="20"/>
                <w:szCs w:val="20"/>
              </w:rPr>
              <w:t>t</w:t>
            </w:r>
            <w:r w:rsidRPr="002B416F">
              <w:rPr>
                <w:rFonts w:ascii="Arial Narrow" w:hAnsi="Arial Narrow" w:cs="Arial"/>
                <w:b/>
                <w:sz w:val="20"/>
                <w:szCs w:val="20"/>
              </w:rPr>
              <w:t>yp</w:t>
            </w:r>
            <w:r w:rsidR="00D415E3" w:rsidRPr="002B416F">
              <w:rPr>
                <w:rFonts w:ascii="Arial Narrow" w:hAnsi="Arial Narrow" w:cs="Arial"/>
                <w:b/>
                <w:sz w:val="20"/>
                <w:szCs w:val="20"/>
              </w:rPr>
              <w:t>e</w:t>
            </w:r>
            <w:r w:rsidRPr="002B416F">
              <w:rPr>
                <w:rFonts w:ascii="Arial Narrow" w:hAnsi="Arial Narrow" w:cs="Arial"/>
                <w:b/>
                <w:sz w:val="20"/>
                <w:szCs w:val="20"/>
              </w:rPr>
              <w:t>:</w:t>
            </w:r>
            <w:r w:rsidR="00D415E3" w:rsidRPr="002B416F">
              <w:rPr>
                <w:rFonts w:ascii="Arial Narrow" w:hAnsi="Arial Narrow" w:cs="Arial"/>
                <w:b/>
                <w:sz w:val="20"/>
                <w:szCs w:val="20"/>
              </w:rPr>
              <w:t xml:space="preserve"> </w:t>
            </w:r>
            <w:r w:rsidRPr="002B416F">
              <w:rPr>
                <w:rFonts w:ascii="Arial Narrow" w:eastAsia="Calibri" w:hAnsi="Arial Narrow" w:cs="Arial"/>
                <w:sz w:val="20"/>
                <w:szCs w:val="20"/>
              </w:rPr>
              <w:fldChar w:fldCharType="begin">
                <w:ffData>
                  <w:name w:val=""/>
                  <w:enabled/>
                  <w:calcOnExit w:val="0"/>
                  <w:checkBox>
                    <w:sizeAuto/>
                    <w:default w:val="1"/>
                  </w:checkBox>
                </w:ffData>
              </w:fldChar>
            </w:r>
            <w:r w:rsidRPr="002B416F">
              <w:rPr>
                <w:rFonts w:ascii="Arial Narrow" w:eastAsia="Calibri" w:hAnsi="Arial Narrow" w:cs="Arial"/>
                <w:sz w:val="20"/>
                <w:szCs w:val="20"/>
              </w:rPr>
              <w:instrText xml:space="preserve"> FORMCHECKBOX </w:instrText>
            </w:r>
            <w:r w:rsidR="00EC4EC1">
              <w:rPr>
                <w:rFonts w:ascii="Arial Narrow" w:eastAsia="Calibri" w:hAnsi="Arial Narrow" w:cs="Arial"/>
                <w:sz w:val="20"/>
                <w:szCs w:val="20"/>
              </w:rPr>
            </w:r>
            <w:r w:rsidR="00EC4EC1">
              <w:rPr>
                <w:rFonts w:ascii="Arial Narrow" w:eastAsia="Calibri" w:hAnsi="Arial Narrow" w:cs="Arial"/>
                <w:sz w:val="20"/>
                <w:szCs w:val="20"/>
              </w:rPr>
              <w:fldChar w:fldCharType="separate"/>
            </w:r>
            <w:r w:rsidRPr="002B416F">
              <w:rPr>
                <w:rFonts w:ascii="Arial Narrow" w:eastAsia="Calibri" w:hAnsi="Arial Narrow" w:cs="Arial"/>
                <w:sz w:val="20"/>
                <w:szCs w:val="20"/>
              </w:rPr>
              <w:fldChar w:fldCharType="end"/>
            </w:r>
            <w:r w:rsidR="00D415E3" w:rsidRPr="002B416F">
              <w:rPr>
                <w:rFonts w:ascii="Arial Narrow" w:eastAsia="Calibri" w:hAnsi="Arial Narrow" w:cs="Arial"/>
                <w:sz w:val="20"/>
                <w:szCs w:val="20"/>
              </w:rPr>
              <w:t xml:space="preserve"> </w:t>
            </w:r>
            <w:r w:rsidRPr="002B416F">
              <w:rPr>
                <w:rFonts w:ascii="Arial Narrow" w:eastAsia="Calibri" w:hAnsi="Arial Narrow" w:cs="Arial"/>
                <w:sz w:val="20"/>
                <w:szCs w:val="20"/>
              </w:rPr>
              <w:t xml:space="preserve">Authority Required – Streamlined [6860] </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tcPr>
          <w:p w:rsidR="00D414DB" w:rsidRPr="002B416F" w:rsidRDefault="00D414DB" w:rsidP="00212E77">
            <w:pPr>
              <w:rPr>
                <w:rFonts w:ascii="Arial Narrow" w:hAnsi="Arial Narrow"/>
                <w:i/>
                <w:color w:val="333333"/>
                <w:sz w:val="20"/>
                <w:szCs w:val="20"/>
              </w:rPr>
            </w:pPr>
            <w:r w:rsidRPr="002B416F">
              <w:rPr>
                <w:rFonts w:ascii="Arial Narrow" w:hAnsi="Arial Narrow"/>
                <w:b/>
                <w:bCs/>
                <w:i/>
                <w:color w:val="333333"/>
                <w:sz w:val="20"/>
                <w:szCs w:val="20"/>
              </w:rPr>
              <w:t>Administrative Advice:</w:t>
            </w:r>
            <w:r w:rsidR="00D415E3" w:rsidRPr="002B416F">
              <w:rPr>
                <w:rFonts w:ascii="Arial Narrow" w:hAnsi="Arial Narrow"/>
                <w:i/>
                <w:color w:val="333333"/>
                <w:sz w:val="20"/>
                <w:szCs w:val="20"/>
              </w:rPr>
              <w:t xml:space="preserve"> </w:t>
            </w:r>
            <w:r w:rsidRPr="002B416F">
              <w:rPr>
                <w:rFonts w:ascii="Arial Narrow" w:hAnsi="Arial Narrow"/>
                <w:i/>
                <w:color w:val="333333"/>
                <w:sz w:val="20"/>
                <w:szCs w:val="20"/>
              </w:rPr>
              <w:t>No increase in the maximum quantity or number of units may be authorised.</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tcPr>
          <w:p w:rsidR="00D414DB" w:rsidRPr="002B416F" w:rsidRDefault="00D414DB" w:rsidP="00212E77">
            <w:pPr>
              <w:rPr>
                <w:rFonts w:ascii="Arial Narrow" w:hAnsi="Arial Narrow" w:cs="Arial"/>
                <w:i/>
                <w:color w:val="222222"/>
                <w:sz w:val="20"/>
                <w:szCs w:val="20"/>
                <w:shd w:val="clear" w:color="auto" w:fill="EEEEEE"/>
              </w:rPr>
            </w:pPr>
            <w:r w:rsidRPr="002B416F">
              <w:rPr>
                <w:rFonts w:ascii="Arial Narrow" w:hAnsi="Arial Narrow"/>
                <w:b/>
                <w:bCs/>
                <w:i/>
                <w:color w:val="333333"/>
                <w:sz w:val="20"/>
                <w:szCs w:val="20"/>
              </w:rPr>
              <w:t>Administrative Advice:</w:t>
            </w:r>
            <w:r w:rsidR="00D415E3" w:rsidRPr="002B416F">
              <w:rPr>
                <w:rFonts w:ascii="Arial Narrow" w:hAnsi="Arial Narrow" w:cs="Arial"/>
                <w:i/>
                <w:color w:val="222222"/>
                <w:sz w:val="20"/>
                <w:szCs w:val="20"/>
                <w:shd w:val="clear" w:color="auto" w:fill="EEEEEE"/>
              </w:rPr>
              <w:t xml:space="preserve"> </w:t>
            </w:r>
            <w:r w:rsidRPr="002B416F">
              <w:rPr>
                <w:rFonts w:ascii="Arial Narrow" w:hAnsi="Arial Narrow"/>
                <w:i/>
                <w:color w:val="333333"/>
                <w:sz w:val="20"/>
                <w:szCs w:val="20"/>
              </w:rPr>
              <w:t>No increase in the maximum number of repeats may be authorised.</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hideMark/>
          </w:tcPr>
          <w:p w:rsidR="00D414DB" w:rsidRPr="002B416F" w:rsidRDefault="00D414DB" w:rsidP="00212E77">
            <w:pPr>
              <w:rPr>
                <w:rFonts w:ascii="Arial Narrow" w:hAnsi="Arial Narrow"/>
                <w:color w:val="333333"/>
                <w:sz w:val="20"/>
                <w:szCs w:val="20"/>
              </w:rPr>
            </w:pPr>
            <w:r w:rsidRPr="002B416F">
              <w:rPr>
                <w:rFonts w:ascii="Arial Narrow" w:hAnsi="Arial Narrow"/>
                <w:b/>
                <w:bCs/>
                <w:color w:val="333333"/>
                <w:sz w:val="20"/>
                <w:szCs w:val="20"/>
              </w:rPr>
              <w:t>Indication:</w:t>
            </w:r>
            <w:r w:rsidRPr="002B416F">
              <w:rPr>
                <w:rFonts w:ascii="Arial Narrow" w:hAnsi="Arial Narrow"/>
                <w:color w:val="333333"/>
                <w:sz w:val="20"/>
                <w:szCs w:val="20"/>
              </w:rPr>
              <w:t xml:space="preserve"> </w:t>
            </w:r>
            <w:r w:rsidRPr="002B416F">
              <w:rPr>
                <w:rFonts w:ascii="Arial Narrow" w:hAnsi="Arial Narrow"/>
                <w:bCs/>
                <w:color w:val="333333"/>
                <w:sz w:val="20"/>
                <w:szCs w:val="20"/>
              </w:rPr>
              <w:t>Multiple Sclerosis</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hideMark/>
          </w:tcPr>
          <w:p w:rsidR="00D414DB" w:rsidRPr="002B416F" w:rsidRDefault="00D414DB" w:rsidP="00D414DB">
            <w:pPr>
              <w:rPr>
                <w:rFonts w:ascii="Arial Narrow" w:hAnsi="Arial Narrow"/>
                <w:i/>
                <w:color w:val="333333"/>
                <w:sz w:val="20"/>
                <w:szCs w:val="20"/>
              </w:rPr>
            </w:pPr>
            <w:r w:rsidRPr="002B416F">
              <w:rPr>
                <w:rFonts w:ascii="Arial Narrow" w:hAnsi="Arial Narrow"/>
                <w:b/>
                <w:bCs/>
                <w:color w:val="333333"/>
                <w:sz w:val="20"/>
                <w:szCs w:val="20"/>
              </w:rPr>
              <w:t>Treatment Phase:</w:t>
            </w:r>
            <w:r w:rsidRPr="002B416F">
              <w:rPr>
                <w:rFonts w:ascii="Arial Narrow" w:hAnsi="Arial Narrow"/>
                <w:color w:val="333333"/>
                <w:sz w:val="20"/>
                <w:szCs w:val="20"/>
              </w:rPr>
              <w:t xml:space="preserve"> Continuing </w:t>
            </w:r>
            <w:r w:rsidRPr="002B416F">
              <w:rPr>
                <w:rFonts w:ascii="Arial Narrow" w:hAnsi="Arial Narrow"/>
                <w:i/>
                <w:color w:val="333333"/>
                <w:sz w:val="20"/>
                <w:szCs w:val="20"/>
              </w:rPr>
              <w:t>treatment</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hideMark/>
          </w:tcPr>
          <w:p w:rsidR="00D414DB" w:rsidRPr="002B416F" w:rsidRDefault="00D414DB" w:rsidP="00212E77">
            <w:pPr>
              <w:rPr>
                <w:rFonts w:ascii="Arial Narrow" w:hAnsi="Arial Narrow"/>
                <w:color w:val="333333"/>
                <w:sz w:val="20"/>
                <w:szCs w:val="20"/>
              </w:rPr>
            </w:pPr>
            <w:r w:rsidRPr="002B416F">
              <w:rPr>
                <w:rFonts w:ascii="Arial Narrow" w:hAnsi="Arial Narrow"/>
                <w:b/>
                <w:bCs/>
                <w:color w:val="333333"/>
                <w:sz w:val="20"/>
                <w:szCs w:val="20"/>
              </w:rPr>
              <w:t>Clinical criteria:</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hideMark/>
          </w:tcPr>
          <w:p w:rsidR="00D414DB" w:rsidRPr="002B416F" w:rsidRDefault="00D414DB" w:rsidP="00212E77">
            <w:pPr>
              <w:jc w:val="left"/>
              <w:rPr>
                <w:rFonts w:ascii="Arial Narrow" w:hAnsi="Arial Narrow"/>
                <w:color w:val="333333"/>
                <w:sz w:val="20"/>
                <w:szCs w:val="20"/>
              </w:rPr>
            </w:pPr>
            <w:r w:rsidRPr="002B416F">
              <w:rPr>
                <w:rFonts w:ascii="Arial Narrow" w:hAnsi="Arial Narrow"/>
                <w:color w:val="333333"/>
                <w:sz w:val="20"/>
                <w:szCs w:val="20"/>
              </w:rPr>
              <w:t>The condition must be diagnosed as clinically definite relapsing-remitting multiple sclerosis</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hideMark/>
          </w:tcPr>
          <w:p w:rsidR="00D414DB" w:rsidRPr="002B416F" w:rsidRDefault="00D414DB" w:rsidP="00212E77">
            <w:pPr>
              <w:rPr>
                <w:rFonts w:ascii="Arial Narrow" w:hAnsi="Arial Narrow"/>
                <w:color w:val="333333"/>
                <w:sz w:val="20"/>
                <w:szCs w:val="20"/>
              </w:rPr>
            </w:pPr>
            <w:r w:rsidRPr="002B416F">
              <w:rPr>
                <w:rFonts w:ascii="Arial Narrow" w:hAnsi="Arial Narrow"/>
                <w:b/>
                <w:bCs/>
                <w:color w:val="333333"/>
                <w:sz w:val="20"/>
                <w:szCs w:val="20"/>
              </w:rPr>
              <w:t>AND</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hideMark/>
          </w:tcPr>
          <w:p w:rsidR="00D414DB" w:rsidRPr="002B416F" w:rsidRDefault="00D415E3" w:rsidP="00212E77">
            <w:pPr>
              <w:rPr>
                <w:rFonts w:ascii="Arial Narrow" w:hAnsi="Arial Narrow"/>
                <w:color w:val="333333"/>
                <w:sz w:val="20"/>
                <w:szCs w:val="20"/>
              </w:rPr>
            </w:pPr>
            <w:r w:rsidRPr="002B416F">
              <w:rPr>
                <w:rFonts w:ascii="Arial Narrow" w:hAnsi="Arial Narrow"/>
                <w:b/>
                <w:bCs/>
                <w:color w:val="333333"/>
                <w:sz w:val="20"/>
                <w:szCs w:val="20"/>
              </w:rPr>
              <w:t xml:space="preserve">Clinical </w:t>
            </w:r>
            <w:r w:rsidR="00D414DB" w:rsidRPr="002B416F">
              <w:rPr>
                <w:rFonts w:ascii="Arial Narrow" w:hAnsi="Arial Narrow"/>
                <w:b/>
                <w:bCs/>
                <w:color w:val="333333"/>
                <w:sz w:val="20"/>
                <w:szCs w:val="20"/>
              </w:rPr>
              <w:t>criteria:</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212E77">
            <w:pPr>
              <w:jc w:val="center"/>
              <w:rPr>
                <w:rFonts w:ascii="Arial Narrow" w:hAnsi="Arial Narrow"/>
                <w:color w:val="333333"/>
                <w:sz w:val="20"/>
                <w:szCs w:val="20"/>
              </w:rPr>
            </w:pPr>
          </w:p>
        </w:tc>
        <w:tc>
          <w:tcPr>
            <w:tcW w:w="8086" w:type="dxa"/>
            <w:gridSpan w:val="6"/>
            <w:vAlign w:val="center"/>
            <w:hideMark/>
          </w:tcPr>
          <w:p w:rsidR="00D414DB" w:rsidRPr="002B416F" w:rsidRDefault="00D414DB" w:rsidP="00D414DB">
            <w:pPr>
              <w:jc w:val="left"/>
              <w:rPr>
                <w:rFonts w:ascii="Arial Narrow" w:hAnsi="Arial Narrow" w:cs="Arial Narrow"/>
                <w:i/>
                <w:iCs/>
                <w:sz w:val="20"/>
                <w:szCs w:val="20"/>
              </w:rPr>
            </w:pPr>
            <w:r w:rsidRPr="002B416F">
              <w:rPr>
                <w:rFonts w:ascii="Arial Narrow" w:hAnsi="Arial Narrow"/>
                <w:color w:val="333333"/>
                <w:sz w:val="20"/>
                <w:szCs w:val="20"/>
              </w:rPr>
              <w:t>Patient must have previously received PBS-subsidised treatment with this drug for this condition</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D414DB">
            <w:pPr>
              <w:jc w:val="center"/>
              <w:rPr>
                <w:rFonts w:ascii="Arial Narrow" w:hAnsi="Arial Narrow"/>
                <w:color w:val="333333"/>
                <w:sz w:val="20"/>
                <w:szCs w:val="20"/>
              </w:rPr>
            </w:pPr>
          </w:p>
        </w:tc>
        <w:tc>
          <w:tcPr>
            <w:tcW w:w="8086" w:type="dxa"/>
            <w:gridSpan w:val="6"/>
            <w:vAlign w:val="center"/>
          </w:tcPr>
          <w:p w:rsidR="00D414DB" w:rsidRPr="002B416F" w:rsidRDefault="00D414DB" w:rsidP="00D414DB">
            <w:pPr>
              <w:autoSpaceDE w:val="0"/>
              <w:autoSpaceDN w:val="0"/>
              <w:adjustRightInd w:val="0"/>
              <w:rPr>
                <w:rFonts w:ascii="Arial Narrow" w:hAnsi="Arial Narrow" w:cs="Arial"/>
                <w:sz w:val="20"/>
                <w:szCs w:val="20"/>
              </w:rPr>
            </w:pPr>
            <w:r w:rsidRPr="002B416F">
              <w:rPr>
                <w:rFonts w:ascii="Arial Narrow" w:hAnsi="Arial Narrow"/>
                <w:b/>
                <w:bCs/>
                <w:color w:val="333333"/>
                <w:sz w:val="20"/>
                <w:szCs w:val="20"/>
              </w:rPr>
              <w:t>AND</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D414DB">
            <w:pPr>
              <w:jc w:val="center"/>
              <w:rPr>
                <w:rFonts w:ascii="Arial Narrow" w:hAnsi="Arial Narrow"/>
                <w:color w:val="333333"/>
                <w:sz w:val="20"/>
                <w:szCs w:val="20"/>
              </w:rPr>
            </w:pPr>
          </w:p>
        </w:tc>
        <w:tc>
          <w:tcPr>
            <w:tcW w:w="8086" w:type="dxa"/>
            <w:gridSpan w:val="6"/>
            <w:vAlign w:val="center"/>
          </w:tcPr>
          <w:p w:rsidR="00D414DB" w:rsidRPr="002B416F" w:rsidRDefault="00D415E3" w:rsidP="00D414DB">
            <w:pPr>
              <w:autoSpaceDE w:val="0"/>
              <w:autoSpaceDN w:val="0"/>
              <w:adjustRightInd w:val="0"/>
              <w:rPr>
                <w:rFonts w:ascii="Arial Narrow" w:hAnsi="Arial Narrow" w:cs="Arial"/>
                <w:sz w:val="20"/>
                <w:szCs w:val="20"/>
              </w:rPr>
            </w:pPr>
            <w:r w:rsidRPr="002B416F">
              <w:rPr>
                <w:rFonts w:ascii="Arial Narrow" w:hAnsi="Arial Narrow"/>
                <w:b/>
                <w:bCs/>
                <w:color w:val="333333"/>
                <w:sz w:val="20"/>
                <w:szCs w:val="20"/>
              </w:rPr>
              <w:t xml:space="preserve">Clinical </w:t>
            </w:r>
            <w:r w:rsidR="00D414DB" w:rsidRPr="002B416F">
              <w:rPr>
                <w:rFonts w:ascii="Arial Narrow" w:hAnsi="Arial Narrow"/>
                <w:b/>
                <w:bCs/>
                <w:color w:val="333333"/>
                <w:sz w:val="20"/>
                <w:szCs w:val="20"/>
              </w:rPr>
              <w:t>criteria:</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D414DB">
            <w:pPr>
              <w:jc w:val="center"/>
              <w:rPr>
                <w:rFonts w:ascii="Arial Narrow" w:hAnsi="Arial Narrow"/>
                <w:color w:val="333333"/>
                <w:sz w:val="20"/>
                <w:szCs w:val="20"/>
              </w:rPr>
            </w:pPr>
          </w:p>
        </w:tc>
        <w:tc>
          <w:tcPr>
            <w:tcW w:w="8086" w:type="dxa"/>
            <w:gridSpan w:val="6"/>
            <w:vAlign w:val="center"/>
          </w:tcPr>
          <w:p w:rsidR="00D414DB" w:rsidRPr="002B416F" w:rsidRDefault="00D414DB" w:rsidP="00D414DB">
            <w:pPr>
              <w:jc w:val="left"/>
              <w:rPr>
                <w:rFonts w:ascii="Arial Narrow" w:hAnsi="Arial Narrow" w:cs="Arial"/>
                <w:sz w:val="20"/>
                <w:szCs w:val="20"/>
              </w:rPr>
            </w:pPr>
            <w:r w:rsidRPr="002B416F">
              <w:rPr>
                <w:rFonts w:ascii="Arial Narrow" w:hAnsi="Arial Narrow"/>
                <w:color w:val="333333"/>
                <w:sz w:val="20"/>
                <w:szCs w:val="20"/>
              </w:rPr>
              <w:t>Patient must not show continuing progression of disability while on treatment with this drug</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D414DB">
            <w:pPr>
              <w:jc w:val="center"/>
              <w:rPr>
                <w:rFonts w:ascii="Arial Narrow" w:hAnsi="Arial Narrow"/>
                <w:color w:val="333333"/>
                <w:sz w:val="20"/>
                <w:szCs w:val="20"/>
              </w:rPr>
            </w:pPr>
          </w:p>
        </w:tc>
        <w:tc>
          <w:tcPr>
            <w:tcW w:w="8086" w:type="dxa"/>
            <w:gridSpan w:val="6"/>
            <w:vAlign w:val="center"/>
          </w:tcPr>
          <w:p w:rsidR="00D414DB" w:rsidRPr="002B416F" w:rsidRDefault="00D414DB" w:rsidP="00D414DB">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AND</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D414DB">
            <w:pPr>
              <w:jc w:val="center"/>
              <w:rPr>
                <w:rFonts w:ascii="Arial Narrow" w:hAnsi="Arial Narrow"/>
                <w:color w:val="333333"/>
                <w:sz w:val="20"/>
                <w:szCs w:val="20"/>
              </w:rPr>
            </w:pPr>
          </w:p>
        </w:tc>
        <w:tc>
          <w:tcPr>
            <w:tcW w:w="8086" w:type="dxa"/>
            <w:gridSpan w:val="6"/>
            <w:vAlign w:val="center"/>
          </w:tcPr>
          <w:p w:rsidR="00D414DB" w:rsidRPr="002B416F" w:rsidRDefault="00D415E3" w:rsidP="00D414DB">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 xml:space="preserve"> Clinical</w:t>
            </w:r>
            <w:r w:rsidR="00FA29ED" w:rsidRPr="002B416F">
              <w:rPr>
                <w:rFonts w:ascii="Arial Narrow" w:hAnsi="Arial Narrow"/>
                <w:b/>
                <w:bCs/>
                <w:color w:val="333333"/>
                <w:sz w:val="20"/>
                <w:szCs w:val="20"/>
              </w:rPr>
              <w:t xml:space="preserve"> </w:t>
            </w:r>
            <w:r w:rsidR="00D414DB" w:rsidRPr="002B416F">
              <w:rPr>
                <w:rFonts w:ascii="Arial Narrow" w:hAnsi="Arial Narrow"/>
                <w:b/>
                <w:bCs/>
                <w:color w:val="333333"/>
                <w:sz w:val="20"/>
                <w:szCs w:val="20"/>
              </w:rPr>
              <w:t>criteria:</w:t>
            </w:r>
          </w:p>
        </w:tc>
      </w:tr>
      <w:tr w:rsidR="00D414DB" w:rsidRPr="002B416F" w:rsidTr="00D415E3">
        <w:tblPrEx>
          <w:tblCellMar>
            <w:top w:w="15" w:type="dxa"/>
            <w:left w:w="15" w:type="dxa"/>
            <w:bottom w:w="15" w:type="dxa"/>
            <w:right w:w="15" w:type="dxa"/>
          </w:tblCellMar>
          <w:tblLook w:val="04A0" w:firstRow="1" w:lastRow="0" w:firstColumn="1" w:lastColumn="0" w:noHBand="0" w:noVBand="1"/>
        </w:tblPrEx>
        <w:tc>
          <w:tcPr>
            <w:tcW w:w="981" w:type="dxa"/>
            <w:vAlign w:val="center"/>
          </w:tcPr>
          <w:p w:rsidR="00D414DB" w:rsidRPr="002B416F" w:rsidRDefault="00D414DB" w:rsidP="00D414DB">
            <w:pPr>
              <w:jc w:val="center"/>
              <w:rPr>
                <w:rFonts w:ascii="Arial Narrow" w:hAnsi="Arial Narrow"/>
                <w:color w:val="333333"/>
                <w:sz w:val="20"/>
                <w:szCs w:val="20"/>
              </w:rPr>
            </w:pPr>
          </w:p>
        </w:tc>
        <w:tc>
          <w:tcPr>
            <w:tcW w:w="8086" w:type="dxa"/>
            <w:gridSpan w:val="6"/>
            <w:vAlign w:val="center"/>
          </w:tcPr>
          <w:p w:rsidR="00D414DB" w:rsidRPr="002B416F" w:rsidRDefault="00D414DB" w:rsidP="00D414DB">
            <w:pPr>
              <w:jc w:val="left"/>
              <w:rPr>
                <w:rFonts w:ascii="Arial Narrow" w:hAnsi="Arial Narrow"/>
                <w:color w:val="333333"/>
                <w:sz w:val="20"/>
                <w:szCs w:val="20"/>
              </w:rPr>
            </w:pPr>
            <w:r w:rsidRPr="002B416F">
              <w:rPr>
                <w:rFonts w:ascii="Arial Narrow" w:hAnsi="Arial Narrow"/>
                <w:color w:val="333333"/>
                <w:sz w:val="20"/>
                <w:szCs w:val="20"/>
              </w:rPr>
              <w:t>Patient must have demonstrated compliance with, and an ability to tolerate this therapy</w:t>
            </w:r>
          </w:p>
        </w:tc>
      </w:tr>
    </w:tbl>
    <w:p w:rsidR="00D414DB" w:rsidRPr="009E337F" w:rsidRDefault="00D414DB" w:rsidP="007743DD">
      <w:pPr>
        <w:rPr>
          <w:b/>
          <w:u w:val="single"/>
        </w:rPr>
      </w:pPr>
    </w:p>
    <w:p w:rsidR="00CE169E" w:rsidRPr="009E337F" w:rsidRDefault="00CE169E" w:rsidP="00CE169E">
      <w:pPr>
        <w:pStyle w:val="ListBullet"/>
        <w:numPr>
          <w:ilvl w:val="0"/>
          <w:numId w:val="0"/>
        </w:numPr>
        <w:ind w:left="1080" w:hanging="360"/>
      </w:pPr>
      <w:r w:rsidRPr="009E337F">
        <w:rPr>
          <w:rFonts w:asciiTheme="minorHAnsi" w:hAnsiTheme="minorHAnsi"/>
          <w:i/>
        </w:rPr>
        <w:t xml:space="preserve">For more detail on PBAC’s view, see section </w:t>
      </w:r>
      <w:r w:rsidRPr="009E337F">
        <w:rPr>
          <w:i/>
        </w:rPr>
        <w:t>6</w:t>
      </w:r>
      <w:r w:rsidRPr="009E337F">
        <w:rPr>
          <w:rFonts w:asciiTheme="minorHAnsi" w:hAnsiTheme="minorHAnsi"/>
          <w:i/>
        </w:rPr>
        <w:t xml:space="preserve"> PBAC outcome.</w:t>
      </w:r>
    </w:p>
    <w:p w:rsidR="005A3173" w:rsidRPr="009E337F" w:rsidRDefault="005A3173" w:rsidP="00917D69">
      <w:pPr>
        <w:pStyle w:val="2-SectionHeading"/>
        <w:rPr>
          <w:color w:val="FF0000"/>
        </w:rPr>
      </w:pPr>
      <w:r w:rsidRPr="009E337F">
        <w:t>Comparator</w:t>
      </w:r>
      <w:r w:rsidR="0099465B" w:rsidRPr="009E337F">
        <w:t xml:space="preserve"> </w:t>
      </w:r>
    </w:p>
    <w:p w:rsidR="00F05187" w:rsidRPr="009E337F" w:rsidRDefault="009670ED" w:rsidP="00150113">
      <w:pPr>
        <w:pStyle w:val="3Bodytext"/>
      </w:pPr>
      <w:r w:rsidRPr="009E337F">
        <w:t>The minor submission nominated glatiramer (Copaxone)</w:t>
      </w:r>
      <w:r w:rsidR="006F1B1E" w:rsidRPr="009E337F">
        <w:t xml:space="preserve"> 20 mg/mL</w:t>
      </w:r>
      <w:r w:rsidR="000C357E" w:rsidRPr="009E337F">
        <w:t xml:space="preserve"> (not currently PBS-listed)</w:t>
      </w:r>
      <w:r w:rsidR="006F1B1E" w:rsidRPr="009E337F">
        <w:t xml:space="preserve"> and 40 mg/mL injections</w:t>
      </w:r>
      <w:r w:rsidRPr="009E337F">
        <w:t xml:space="preserve"> as the main comparator</w:t>
      </w:r>
      <w:r w:rsidR="006F1B1E" w:rsidRPr="009E337F">
        <w:t>s</w:t>
      </w:r>
      <w:r w:rsidRPr="009E337F">
        <w:t xml:space="preserve">. </w:t>
      </w:r>
    </w:p>
    <w:p w:rsidR="000B558D" w:rsidRPr="009E337F" w:rsidRDefault="008D7A41" w:rsidP="005B3D39">
      <w:pPr>
        <w:pStyle w:val="Heading1"/>
        <w:keepLines/>
        <w:numPr>
          <w:ilvl w:val="0"/>
          <w:numId w:val="3"/>
        </w:numPr>
        <w:spacing w:before="240"/>
        <w:ind w:left="709" w:hanging="709"/>
        <w:rPr>
          <w:sz w:val="32"/>
          <w:szCs w:val="32"/>
        </w:rPr>
      </w:pPr>
      <w:r w:rsidRPr="009E337F">
        <w:rPr>
          <w:sz w:val="32"/>
          <w:szCs w:val="32"/>
        </w:rPr>
        <w:t>C</w:t>
      </w:r>
      <w:r w:rsidR="00D84934" w:rsidRPr="009E337F">
        <w:rPr>
          <w:sz w:val="32"/>
          <w:szCs w:val="32"/>
        </w:rPr>
        <w:t>onsideration of the evidence</w:t>
      </w:r>
    </w:p>
    <w:p w:rsidR="001B7962" w:rsidRPr="009E337F" w:rsidRDefault="001B7962" w:rsidP="001B7962">
      <w:pPr>
        <w:pStyle w:val="4-SubsectionHeading"/>
        <w:rPr>
          <w:snapToGrid w:val="0"/>
        </w:rPr>
      </w:pPr>
      <w:r w:rsidRPr="009E337F">
        <w:rPr>
          <w:snapToGrid w:val="0"/>
        </w:rPr>
        <w:t>Sponsor hearing</w:t>
      </w:r>
    </w:p>
    <w:p w:rsidR="001B7962" w:rsidRPr="009E337F" w:rsidRDefault="001B7962" w:rsidP="00B11897">
      <w:pPr>
        <w:pStyle w:val="3Bodytext"/>
        <w:rPr>
          <w:snapToGrid w:val="0"/>
        </w:rPr>
      </w:pPr>
      <w:r w:rsidRPr="009E337F">
        <w:t>There</w:t>
      </w:r>
      <w:r w:rsidRPr="009E337F">
        <w:rPr>
          <w:snapToGrid w:val="0"/>
        </w:rPr>
        <w:t xml:space="preserve"> was no hearing for this item as it was a minor submission.</w:t>
      </w:r>
    </w:p>
    <w:p w:rsidR="001B7962" w:rsidRPr="009E337F" w:rsidRDefault="001B7962" w:rsidP="001B7962">
      <w:pPr>
        <w:pStyle w:val="4-SubsectionHeading"/>
        <w:rPr>
          <w:snapToGrid w:val="0"/>
        </w:rPr>
      </w:pPr>
      <w:r w:rsidRPr="009E337F">
        <w:rPr>
          <w:snapToGrid w:val="0"/>
        </w:rPr>
        <w:t>Consumer comments</w:t>
      </w:r>
    </w:p>
    <w:p w:rsidR="001B7962" w:rsidRPr="009E337F" w:rsidRDefault="001B7962" w:rsidP="00B11897">
      <w:pPr>
        <w:pStyle w:val="3Bodytext"/>
        <w:rPr>
          <w:lang w:eastAsia="en-US"/>
        </w:rPr>
      </w:pPr>
      <w:r w:rsidRPr="009E337F">
        <w:rPr>
          <w:snapToGrid w:val="0"/>
        </w:rPr>
        <w:t>The PBAC noted that no consumer comments were received for this item.</w:t>
      </w:r>
    </w:p>
    <w:p w:rsidR="00D84934" w:rsidRPr="009E337F" w:rsidRDefault="00D84934" w:rsidP="00F37ECA">
      <w:pPr>
        <w:pStyle w:val="4-SubsectionHeading"/>
        <w:keepNext w:val="0"/>
        <w:rPr>
          <w:lang w:eastAsia="en-US"/>
        </w:rPr>
      </w:pPr>
      <w:r w:rsidRPr="009E337F">
        <w:rPr>
          <w:lang w:eastAsia="en-US"/>
        </w:rPr>
        <w:t>Clinical trials</w:t>
      </w:r>
      <w:r w:rsidR="0099465B" w:rsidRPr="009E337F">
        <w:rPr>
          <w:lang w:eastAsia="en-US"/>
        </w:rPr>
        <w:t xml:space="preserve"> </w:t>
      </w:r>
    </w:p>
    <w:p w:rsidR="00D13DC9" w:rsidRPr="009E337F" w:rsidRDefault="00D13DC9" w:rsidP="004F2C07">
      <w:pPr>
        <w:pStyle w:val="3Bodytext"/>
        <w:jc w:val="both"/>
      </w:pPr>
      <w:r w:rsidRPr="009E337F">
        <w:t xml:space="preserve">The minor submission presented an overview of the clinical evidence provided to the TGA to demonstrate therapeutic equivalence between Glatira and Copaxone. Details of the </w:t>
      </w:r>
      <w:r w:rsidR="00226E2B" w:rsidRPr="009E337F">
        <w:t xml:space="preserve">clinical </w:t>
      </w:r>
      <w:r w:rsidRPr="009E337F">
        <w:t xml:space="preserve">trials </w:t>
      </w:r>
      <w:r w:rsidR="00226E2B" w:rsidRPr="009E337F">
        <w:t xml:space="preserve">which formed part of </w:t>
      </w:r>
      <w:r w:rsidRPr="009E337F">
        <w:t>the TGA</w:t>
      </w:r>
      <w:r w:rsidR="00226E2B" w:rsidRPr="009E337F">
        <w:t xml:space="preserve"> submission to register Glatira</w:t>
      </w:r>
      <w:r w:rsidRPr="009E337F">
        <w:t xml:space="preserve"> are shown below.</w:t>
      </w:r>
    </w:p>
    <w:p w:rsidR="00D13DC9" w:rsidRPr="009E337F" w:rsidRDefault="00D13DC9" w:rsidP="00D13DC9">
      <w:pPr>
        <w:pStyle w:val="Tabletitles"/>
        <w:keepNext/>
        <w:keepLines/>
      </w:pPr>
      <w:r w:rsidRPr="009E337F">
        <w:t>Table</w:t>
      </w:r>
      <w:r w:rsidRPr="009E337F">
        <w:rPr>
          <w:rFonts w:eastAsiaTheme="majorEastAsia"/>
        </w:rPr>
        <w:t xml:space="preserve"> 1: </w:t>
      </w:r>
      <w:r w:rsidRPr="009E337F">
        <w:t xml:space="preserve">Trials and associated reports presented in the </w:t>
      </w:r>
      <w:r w:rsidR="00E8151E" w:rsidRPr="009E337F">
        <w:t xml:space="preserve">minor </w:t>
      </w:r>
      <w:r w:rsidRPr="009E337F">
        <w:t>submission</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5163"/>
        <w:gridCol w:w="2487"/>
      </w:tblGrid>
      <w:tr w:rsidR="00D13DC9" w:rsidRPr="009E337F" w:rsidTr="00101880">
        <w:trPr>
          <w:cantSplit/>
          <w:trHeight w:val="539"/>
          <w:tblHeader/>
        </w:trPr>
        <w:tc>
          <w:tcPr>
            <w:tcW w:w="796" w:type="pct"/>
          </w:tcPr>
          <w:p w:rsidR="00D13DC9" w:rsidRPr="009E337F" w:rsidRDefault="00D13DC9" w:rsidP="00D13DC9">
            <w:pPr>
              <w:pStyle w:val="TableText0"/>
              <w:keepLines/>
              <w:rPr>
                <w:b/>
              </w:rPr>
            </w:pPr>
            <w:r w:rsidRPr="009E337F">
              <w:rPr>
                <w:b/>
              </w:rPr>
              <w:t>Trial ID/First Author</w:t>
            </w:r>
          </w:p>
        </w:tc>
        <w:tc>
          <w:tcPr>
            <w:tcW w:w="3027" w:type="pct"/>
          </w:tcPr>
          <w:p w:rsidR="00D13DC9" w:rsidRPr="009E337F" w:rsidRDefault="00D13DC9" w:rsidP="00D13DC9">
            <w:pPr>
              <w:pStyle w:val="TableText0"/>
              <w:keepLines/>
              <w:rPr>
                <w:b/>
              </w:rPr>
            </w:pPr>
            <w:r w:rsidRPr="009E337F">
              <w:rPr>
                <w:b/>
              </w:rPr>
              <w:t>Protocol title/ Publication title</w:t>
            </w:r>
          </w:p>
        </w:tc>
        <w:tc>
          <w:tcPr>
            <w:tcW w:w="1177" w:type="pct"/>
          </w:tcPr>
          <w:p w:rsidR="00D13DC9" w:rsidRPr="009E337F" w:rsidRDefault="00D13DC9" w:rsidP="00D13DC9">
            <w:pPr>
              <w:pStyle w:val="TableText0"/>
              <w:keepLines/>
              <w:rPr>
                <w:b/>
              </w:rPr>
            </w:pPr>
            <w:r w:rsidRPr="009E337F">
              <w:rPr>
                <w:b/>
              </w:rPr>
              <w:t>Publication citation</w:t>
            </w:r>
          </w:p>
        </w:tc>
      </w:tr>
      <w:tr w:rsidR="00D13DC9" w:rsidRPr="009E337F" w:rsidTr="00101880">
        <w:trPr>
          <w:cantSplit/>
          <w:trHeight w:val="317"/>
        </w:trPr>
        <w:tc>
          <w:tcPr>
            <w:tcW w:w="5000" w:type="pct"/>
            <w:gridSpan w:val="3"/>
          </w:tcPr>
          <w:p w:rsidR="00D13DC9" w:rsidRPr="009E337F" w:rsidRDefault="00D13DC9" w:rsidP="00D13DC9">
            <w:pPr>
              <w:pStyle w:val="TableText0"/>
              <w:keepLines/>
              <w:rPr>
                <w:b/>
              </w:rPr>
            </w:pPr>
            <w:r w:rsidRPr="009E337F">
              <w:rPr>
                <w:b/>
              </w:rPr>
              <w:t>Direct randomised trial(s)</w:t>
            </w:r>
          </w:p>
        </w:tc>
      </w:tr>
      <w:tr w:rsidR="00D13DC9" w:rsidRPr="009E337F" w:rsidTr="00101880">
        <w:trPr>
          <w:cantSplit/>
          <w:trHeight w:val="317"/>
        </w:trPr>
        <w:tc>
          <w:tcPr>
            <w:tcW w:w="796" w:type="pct"/>
          </w:tcPr>
          <w:p w:rsidR="00D13DC9" w:rsidRPr="009E337F" w:rsidRDefault="00D13DC9" w:rsidP="00D13DC9">
            <w:pPr>
              <w:pStyle w:val="TableText0"/>
              <w:keepLines/>
            </w:pPr>
            <w:r w:rsidRPr="009E337F">
              <w:t>GTR001</w:t>
            </w:r>
          </w:p>
        </w:tc>
        <w:tc>
          <w:tcPr>
            <w:tcW w:w="3027" w:type="pct"/>
          </w:tcPr>
          <w:p w:rsidR="00D13DC9" w:rsidRPr="009E337F" w:rsidRDefault="00D13DC9" w:rsidP="00D13DC9">
            <w:pPr>
              <w:pStyle w:val="TableText0"/>
              <w:keepLines/>
            </w:pPr>
            <w:r w:rsidRPr="009E337F">
              <w:t xml:space="preserve">Phase 3, Multi-centre, randomized, double-blind, placebo-controlled, parallel-group, 9 month, equivalence trial comparing the efficacy and safety and tolerability of GTR (Synthon BV) to Copaxone (Teva) in subjects with relapsing-remitting multiple sclerosis followed by an open-label 15 month GTR treatment part evaluating the long-term GTR treatment effects. </w:t>
            </w:r>
          </w:p>
          <w:p w:rsidR="00226E2B" w:rsidRPr="009E337F" w:rsidRDefault="00226E2B" w:rsidP="00D13DC9">
            <w:pPr>
              <w:pStyle w:val="TableText0"/>
              <w:keepLines/>
            </w:pPr>
          </w:p>
          <w:p w:rsidR="00226E2B" w:rsidRPr="009E337F" w:rsidRDefault="00226E2B" w:rsidP="00D13DC9">
            <w:pPr>
              <w:pStyle w:val="TableText0"/>
              <w:keepLines/>
            </w:pPr>
            <w:r w:rsidRPr="009E337F">
              <w:t>The primary objective of the double-blind part of this pivotal phase III trial was to demonstrate that the efficacy of Synthon’s glatiramer acetate (GTR) is equivalent to Copaxone in subjects with RRMS, as measured by the number of gadolinium-enhancing lesions on T1-weighted magnetic resonance imaging (MRI) during Months 7 to 9.</w:t>
            </w:r>
          </w:p>
        </w:tc>
        <w:tc>
          <w:tcPr>
            <w:tcW w:w="1177" w:type="pct"/>
          </w:tcPr>
          <w:p w:rsidR="00D13DC9" w:rsidRPr="009E337F" w:rsidRDefault="00514623" w:rsidP="00D13DC9">
            <w:pPr>
              <w:pStyle w:val="TableText0"/>
              <w:keepLines/>
            </w:pPr>
            <w:r w:rsidRPr="009E337F">
              <w:t>Cohen J, Belova A, Selmaj K, Wolf C, Sormani MP, Oberyé J, van den Tweel E, Mulder R, Koper N, Voortman G, Barkhof F; Glatiramer Acetate Clinical Trial to Assess Equivalence With Copaxone (GATE) Study Group. Equivalence of Generic Glatiramer Acetate in Multiple Sclerosis: A Randomized Clinical Trial. JAMA Neurol. 2015 Dec;72(12):1433-41. doi: 10.1001/jamaneurol.2015.2154</w:t>
            </w:r>
          </w:p>
        </w:tc>
      </w:tr>
      <w:tr w:rsidR="00D13DC9" w:rsidRPr="009E337F" w:rsidTr="00101880">
        <w:trPr>
          <w:cantSplit/>
          <w:trHeight w:val="317"/>
        </w:trPr>
        <w:tc>
          <w:tcPr>
            <w:tcW w:w="796" w:type="pct"/>
          </w:tcPr>
          <w:p w:rsidR="00D13DC9" w:rsidRPr="009E337F" w:rsidRDefault="00D13DC9" w:rsidP="00101880">
            <w:pPr>
              <w:pStyle w:val="TableText0"/>
            </w:pPr>
            <w:r w:rsidRPr="009E337F">
              <w:t>GTR002</w:t>
            </w:r>
          </w:p>
        </w:tc>
        <w:tc>
          <w:tcPr>
            <w:tcW w:w="3027" w:type="pct"/>
          </w:tcPr>
          <w:p w:rsidR="00D13DC9" w:rsidRPr="009E337F" w:rsidRDefault="00D13DC9" w:rsidP="00101880">
            <w:pPr>
              <w:pStyle w:val="TableText0"/>
            </w:pPr>
            <w:r w:rsidRPr="009E337F">
              <w:t xml:space="preserve">Phase 1, single-dose, randomized, double-blinded, replicate study, comparing the occurrence of local injection site reactions (LISRs) of glatiramer acetate 20 mg subcutaneous injection (Synthon BV, The Netherlands) and Copaxone® 20 mg subcutaneous injection (Teva Pharmaceuticals, U.S.) in healthy male and female volunteers. </w:t>
            </w:r>
          </w:p>
          <w:p w:rsidR="00226E2B" w:rsidRPr="009E337F" w:rsidRDefault="00226E2B" w:rsidP="00101880">
            <w:pPr>
              <w:pStyle w:val="TableText0"/>
            </w:pPr>
          </w:p>
          <w:p w:rsidR="00226E2B" w:rsidRPr="009E337F" w:rsidRDefault="00226E2B" w:rsidP="00101880">
            <w:pPr>
              <w:pStyle w:val="TableText0"/>
            </w:pPr>
            <w:r w:rsidRPr="009E337F">
              <w:t xml:space="preserve">The objective of this study was to compare the occurrence of LISRs for subcutaneously administered Glatiramer acetate 20 mg/mL, solution for injection in pre-filled syringe (Test Drug; Synthon BV, the Netherlands) to subcutaneously administered Copaxone (Glatiramer acetate Injection 20 mg/mL, solution for injection in pre-filled syringe) (Reference Drug; Teva) during short-term exposure in healthy non-smoking (for at least 6 months prior to the study start) male and female volunteers. </w:t>
            </w:r>
          </w:p>
        </w:tc>
        <w:tc>
          <w:tcPr>
            <w:tcW w:w="1177" w:type="pct"/>
          </w:tcPr>
          <w:p w:rsidR="00D13DC9" w:rsidRPr="009E337F" w:rsidRDefault="00514623" w:rsidP="00101880">
            <w:pPr>
              <w:pStyle w:val="TableText0"/>
            </w:pPr>
            <w:r w:rsidRPr="009E337F">
              <w:t>TGA Clinical Evaluation Report</w:t>
            </w:r>
          </w:p>
        </w:tc>
      </w:tr>
    </w:tbl>
    <w:p w:rsidR="007363E3" w:rsidRPr="009E337F" w:rsidRDefault="00D13DC9" w:rsidP="003472ED">
      <w:pPr>
        <w:pStyle w:val="TableFigureFooter"/>
      </w:pPr>
      <w:r w:rsidRPr="009E337F">
        <w:t>Sourc</w:t>
      </w:r>
      <w:r w:rsidR="00804DB2" w:rsidRPr="009E337F">
        <w:t>e: TGA Clinical Evaluation Report p10 and p25</w:t>
      </w:r>
    </w:p>
    <w:p w:rsidR="0076420C" w:rsidRPr="009E337F" w:rsidRDefault="007363E3" w:rsidP="004F2C07">
      <w:pPr>
        <w:pStyle w:val="3Bodytext"/>
        <w:jc w:val="both"/>
      </w:pPr>
      <w:r w:rsidRPr="009E337F">
        <w:t>T</w:t>
      </w:r>
      <w:r w:rsidR="00E43913" w:rsidRPr="009E337F">
        <w:t xml:space="preserve">he TGA Delegate </w:t>
      </w:r>
      <w:r w:rsidR="00606201" w:rsidRPr="009E337F">
        <w:t>considered that</w:t>
      </w:r>
      <w:r w:rsidR="00E43913" w:rsidRPr="009E337F">
        <w:t xml:space="preserve"> the primary efficacy analysis indicated GTR was equivalent to Copaxone, as the 95% CI of the ratio of the number of T1-GdE lesions during Months 7 to 9 was within the predefined equivalence margins. Other MRI endpoints supported the primary efficacy outcome</w:t>
      </w:r>
      <w:r w:rsidR="00606201" w:rsidRPr="009E337F">
        <w:t xml:space="preserve"> (TGA Clinical Evaluation Report, p19).</w:t>
      </w:r>
    </w:p>
    <w:p w:rsidR="009E48A0" w:rsidRPr="009E337F" w:rsidRDefault="009E48A0" w:rsidP="004F2C07">
      <w:pPr>
        <w:pStyle w:val="3Bodytext"/>
        <w:jc w:val="both"/>
      </w:pPr>
      <w:r w:rsidRPr="009E337F">
        <w:t xml:space="preserve">The TGA Delegate (TGA Clinical Evaluation Report) noted the following: </w:t>
      </w:r>
    </w:p>
    <w:p w:rsidR="009612FC" w:rsidRPr="009E337F" w:rsidRDefault="00665402" w:rsidP="004F2C07">
      <w:pPr>
        <w:pStyle w:val="3Bodytext"/>
        <w:numPr>
          <w:ilvl w:val="0"/>
          <w:numId w:val="0"/>
        </w:numPr>
        <w:ind w:left="720"/>
        <w:jc w:val="both"/>
      </w:pPr>
      <w:r w:rsidRPr="009E337F">
        <w:t xml:space="preserve">Upon subcutaneous injection, glatiramer rapidly degrades into smaller peptide fractions and free amino acids, resulting in low or undetectable serum concentrations of the drug and its metabolites. Results of pharmacokinetic (PK) studies in healthy volunteers indicate that a substantial fraction of the glatiramer acetate dose is </w:t>
      </w:r>
      <w:r w:rsidR="007F7756" w:rsidRPr="009E337F">
        <w:t>hydrolysed</w:t>
      </w:r>
      <w:r w:rsidRPr="009E337F">
        <w:t xml:space="preserve"> locally. Considering the complexity of the immune system itself and the diversity seen in the immune system in MS patients, the clinical efficacy of glatiramer may be related to its heterogeneous character, and the drug’s multi-epitomal nature may be the source of its clinical efficacy. Consequently, there are no clear pharmacokinetic (PK) or pharmacodynamic (PD) markers to assess bioequivalence.</w:t>
      </w:r>
    </w:p>
    <w:p w:rsidR="009612FC" w:rsidRPr="009E337F" w:rsidRDefault="006A0EE8" w:rsidP="004F2C07">
      <w:pPr>
        <w:pStyle w:val="3Bodytext"/>
        <w:jc w:val="both"/>
      </w:pPr>
      <w:r w:rsidRPr="009E337F">
        <w:t xml:space="preserve">Glatiramer is extensively degraded at the site of subcutaneous injection therefore its concentration in plasma or other body fluids cannot be determined. However, </w:t>
      </w:r>
      <w:r w:rsidR="00D80663" w:rsidRPr="009E337F">
        <w:t xml:space="preserve">Glatira has the same quantitative and qualitative composition as Copaxone with regard to active substance and excipients, and it is presented in the same dosage form (TGA Clinical Evaluation Report, p9). </w:t>
      </w:r>
    </w:p>
    <w:p w:rsidR="00CE169E" w:rsidRPr="009E337F" w:rsidRDefault="00CE169E" w:rsidP="00CE169E">
      <w:pPr>
        <w:pStyle w:val="3Bodytext"/>
        <w:numPr>
          <w:ilvl w:val="0"/>
          <w:numId w:val="0"/>
        </w:numPr>
        <w:ind w:firstLine="720"/>
        <w:jc w:val="both"/>
      </w:pPr>
      <w:r w:rsidRPr="009E337F">
        <w:rPr>
          <w:i/>
        </w:rPr>
        <w:t>For more detail on PBAC’s view, see section 6 PBAC outcome.</w:t>
      </w:r>
    </w:p>
    <w:p w:rsidR="003C2FB5" w:rsidRPr="009E337F" w:rsidRDefault="005A3173" w:rsidP="00917D69">
      <w:pPr>
        <w:pStyle w:val="4-SubsectionHeading"/>
        <w:rPr>
          <w:lang w:eastAsia="en-US"/>
        </w:rPr>
      </w:pPr>
      <w:r w:rsidRPr="009E337F">
        <w:rPr>
          <w:lang w:eastAsia="en-US"/>
        </w:rPr>
        <w:t>Clinical claim</w:t>
      </w:r>
    </w:p>
    <w:p w:rsidR="00F57A6D" w:rsidRPr="009E337F" w:rsidRDefault="00FF2801" w:rsidP="004F2C07">
      <w:pPr>
        <w:pStyle w:val="3Bodytext"/>
        <w:jc w:val="both"/>
      </w:pPr>
      <w:r w:rsidRPr="009E337F">
        <w:t xml:space="preserve">The </w:t>
      </w:r>
      <w:r w:rsidR="00786AF0" w:rsidRPr="009E337F">
        <w:t xml:space="preserve">minor </w:t>
      </w:r>
      <w:r w:rsidRPr="009E337F">
        <w:t>submission claimed</w:t>
      </w:r>
      <w:r w:rsidR="00BB7EC3" w:rsidRPr="009E337F">
        <w:t xml:space="preserve"> non-inferior comparative effectiveness and non-inferior comparative safety of </w:t>
      </w:r>
      <w:r w:rsidR="007B3E88" w:rsidRPr="009E337F">
        <w:t xml:space="preserve">Glatira </w:t>
      </w:r>
      <w:r w:rsidR="00BB7EC3" w:rsidRPr="009E337F">
        <w:t xml:space="preserve">compared with </w:t>
      </w:r>
      <w:r w:rsidR="007B3E88" w:rsidRPr="009E337F">
        <w:t>Copaxone</w:t>
      </w:r>
      <w:r w:rsidR="00BB7EC3" w:rsidRPr="009E337F">
        <w:t>.</w:t>
      </w:r>
      <w:r w:rsidR="00C00DA7" w:rsidRPr="009E337F">
        <w:t xml:space="preserve"> </w:t>
      </w:r>
    </w:p>
    <w:p w:rsidR="001B7962" w:rsidRPr="009E337F" w:rsidRDefault="001B7962" w:rsidP="00B11897">
      <w:pPr>
        <w:pStyle w:val="3Bodytext"/>
      </w:pPr>
      <w:r w:rsidRPr="009E337F">
        <w:t>The PBAC considered that the claim of non-inferior comparative effectiveness</w:t>
      </w:r>
      <w:r w:rsidR="00B11897" w:rsidRPr="009E337F">
        <w:t xml:space="preserve"> and</w:t>
      </w:r>
      <w:r w:rsidRPr="009E337F">
        <w:t xml:space="preserve"> </w:t>
      </w:r>
      <w:r w:rsidR="00B11897" w:rsidRPr="009E337F">
        <w:t>non-inferior comparative safety of Glatira compared with Copaxone was</w:t>
      </w:r>
      <w:r w:rsidRPr="009E337F">
        <w:t xml:space="preserve"> adequately supported by the data.</w:t>
      </w:r>
    </w:p>
    <w:p w:rsidR="00CE169E" w:rsidRPr="009E337F" w:rsidRDefault="00CE169E" w:rsidP="00CE169E">
      <w:pPr>
        <w:pStyle w:val="3Bodytext"/>
        <w:numPr>
          <w:ilvl w:val="0"/>
          <w:numId w:val="0"/>
        </w:numPr>
        <w:ind w:left="720"/>
        <w:jc w:val="both"/>
      </w:pPr>
      <w:r w:rsidRPr="009E337F">
        <w:rPr>
          <w:i/>
        </w:rPr>
        <w:t>For more detail on PBAC’s view, see section 6 PBAC outcome.</w:t>
      </w:r>
    </w:p>
    <w:p w:rsidR="005A3173" w:rsidRPr="009E337F" w:rsidRDefault="005A3173" w:rsidP="00917D69">
      <w:pPr>
        <w:pStyle w:val="4-SubsectionHeading"/>
        <w:rPr>
          <w:lang w:eastAsia="en-US"/>
        </w:rPr>
      </w:pPr>
      <w:r w:rsidRPr="009E337F">
        <w:rPr>
          <w:lang w:eastAsia="en-US"/>
        </w:rPr>
        <w:t>Economic analysis</w:t>
      </w:r>
      <w:r w:rsidR="009803E4" w:rsidRPr="009E337F">
        <w:rPr>
          <w:lang w:eastAsia="en-US"/>
        </w:rPr>
        <w:t xml:space="preserve"> </w:t>
      </w:r>
    </w:p>
    <w:p w:rsidR="00EA177A" w:rsidRPr="009E337F" w:rsidRDefault="00EA177A" w:rsidP="004F2C07">
      <w:pPr>
        <w:pStyle w:val="3Bodytext"/>
        <w:jc w:val="both"/>
        <w:rPr>
          <w:rFonts w:cstheme="minorHAnsi"/>
          <w:szCs w:val="24"/>
        </w:rPr>
      </w:pPr>
      <w:r w:rsidRPr="009E337F">
        <w:t>As a minor submission, the economic analysis has not been independently evaluated.</w:t>
      </w:r>
    </w:p>
    <w:p w:rsidR="00DD0079" w:rsidRPr="009E337F" w:rsidRDefault="005D7FDE" w:rsidP="004F2C07">
      <w:pPr>
        <w:pStyle w:val="3Bodytext"/>
        <w:jc w:val="both"/>
        <w:rPr>
          <w:rFonts w:cstheme="minorHAnsi"/>
          <w:szCs w:val="24"/>
        </w:rPr>
      </w:pPr>
      <w:r w:rsidRPr="009E337F">
        <w:t xml:space="preserve">The minor </w:t>
      </w:r>
      <w:r w:rsidR="009803E4" w:rsidRPr="009E337F">
        <w:t>submission presented a</w:t>
      </w:r>
      <w:r w:rsidR="007B3E88" w:rsidRPr="009E337F">
        <w:t xml:space="preserve"> cost-minimisation analysis of Glatira </w:t>
      </w:r>
      <w:r w:rsidR="008A59D9" w:rsidRPr="009E337F">
        <w:t xml:space="preserve">compared with </w:t>
      </w:r>
      <w:r w:rsidR="007B3E88" w:rsidRPr="009E337F">
        <w:t>Copaxone</w:t>
      </w:r>
      <w:r w:rsidR="008A59D9" w:rsidRPr="009E337F">
        <w:t xml:space="preserve">. </w:t>
      </w:r>
      <w:r w:rsidR="00CC3B97" w:rsidRPr="009E337F">
        <w:t xml:space="preserve">The </w:t>
      </w:r>
      <w:r w:rsidR="00DD0079" w:rsidRPr="009E337F">
        <w:t xml:space="preserve">minor submission estimated the </w:t>
      </w:r>
      <w:r w:rsidR="00CC3B97" w:rsidRPr="009E337F">
        <w:t>equi-effective doses</w:t>
      </w:r>
      <w:r w:rsidR="00E54915" w:rsidRPr="009E337F">
        <w:t xml:space="preserve"> </w:t>
      </w:r>
      <w:r w:rsidR="00DD0079" w:rsidRPr="009E337F">
        <w:t>to be:</w:t>
      </w:r>
    </w:p>
    <w:p w:rsidR="00DD0079" w:rsidRPr="009E337F" w:rsidRDefault="00DD0079" w:rsidP="005B3D39">
      <w:pPr>
        <w:pStyle w:val="3Bodytext"/>
        <w:numPr>
          <w:ilvl w:val="0"/>
          <w:numId w:val="8"/>
        </w:numPr>
        <w:jc w:val="both"/>
        <w:rPr>
          <w:rFonts w:cstheme="minorHAnsi"/>
          <w:szCs w:val="24"/>
        </w:rPr>
      </w:pPr>
      <w:r w:rsidRPr="009E337F">
        <w:rPr>
          <w:rFonts w:cstheme="minorHAnsi"/>
          <w:szCs w:val="24"/>
        </w:rPr>
        <w:t>20 mg Glatira = 20 mg Copaxone</w:t>
      </w:r>
    </w:p>
    <w:p w:rsidR="00DD0079" w:rsidRPr="009E337F" w:rsidRDefault="00DD0079" w:rsidP="005B3D39">
      <w:pPr>
        <w:pStyle w:val="3Bodytext"/>
        <w:numPr>
          <w:ilvl w:val="0"/>
          <w:numId w:val="8"/>
        </w:numPr>
        <w:jc w:val="both"/>
        <w:rPr>
          <w:rFonts w:cstheme="minorHAnsi"/>
          <w:szCs w:val="24"/>
        </w:rPr>
      </w:pPr>
      <w:r w:rsidRPr="009E337F">
        <w:rPr>
          <w:rFonts w:cstheme="minorHAnsi"/>
          <w:szCs w:val="24"/>
        </w:rPr>
        <w:t xml:space="preserve">40 mg Glatira = 40 mg Copaxone </w:t>
      </w:r>
    </w:p>
    <w:p w:rsidR="000C357E" w:rsidRPr="00503DD0" w:rsidRDefault="000C357E" w:rsidP="004F2C07">
      <w:pPr>
        <w:pStyle w:val="3Bodytext"/>
        <w:jc w:val="both"/>
      </w:pPr>
      <w:r w:rsidRPr="00503DD0">
        <w:t xml:space="preserve">Although Copaxone 20 mg is no longer PBS-listed, the pricing of Glatira 20 mg in 1 mL PFS, 28, was based on the </w:t>
      </w:r>
      <w:r w:rsidR="000F596E" w:rsidRPr="00503DD0">
        <w:t xml:space="preserve">previous </w:t>
      </w:r>
      <w:r w:rsidR="00174BAF" w:rsidRPr="00503DD0">
        <w:t xml:space="preserve">PBS </w:t>
      </w:r>
      <w:r w:rsidRPr="00503DD0">
        <w:t>price of Copaxone 20 mg in 1</w:t>
      </w:r>
      <w:r w:rsidR="00025E00" w:rsidRPr="00503DD0">
        <w:t> </w:t>
      </w:r>
      <w:r w:rsidRPr="00503DD0">
        <w:t>mL PFS</w:t>
      </w:r>
      <w:r w:rsidR="00025E00" w:rsidRPr="00503DD0">
        <w:t xml:space="preserve"> (pack of</w:t>
      </w:r>
      <w:r w:rsidRPr="00503DD0">
        <w:t xml:space="preserve"> 28</w:t>
      </w:r>
      <w:r w:rsidR="00025E00" w:rsidRPr="00503DD0">
        <w:t>)</w:t>
      </w:r>
      <w:r w:rsidR="00174BAF" w:rsidRPr="00503DD0">
        <w:t xml:space="preserve">. </w:t>
      </w:r>
      <w:r w:rsidRPr="00503DD0">
        <w:t xml:space="preserve">Before </w:t>
      </w:r>
      <w:r w:rsidR="009E337F" w:rsidRPr="00503DD0">
        <w:t xml:space="preserve">the </w:t>
      </w:r>
      <w:r w:rsidRPr="00503DD0">
        <w:t xml:space="preserve">delisting of the 20 mg form, the AEMP </w:t>
      </w:r>
      <w:r w:rsidR="009E337F" w:rsidRPr="00503DD0">
        <w:t>for</w:t>
      </w:r>
      <w:r w:rsidRPr="00503DD0">
        <w:t xml:space="preserve"> the 20 mg </w:t>
      </w:r>
      <w:r w:rsidR="00025E00" w:rsidRPr="00503DD0">
        <w:t>in 1 mL PFS</w:t>
      </w:r>
      <w:r w:rsidRPr="00503DD0">
        <w:t xml:space="preserve"> </w:t>
      </w:r>
      <w:r w:rsidR="00025E00" w:rsidRPr="00503DD0">
        <w:t xml:space="preserve">(pack of </w:t>
      </w:r>
      <w:r w:rsidRPr="00503DD0">
        <w:t>28</w:t>
      </w:r>
      <w:r w:rsidR="00025E00" w:rsidRPr="00503DD0">
        <w:t>)</w:t>
      </w:r>
      <w:r w:rsidRPr="00503DD0">
        <w:t xml:space="preserve"> and 40 mg </w:t>
      </w:r>
      <w:r w:rsidR="00025E00" w:rsidRPr="00503DD0">
        <w:t>in 1 mL PFS (pack of</w:t>
      </w:r>
      <w:r w:rsidRPr="00503DD0">
        <w:t xml:space="preserve"> 12</w:t>
      </w:r>
      <w:r w:rsidR="00025E00" w:rsidRPr="00503DD0">
        <w:t>)</w:t>
      </w:r>
      <w:r w:rsidRPr="00503DD0">
        <w:t xml:space="preserve"> were the same</w:t>
      </w:r>
      <w:r w:rsidR="00174BAF" w:rsidRPr="00503DD0">
        <w:t xml:space="preserve"> ($791.54)</w:t>
      </w:r>
      <w:r w:rsidRPr="00503DD0">
        <w:t xml:space="preserve">. </w:t>
      </w:r>
    </w:p>
    <w:p w:rsidR="00E256EA" w:rsidRPr="009E337F" w:rsidRDefault="00E256EA" w:rsidP="004F2C07">
      <w:pPr>
        <w:pStyle w:val="3Bodytext"/>
        <w:jc w:val="both"/>
        <w:rPr>
          <w:rFonts w:cstheme="minorHAnsi"/>
          <w:szCs w:val="24"/>
        </w:rPr>
      </w:pPr>
      <w:r w:rsidRPr="009E337F">
        <w:rPr>
          <w:rFonts w:cstheme="minorHAnsi"/>
          <w:szCs w:val="24"/>
        </w:rPr>
        <w:t xml:space="preserve">The minor submission assumed no differences in the utilisation of other healthcare costs between Glatira and Copaxone and therefore </w:t>
      </w:r>
      <w:r w:rsidR="0076645D" w:rsidRPr="009E337F">
        <w:rPr>
          <w:rFonts w:cstheme="minorHAnsi"/>
          <w:szCs w:val="24"/>
        </w:rPr>
        <w:t>presented the cost-minimisation analysis as a comparison of drug costs only</w:t>
      </w:r>
      <w:r w:rsidR="00615BF1" w:rsidRPr="009E337F">
        <w:rPr>
          <w:rFonts w:cstheme="minorHAnsi"/>
          <w:szCs w:val="24"/>
        </w:rPr>
        <w:t xml:space="preserve"> (see </w:t>
      </w:r>
      <w:r w:rsidR="003443AD" w:rsidRPr="009E337F">
        <w:t xml:space="preserve">Table </w:t>
      </w:r>
      <w:r w:rsidR="006168FE">
        <w:rPr>
          <w:rFonts w:cstheme="minorHAnsi"/>
          <w:szCs w:val="24"/>
        </w:rPr>
        <w:t>2</w:t>
      </w:r>
      <w:r w:rsidR="00615BF1" w:rsidRPr="009E337F">
        <w:rPr>
          <w:rFonts w:cstheme="minorHAnsi"/>
          <w:szCs w:val="24"/>
        </w:rPr>
        <w:t>)</w:t>
      </w:r>
      <w:r w:rsidR="0076645D" w:rsidRPr="009E337F">
        <w:rPr>
          <w:rFonts w:cstheme="minorHAnsi"/>
          <w:szCs w:val="24"/>
        </w:rPr>
        <w:t xml:space="preserve">. </w:t>
      </w:r>
    </w:p>
    <w:p w:rsidR="003467EB" w:rsidRPr="009E337F" w:rsidRDefault="003467EB" w:rsidP="004F2C07">
      <w:pPr>
        <w:pStyle w:val="3Bodytext"/>
        <w:jc w:val="both"/>
      </w:pPr>
      <w:r w:rsidRPr="009E337F">
        <w:t>The minor submission expected the</w:t>
      </w:r>
      <w:r w:rsidR="006215F9" w:rsidRPr="009E337F">
        <w:t xml:space="preserve"> listing of Glatira to trigger a 25% </w:t>
      </w:r>
      <w:r w:rsidR="00733C78" w:rsidRPr="009E337F">
        <w:t>statutory price reduction</w:t>
      </w:r>
      <w:r w:rsidR="006215F9" w:rsidRPr="009E337F">
        <w:t xml:space="preserve"> to the AEMP of glatiramer </w:t>
      </w:r>
      <w:r w:rsidR="0017663A" w:rsidRPr="009E337F">
        <w:rPr>
          <w:rFonts w:cstheme="minorHAnsi"/>
          <w:szCs w:val="24"/>
        </w:rPr>
        <w:t xml:space="preserve">under s99ACB of the </w:t>
      </w:r>
      <w:r w:rsidR="0017663A" w:rsidRPr="009E337F">
        <w:rPr>
          <w:rFonts w:cstheme="minorHAnsi"/>
          <w:i/>
          <w:szCs w:val="24"/>
        </w:rPr>
        <w:t>National Health Act 1953</w:t>
      </w:r>
      <w:r w:rsidR="006215F9" w:rsidRPr="009E337F">
        <w:rPr>
          <w:rFonts w:cstheme="minorHAnsi"/>
          <w:szCs w:val="24"/>
        </w:rPr>
        <w:t>.</w:t>
      </w:r>
    </w:p>
    <w:p w:rsidR="003443AD" w:rsidRPr="009E337F" w:rsidRDefault="003443AD" w:rsidP="003443AD">
      <w:pPr>
        <w:pStyle w:val="Caption"/>
      </w:pPr>
      <w:bookmarkStart w:id="1" w:name="_Ref63159488"/>
      <w:bookmarkStart w:id="2" w:name="_Ref63159481"/>
      <w:r w:rsidRPr="009E337F">
        <w:t xml:space="preserve">Table </w:t>
      </w:r>
      <w:bookmarkEnd w:id="1"/>
      <w:r w:rsidR="00D13DC9" w:rsidRPr="009E337F">
        <w:t>2</w:t>
      </w:r>
      <w:r w:rsidRPr="009E337F">
        <w:t xml:space="preserve">: </w:t>
      </w:r>
      <w:bookmarkEnd w:id="2"/>
      <w:r w:rsidR="00E908BF" w:rsidRPr="009E337F">
        <w:t>Proposed pricing of Glatira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565"/>
        <w:gridCol w:w="1565"/>
        <w:gridCol w:w="1601"/>
        <w:gridCol w:w="2094"/>
      </w:tblGrid>
      <w:tr w:rsidR="00F92B4C" w:rsidRPr="009E337F" w:rsidTr="00E908BF">
        <w:trPr>
          <w:cantSplit/>
          <w:trHeight w:val="341"/>
          <w:tblHeader/>
        </w:trPr>
        <w:tc>
          <w:tcPr>
            <w:tcW w:w="1215" w:type="pct"/>
          </w:tcPr>
          <w:p w:rsidR="00F92B4C" w:rsidRPr="009E337F" w:rsidRDefault="00F92B4C" w:rsidP="000F1691">
            <w:pPr>
              <w:pStyle w:val="TableText0"/>
              <w:rPr>
                <w:b/>
              </w:rPr>
            </w:pPr>
            <w:r w:rsidRPr="009E337F">
              <w:rPr>
                <w:b/>
              </w:rPr>
              <w:t xml:space="preserve">Product </w:t>
            </w:r>
          </w:p>
        </w:tc>
        <w:tc>
          <w:tcPr>
            <w:tcW w:w="868" w:type="pct"/>
          </w:tcPr>
          <w:p w:rsidR="00F92B4C" w:rsidRPr="009E337F" w:rsidRDefault="00F92B4C" w:rsidP="000F1691">
            <w:pPr>
              <w:pStyle w:val="TableText0"/>
              <w:rPr>
                <w:b/>
              </w:rPr>
            </w:pPr>
            <w:r w:rsidRPr="009E337F">
              <w:rPr>
                <w:b/>
              </w:rPr>
              <w:t>AEMP</w:t>
            </w:r>
          </w:p>
        </w:tc>
        <w:tc>
          <w:tcPr>
            <w:tcW w:w="868" w:type="pct"/>
          </w:tcPr>
          <w:p w:rsidR="00F92B4C" w:rsidRPr="009E337F" w:rsidRDefault="00F92B4C" w:rsidP="000F1691">
            <w:pPr>
              <w:pStyle w:val="TableText0"/>
              <w:rPr>
                <w:b/>
              </w:rPr>
            </w:pPr>
            <w:r w:rsidRPr="009E337F">
              <w:rPr>
                <w:b/>
              </w:rPr>
              <w:t xml:space="preserve">Maximum Qty units </w:t>
            </w:r>
          </w:p>
        </w:tc>
        <w:tc>
          <w:tcPr>
            <w:tcW w:w="888" w:type="pct"/>
          </w:tcPr>
          <w:p w:rsidR="00F92B4C" w:rsidRPr="009E337F" w:rsidRDefault="00F92B4C" w:rsidP="000F1691">
            <w:pPr>
              <w:pStyle w:val="TableText0"/>
              <w:rPr>
                <w:b/>
              </w:rPr>
            </w:pPr>
            <w:r w:rsidRPr="009E337F">
              <w:rPr>
                <w:b/>
              </w:rPr>
              <w:t>Maximum Qty packs</w:t>
            </w:r>
          </w:p>
        </w:tc>
        <w:tc>
          <w:tcPr>
            <w:tcW w:w="1161" w:type="pct"/>
          </w:tcPr>
          <w:p w:rsidR="00F92B4C" w:rsidRPr="009E337F" w:rsidRDefault="00F92B4C" w:rsidP="000F1691">
            <w:pPr>
              <w:pStyle w:val="TableText0"/>
              <w:rPr>
                <w:b/>
              </w:rPr>
            </w:pPr>
            <w:r w:rsidRPr="009E337F">
              <w:rPr>
                <w:b/>
              </w:rPr>
              <w:t>DPMQ</w:t>
            </w:r>
          </w:p>
        </w:tc>
      </w:tr>
      <w:tr w:rsidR="00E908BF" w:rsidRPr="009E337F" w:rsidTr="00E908BF">
        <w:trPr>
          <w:cantSplit/>
          <w:trHeight w:val="341"/>
          <w:tblHeader/>
        </w:trPr>
        <w:tc>
          <w:tcPr>
            <w:tcW w:w="5000" w:type="pct"/>
            <w:gridSpan w:val="5"/>
          </w:tcPr>
          <w:p w:rsidR="00E908BF" w:rsidRPr="009E337F" w:rsidRDefault="00E908BF" w:rsidP="000F1691">
            <w:pPr>
              <w:pStyle w:val="TableText0"/>
              <w:rPr>
                <w:b/>
              </w:rPr>
            </w:pPr>
            <w:r w:rsidRPr="009E337F">
              <w:rPr>
                <w:b/>
              </w:rPr>
              <w:t>Copaxone pricing at 1 March 2021</w:t>
            </w:r>
          </w:p>
        </w:tc>
      </w:tr>
      <w:tr w:rsidR="00F92B4C" w:rsidRPr="009E337F" w:rsidTr="00E908BF">
        <w:trPr>
          <w:cantSplit/>
          <w:trHeight w:val="317"/>
        </w:trPr>
        <w:tc>
          <w:tcPr>
            <w:tcW w:w="1215" w:type="pct"/>
          </w:tcPr>
          <w:p w:rsidR="00F92B4C" w:rsidRPr="009E337F" w:rsidRDefault="00F92B4C" w:rsidP="000F1691">
            <w:pPr>
              <w:pStyle w:val="TableText0"/>
            </w:pPr>
            <w:r w:rsidRPr="009E337F">
              <w:t>Copaxone 40 mg in 1 mL PFS</w:t>
            </w:r>
          </w:p>
        </w:tc>
        <w:tc>
          <w:tcPr>
            <w:tcW w:w="868" w:type="pct"/>
          </w:tcPr>
          <w:p w:rsidR="00F92B4C" w:rsidRPr="009E337F" w:rsidRDefault="00F92B4C" w:rsidP="000F1691">
            <w:pPr>
              <w:pStyle w:val="TableText0"/>
            </w:pPr>
            <w:r w:rsidRPr="009E337F">
              <w:t>$791.54</w:t>
            </w:r>
          </w:p>
        </w:tc>
        <w:tc>
          <w:tcPr>
            <w:tcW w:w="868" w:type="pct"/>
          </w:tcPr>
          <w:p w:rsidR="00F92B4C" w:rsidRPr="009E337F" w:rsidRDefault="00F92B4C" w:rsidP="000F1691">
            <w:pPr>
              <w:pStyle w:val="TableText0"/>
            </w:pPr>
            <w:r w:rsidRPr="009E337F">
              <w:t>12</w:t>
            </w:r>
          </w:p>
        </w:tc>
        <w:tc>
          <w:tcPr>
            <w:tcW w:w="888" w:type="pct"/>
          </w:tcPr>
          <w:p w:rsidR="00F92B4C" w:rsidRPr="009E337F" w:rsidRDefault="00F92B4C" w:rsidP="008A7722">
            <w:pPr>
              <w:pStyle w:val="TableText0"/>
            </w:pPr>
            <w:r w:rsidRPr="009E337F">
              <w:t>1</w:t>
            </w:r>
          </w:p>
        </w:tc>
        <w:tc>
          <w:tcPr>
            <w:tcW w:w="1161" w:type="pct"/>
          </w:tcPr>
          <w:p w:rsidR="00F92B4C" w:rsidRPr="009E337F" w:rsidRDefault="00F92B4C" w:rsidP="008A7722">
            <w:pPr>
              <w:pStyle w:val="TableText0"/>
            </w:pPr>
            <w:r w:rsidRPr="009E337F">
              <w:t>$894.98*</w:t>
            </w:r>
          </w:p>
        </w:tc>
      </w:tr>
      <w:tr w:rsidR="00E908BF" w:rsidRPr="009E337F" w:rsidTr="00A154E4">
        <w:trPr>
          <w:cantSplit/>
          <w:trHeight w:val="317"/>
        </w:trPr>
        <w:tc>
          <w:tcPr>
            <w:tcW w:w="1" w:type="pct"/>
            <w:gridSpan w:val="5"/>
          </w:tcPr>
          <w:p w:rsidR="00E908BF" w:rsidRPr="009E337F" w:rsidRDefault="00E908BF" w:rsidP="009002F1">
            <w:pPr>
              <w:pStyle w:val="TableText0"/>
            </w:pPr>
            <w:r w:rsidRPr="009E337F">
              <w:rPr>
                <w:b/>
              </w:rPr>
              <w:t xml:space="preserve">Minor submission proposed pricing (including application of a 25% </w:t>
            </w:r>
            <w:r w:rsidR="009002F1">
              <w:rPr>
                <w:b/>
              </w:rPr>
              <w:t>statutory price reduction</w:t>
            </w:r>
            <w:r w:rsidRPr="009E337F">
              <w:rPr>
                <w:b/>
              </w:rPr>
              <w:t>)</w:t>
            </w:r>
          </w:p>
        </w:tc>
      </w:tr>
      <w:tr w:rsidR="00F92B4C" w:rsidRPr="009E337F" w:rsidTr="00E908BF">
        <w:trPr>
          <w:cantSplit/>
          <w:trHeight w:val="317"/>
        </w:trPr>
        <w:tc>
          <w:tcPr>
            <w:tcW w:w="1215" w:type="pct"/>
          </w:tcPr>
          <w:p w:rsidR="00F92B4C" w:rsidRPr="009E337F" w:rsidRDefault="00F92B4C" w:rsidP="000F1691">
            <w:pPr>
              <w:pStyle w:val="TableText0"/>
            </w:pPr>
            <w:r w:rsidRPr="009E337F">
              <w:t>Glatira 40 mg in 1 mL PFS</w:t>
            </w:r>
          </w:p>
        </w:tc>
        <w:tc>
          <w:tcPr>
            <w:tcW w:w="868" w:type="pct"/>
          </w:tcPr>
          <w:p w:rsidR="00F92B4C" w:rsidRPr="009E337F" w:rsidRDefault="00F92B4C" w:rsidP="000F1691">
            <w:pPr>
              <w:pStyle w:val="TableText0"/>
            </w:pPr>
            <w:r w:rsidRPr="009E337F">
              <w:t>$593.66</w:t>
            </w:r>
          </w:p>
        </w:tc>
        <w:tc>
          <w:tcPr>
            <w:tcW w:w="868" w:type="pct"/>
          </w:tcPr>
          <w:p w:rsidR="00F92B4C" w:rsidRPr="009E337F" w:rsidRDefault="00F92B4C" w:rsidP="000F1691">
            <w:pPr>
              <w:pStyle w:val="TableText0"/>
            </w:pPr>
            <w:r w:rsidRPr="009E337F">
              <w:t>12</w:t>
            </w:r>
          </w:p>
        </w:tc>
        <w:tc>
          <w:tcPr>
            <w:tcW w:w="888" w:type="pct"/>
          </w:tcPr>
          <w:p w:rsidR="00F92B4C" w:rsidRPr="009E337F" w:rsidRDefault="00F92B4C" w:rsidP="008A7722">
            <w:pPr>
              <w:pStyle w:val="TableText0"/>
            </w:pPr>
            <w:r w:rsidRPr="009E337F">
              <w:t>1</w:t>
            </w:r>
          </w:p>
        </w:tc>
        <w:tc>
          <w:tcPr>
            <w:tcW w:w="1161" w:type="pct"/>
          </w:tcPr>
          <w:p w:rsidR="00F92B4C" w:rsidRPr="009E337F" w:rsidRDefault="00F92B4C" w:rsidP="008A7722">
            <w:pPr>
              <w:pStyle w:val="TableText0"/>
            </w:pPr>
            <w:r w:rsidRPr="009E337F">
              <w:t>$677.24*</w:t>
            </w:r>
          </w:p>
        </w:tc>
      </w:tr>
      <w:tr w:rsidR="00F92B4C" w:rsidRPr="009E337F" w:rsidTr="00E908BF">
        <w:trPr>
          <w:cantSplit/>
          <w:trHeight w:val="317"/>
        </w:trPr>
        <w:tc>
          <w:tcPr>
            <w:tcW w:w="1215" w:type="pct"/>
          </w:tcPr>
          <w:p w:rsidR="00F92B4C" w:rsidRPr="009E337F" w:rsidRDefault="00F92B4C" w:rsidP="000F1691">
            <w:pPr>
              <w:pStyle w:val="TableText0"/>
            </w:pPr>
            <w:r w:rsidRPr="009E337F">
              <w:t>Glatira 20 mg in 1 mL PFS</w:t>
            </w:r>
          </w:p>
        </w:tc>
        <w:tc>
          <w:tcPr>
            <w:tcW w:w="868" w:type="pct"/>
          </w:tcPr>
          <w:p w:rsidR="00F92B4C" w:rsidRPr="009E337F" w:rsidRDefault="00F92B4C" w:rsidP="000F1691">
            <w:pPr>
              <w:pStyle w:val="TableText0"/>
            </w:pPr>
            <w:r w:rsidRPr="009E337F">
              <w:t>$593.66</w:t>
            </w:r>
          </w:p>
        </w:tc>
        <w:tc>
          <w:tcPr>
            <w:tcW w:w="868" w:type="pct"/>
          </w:tcPr>
          <w:p w:rsidR="00F92B4C" w:rsidRPr="009E337F" w:rsidRDefault="00F92B4C" w:rsidP="000F1691">
            <w:pPr>
              <w:pStyle w:val="TableText0"/>
            </w:pPr>
            <w:r w:rsidRPr="009E337F">
              <w:t>28</w:t>
            </w:r>
          </w:p>
        </w:tc>
        <w:tc>
          <w:tcPr>
            <w:tcW w:w="888" w:type="pct"/>
          </w:tcPr>
          <w:p w:rsidR="00F92B4C" w:rsidRPr="009E337F" w:rsidRDefault="00F92B4C" w:rsidP="000F1691">
            <w:pPr>
              <w:pStyle w:val="TableText0"/>
            </w:pPr>
            <w:r w:rsidRPr="009E337F">
              <w:t>1</w:t>
            </w:r>
          </w:p>
        </w:tc>
        <w:tc>
          <w:tcPr>
            <w:tcW w:w="1161" w:type="pct"/>
          </w:tcPr>
          <w:p w:rsidR="00F92B4C" w:rsidRPr="009E337F" w:rsidRDefault="00F92B4C" w:rsidP="000F1691">
            <w:pPr>
              <w:pStyle w:val="TableText0"/>
            </w:pPr>
            <w:r w:rsidRPr="009E337F">
              <w:t>$677.24*</w:t>
            </w:r>
          </w:p>
        </w:tc>
      </w:tr>
    </w:tbl>
    <w:p w:rsidR="008A7722" w:rsidRPr="009E337F" w:rsidRDefault="008A7722" w:rsidP="008518CA">
      <w:pPr>
        <w:pStyle w:val="TableFigureFooter"/>
      </w:pPr>
      <w:r w:rsidRPr="009E337F">
        <w:t>*The DPMQ</w:t>
      </w:r>
      <w:r w:rsidR="00733C78" w:rsidRPr="009E337F">
        <w:t>s</w:t>
      </w:r>
      <w:r w:rsidRPr="009E337F">
        <w:t xml:space="preserve"> </w:t>
      </w:r>
      <w:r w:rsidR="00A92D01">
        <w:t>have been updated from that presented in the</w:t>
      </w:r>
      <w:r w:rsidRPr="009E337F">
        <w:t xml:space="preserve"> submission to represent the correct DPMQ for Copaxone as of 1 Jan 2021 </w:t>
      </w:r>
    </w:p>
    <w:p w:rsidR="008518CA" w:rsidRPr="009E337F" w:rsidRDefault="008518CA" w:rsidP="008518CA">
      <w:pPr>
        <w:pStyle w:val="TableFigureFooter"/>
      </w:pPr>
      <w:r w:rsidRPr="009E337F">
        <w:t>Source: Table 3.2 pg 29 of submission</w:t>
      </w:r>
    </w:p>
    <w:p w:rsidR="00CE169E" w:rsidRPr="009E337F" w:rsidRDefault="00CE169E" w:rsidP="00CE169E">
      <w:pPr>
        <w:rPr>
          <w:lang w:eastAsia="en-US"/>
        </w:rPr>
      </w:pPr>
      <w:r w:rsidRPr="009E337F">
        <w:rPr>
          <w:lang w:eastAsia="en-US"/>
        </w:rPr>
        <w:tab/>
      </w:r>
      <w:r w:rsidRPr="009E337F">
        <w:rPr>
          <w:rFonts w:asciiTheme="minorHAnsi" w:hAnsiTheme="minorHAnsi"/>
          <w:i/>
        </w:rPr>
        <w:t xml:space="preserve">For more detail on PBAC’s view, see section </w:t>
      </w:r>
      <w:r w:rsidRPr="009E337F">
        <w:rPr>
          <w:i/>
        </w:rPr>
        <w:t>6</w:t>
      </w:r>
      <w:r w:rsidRPr="009E337F">
        <w:rPr>
          <w:rFonts w:asciiTheme="minorHAnsi" w:hAnsiTheme="minorHAnsi"/>
          <w:i/>
        </w:rPr>
        <w:t xml:space="preserve"> PBAC outcome.</w:t>
      </w:r>
    </w:p>
    <w:p w:rsidR="005A3173" w:rsidRPr="009E337F" w:rsidRDefault="005A3173" w:rsidP="00121912">
      <w:pPr>
        <w:pStyle w:val="4-SubsectionHeading"/>
        <w:rPr>
          <w:lang w:eastAsia="en-US"/>
        </w:rPr>
      </w:pPr>
      <w:r w:rsidRPr="009E337F">
        <w:rPr>
          <w:lang w:eastAsia="en-US"/>
        </w:rPr>
        <w:t>Estimated PBS usage &amp; financial implications</w:t>
      </w:r>
    </w:p>
    <w:p w:rsidR="00EA177A" w:rsidRPr="009E337F" w:rsidRDefault="00EA177A" w:rsidP="004F2C07">
      <w:pPr>
        <w:pStyle w:val="3Bodytext"/>
        <w:jc w:val="both"/>
      </w:pPr>
      <w:r w:rsidRPr="009E337F">
        <w:t xml:space="preserve">The minor submission used a market share approach to estimate the financial impact of Glatira. </w:t>
      </w:r>
    </w:p>
    <w:p w:rsidR="00EA177A" w:rsidRPr="009E337F" w:rsidRDefault="00EA177A" w:rsidP="004F2C07">
      <w:pPr>
        <w:pStyle w:val="3Bodytext"/>
        <w:jc w:val="both"/>
        <w:rPr>
          <w:b/>
        </w:rPr>
      </w:pPr>
      <w:r w:rsidRPr="009E337F">
        <w:t xml:space="preserve">The minor submission used historical PBS data from 2016-2019 for </w:t>
      </w:r>
      <w:r w:rsidR="0009559E" w:rsidRPr="009E337F">
        <w:t>Copaxone</w:t>
      </w:r>
      <w:r w:rsidRPr="009E337F">
        <w:t xml:space="preserve"> to forecast the</w:t>
      </w:r>
      <w:r w:rsidR="0009559E" w:rsidRPr="009E337F">
        <w:t xml:space="preserve"> future</w:t>
      </w:r>
      <w:r w:rsidRPr="009E337F">
        <w:t xml:space="preserve"> PBS utilisation </w:t>
      </w:r>
      <w:r w:rsidR="003D169F">
        <w:t>of glatiramer</w:t>
      </w:r>
      <w:r w:rsidRPr="009E337F">
        <w:t xml:space="preserve">. </w:t>
      </w:r>
    </w:p>
    <w:p w:rsidR="009A1E48" w:rsidRPr="009E337F" w:rsidRDefault="00FF2801" w:rsidP="009A1E48">
      <w:pPr>
        <w:pStyle w:val="3Bodytext"/>
      </w:pPr>
      <w:r w:rsidRPr="009E337F">
        <w:t>The minor submission estimated</w:t>
      </w:r>
      <w:r w:rsidR="005742CD" w:rsidRPr="009E337F">
        <w:t xml:space="preserve"> that the listing of Glatira would result in</w:t>
      </w:r>
      <w:r w:rsidR="00C00DA7" w:rsidRPr="009E337F">
        <w:t xml:space="preserve"> a net save to the PBS in Year </w:t>
      </w:r>
      <w:r w:rsidR="00977BF3" w:rsidRPr="009E337F">
        <w:t>6</w:t>
      </w:r>
      <w:r w:rsidR="00C00DA7" w:rsidRPr="009E337F">
        <w:t xml:space="preserve"> of listing, with a total net save </w:t>
      </w:r>
      <w:r w:rsidR="005B105D" w:rsidRPr="009E337F">
        <w:t xml:space="preserve">to the PBS </w:t>
      </w:r>
      <w:r w:rsidR="00C00DA7" w:rsidRPr="009E337F">
        <w:t>ove</w:t>
      </w:r>
      <w:r w:rsidR="00C7409E" w:rsidRPr="009E337F">
        <w:t xml:space="preserve">r the first </w:t>
      </w:r>
      <w:r w:rsidR="00977BF3" w:rsidRPr="009E337F">
        <w:t>6</w:t>
      </w:r>
      <w:r w:rsidR="00C7409E" w:rsidRPr="009E337F">
        <w:t xml:space="preserve"> years of listing</w:t>
      </w:r>
      <w:r w:rsidR="009A1E48" w:rsidRPr="009E337F">
        <w:t xml:space="preserve"> due to the trigger of a 25% statutory price reduction to the AEMP of glatiramer upon listing.</w:t>
      </w:r>
    </w:p>
    <w:p w:rsidR="00C7409E" w:rsidRPr="009E337F" w:rsidRDefault="00C7409E" w:rsidP="004F2C07">
      <w:pPr>
        <w:pStyle w:val="3Bodytext"/>
        <w:jc w:val="both"/>
      </w:pPr>
      <w:r w:rsidRPr="009E337F">
        <w:t xml:space="preserve"> </w:t>
      </w:r>
      <w:r w:rsidR="00C00DA7" w:rsidRPr="009E337F">
        <w:t xml:space="preserve">This is summarised in </w:t>
      </w:r>
      <w:r w:rsidR="00121912" w:rsidRPr="009E337F">
        <w:t xml:space="preserve">Table </w:t>
      </w:r>
      <w:r w:rsidR="00A017FB">
        <w:t>3</w:t>
      </w:r>
      <w:r w:rsidR="00C00DA7" w:rsidRPr="009E337F">
        <w:t xml:space="preserve">. </w:t>
      </w:r>
    </w:p>
    <w:p w:rsidR="00121912" w:rsidRPr="009E337F" w:rsidRDefault="00121912" w:rsidP="00121912">
      <w:pPr>
        <w:pStyle w:val="Caption"/>
      </w:pPr>
      <w:bookmarkStart w:id="3" w:name="_Ref63159737"/>
      <w:r w:rsidRPr="009E337F">
        <w:t xml:space="preserve">Table </w:t>
      </w:r>
      <w:bookmarkEnd w:id="3"/>
      <w:r w:rsidR="00D13DC9" w:rsidRPr="009E337F">
        <w:t>3</w:t>
      </w:r>
      <w:r w:rsidRPr="009E337F">
        <w:t xml:space="preserve">: </w:t>
      </w:r>
      <w:r w:rsidRPr="009E337F">
        <w:rPr>
          <w:rStyle w:val="CommentReference"/>
          <w:sz w:val="20"/>
          <w:szCs w:val="22"/>
        </w:rPr>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C7409E" w:rsidRPr="009E337F" w:rsidTr="00B60C67">
        <w:trPr>
          <w:tblHeader/>
        </w:trPr>
        <w:tc>
          <w:tcPr>
            <w:tcW w:w="1118" w:type="pct"/>
            <w:shd w:val="clear" w:color="auto" w:fill="auto"/>
            <w:vAlign w:val="center"/>
          </w:tcPr>
          <w:p w:rsidR="00C7409E" w:rsidRPr="009E337F" w:rsidRDefault="00C7409E" w:rsidP="00F37ECA">
            <w:pPr>
              <w:pStyle w:val="TableText0"/>
            </w:pPr>
          </w:p>
        </w:tc>
        <w:tc>
          <w:tcPr>
            <w:tcW w:w="647" w:type="pct"/>
            <w:shd w:val="clear" w:color="auto" w:fill="auto"/>
            <w:vAlign w:val="center"/>
          </w:tcPr>
          <w:p w:rsidR="00C7409E" w:rsidRPr="009E337F" w:rsidRDefault="00C7409E" w:rsidP="00F37ECA">
            <w:pPr>
              <w:pStyle w:val="TableText0"/>
              <w:rPr>
                <w:b/>
              </w:rPr>
            </w:pPr>
            <w:r w:rsidRPr="009E337F">
              <w:rPr>
                <w:b/>
              </w:rPr>
              <w:t>Year 1</w:t>
            </w:r>
          </w:p>
        </w:tc>
        <w:tc>
          <w:tcPr>
            <w:tcW w:w="647" w:type="pct"/>
            <w:shd w:val="clear" w:color="auto" w:fill="auto"/>
            <w:vAlign w:val="center"/>
          </w:tcPr>
          <w:p w:rsidR="00C7409E" w:rsidRPr="009E337F" w:rsidRDefault="00C7409E" w:rsidP="00F37ECA">
            <w:pPr>
              <w:pStyle w:val="TableText0"/>
              <w:rPr>
                <w:b/>
              </w:rPr>
            </w:pPr>
            <w:r w:rsidRPr="009E337F">
              <w:rPr>
                <w:b/>
              </w:rPr>
              <w:t>Year 2</w:t>
            </w:r>
          </w:p>
        </w:tc>
        <w:tc>
          <w:tcPr>
            <w:tcW w:w="647" w:type="pct"/>
            <w:shd w:val="clear" w:color="auto" w:fill="auto"/>
            <w:vAlign w:val="center"/>
          </w:tcPr>
          <w:p w:rsidR="00C7409E" w:rsidRPr="009E337F" w:rsidRDefault="00C7409E" w:rsidP="00F37ECA">
            <w:pPr>
              <w:pStyle w:val="TableText0"/>
              <w:rPr>
                <w:b/>
              </w:rPr>
            </w:pPr>
            <w:r w:rsidRPr="009E337F">
              <w:rPr>
                <w:b/>
              </w:rPr>
              <w:t>Year 3</w:t>
            </w:r>
          </w:p>
        </w:tc>
        <w:tc>
          <w:tcPr>
            <w:tcW w:w="647" w:type="pct"/>
            <w:shd w:val="clear" w:color="auto" w:fill="auto"/>
            <w:vAlign w:val="center"/>
          </w:tcPr>
          <w:p w:rsidR="00C7409E" w:rsidRPr="009E337F" w:rsidRDefault="00C7409E" w:rsidP="00F37ECA">
            <w:pPr>
              <w:pStyle w:val="TableText0"/>
              <w:rPr>
                <w:b/>
              </w:rPr>
            </w:pPr>
            <w:r w:rsidRPr="009E337F">
              <w:rPr>
                <w:b/>
              </w:rPr>
              <w:t>Year 4</w:t>
            </w:r>
          </w:p>
        </w:tc>
        <w:tc>
          <w:tcPr>
            <w:tcW w:w="647" w:type="pct"/>
            <w:shd w:val="clear" w:color="auto" w:fill="auto"/>
            <w:vAlign w:val="center"/>
          </w:tcPr>
          <w:p w:rsidR="00C7409E" w:rsidRPr="009E337F" w:rsidRDefault="00C7409E" w:rsidP="00F37ECA">
            <w:pPr>
              <w:pStyle w:val="TableText0"/>
              <w:rPr>
                <w:b/>
              </w:rPr>
            </w:pPr>
            <w:r w:rsidRPr="009E337F">
              <w:rPr>
                <w:b/>
              </w:rPr>
              <w:t>Year 5</w:t>
            </w:r>
          </w:p>
        </w:tc>
        <w:tc>
          <w:tcPr>
            <w:tcW w:w="647" w:type="pct"/>
          </w:tcPr>
          <w:p w:rsidR="00C7409E" w:rsidRPr="009E337F" w:rsidRDefault="00C7409E" w:rsidP="00F37ECA">
            <w:pPr>
              <w:pStyle w:val="TableText0"/>
              <w:rPr>
                <w:b/>
              </w:rPr>
            </w:pPr>
            <w:r w:rsidRPr="009E337F">
              <w:rPr>
                <w:b/>
              </w:rPr>
              <w:t>Year 6</w:t>
            </w:r>
          </w:p>
        </w:tc>
      </w:tr>
      <w:tr w:rsidR="00C7409E" w:rsidRPr="009E337F" w:rsidTr="00503AD7">
        <w:tc>
          <w:tcPr>
            <w:tcW w:w="5000" w:type="pct"/>
            <w:gridSpan w:val="7"/>
            <w:shd w:val="clear" w:color="auto" w:fill="auto"/>
            <w:vAlign w:val="center"/>
          </w:tcPr>
          <w:p w:rsidR="00C7409E" w:rsidRPr="009E337F" w:rsidRDefault="00C7409E" w:rsidP="00F37ECA">
            <w:pPr>
              <w:pStyle w:val="TableText0"/>
              <w:rPr>
                <w:b/>
                <w:color w:val="000000"/>
              </w:rPr>
            </w:pPr>
            <w:r w:rsidRPr="009E337F">
              <w:rPr>
                <w:b/>
                <w:color w:val="000000"/>
              </w:rPr>
              <w:t>Estimated extent of use</w:t>
            </w:r>
          </w:p>
        </w:tc>
      </w:tr>
      <w:tr w:rsidR="00B60C67" w:rsidRPr="009E337F" w:rsidTr="00B60C67">
        <w:tc>
          <w:tcPr>
            <w:tcW w:w="1118" w:type="pct"/>
            <w:shd w:val="clear" w:color="auto" w:fill="auto"/>
            <w:vAlign w:val="center"/>
          </w:tcPr>
          <w:p w:rsidR="00B60C67" w:rsidRPr="009E337F" w:rsidRDefault="00B60C67" w:rsidP="00B60C67">
            <w:pPr>
              <w:pStyle w:val="TableText0"/>
            </w:pPr>
            <w:r w:rsidRPr="009E337F">
              <w:t>Number of scripts dispensed</w:t>
            </w:r>
            <w:r w:rsidRPr="009E337F">
              <w:rPr>
                <w:vertAlign w:val="superscript"/>
              </w:rPr>
              <w:t>a</w:t>
            </w:r>
          </w:p>
        </w:tc>
        <w:tc>
          <w:tcPr>
            <w:tcW w:w="647" w:type="pct"/>
            <w:shd w:val="clear" w:color="auto" w:fill="auto"/>
            <w:vAlign w:val="center"/>
          </w:tcPr>
          <w:p w:rsidR="00B60C67" w:rsidRPr="004114B3" w:rsidRDefault="004114B3" w:rsidP="005E1F55">
            <w:pPr>
              <w:pStyle w:val="TableText0"/>
              <w:jc w:val="right"/>
              <w:rPr>
                <w:color w:val="000000"/>
              </w:rPr>
            </w:pPr>
            <w:r>
              <w:rPr>
                <w:noProof/>
                <w:color w:val="000000"/>
                <w:highlight w:val="black"/>
              </w:rPr>
              <w:t>''''''''''''''</w:t>
            </w:r>
            <w:r w:rsidR="00CC3DDA">
              <w:rPr>
                <w:vertAlign w:val="superscript"/>
              </w:rPr>
              <w:t>2</w:t>
            </w:r>
          </w:p>
        </w:tc>
        <w:tc>
          <w:tcPr>
            <w:tcW w:w="647" w:type="pct"/>
            <w:shd w:val="clear" w:color="auto" w:fill="auto"/>
            <w:vAlign w:val="center"/>
          </w:tcPr>
          <w:p w:rsidR="00B60C67" w:rsidRPr="004114B3" w:rsidRDefault="004114B3" w:rsidP="00B6471B">
            <w:pPr>
              <w:pStyle w:val="TableText0"/>
              <w:jc w:val="right"/>
              <w:rPr>
                <w:color w:val="000000"/>
              </w:rPr>
            </w:pPr>
            <w:r>
              <w:rPr>
                <w:noProof/>
                <w:color w:val="000000"/>
                <w:highlight w:val="black"/>
              </w:rPr>
              <w:t>''''''''''''''</w:t>
            </w:r>
            <w:r w:rsidR="00CC3DDA">
              <w:rPr>
                <w:vertAlign w:val="superscript"/>
              </w:rPr>
              <w:t>2</w:t>
            </w:r>
          </w:p>
        </w:tc>
        <w:tc>
          <w:tcPr>
            <w:tcW w:w="647" w:type="pct"/>
            <w:shd w:val="clear" w:color="auto" w:fill="auto"/>
            <w:vAlign w:val="center"/>
          </w:tcPr>
          <w:p w:rsidR="00B60C67" w:rsidRPr="004114B3" w:rsidRDefault="004114B3" w:rsidP="00B6471B">
            <w:pPr>
              <w:pStyle w:val="TableText0"/>
              <w:jc w:val="right"/>
              <w:rPr>
                <w:color w:val="000000"/>
              </w:rPr>
            </w:pPr>
            <w:r>
              <w:rPr>
                <w:noProof/>
                <w:color w:val="000000"/>
                <w:highlight w:val="black"/>
              </w:rPr>
              <w:t>''''''''''''''</w:t>
            </w:r>
            <w:r w:rsidR="00CC3DDA">
              <w:rPr>
                <w:vertAlign w:val="superscript"/>
              </w:rPr>
              <w:t>1</w:t>
            </w:r>
          </w:p>
        </w:tc>
        <w:tc>
          <w:tcPr>
            <w:tcW w:w="647" w:type="pct"/>
            <w:shd w:val="clear" w:color="auto" w:fill="auto"/>
            <w:vAlign w:val="center"/>
          </w:tcPr>
          <w:p w:rsidR="00B60C67" w:rsidRPr="004114B3" w:rsidRDefault="004114B3" w:rsidP="00B6471B">
            <w:pPr>
              <w:pStyle w:val="TableText0"/>
              <w:jc w:val="right"/>
              <w:rPr>
                <w:color w:val="000000"/>
              </w:rPr>
            </w:pPr>
            <w:r>
              <w:rPr>
                <w:noProof/>
                <w:color w:val="000000"/>
                <w:highlight w:val="black"/>
              </w:rPr>
              <w:t>''''''''''''''</w:t>
            </w:r>
            <w:r w:rsidR="00CC3DDA">
              <w:rPr>
                <w:vertAlign w:val="superscript"/>
              </w:rPr>
              <w:t>1</w:t>
            </w:r>
          </w:p>
        </w:tc>
        <w:tc>
          <w:tcPr>
            <w:tcW w:w="647" w:type="pct"/>
            <w:shd w:val="clear" w:color="auto" w:fill="auto"/>
            <w:vAlign w:val="center"/>
          </w:tcPr>
          <w:p w:rsidR="00B60C67" w:rsidRPr="004114B3" w:rsidRDefault="004114B3" w:rsidP="00B6471B">
            <w:pPr>
              <w:pStyle w:val="TableText0"/>
              <w:jc w:val="right"/>
              <w:rPr>
                <w:color w:val="000000"/>
              </w:rPr>
            </w:pPr>
            <w:r>
              <w:rPr>
                <w:noProof/>
                <w:color w:val="000000"/>
                <w:highlight w:val="black"/>
              </w:rPr>
              <w:t>'''''''''''''</w:t>
            </w:r>
            <w:r w:rsidR="00CC3DDA">
              <w:rPr>
                <w:vertAlign w:val="superscript"/>
              </w:rPr>
              <w:t>1</w:t>
            </w:r>
          </w:p>
        </w:tc>
        <w:tc>
          <w:tcPr>
            <w:tcW w:w="647" w:type="pct"/>
            <w:vAlign w:val="center"/>
          </w:tcPr>
          <w:p w:rsidR="00B60C67" w:rsidRPr="004114B3" w:rsidRDefault="004114B3" w:rsidP="00B6471B">
            <w:pPr>
              <w:pStyle w:val="TableText0"/>
              <w:jc w:val="right"/>
              <w:rPr>
                <w:color w:val="000000"/>
              </w:rPr>
            </w:pPr>
            <w:r>
              <w:rPr>
                <w:noProof/>
                <w:color w:val="000000"/>
                <w:highlight w:val="black"/>
              </w:rPr>
              <w:t>''''''''''''''</w:t>
            </w:r>
            <w:r w:rsidR="00CC3DDA">
              <w:rPr>
                <w:vertAlign w:val="superscript"/>
              </w:rPr>
              <w:t>1</w:t>
            </w:r>
          </w:p>
        </w:tc>
      </w:tr>
      <w:tr w:rsidR="00C7409E" w:rsidRPr="009E337F" w:rsidTr="00503AD7">
        <w:tc>
          <w:tcPr>
            <w:tcW w:w="5000" w:type="pct"/>
            <w:gridSpan w:val="7"/>
            <w:shd w:val="clear" w:color="auto" w:fill="auto"/>
            <w:vAlign w:val="center"/>
          </w:tcPr>
          <w:p w:rsidR="00C7409E" w:rsidRPr="009E337F" w:rsidRDefault="00C7409E" w:rsidP="00F37ECA">
            <w:pPr>
              <w:pStyle w:val="TableText0"/>
              <w:rPr>
                <w:b/>
                <w:color w:val="000000"/>
              </w:rPr>
            </w:pPr>
            <w:r w:rsidRPr="009E337F">
              <w:rPr>
                <w:b/>
                <w:color w:val="000000"/>
              </w:rPr>
              <w:t xml:space="preserve">Estimated financial implications of </w:t>
            </w:r>
            <w:r w:rsidR="00935526" w:rsidRPr="009E337F">
              <w:rPr>
                <w:b/>
                <w:color w:val="000000"/>
              </w:rPr>
              <w:t xml:space="preserve">Glatira </w:t>
            </w:r>
          </w:p>
        </w:tc>
      </w:tr>
      <w:tr w:rsidR="00C7409E" w:rsidRPr="009E337F" w:rsidTr="00B60C67">
        <w:tc>
          <w:tcPr>
            <w:tcW w:w="1118" w:type="pct"/>
            <w:shd w:val="clear" w:color="auto" w:fill="auto"/>
            <w:vAlign w:val="center"/>
          </w:tcPr>
          <w:p w:rsidR="00C7409E" w:rsidRPr="009E337F" w:rsidRDefault="00C7409E" w:rsidP="00F37ECA">
            <w:pPr>
              <w:pStyle w:val="TableText0"/>
            </w:pPr>
            <w:r w:rsidRPr="009E337F">
              <w:t>Cost to PBS/RPBS</w:t>
            </w:r>
          </w:p>
        </w:tc>
        <w:tc>
          <w:tcPr>
            <w:tcW w:w="647" w:type="pct"/>
            <w:shd w:val="clear" w:color="auto" w:fill="auto"/>
            <w:vAlign w:val="center"/>
          </w:tcPr>
          <w:p w:rsidR="00C7409E" w:rsidRPr="009E337F" w:rsidRDefault="009055A5"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53BC"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53BC"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53BC"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53BC"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tcPr>
          <w:p w:rsidR="00C7409E" w:rsidRPr="009E337F" w:rsidRDefault="009D53BC"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r w:rsidR="00C7409E" w:rsidRPr="009E337F" w:rsidTr="00B60C67">
        <w:tc>
          <w:tcPr>
            <w:tcW w:w="1118" w:type="pct"/>
            <w:shd w:val="clear" w:color="auto" w:fill="auto"/>
            <w:vAlign w:val="center"/>
          </w:tcPr>
          <w:p w:rsidR="00C7409E" w:rsidRPr="009E337F" w:rsidRDefault="00C7409E" w:rsidP="00F37ECA">
            <w:pPr>
              <w:pStyle w:val="TableText0"/>
            </w:pPr>
            <w:r w:rsidRPr="009E337F">
              <w:t>Copayments</w:t>
            </w:r>
          </w:p>
        </w:tc>
        <w:tc>
          <w:tcPr>
            <w:tcW w:w="647" w:type="pct"/>
            <w:shd w:val="clear" w:color="auto" w:fill="auto"/>
            <w:vAlign w:val="center"/>
          </w:tcPr>
          <w:p w:rsidR="00C7409E" w:rsidRPr="009E337F" w:rsidRDefault="009D2F0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2F0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2F0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2F0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9D2F0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tcPr>
          <w:p w:rsidR="00C7409E" w:rsidRPr="009E337F" w:rsidRDefault="009D2F0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r w:rsidR="00C7409E" w:rsidRPr="009E337F" w:rsidTr="00B60C67">
        <w:tc>
          <w:tcPr>
            <w:tcW w:w="1118" w:type="pct"/>
            <w:shd w:val="clear" w:color="auto" w:fill="auto"/>
            <w:vAlign w:val="center"/>
          </w:tcPr>
          <w:p w:rsidR="00C7409E" w:rsidRPr="009E337F" w:rsidRDefault="00C7409E" w:rsidP="00F37ECA">
            <w:pPr>
              <w:pStyle w:val="TableText0"/>
            </w:pPr>
            <w:r w:rsidRPr="009E337F">
              <w:t>Cost to PBS/RPBS less copayments</w:t>
            </w:r>
          </w:p>
        </w:tc>
        <w:tc>
          <w:tcPr>
            <w:tcW w:w="647" w:type="pct"/>
            <w:shd w:val="clear" w:color="auto" w:fill="auto"/>
            <w:vAlign w:val="center"/>
          </w:tcPr>
          <w:p w:rsidR="00C7409E" w:rsidRPr="009E337F" w:rsidRDefault="006300E9"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300E9"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300E9"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300E9"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300E9"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vAlign w:val="center"/>
          </w:tcPr>
          <w:p w:rsidR="00C7409E" w:rsidRPr="009E337F" w:rsidRDefault="006300E9"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r w:rsidR="00C7409E" w:rsidRPr="009E337F" w:rsidTr="00503AD7">
        <w:tc>
          <w:tcPr>
            <w:tcW w:w="5000" w:type="pct"/>
            <w:gridSpan w:val="7"/>
            <w:shd w:val="clear" w:color="auto" w:fill="auto"/>
            <w:vAlign w:val="center"/>
          </w:tcPr>
          <w:p w:rsidR="00C7409E" w:rsidRPr="009E337F" w:rsidRDefault="00C7409E" w:rsidP="00F37ECA">
            <w:pPr>
              <w:pStyle w:val="TableText0"/>
              <w:rPr>
                <w:color w:val="000000"/>
              </w:rPr>
            </w:pPr>
            <w:r w:rsidRPr="009E337F">
              <w:rPr>
                <w:b/>
                <w:color w:val="000000"/>
              </w:rPr>
              <w:t xml:space="preserve">Estimated financial implications for </w:t>
            </w:r>
            <w:r w:rsidR="00FE14E8" w:rsidRPr="009E337F">
              <w:rPr>
                <w:b/>
                <w:color w:val="000000"/>
              </w:rPr>
              <w:t xml:space="preserve">Copaxone </w:t>
            </w:r>
          </w:p>
        </w:tc>
      </w:tr>
      <w:tr w:rsidR="005F61EB" w:rsidRPr="009E337F" w:rsidTr="00B60C67">
        <w:tc>
          <w:tcPr>
            <w:tcW w:w="1118" w:type="pct"/>
            <w:shd w:val="clear" w:color="auto" w:fill="auto"/>
            <w:vAlign w:val="center"/>
          </w:tcPr>
          <w:p w:rsidR="005F61EB" w:rsidRPr="009E337F" w:rsidRDefault="00B60C67" w:rsidP="00B60C67">
            <w:pPr>
              <w:pStyle w:val="TableText0"/>
            </w:pPr>
            <w:r w:rsidRPr="009E337F">
              <w:t xml:space="preserve">Forecasted reduction </w:t>
            </w:r>
            <w:r w:rsidR="005F61EB" w:rsidRPr="009E337F">
              <w:t>in scripts</w:t>
            </w:r>
          </w:p>
        </w:tc>
        <w:tc>
          <w:tcPr>
            <w:tcW w:w="647" w:type="pct"/>
            <w:shd w:val="clear" w:color="auto" w:fill="auto"/>
            <w:vAlign w:val="center"/>
          </w:tcPr>
          <w:p w:rsidR="005F61EB" w:rsidRPr="009E337F" w:rsidRDefault="003F6E4B" w:rsidP="00B6471B">
            <w:pPr>
              <w:pStyle w:val="TableText0"/>
              <w:jc w:val="right"/>
              <w:rPr>
                <w:color w:val="000000"/>
              </w:rPr>
            </w:pPr>
            <w:r w:rsidRPr="009E337F">
              <w:rPr>
                <w:color w:val="000000"/>
              </w:rPr>
              <w:t>-</w:t>
            </w:r>
            <w:r w:rsidR="004114B3">
              <w:rPr>
                <w:noProof/>
                <w:color w:val="000000"/>
                <w:highlight w:val="black"/>
              </w:rPr>
              <w:t>'''''''''''''''</w:t>
            </w:r>
            <w:r w:rsidR="00CC3DDA">
              <w:rPr>
                <w:vertAlign w:val="superscript"/>
              </w:rPr>
              <w:t>2</w:t>
            </w:r>
          </w:p>
        </w:tc>
        <w:tc>
          <w:tcPr>
            <w:tcW w:w="647" w:type="pct"/>
            <w:shd w:val="clear" w:color="auto" w:fill="auto"/>
            <w:vAlign w:val="center"/>
          </w:tcPr>
          <w:p w:rsidR="005F61EB" w:rsidRPr="009E337F" w:rsidRDefault="003F6E4B" w:rsidP="00B6471B">
            <w:pPr>
              <w:pStyle w:val="TableText0"/>
              <w:jc w:val="right"/>
              <w:rPr>
                <w:color w:val="000000"/>
              </w:rPr>
            </w:pPr>
            <w:r w:rsidRPr="009E337F">
              <w:rPr>
                <w:color w:val="000000"/>
              </w:rPr>
              <w:t>-</w:t>
            </w:r>
            <w:r w:rsidR="004114B3">
              <w:rPr>
                <w:noProof/>
                <w:color w:val="000000"/>
                <w:highlight w:val="black"/>
              </w:rPr>
              <w:t>''''''''''''''</w:t>
            </w:r>
            <w:r w:rsidR="00CC3DDA">
              <w:rPr>
                <w:vertAlign w:val="superscript"/>
              </w:rPr>
              <w:t>2</w:t>
            </w:r>
          </w:p>
        </w:tc>
        <w:tc>
          <w:tcPr>
            <w:tcW w:w="647" w:type="pct"/>
            <w:shd w:val="clear" w:color="auto" w:fill="auto"/>
            <w:vAlign w:val="center"/>
          </w:tcPr>
          <w:p w:rsidR="005F61EB" w:rsidRPr="009E337F" w:rsidRDefault="003F6E4B" w:rsidP="00B6471B">
            <w:pPr>
              <w:pStyle w:val="TableText0"/>
              <w:jc w:val="right"/>
              <w:rPr>
                <w:color w:val="000000"/>
              </w:rPr>
            </w:pPr>
            <w:r w:rsidRPr="009E337F">
              <w:rPr>
                <w:color w:val="000000"/>
              </w:rPr>
              <w:t>-</w:t>
            </w:r>
            <w:r w:rsidR="004114B3">
              <w:rPr>
                <w:noProof/>
                <w:color w:val="000000"/>
                <w:highlight w:val="black"/>
              </w:rPr>
              <w:t>'''''''''''''</w:t>
            </w:r>
            <w:r w:rsidR="00CC3DDA">
              <w:rPr>
                <w:vertAlign w:val="superscript"/>
              </w:rPr>
              <w:t>1</w:t>
            </w:r>
          </w:p>
        </w:tc>
        <w:tc>
          <w:tcPr>
            <w:tcW w:w="647" w:type="pct"/>
            <w:shd w:val="clear" w:color="auto" w:fill="auto"/>
            <w:vAlign w:val="center"/>
          </w:tcPr>
          <w:p w:rsidR="005F61EB" w:rsidRPr="009E337F" w:rsidRDefault="003F6E4B" w:rsidP="00B6471B">
            <w:pPr>
              <w:pStyle w:val="TableText0"/>
              <w:jc w:val="right"/>
              <w:rPr>
                <w:color w:val="000000"/>
              </w:rPr>
            </w:pPr>
            <w:r w:rsidRPr="009E337F">
              <w:rPr>
                <w:color w:val="000000"/>
              </w:rPr>
              <w:t>-</w:t>
            </w:r>
            <w:r w:rsidR="004114B3">
              <w:rPr>
                <w:noProof/>
                <w:color w:val="000000"/>
                <w:highlight w:val="black"/>
              </w:rPr>
              <w:t>''''''''''''</w:t>
            </w:r>
            <w:r w:rsidR="00CC3DDA">
              <w:rPr>
                <w:vertAlign w:val="superscript"/>
              </w:rPr>
              <w:t>1</w:t>
            </w:r>
          </w:p>
        </w:tc>
        <w:tc>
          <w:tcPr>
            <w:tcW w:w="647" w:type="pct"/>
            <w:shd w:val="clear" w:color="auto" w:fill="auto"/>
            <w:vAlign w:val="center"/>
          </w:tcPr>
          <w:p w:rsidR="005F61EB" w:rsidRPr="009E337F" w:rsidRDefault="003F6E4B" w:rsidP="00B6471B">
            <w:pPr>
              <w:pStyle w:val="TableText0"/>
              <w:jc w:val="right"/>
              <w:rPr>
                <w:color w:val="000000"/>
              </w:rPr>
            </w:pPr>
            <w:r w:rsidRPr="009E337F">
              <w:rPr>
                <w:color w:val="000000"/>
              </w:rPr>
              <w:t>-</w:t>
            </w:r>
            <w:r w:rsidR="004114B3">
              <w:rPr>
                <w:noProof/>
                <w:color w:val="000000"/>
                <w:highlight w:val="black"/>
              </w:rPr>
              <w:t>'''''''''''''</w:t>
            </w:r>
            <w:r w:rsidR="00CC3DDA">
              <w:rPr>
                <w:vertAlign w:val="superscript"/>
              </w:rPr>
              <w:t>1</w:t>
            </w:r>
          </w:p>
        </w:tc>
        <w:tc>
          <w:tcPr>
            <w:tcW w:w="647" w:type="pct"/>
            <w:vAlign w:val="center"/>
          </w:tcPr>
          <w:p w:rsidR="005F61EB" w:rsidRPr="009E337F" w:rsidRDefault="003F6E4B" w:rsidP="00B6471B">
            <w:pPr>
              <w:pStyle w:val="TableText0"/>
              <w:jc w:val="right"/>
              <w:rPr>
                <w:color w:val="000000"/>
              </w:rPr>
            </w:pPr>
            <w:r w:rsidRPr="009E337F">
              <w:rPr>
                <w:color w:val="000000"/>
              </w:rPr>
              <w:t>-</w:t>
            </w:r>
            <w:r w:rsidR="004114B3">
              <w:rPr>
                <w:noProof/>
                <w:color w:val="000000"/>
                <w:highlight w:val="black"/>
              </w:rPr>
              <w:t>''''''''''''''</w:t>
            </w:r>
            <w:r w:rsidR="00CC3DDA">
              <w:rPr>
                <w:vertAlign w:val="superscript"/>
              </w:rPr>
              <w:t>1</w:t>
            </w:r>
          </w:p>
        </w:tc>
      </w:tr>
      <w:tr w:rsidR="00C7409E" w:rsidRPr="009E337F" w:rsidTr="00B60C67">
        <w:tc>
          <w:tcPr>
            <w:tcW w:w="1118" w:type="pct"/>
            <w:shd w:val="clear" w:color="auto" w:fill="auto"/>
            <w:vAlign w:val="center"/>
          </w:tcPr>
          <w:p w:rsidR="00C7409E" w:rsidRPr="009E337F" w:rsidRDefault="003F6E4B" w:rsidP="00F37ECA">
            <w:pPr>
              <w:pStyle w:val="TableText0"/>
              <w:rPr>
                <w:vertAlign w:val="superscript"/>
              </w:rPr>
            </w:pPr>
            <w:r w:rsidRPr="009E337F">
              <w:t>Savings</w:t>
            </w:r>
            <w:r w:rsidR="00C7409E" w:rsidRPr="009E337F">
              <w:t xml:space="preserve"> to PBS/RPBS</w:t>
            </w:r>
            <w:r w:rsidR="007B01A5" w:rsidRPr="009E337F">
              <w:rPr>
                <w:vertAlign w:val="superscript"/>
              </w:rPr>
              <w:t>b</w:t>
            </w:r>
          </w:p>
        </w:tc>
        <w:tc>
          <w:tcPr>
            <w:tcW w:w="647" w:type="pct"/>
            <w:shd w:val="clear" w:color="auto" w:fill="auto"/>
            <w:vAlign w:val="center"/>
          </w:tcPr>
          <w:p w:rsidR="00C7409E" w:rsidRPr="009E337F" w:rsidRDefault="000307F1"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F74FD0"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F74FD0"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F74FD0"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F74FD0"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vAlign w:val="center"/>
          </w:tcPr>
          <w:p w:rsidR="00C7409E" w:rsidRPr="009E337F" w:rsidRDefault="00F74FD0"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r w:rsidR="00C7409E" w:rsidRPr="009E337F" w:rsidTr="00B60C67">
        <w:tc>
          <w:tcPr>
            <w:tcW w:w="1118" w:type="pct"/>
            <w:shd w:val="clear" w:color="auto" w:fill="auto"/>
            <w:vAlign w:val="center"/>
          </w:tcPr>
          <w:p w:rsidR="00C7409E" w:rsidRPr="009E337F" w:rsidRDefault="00C7409E" w:rsidP="00F37ECA">
            <w:pPr>
              <w:pStyle w:val="TableText0"/>
            </w:pPr>
            <w:r w:rsidRPr="009E337F">
              <w:t>Copayments</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r w:rsidR="00C7409E" w:rsidRPr="009E337F" w:rsidTr="00B60C67">
        <w:tc>
          <w:tcPr>
            <w:tcW w:w="1118" w:type="pct"/>
            <w:shd w:val="clear" w:color="auto" w:fill="auto"/>
            <w:vAlign w:val="center"/>
          </w:tcPr>
          <w:p w:rsidR="00C7409E" w:rsidRPr="009E337F" w:rsidRDefault="00C7409E" w:rsidP="00F37ECA">
            <w:pPr>
              <w:pStyle w:val="TableText0"/>
            </w:pPr>
            <w:r w:rsidRPr="009E337F">
              <w:t>Cost to PBS/RPBS less copayments</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vAlign w:val="center"/>
          </w:tcPr>
          <w:p w:rsidR="00C7409E" w:rsidRPr="009E337F" w:rsidRDefault="0067766A"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r w:rsidR="00C7409E" w:rsidRPr="009E337F" w:rsidTr="00503AD7">
        <w:tc>
          <w:tcPr>
            <w:tcW w:w="5000" w:type="pct"/>
            <w:gridSpan w:val="7"/>
            <w:shd w:val="clear" w:color="auto" w:fill="auto"/>
            <w:vAlign w:val="center"/>
          </w:tcPr>
          <w:p w:rsidR="00C7409E" w:rsidRPr="009E337F" w:rsidRDefault="00C7409E" w:rsidP="00F37ECA">
            <w:pPr>
              <w:pStyle w:val="TableText0"/>
              <w:rPr>
                <w:b/>
                <w:color w:val="000000"/>
              </w:rPr>
            </w:pPr>
            <w:r w:rsidRPr="009E337F">
              <w:rPr>
                <w:b/>
                <w:color w:val="000000"/>
              </w:rPr>
              <w:t>Net financial implications</w:t>
            </w:r>
          </w:p>
        </w:tc>
      </w:tr>
      <w:tr w:rsidR="00C7409E" w:rsidRPr="009E337F" w:rsidTr="003826D7">
        <w:tc>
          <w:tcPr>
            <w:tcW w:w="1118" w:type="pct"/>
            <w:shd w:val="clear" w:color="auto" w:fill="auto"/>
            <w:vAlign w:val="center"/>
          </w:tcPr>
          <w:p w:rsidR="00C7409E" w:rsidRPr="009E337F" w:rsidRDefault="00C7409E" w:rsidP="003826D7">
            <w:pPr>
              <w:pStyle w:val="TableText0"/>
            </w:pPr>
            <w:r w:rsidRPr="009E337F">
              <w:t>Net cost</w:t>
            </w:r>
            <w:r w:rsidR="003826D7" w:rsidRPr="009E337F">
              <w:t>/savings</w:t>
            </w:r>
            <w:r w:rsidRPr="009E337F">
              <w:t xml:space="preserve"> to PBS/RPBS</w:t>
            </w:r>
            <w:r w:rsidR="003541DD" w:rsidRPr="009E337F">
              <w:t xml:space="preserve"> </w:t>
            </w:r>
            <w:r w:rsidR="002C5AF4" w:rsidRPr="009E337F">
              <w:t>(Glatira only)</w:t>
            </w:r>
          </w:p>
        </w:tc>
        <w:tc>
          <w:tcPr>
            <w:tcW w:w="647" w:type="pct"/>
            <w:shd w:val="clear" w:color="auto" w:fill="auto"/>
            <w:vAlign w:val="center"/>
          </w:tcPr>
          <w:p w:rsidR="00C7409E" w:rsidRPr="009E337F" w:rsidRDefault="003826D7"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3826D7"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3826D7"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3826D7"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C7409E" w:rsidRPr="009E337F" w:rsidRDefault="003826D7"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vAlign w:val="center"/>
          </w:tcPr>
          <w:p w:rsidR="00C7409E" w:rsidRPr="009E337F" w:rsidRDefault="003826D7"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r w:rsidR="00EE6B84" w:rsidRPr="009E337F" w:rsidTr="003826D7">
        <w:tc>
          <w:tcPr>
            <w:tcW w:w="1118" w:type="pct"/>
            <w:shd w:val="clear" w:color="auto" w:fill="auto"/>
            <w:vAlign w:val="center"/>
          </w:tcPr>
          <w:p w:rsidR="00EE6B84" w:rsidRPr="009E337F" w:rsidRDefault="00EE6B84" w:rsidP="003826D7">
            <w:pPr>
              <w:pStyle w:val="TableText0"/>
            </w:pPr>
            <w:r w:rsidRPr="009E337F">
              <w:t>Net cost/savings to PBS/RPSB (Glatira and Copaxone)</w:t>
            </w:r>
            <w:r w:rsidR="007B01A5" w:rsidRPr="009E337F">
              <w:rPr>
                <w:vertAlign w:val="superscript"/>
              </w:rPr>
              <w:t>c</w:t>
            </w:r>
          </w:p>
        </w:tc>
        <w:tc>
          <w:tcPr>
            <w:tcW w:w="647" w:type="pct"/>
            <w:shd w:val="clear" w:color="auto" w:fill="auto"/>
            <w:vAlign w:val="center"/>
          </w:tcPr>
          <w:p w:rsidR="00EE6B84" w:rsidRPr="009E337F" w:rsidRDefault="00EE6B8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EE6B84" w:rsidRPr="009E337F" w:rsidRDefault="00EE6B8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EE6B84" w:rsidRPr="009E337F" w:rsidRDefault="00EE6B8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EE6B84" w:rsidRPr="009E337F" w:rsidRDefault="00EE6B8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shd w:val="clear" w:color="auto" w:fill="auto"/>
            <w:vAlign w:val="center"/>
          </w:tcPr>
          <w:p w:rsidR="00EE6B84" w:rsidRPr="009E337F" w:rsidRDefault="00EE6B8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c>
          <w:tcPr>
            <w:tcW w:w="647" w:type="pct"/>
            <w:vAlign w:val="center"/>
          </w:tcPr>
          <w:p w:rsidR="00EE6B84" w:rsidRPr="009E337F" w:rsidRDefault="00EE6B84" w:rsidP="00B6471B">
            <w:pPr>
              <w:pStyle w:val="TableText0"/>
              <w:jc w:val="right"/>
              <w:rPr>
                <w:color w:val="000000"/>
              </w:rPr>
            </w:pPr>
            <w:r w:rsidRPr="009E337F">
              <w:rPr>
                <w:color w:val="000000"/>
              </w:rPr>
              <w:t>-$</w:t>
            </w:r>
            <w:r w:rsidR="004114B3">
              <w:rPr>
                <w:noProof/>
                <w:color w:val="000000"/>
                <w:highlight w:val="black"/>
              </w:rPr>
              <w:t>''''''''''''''''''''''''''</w:t>
            </w:r>
            <w:r w:rsidR="00D646A9">
              <w:rPr>
                <w:vertAlign w:val="superscript"/>
              </w:rPr>
              <w:t>3</w:t>
            </w:r>
          </w:p>
        </w:tc>
      </w:tr>
    </w:tbl>
    <w:p w:rsidR="00C7409E" w:rsidRPr="009E337F" w:rsidRDefault="00C7409E" w:rsidP="00F37ECA">
      <w:pPr>
        <w:pStyle w:val="TableFigureFooter"/>
        <w:keepNext/>
        <w:jc w:val="left"/>
      </w:pPr>
      <w:r w:rsidRPr="009E337F">
        <w:rPr>
          <w:vertAlign w:val="superscript"/>
        </w:rPr>
        <w:t>a</w:t>
      </w:r>
      <w:r w:rsidR="00EE31A2" w:rsidRPr="009E337F">
        <w:t xml:space="preserve"> </w:t>
      </w:r>
      <w:r w:rsidR="00A420ED" w:rsidRPr="009E337F">
        <w:t>Based on assumed uptake rate of 20% in Year 1 increasing to 50% in Year 6</w:t>
      </w:r>
    </w:p>
    <w:p w:rsidR="007B01A5" w:rsidRPr="009E337F" w:rsidRDefault="007B01A5" w:rsidP="00F37ECA">
      <w:pPr>
        <w:pStyle w:val="TableFigureFooter"/>
        <w:keepNext/>
        <w:jc w:val="left"/>
      </w:pPr>
      <w:r w:rsidRPr="009E337F">
        <w:rPr>
          <w:vertAlign w:val="superscript"/>
        </w:rPr>
        <w:t>b</w:t>
      </w:r>
      <w:r w:rsidRPr="009E337F">
        <w:t xml:space="preserve"> Based on current</w:t>
      </w:r>
      <w:r w:rsidR="00CB1360" w:rsidRPr="009E337F">
        <w:t xml:space="preserve"> the AEMP of Copaxone ($791.54)</w:t>
      </w:r>
    </w:p>
    <w:p w:rsidR="00A420ED" w:rsidRPr="009E337F" w:rsidRDefault="007B01A5" w:rsidP="00F37ECA">
      <w:pPr>
        <w:pStyle w:val="TableFigureFooter"/>
        <w:keepNext/>
        <w:jc w:val="left"/>
      </w:pPr>
      <w:r w:rsidRPr="009E337F">
        <w:rPr>
          <w:vertAlign w:val="superscript"/>
        </w:rPr>
        <w:t>c</w:t>
      </w:r>
      <w:r w:rsidR="00A420ED" w:rsidRPr="009E337F">
        <w:rPr>
          <w:vertAlign w:val="superscript"/>
        </w:rPr>
        <w:t xml:space="preserve"> </w:t>
      </w:r>
      <w:r w:rsidRPr="009E337F">
        <w:t xml:space="preserve">Includes cost savings from a 25% statutory price reduction on the AEMP for Copaxone </w:t>
      </w:r>
    </w:p>
    <w:p w:rsidR="00BB7EC3" w:rsidRDefault="00C7409E" w:rsidP="00F37ECA">
      <w:pPr>
        <w:pStyle w:val="TableFigureFooter"/>
        <w:keepNext/>
      </w:pPr>
      <w:r w:rsidRPr="009E337F">
        <w:t xml:space="preserve">Source: </w:t>
      </w:r>
      <w:r w:rsidR="004D582D" w:rsidRPr="009E337F">
        <w:t xml:space="preserve">Table 4.4, 4.5, 4.6 </w:t>
      </w:r>
      <w:r w:rsidR="00121912" w:rsidRPr="009E337F">
        <w:t>pg 33-34 of submission</w:t>
      </w:r>
    </w:p>
    <w:p w:rsidR="00CC3DDA" w:rsidRPr="004114B3" w:rsidRDefault="00CC3DDA" w:rsidP="00F37ECA">
      <w:pPr>
        <w:pStyle w:val="TableFigureFooter"/>
        <w:keepNext/>
        <w:rPr>
          <w:i/>
        </w:rPr>
      </w:pPr>
      <w:r w:rsidRPr="004114B3">
        <w:rPr>
          <w:i/>
        </w:rPr>
        <w:t>The redacted values correspond to the following ranges:</w:t>
      </w:r>
    </w:p>
    <w:p w:rsidR="00CC3DDA" w:rsidRPr="004114B3" w:rsidRDefault="00CC3DDA" w:rsidP="00F37ECA">
      <w:pPr>
        <w:pStyle w:val="TableFigureFooter"/>
        <w:keepNext/>
        <w:rPr>
          <w:i/>
        </w:rPr>
      </w:pPr>
      <w:r w:rsidRPr="004114B3">
        <w:rPr>
          <w:i/>
          <w:vertAlign w:val="superscript"/>
        </w:rPr>
        <w:t>1</w:t>
      </w:r>
      <w:r w:rsidRPr="004114B3">
        <w:rPr>
          <w:i/>
        </w:rPr>
        <w:t xml:space="preserve"> 5,000 to &lt; 10,000</w:t>
      </w:r>
    </w:p>
    <w:p w:rsidR="00CC3DDA" w:rsidRPr="004114B3" w:rsidRDefault="00CC3DDA" w:rsidP="00F37ECA">
      <w:pPr>
        <w:pStyle w:val="TableFigureFooter"/>
        <w:keepNext/>
        <w:rPr>
          <w:i/>
        </w:rPr>
      </w:pPr>
      <w:r w:rsidRPr="004114B3">
        <w:rPr>
          <w:i/>
          <w:vertAlign w:val="superscript"/>
        </w:rPr>
        <w:t>2</w:t>
      </w:r>
      <w:r w:rsidRPr="004114B3">
        <w:rPr>
          <w:i/>
        </w:rPr>
        <w:t xml:space="preserve"> 500 to &lt; 5,000</w:t>
      </w:r>
    </w:p>
    <w:p w:rsidR="00D646A9" w:rsidRPr="004114B3" w:rsidRDefault="00D646A9" w:rsidP="00F37ECA">
      <w:pPr>
        <w:pStyle w:val="TableFigureFooter"/>
        <w:keepNext/>
        <w:rPr>
          <w:i/>
        </w:rPr>
      </w:pPr>
      <w:r w:rsidRPr="004114B3">
        <w:rPr>
          <w:i/>
          <w:vertAlign w:val="superscript"/>
        </w:rPr>
        <w:t>3</w:t>
      </w:r>
      <w:r w:rsidRPr="004114B3">
        <w:rPr>
          <w:i/>
        </w:rPr>
        <w:t xml:space="preserve"> $0 to &lt; $10 million</w:t>
      </w:r>
    </w:p>
    <w:p w:rsidR="00577546" w:rsidRPr="009E337F" w:rsidRDefault="00577546" w:rsidP="004F2C07">
      <w:pPr>
        <w:pStyle w:val="3Bodytext"/>
        <w:jc w:val="both"/>
      </w:pPr>
      <w:r w:rsidRPr="009E337F">
        <w:t xml:space="preserve">The minor submission assumed that </w:t>
      </w:r>
      <w:r w:rsidR="004470E0" w:rsidRPr="009E337F">
        <w:t>g</w:t>
      </w:r>
      <w:r w:rsidRPr="009E337F">
        <w:t xml:space="preserve">latiramer </w:t>
      </w:r>
      <w:r w:rsidR="00121912" w:rsidRPr="009E337F">
        <w:t>would</w:t>
      </w:r>
      <w:r w:rsidRPr="009E337F">
        <w:t xml:space="preserve"> move to the F2 formulary and be subject to price disclosure </w:t>
      </w:r>
      <w:r w:rsidR="00CB1360" w:rsidRPr="009E337F">
        <w:t>following the</w:t>
      </w:r>
      <w:r w:rsidRPr="009E337F">
        <w:t xml:space="preserve"> listing of Glatira. </w:t>
      </w:r>
    </w:p>
    <w:p w:rsidR="00BA347C" w:rsidRPr="009E337F" w:rsidRDefault="00BA347C" w:rsidP="004F2C07">
      <w:pPr>
        <w:pStyle w:val="3Bodytext"/>
        <w:jc w:val="both"/>
      </w:pPr>
      <w:r w:rsidRPr="009E337F">
        <w:t>As a minor submission, the financial estimates have not been independently evaluated.</w:t>
      </w:r>
    </w:p>
    <w:p w:rsidR="00CE169E" w:rsidRPr="009E337F" w:rsidRDefault="00CE169E" w:rsidP="00CE169E">
      <w:pPr>
        <w:pStyle w:val="3Bodytext"/>
        <w:numPr>
          <w:ilvl w:val="0"/>
          <w:numId w:val="0"/>
        </w:numPr>
        <w:ind w:left="720"/>
        <w:jc w:val="both"/>
      </w:pPr>
      <w:r w:rsidRPr="009E337F">
        <w:rPr>
          <w:i/>
        </w:rPr>
        <w:t>For more detail on PBAC’s view, see section 6 PBAC outcome.</w:t>
      </w:r>
    </w:p>
    <w:p w:rsidR="00D3143D" w:rsidRPr="009E337F" w:rsidRDefault="00D3143D" w:rsidP="00D3143D">
      <w:pPr>
        <w:pStyle w:val="4-SubsectionHeading"/>
      </w:pPr>
      <w:r w:rsidRPr="009E337F">
        <w:t>Quality use of medicine</w:t>
      </w:r>
    </w:p>
    <w:p w:rsidR="00C53B2B" w:rsidRPr="009E337F" w:rsidRDefault="00D3143D" w:rsidP="004F2C07">
      <w:pPr>
        <w:pStyle w:val="3Bodytext"/>
        <w:jc w:val="both"/>
        <w:rPr>
          <w:sz w:val="22"/>
        </w:rPr>
      </w:pPr>
      <w:r w:rsidRPr="009E337F">
        <w:t xml:space="preserve">The minor submission did not provide a rationale for </w:t>
      </w:r>
      <w:r w:rsidR="00CB1360" w:rsidRPr="009E337F">
        <w:t xml:space="preserve">the requested listing of the </w:t>
      </w:r>
      <w:r w:rsidRPr="009E337F">
        <w:t>20 mg</w:t>
      </w:r>
      <w:r w:rsidR="00CB1360" w:rsidRPr="009E337F">
        <w:t xml:space="preserve"> strength of Glatira</w:t>
      </w:r>
      <w:r w:rsidRPr="009E337F">
        <w:t xml:space="preserve"> on the PBS. </w:t>
      </w:r>
      <w:r w:rsidR="00E8198F" w:rsidRPr="009E337F">
        <w:t xml:space="preserve">At its November 2018 consideration of the request to delist Copaxone 20 mg/mL injection, the PBAC acknowledged the clinical use of the 20 mg/mL </w:t>
      </w:r>
      <w:r w:rsidR="00F41CE4" w:rsidRPr="009E337F">
        <w:t xml:space="preserve">was </w:t>
      </w:r>
      <w:r w:rsidR="00E8198F" w:rsidRPr="009E337F">
        <w:t>diminishing. This may be due to more frequent once daily dosing required for the 20 mg/ mL injection compared to three times a week for the 40 mg/mL injection.</w:t>
      </w:r>
    </w:p>
    <w:p w:rsidR="00201721" w:rsidRDefault="00CE169E" w:rsidP="00CE169E">
      <w:pPr>
        <w:pStyle w:val="3Bodytext"/>
        <w:numPr>
          <w:ilvl w:val="0"/>
          <w:numId w:val="0"/>
        </w:numPr>
        <w:ind w:left="720"/>
        <w:jc w:val="both"/>
        <w:rPr>
          <w:i/>
        </w:rPr>
      </w:pPr>
      <w:r w:rsidRPr="009E337F">
        <w:rPr>
          <w:i/>
        </w:rPr>
        <w:t>For more detail on PBAC’s view, see section 6 PBAC outcome.</w:t>
      </w:r>
    </w:p>
    <w:p w:rsidR="00201721" w:rsidRDefault="00201721">
      <w:pPr>
        <w:jc w:val="left"/>
        <w:rPr>
          <w:rFonts w:asciiTheme="minorHAnsi" w:eastAsiaTheme="minorHAnsi" w:hAnsiTheme="minorHAnsi" w:cstheme="minorBidi"/>
          <w:i/>
          <w:szCs w:val="22"/>
        </w:rPr>
      </w:pPr>
      <w:r>
        <w:rPr>
          <w:i/>
        </w:rPr>
        <w:br w:type="page"/>
      </w:r>
    </w:p>
    <w:p w:rsidR="005B3D39" w:rsidRPr="009E337F" w:rsidRDefault="005B3D39" w:rsidP="003C2408">
      <w:pPr>
        <w:pStyle w:val="2-SectionHeading"/>
      </w:pPr>
      <w:bookmarkStart w:id="4" w:name="_GoBack"/>
      <w:bookmarkEnd w:id="4"/>
      <w:r w:rsidRPr="009E337F">
        <w:t>PBAC Outcome</w:t>
      </w:r>
    </w:p>
    <w:p w:rsidR="00FB1DDD" w:rsidRPr="00B6471B" w:rsidRDefault="005B3D39" w:rsidP="00A017FB">
      <w:pPr>
        <w:widowControl w:val="0"/>
        <w:numPr>
          <w:ilvl w:val="1"/>
          <w:numId w:val="1"/>
        </w:numPr>
        <w:spacing w:after="120"/>
        <w:rPr>
          <w:rFonts w:cs="Arial"/>
          <w:bCs/>
          <w:snapToGrid w:val="0"/>
        </w:rPr>
      </w:pPr>
      <w:r w:rsidRPr="00B6471B">
        <w:rPr>
          <w:rFonts w:asciiTheme="minorHAnsi" w:hAnsiTheme="minorHAnsi" w:cs="Arial"/>
          <w:bCs/>
          <w:snapToGrid w:val="0"/>
        </w:rPr>
        <w:t>The PBAC recommended the listing of</w:t>
      </w:r>
      <w:r w:rsidR="00265817" w:rsidRPr="00B6471B">
        <w:rPr>
          <w:rFonts w:asciiTheme="minorHAnsi" w:hAnsiTheme="minorHAnsi" w:cs="Arial"/>
          <w:bCs/>
          <w:snapToGrid w:val="0"/>
        </w:rPr>
        <w:t xml:space="preserve"> a new brand</w:t>
      </w:r>
      <w:r w:rsidR="00F7351D" w:rsidRPr="00B6471B">
        <w:rPr>
          <w:rFonts w:asciiTheme="minorHAnsi" w:hAnsiTheme="minorHAnsi" w:cs="Arial"/>
          <w:bCs/>
          <w:snapToGrid w:val="0"/>
        </w:rPr>
        <w:t xml:space="preserve"> of</w:t>
      </w:r>
      <w:r w:rsidRPr="00B6471B">
        <w:rPr>
          <w:rFonts w:asciiTheme="minorHAnsi" w:hAnsiTheme="minorHAnsi" w:cs="Arial"/>
          <w:bCs/>
          <w:snapToGrid w:val="0"/>
        </w:rPr>
        <w:t xml:space="preserve"> </w:t>
      </w:r>
      <w:r w:rsidR="00265817" w:rsidRPr="009E337F">
        <w:t>glatiramer</w:t>
      </w:r>
      <w:r w:rsidR="00E04A36" w:rsidRPr="009E337F">
        <w:t xml:space="preserve">, </w:t>
      </w:r>
      <w:r w:rsidR="00265817" w:rsidRPr="009E337F">
        <w:t>Glatira</w:t>
      </w:r>
      <w:r w:rsidR="00265817" w:rsidRPr="009E337F">
        <w:rPr>
          <w:rFonts w:cstheme="minorHAnsi"/>
        </w:rPr>
        <w:t>®</w:t>
      </w:r>
      <w:r w:rsidR="008461AE" w:rsidRPr="009E337F">
        <w:rPr>
          <w:rFonts w:cstheme="minorHAnsi"/>
        </w:rPr>
        <w:t xml:space="preserve">, </w:t>
      </w:r>
      <w:r w:rsidR="00265817" w:rsidRPr="009E337F">
        <w:t>40</w:t>
      </w:r>
      <w:r w:rsidR="00F7351D" w:rsidRPr="009E337F">
        <w:t xml:space="preserve"> </w:t>
      </w:r>
      <w:r w:rsidR="00265817" w:rsidRPr="009E337F">
        <w:t>mg/mL injection</w:t>
      </w:r>
      <w:r w:rsidR="008461AE" w:rsidRPr="009E337F">
        <w:t xml:space="preserve"> </w:t>
      </w:r>
      <w:r w:rsidR="00265817" w:rsidRPr="009E337F">
        <w:t>and</w:t>
      </w:r>
      <w:r w:rsidR="008E35F5" w:rsidRPr="009E337F">
        <w:t xml:space="preserve"> </w:t>
      </w:r>
      <w:r w:rsidR="00265817" w:rsidRPr="009E337F">
        <w:t>20</w:t>
      </w:r>
      <w:r w:rsidR="00F7351D" w:rsidRPr="009E337F">
        <w:t xml:space="preserve"> </w:t>
      </w:r>
      <w:r w:rsidR="00265817" w:rsidRPr="009E337F">
        <w:t xml:space="preserve">mg/mL injection, on the PBS for the treatment of </w:t>
      </w:r>
      <w:r w:rsidR="00DE23DB" w:rsidRPr="009E337F">
        <w:t>multiple sclerosis</w:t>
      </w:r>
      <w:r w:rsidR="00D06C73" w:rsidRPr="00B6471B">
        <w:rPr>
          <w:rFonts w:asciiTheme="minorHAnsi" w:hAnsiTheme="minorHAnsi" w:cs="Arial"/>
          <w:bCs/>
          <w:snapToGrid w:val="0"/>
        </w:rPr>
        <w:t xml:space="preserve">, </w:t>
      </w:r>
      <w:r w:rsidR="00F7351D" w:rsidRPr="00B6471B">
        <w:rPr>
          <w:rFonts w:cs="Arial"/>
          <w:bCs/>
          <w:snapToGrid w:val="0"/>
        </w:rPr>
        <w:t xml:space="preserve">on a cost-minimisation basis to the </w:t>
      </w:r>
      <w:r w:rsidR="005D380A" w:rsidRPr="00B6471B">
        <w:rPr>
          <w:rFonts w:cs="Arial"/>
          <w:bCs/>
          <w:snapToGrid w:val="0"/>
        </w:rPr>
        <w:t xml:space="preserve">reference </w:t>
      </w:r>
      <w:r w:rsidR="00D06C73" w:rsidRPr="00B6471B">
        <w:rPr>
          <w:rFonts w:cs="Arial"/>
          <w:bCs/>
          <w:snapToGrid w:val="0"/>
        </w:rPr>
        <w:t xml:space="preserve">brand, </w:t>
      </w:r>
      <w:r w:rsidR="00F7351D" w:rsidRPr="00B6471B">
        <w:rPr>
          <w:rFonts w:cs="Arial"/>
          <w:bCs/>
          <w:snapToGrid w:val="0"/>
        </w:rPr>
        <w:t>Copaxone</w:t>
      </w:r>
      <w:r w:rsidR="00D06C73" w:rsidRPr="00B6471B">
        <w:rPr>
          <w:rFonts w:cs="Arial"/>
          <w:bCs/>
          <w:snapToGrid w:val="0"/>
        </w:rPr>
        <w:t>®</w:t>
      </w:r>
      <w:r w:rsidR="009E337F">
        <w:rPr>
          <w:rFonts w:cs="Arial"/>
          <w:bCs/>
          <w:snapToGrid w:val="0"/>
        </w:rPr>
        <w:t xml:space="preserve">. </w:t>
      </w:r>
    </w:p>
    <w:p w:rsidR="00F7351D" w:rsidRPr="00503DD0" w:rsidRDefault="00FB1DDD" w:rsidP="00A017FB">
      <w:pPr>
        <w:pStyle w:val="3Bodytext"/>
        <w:jc w:val="both"/>
        <w:rPr>
          <w:snapToGrid w:val="0"/>
        </w:rPr>
      </w:pPr>
      <w:r w:rsidRPr="00B6471B">
        <w:rPr>
          <w:rFonts w:ascii="Calibri" w:eastAsia="Times New Roman" w:hAnsi="Calibri"/>
          <w:snapToGrid w:val="0"/>
          <w:szCs w:val="24"/>
        </w:rPr>
        <w:t>The PBAC</w:t>
      </w:r>
      <w:r w:rsidR="006F4A20" w:rsidRPr="00B6471B">
        <w:rPr>
          <w:rFonts w:ascii="Calibri" w:eastAsia="Times New Roman" w:hAnsi="Calibri"/>
          <w:snapToGrid w:val="0"/>
          <w:szCs w:val="24"/>
        </w:rPr>
        <w:t xml:space="preserve"> considered</w:t>
      </w:r>
      <w:r w:rsidRPr="00B6471B">
        <w:rPr>
          <w:rFonts w:ascii="Calibri" w:eastAsia="Times New Roman" w:hAnsi="Calibri"/>
          <w:snapToGrid w:val="0"/>
          <w:szCs w:val="24"/>
        </w:rPr>
        <w:t xml:space="preserve"> that the listings are likely to substitute within the existing </w:t>
      </w:r>
      <w:r w:rsidR="009A1E48" w:rsidRPr="00B6471B">
        <w:rPr>
          <w:rFonts w:ascii="Calibri" w:eastAsia="Times New Roman" w:hAnsi="Calibri"/>
          <w:snapToGrid w:val="0"/>
          <w:szCs w:val="24"/>
        </w:rPr>
        <w:t xml:space="preserve">glatiramer </w:t>
      </w:r>
      <w:r w:rsidRPr="00B6471B">
        <w:rPr>
          <w:rFonts w:ascii="Calibri" w:eastAsia="Times New Roman" w:hAnsi="Calibri"/>
          <w:snapToGrid w:val="0"/>
          <w:szCs w:val="24"/>
        </w:rPr>
        <w:t xml:space="preserve">market </w:t>
      </w:r>
      <w:r w:rsidRPr="00B6471B">
        <w:rPr>
          <w:rFonts w:ascii="Calibri" w:eastAsia="Times New Roman" w:hAnsi="Calibri" w:cs="Arial"/>
          <w:bCs/>
          <w:snapToGrid w:val="0"/>
          <w:szCs w:val="24"/>
        </w:rPr>
        <w:t xml:space="preserve">and therefore </w:t>
      </w:r>
      <w:r w:rsidR="00BF70F9">
        <w:rPr>
          <w:rFonts w:ascii="Calibri" w:eastAsia="Times New Roman" w:hAnsi="Calibri" w:cs="Arial"/>
          <w:bCs/>
          <w:snapToGrid w:val="0"/>
          <w:szCs w:val="24"/>
        </w:rPr>
        <w:t>not result in increased utilisation of glatiramer</w:t>
      </w:r>
      <w:r w:rsidRPr="00B6471B">
        <w:rPr>
          <w:rFonts w:ascii="Calibri" w:eastAsia="Times New Roman" w:hAnsi="Calibri" w:cs="Arial"/>
          <w:bCs/>
          <w:snapToGrid w:val="0"/>
          <w:szCs w:val="24"/>
        </w:rPr>
        <w:t xml:space="preserve">. </w:t>
      </w:r>
    </w:p>
    <w:p w:rsidR="00503DD0" w:rsidRPr="00503DD0" w:rsidRDefault="00503DD0" w:rsidP="00FB1DDD">
      <w:pPr>
        <w:pStyle w:val="3Bodytext"/>
        <w:rPr>
          <w:snapToGrid w:val="0"/>
        </w:rPr>
      </w:pPr>
      <w:r>
        <w:rPr>
          <w:rFonts w:ascii="Calibri" w:eastAsia="Times New Roman" w:hAnsi="Calibri" w:cs="Arial"/>
          <w:bCs/>
          <w:snapToGrid w:val="0"/>
          <w:szCs w:val="24"/>
        </w:rPr>
        <w:t>The PBAC advised the equi-effective doses were:</w:t>
      </w:r>
    </w:p>
    <w:p w:rsidR="00503DD0" w:rsidRDefault="00503DD0" w:rsidP="00503DD0">
      <w:pPr>
        <w:pStyle w:val="3Bodytext"/>
        <w:numPr>
          <w:ilvl w:val="0"/>
          <w:numId w:val="15"/>
        </w:numPr>
        <w:rPr>
          <w:snapToGrid w:val="0"/>
        </w:rPr>
      </w:pPr>
      <w:r>
        <w:rPr>
          <w:snapToGrid w:val="0"/>
        </w:rPr>
        <w:t>Glatira 40 mg 3 times a week</w:t>
      </w:r>
    </w:p>
    <w:p w:rsidR="00503DD0" w:rsidRDefault="00503DD0" w:rsidP="00503DD0">
      <w:pPr>
        <w:pStyle w:val="3Bodytext"/>
        <w:numPr>
          <w:ilvl w:val="0"/>
          <w:numId w:val="15"/>
        </w:numPr>
        <w:rPr>
          <w:snapToGrid w:val="0"/>
        </w:rPr>
      </w:pPr>
      <w:r>
        <w:rPr>
          <w:snapToGrid w:val="0"/>
        </w:rPr>
        <w:t>Copaxone 40 mg 3 times a week</w:t>
      </w:r>
    </w:p>
    <w:p w:rsidR="00503DD0" w:rsidRPr="00B6471B" w:rsidRDefault="00503DD0" w:rsidP="00503DD0">
      <w:pPr>
        <w:pStyle w:val="3Bodytext"/>
        <w:numPr>
          <w:ilvl w:val="0"/>
          <w:numId w:val="15"/>
        </w:numPr>
        <w:rPr>
          <w:snapToGrid w:val="0"/>
        </w:rPr>
      </w:pPr>
      <w:r>
        <w:rPr>
          <w:snapToGrid w:val="0"/>
        </w:rPr>
        <w:t>Copaxone 20 mg once daily (QD)</w:t>
      </w:r>
    </w:p>
    <w:p w:rsidR="006C0448" w:rsidRPr="009E337F" w:rsidRDefault="006C0448" w:rsidP="00A017FB">
      <w:pPr>
        <w:pStyle w:val="3Bodytext"/>
        <w:jc w:val="both"/>
      </w:pPr>
      <w:r w:rsidRPr="009E337F">
        <w:t xml:space="preserve">The PBAC </w:t>
      </w:r>
      <w:r w:rsidR="009C3DC4" w:rsidRPr="009E337F">
        <w:t xml:space="preserve">recalled its decision at </w:t>
      </w:r>
      <w:r w:rsidR="003B39E0" w:rsidRPr="009E337F">
        <w:t xml:space="preserve">the </w:t>
      </w:r>
      <w:r w:rsidR="009C3DC4" w:rsidRPr="009E337F">
        <w:t xml:space="preserve">November 2018 meeting to delist </w:t>
      </w:r>
      <w:r w:rsidR="00106C8D" w:rsidRPr="009E337F">
        <w:t>C</w:t>
      </w:r>
      <w:r w:rsidR="0040657C" w:rsidRPr="009E337F">
        <w:t>o</w:t>
      </w:r>
      <w:r w:rsidR="00106C8D" w:rsidRPr="009E337F">
        <w:t>p</w:t>
      </w:r>
      <w:r w:rsidR="0040657C" w:rsidRPr="009E337F">
        <w:t>a</w:t>
      </w:r>
      <w:r w:rsidR="00106C8D" w:rsidRPr="009E337F">
        <w:t>xone</w:t>
      </w:r>
      <w:r w:rsidR="009C3DC4" w:rsidRPr="009E337F">
        <w:t xml:space="preserve"> 20 mg/mL</w:t>
      </w:r>
      <w:r w:rsidRPr="009E337F">
        <w:t xml:space="preserve"> from the PBS</w:t>
      </w:r>
      <w:r w:rsidR="00D94909" w:rsidRPr="009E337F">
        <w:t xml:space="preserve"> </w:t>
      </w:r>
      <w:r w:rsidRPr="009E337F">
        <w:t>at the request of the sponsor</w:t>
      </w:r>
      <w:r w:rsidR="009C3DC4" w:rsidRPr="009E337F">
        <w:t xml:space="preserve">. </w:t>
      </w:r>
      <w:r w:rsidR="00695165" w:rsidRPr="009E337F">
        <w:t>The PBAC recalled tha</w:t>
      </w:r>
      <w:r w:rsidR="003B39E0" w:rsidRPr="009E337F">
        <w:t xml:space="preserve">t its decision was based on </w:t>
      </w:r>
      <w:r w:rsidR="00695165" w:rsidRPr="009E337F">
        <w:t xml:space="preserve">diminishing use of the 20 mg/mL injection. </w:t>
      </w:r>
      <w:r w:rsidR="009C3DC4" w:rsidRPr="009E337F">
        <w:t>The PBAC noted that C</w:t>
      </w:r>
      <w:r w:rsidR="0040657C" w:rsidRPr="009E337F">
        <w:t>opaxone</w:t>
      </w:r>
      <w:r w:rsidR="009C3DC4" w:rsidRPr="009E337F">
        <w:t xml:space="preserve"> 20 mg/mL was de-listed in July 2019</w:t>
      </w:r>
      <w:r w:rsidRPr="009E337F">
        <w:t>.</w:t>
      </w:r>
      <w:r w:rsidR="00C949FA" w:rsidRPr="009E337F">
        <w:t xml:space="preserve"> </w:t>
      </w:r>
      <w:r w:rsidR="003B39E0" w:rsidRPr="009E337F">
        <w:t>Although the PBAC considered there was a low clinical need for the 20 mg/mL injection</w:t>
      </w:r>
      <w:r w:rsidR="00B8289A" w:rsidRPr="009E337F">
        <w:t>,</w:t>
      </w:r>
      <w:r w:rsidR="00F41CE4" w:rsidRPr="009E337F">
        <w:t xml:space="preserve"> </w:t>
      </w:r>
      <w:r w:rsidR="003B39E0" w:rsidRPr="009E337F">
        <w:t>it</w:t>
      </w:r>
      <w:r w:rsidRPr="009E337F">
        <w:t xml:space="preserve"> had </w:t>
      </w:r>
      <w:r w:rsidR="001949CD" w:rsidRPr="009E337F">
        <w:t>no objection</w:t>
      </w:r>
      <w:r w:rsidRPr="009E337F">
        <w:t xml:space="preserve"> to</w:t>
      </w:r>
      <w:r w:rsidR="00CC5279" w:rsidRPr="009E337F">
        <w:t xml:space="preserve"> its</w:t>
      </w:r>
      <w:r w:rsidRPr="009E337F">
        <w:t xml:space="preserve"> </w:t>
      </w:r>
      <w:r w:rsidR="00B8289A" w:rsidRPr="009E337F">
        <w:t>list</w:t>
      </w:r>
      <w:r w:rsidR="003B39E0" w:rsidRPr="009E337F">
        <w:t>ing</w:t>
      </w:r>
      <w:r w:rsidR="00B8289A" w:rsidRPr="009E337F">
        <w:t xml:space="preserve"> </w:t>
      </w:r>
      <w:r w:rsidR="009D799E" w:rsidRPr="009E337F">
        <w:t>on the PBS</w:t>
      </w:r>
      <w:r w:rsidR="003B39E0" w:rsidRPr="009E337F">
        <w:t>.</w:t>
      </w:r>
    </w:p>
    <w:p w:rsidR="005B3D39" w:rsidRPr="007C1CCB" w:rsidRDefault="003A3974" w:rsidP="00A017FB">
      <w:pPr>
        <w:pStyle w:val="3Bodytext"/>
        <w:jc w:val="both"/>
        <w:rPr>
          <w:snapToGrid w:val="0"/>
        </w:rPr>
      </w:pPr>
      <w:r w:rsidRPr="007C1CCB">
        <w:rPr>
          <w:snapToGrid w:val="0"/>
        </w:rPr>
        <w:t xml:space="preserve">The PBAC noted that the </w:t>
      </w:r>
      <w:r w:rsidR="009C3DC4" w:rsidRPr="007C1CCB">
        <w:rPr>
          <w:snapToGrid w:val="0"/>
        </w:rPr>
        <w:t>TGA was unable to assess bioequivalence based on pharmacokinetic or pharmacodynamic markers</w:t>
      </w:r>
      <w:r w:rsidR="00697F03" w:rsidRPr="007C1CCB">
        <w:rPr>
          <w:snapToGrid w:val="0"/>
        </w:rPr>
        <w:t>, because</w:t>
      </w:r>
      <w:r w:rsidR="00F95D81" w:rsidRPr="007C1CCB">
        <w:rPr>
          <w:snapToGrid w:val="0"/>
        </w:rPr>
        <w:t xml:space="preserve"> </w:t>
      </w:r>
      <w:r w:rsidR="009C3DC4" w:rsidRPr="007C1CCB">
        <w:rPr>
          <w:snapToGrid w:val="0"/>
        </w:rPr>
        <w:t>the</w:t>
      </w:r>
      <w:r w:rsidR="00F95D81" w:rsidRPr="007C1CCB">
        <w:rPr>
          <w:snapToGrid w:val="0"/>
        </w:rPr>
        <w:t xml:space="preserve"> concentration</w:t>
      </w:r>
      <w:r w:rsidR="009C3DC4" w:rsidRPr="007C1CCB">
        <w:rPr>
          <w:snapToGrid w:val="0"/>
        </w:rPr>
        <w:t xml:space="preserve"> of glatiramer</w:t>
      </w:r>
      <w:r w:rsidR="00F95D81" w:rsidRPr="007C1CCB">
        <w:rPr>
          <w:snapToGrid w:val="0"/>
        </w:rPr>
        <w:t xml:space="preserve"> in plasma or other body fluids cannot be determined</w:t>
      </w:r>
      <w:r w:rsidR="00697F03" w:rsidRPr="007C1CCB">
        <w:rPr>
          <w:snapToGrid w:val="0"/>
        </w:rPr>
        <w:t>; and</w:t>
      </w:r>
      <w:r w:rsidR="009C3DC4" w:rsidRPr="007C1CCB">
        <w:rPr>
          <w:snapToGrid w:val="0"/>
        </w:rPr>
        <w:t xml:space="preserve"> glatiramer is extensively degraded at the site of subcutaneous injection. </w:t>
      </w:r>
      <w:r w:rsidR="00F95D81" w:rsidRPr="007C1CCB">
        <w:rPr>
          <w:snapToGrid w:val="0"/>
        </w:rPr>
        <w:t>T</w:t>
      </w:r>
      <w:r w:rsidRPr="007C1CCB">
        <w:rPr>
          <w:snapToGrid w:val="0"/>
        </w:rPr>
        <w:t>he PBAC</w:t>
      </w:r>
      <w:r w:rsidR="00F95D81" w:rsidRPr="007C1CCB">
        <w:rPr>
          <w:snapToGrid w:val="0"/>
        </w:rPr>
        <w:t xml:space="preserve"> considered that based on the available</w:t>
      </w:r>
      <w:r w:rsidR="00CD3EC8" w:rsidRPr="007C1CCB">
        <w:rPr>
          <w:snapToGrid w:val="0"/>
        </w:rPr>
        <w:t xml:space="preserve"> trial</w:t>
      </w:r>
      <w:r w:rsidR="00F95D81" w:rsidRPr="007C1CCB">
        <w:rPr>
          <w:snapToGrid w:val="0"/>
        </w:rPr>
        <w:t xml:space="preserve"> evidence</w:t>
      </w:r>
      <w:r w:rsidR="00CD3EC8" w:rsidRPr="007C1CCB">
        <w:rPr>
          <w:snapToGrid w:val="0"/>
        </w:rPr>
        <w:t xml:space="preserve"> using MRI-endpoints,</w:t>
      </w:r>
      <w:r w:rsidR="00F95D81" w:rsidRPr="007C1CCB">
        <w:rPr>
          <w:snapToGrid w:val="0"/>
        </w:rPr>
        <w:t xml:space="preserve"> </w:t>
      </w:r>
      <w:r w:rsidR="0013394B" w:rsidRPr="007C1CCB">
        <w:rPr>
          <w:snapToGrid w:val="0"/>
        </w:rPr>
        <w:t>it</w:t>
      </w:r>
      <w:r w:rsidR="00382F2B" w:rsidRPr="007C1CCB">
        <w:rPr>
          <w:snapToGrid w:val="0"/>
        </w:rPr>
        <w:t xml:space="preserve"> would be reasonable to consider Glatira and Copaxone as </w:t>
      </w:r>
      <w:r w:rsidR="00F95D81" w:rsidRPr="007C1CCB">
        <w:rPr>
          <w:snapToGrid w:val="0"/>
        </w:rPr>
        <w:t xml:space="preserve">bioequivalent for the purposes of the </w:t>
      </w:r>
      <w:r w:rsidR="00F95D81" w:rsidRPr="007C1CCB">
        <w:rPr>
          <w:i/>
          <w:snapToGrid w:val="0"/>
        </w:rPr>
        <w:t>National Health Act 1953</w:t>
      </w:r>
      <w:r w:rsidR="00697F03" w:rsidRPr="007C1CCB">
        <w:rPr>
          <w:i/>
          <w:snapToGrid w:val="0"/>
        </w:rPr>
        <w:t xml:space="preserve"> </w:t>
      </w:r>
      <w:r w:rsidR="00697F03" w:rsidRPr="007C1CCB">
        <w:rPr>
          <w:snapToGrid w:val="0"/>
        </w:rPr>
        <w:t>(the Act)</w:t>
      </w:r>
      <w:r w:rsidR="00F95D81" w:rsidRPr="007C1CCB">
        <w:rPr>
          <w:snapToGrid w:val="0"/>
        </w:rPr>
        <w:t>.</w:t>
      </w:r>
    </w:p>
    <w:p w:rsidR="006C0448" w:rsidRPr="007C1CCB" w:rsidRDefault="006C0448" w:rsidP="00A017FB">
      <w:pPr>
        <w:pStyle w:val="3Bodytext"/>
        <w:jc w:val="both"/>
        <w:rPr>
          <w:snapToGrid w:val="0"/>
        </w:rPr>
      </w:pPr>
      <w:r w:rsidRPr="007C1CCB">
        <w:rPr>
          <w:snapToGrid w:val="0"/>
        </w:rPr>
        <w:t xml:space="preserve">The PBAC advised, under Section 101 (4AACD) of the </w:t>
      </w:r>
      <w:r w:rsidR="00697F03" w:rsidRPr="007C1CCB">
        <w:rPr>
          <w:snapToGrid w:val="0"/>
        </w:rPr>
        <w:t>Act</w:t>
      </w:r>
      <w:r w:rsidRPr="007C1CCB">
        <w:rPr>
          <w:snapToGrid w:val="0"/>
        </w:rPr>
        <w:t>, that Glatira</w:t>
      </w:r>
      <w:r w:rsidR="00401C44" w:rsidRPr="007C1CCB">
        <w:rPr>
          <w:snapToGrid w:val="0"/>
        </w:rPr>
        <w:t xml:space="preserve"> </w:t>
      </w:r>
      <w:r w:rsidR="00401C44" w:rsidRPr="009E337F">
        <w:t>40</w:t>
      </w:r>
      <w:r w:rsidR="00CD3EC8" w:rsidRPr="009E337F">
        <w:t xml:space="preserve"> </w:t>
      </w:r>
      <w:r w:rsidR="00401C44" w:rsidRPr="009E337F">
        <w:t>mg/mL injection</w:t>
      </w:r>
      <w:r w:rsidR="00401C44" w:rsidRPr="007C1CCB">
        <w:rPr>
          <w:snapToGrid w:val="0"/>
        </w:rPr>
        <w:t xml:space="preserve"> </w:t>
      </w:r>
      <w:r w:rsidRPr="007C1CCB">
        <w:rPr>
          <w:snapToGrid w:val="0"/>
        </w:rPr>
        <w:t>and Copaxone</w:t>
      </w:r>
      <w:r w:rsidR="00401C44" w:rsidRPr="007C1CCB">
        <w:rPr>
          <w:snapToGrid w:val="0"/>
        </w:rPr>
        <w:t xml:space="preserve"> </w:t>
      </w:r>
      <w:r w:rsidR="00401C44" w:rsidRPr="009E337F">
        <w:t>40</w:t>
      </w:r>
      <w:r w:rsidR="00CD3EC8" w:rsidRPr="009E337F">
        <w:t xml:space="preserve"> </w:t>
      </w:r>
      <w:r w:rsidR="00401C44" w:rsidRPr="009E337F">
        <w:t>mg/mL injection</w:t>
      </w:r>
      <w:r w:rsidR="00401C44" w:rsidRPr="007C1CCB">
        <w:rPr>
          <w:snapToGrid w:val="0"/>
        </w:rPr>
        <w:t xml:space="preserve"> </w:t>
      </w:r>
      <w:r w:rsidRPr="007C1CCB">
        <w:rPr>
          <w:snapToGrid w:val="0"/>
        </w:rPr>
        <w:t xml:space="preserve">should be considered equivalent for the purposes of substitution (i.e., ‘a’ flagged in the Schedule). </w:t>
      </w:r>
    </w:p>
    <w:p w:rsidR="005B3D39" w:rsidRPr="007C1CCB" w:rsidRDefault="005B3D39" w:rsidP="00A017FB">
      <w:pPr>
        <w:pStyle w:val="3Bodytext"/>
        <w:jc w:val="both"/>
        <w:rPr>
          <w:b/>
          <w:bCs/>
        </w:rPr>
      </w:pPr>
      <w:r w:rsidRPr="007C1CCB">
        <w:t xml:space="preserve">The PBAC noted that its recommendation was on a cost-minimisation basis and advised that, because </w:t>
      </w:r>
      <w:r w:rsidR="00C262B0" w:rsidRPr="007C1CCB">
        <w:t>Glatira</w:t>
      </w:r>
      <w:r w:rsidRPr="007C1CCB">
        <w:t xml:space="preserve"> is not expected to provide a substantial</w:t>
      </w:r>
      <w:r w:rsidRPr="007C1CCB">
        <w:rPr>
          <w:bCs/>
        </w:rPr>
        <w:t xml:space="preserve"> and clinically relevant improvement in efficacy, or reduction of toxicity, over </w:t>
      </w:r>
      <w:r w:rsidR="00C262B0" w:rsidRPr="007C1CCB">
        <w:rPr>
          <w:bCs/>
        </w:rPr>
        <w:t>Copaxone</w:t>
      </w:r>
      <w:r w:rsidRPr="007C1CCB">
        <w:rPr>
          <w:bCs/>
        </w:rPr>
        <w:t xml:space="preserve">, or not expected to address a high and urgent unmet clinical need given the presence of an alternative therapy, the criteria prescribed by the </w:t>
      </w:r>
      <w:r w:rsidRPr="007C1CCB">
        <w:rPr>
          <w:bCs/>
          <w:i/>
        </w:rPr>
        <w:t>National Health (Pharmaceuticals and Vaccines – Cost Recovery) Regulations 2009</w:t>
      </w:r>
      <w:r w:rsidRPr="007C1CCB">
        <w:rPr>
          <w:bCs/>
        </w:rPr>
        <w:t xml:space="preserve"> for Pricing Pathway A were not met.</w:t>
      </w:r>
    </w:p>
    <w:p w:rsidR="005B3D39" w:rsidRPr="007C1CCB" w:rsidRDefault="005B3D39" w:rsidP="00A017FB">
      <w:pPr>
        <w:pStyle w:val="3Bodytext"/>
        <w:jc w:val="both"/>
        <w:rPr>
          <w:rFonts w:cs="Arial"/>
          <w:bCs/>
          <w:i/>
          <w:snapToGrid w:val="0"/>
        </w:rPr>
      </w:pPr>
      <w:r w:rsidRPr="007C1CCB">
        <w:rPr>
          <w:rFonts w:cs="Arial"/>
          <w:bCs/>
          <w:snapToGrid w:val="0"/>
        </w:rPr>
        <w:t>The PBAC noted that this submission is not eligible for an Independent Review</w:t>
      </w:r>
      <w:r w:rsidR="00C262B0" w:rsidRPr="007C1CCB">
        <w:rPr>
          <w:rFonts w:cs="Arial"/>
          <w:bCs/>
          <w:snapToGrid w:val="0"/>
        </w:rPr>
        <w:t xml:space="preserve"> because it received a positive recommendation</w:t>
      </w:r>
      <w:r w:rsidRPr="007C1CCB">
        <w:rPr>
          <w:rFonts w:cs="Arial"/>
          <w:bCs/>
          <w:snapToGrid w:val="0"/>
        </w:rPr>
        <w:t xml:space="preserve">. </w:t>
      </w:r>
    </w:p>
    <w:p w:rsidR="005B3D39" w:rsidRPr="007C1CCB" w:rsidRDefault="005B3D39" w:rsidP="005B3D39">
      <w:pPr>
        <w:spacing w:before="240"/>
        <w:rPr>
          <w:rFonts w:asciiTheme="minorHAnsi" w:hAnsiTheme="minorHAnsi" w:cs="Arial"/>
          <w:b/>
          <w:bCs/>
          <w:snapToGrid w:val="0"/>
        </w:rPr>
      </w:pPr>
      <w:r w:rsidRPr="007C1CCB">
        <w:rPr>
          <w:rFonts w:asciiTheme="minorHAnsi" w:hAnsiTheme="minorHAnsi" w:cs="Arial"/>
          <w:b/>
          <w:bCs/>
          <w:snapToGrid w:val="0"/>
        </w:rPr>
        <w:t>Outcome:</w:t>
      </w:r>
    </w:p>
    <w:p w:rsidR="005B3D39" w:rsidRPr="007C1CCB" w:rsidRDefault="005B3D39" w:rsidP="005B3D39">
      <w:pPr>
        <w:rPr>
          <w:rFonts w:asciiTheme="minorHAnsi" w:hAnsiTheme="minorHAnsi" w:cs="Arial"/>
          <w:bCs/>
          <w:snapToGrid w:val="0"/>
        </w:rPr>
      </w:pPr>
      <w:r w:rsidRPr="007C1CCB">
        <w:rPr>
          <w:rFonts w:asciiTheme="minorHAnsi" w:hAnsiTheme="minorHAnsi" w:cs="Arial"/>
          <w:bCs/>
          <w:snapToGrid w:val="0"/>
        </w:rPr>
        <w:t>Reco</w:t>
      </w:r>
      <w:r w:rsidR="00C262B0" w:rsidRPr="007C1CCB">
        <w:rPr>
          <w:rFonts w:asciiTheme="minorHAnsi" w:hAnsiTheme="minorHAnsi" w:cs="Arial"/>
          <w:bCs/>
          <w:snapToGrid w:val="0"/>
        </w:rPr>
        <w:t>mmended</w:t>
      </w:r>
    </w:p>
    <w:p w:rsidR="005B3D39" w:rsidRPr="009E337F" w:rsidRDefault="005B3D39" w:rsidP="005B3D39">
      <w:pPr>
        <w:widowControl w:val="0"/>
        <w:rPr>
          <w:rFonts w:asciiTheme="minorHAnsi" w:hAnsiTheme="minorHAnsi" w:cs="Arial"/>
          <w:b/>
          <w:bCs/>
          <w:snapToGrid w:val="0"/>
        </w:rPr>
      </w:pPr>
    </w:p>
    <w:p w:rsidR="005B3D39" w:rsidRPr="007C1CCB" w:rsidRDefault="005B3D39" w:rsidP="00F41CE4">
      <w:pPr>
        <w:pStyle w:val="2-SectionHeading"/>
        <w:rPr>
          <w:i/>
        </w:rPr>
      </w:pPr>
      <w:r w:rsidRPr="009E337F">
        <w:t>Recommended</w:t>
      </w:r>
      <w:r w:rsidRPr="007C1CCB">
        <w:t xml:space="preserve"> listing</w:t>
      </w:r>
    </w:p>
    <w:p w:rsidR="007D5E16" w:rsidRPr="009E337F" w:rsidRDefault="007D5E16" w:rsidP="007D5E16">
      <w:pPr>
        <w:pStyle w:val="3Bodytext"/>
      </w:pPr>
      <w:r w:rsidRPr="009E337F">
        <w:t>Add new medicinal product pack that has the strength of ‘20 mg/mL injection’ with the trade product ‘Glatira’ as follows:</w:t>
      </w:r>
    </w:p>
    <w:p w:rsidR="007D5E16" w:rsidRPr="009E337F" w:rsidRDefault="007D5E16" w:rsidP="007D5E16">
      <w:pPr>
        <w:pStyle w:val="3Bodytext"/>
      </w:pPr>
      <w:r w:rsidRPr="009E337F">
        <w:t>Add new trade product ‘Glatira’ to the existing 40 mg/mL strength listing (PBS item code 10416F) as follows:</w:t>
      </w:r>
    </w:p>
    <w:p w:rsidR="00F41CE4" w:rsidRPr="007C1CCB" w:rsidRDefault="007D5E16" w:rsidP="007D5E16">
      <w:pPr>
        <w:pStyle w:val="3Bodytext"/>
        <w:rPr>
          <w:rFonts w:cs="Arial"/>
          <w:bCs/>
          <w:snapToGrid w:val="0"/>
        </w:rPr>
      </w:pPr>
      <w:r w:rsidRPr="009E337F">
        <w:t>Add a-flags between the Glatira and Copaxone trade products for the 40 mg/mL strength as follows: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3125"/>
        <w:gridCol w:w="1134"/>
        <w:gridCol w:w="851"/>
        <w:gridCol w:w="850"/>
        <w:gridCol w:w="709"/>
        <w:gridCol w:w="1417"/>
      </w:tblGrid>
      <w:tr w:rsidR="007D5E16" w:rsidRPr="002B416F" w:rsidTr="00E8151E">
        <w:trPr>
          <w:cantSplit/>
          <w:trHeight w:val="471"/>
        </w:trPr>
        <w:tc>
          <w:tcPr>
            <w:tcW w:w="4106" w:type="dxa"/>
            <w:gridSpan w:val="2"/>
          </w:tcPr>
          <w:p w:rsidR="007D5E16" w:rsidRPr="002B416F" w:rsidRDefault="007D5E16" w:rsidP="00E8151E">
            <w:pPr>
              <w:keepNext/>
              <w:ind w:left="-57"/>
              <w:rPr>
                <w:rFonts w:ascii="Arial Narrow" w:hAnsi="Arial Narrow" w:cs="Arial"/>
                <w:b/>
                <w:bCs/>
                <w:sz w:val="20"/>
                <w:szCs w:val="20"/>
              </w:rPr>
            </w:pPr>
            <w:r w:rsidRPr="002B416F">
              <w:rPr>
                <w:rFonts w:ascii="Arial Narrow" w:hAnsi="Arial Narrow" w:cs="Arial"/>
                <w:b/>
                <w:bCs/>
                <w:sz w:val="20"/>
                <w:szCs w:val="20"/>
              </w:rPr>
              <w:t>MEDICINAL PRODUCT</w:t>
            </w:r>
          </w:p>
          <w:p w:rsidR="007D5E16" w:rsidRPr="002B416F" w:rsidRDefault="007D5E16" w:rsidP="00E8151E">
            <w:pPr>
              <w:keepNext/>
              <w:ind w:left="-57"/>
              <w:rPr>
                <w:rFonts w:ascii="Arial Narrow" w:hAnsi="Arial Narrow" w:cs="Arial"/>
                <w:b/>
                <w:sz w:val="20"/>
                <w:szCs w:val="20"/>
              </w:rPr>
            </w:pPr>
            <w:r w:rsidRPr="002B416F">
              <w:rPr>
                <w:rFonts w:ascii="Arial Narrow" w:hAnsi="Arial Narrow" w:cs="Arial"/>
                <w:b/>
                <w:bCs/>
                <w:sz w:val="20"/>
                <w:szCs w:val="20"/>
              </w:rPr>
              <w:t>medicinal product pack</w:t>
            </w:r>
          </w:p>
        </w:tc>
        <w:tc>
          <w:tcPr>
            <w:tcW w:w="1134" w:type="dxa"/>
          </w:tcPr>
          <w:p w:rsidR="007D5E16" w:rsidRPr="002B416F" w:rsidRDefault="007D5E16" w:rsidP="00E8151E">
            <w:pPr>
              <w:keepNext/>
              <w:ind w:left="-108"/>
              <w:jc w:val="center"/>
              <w:rPr>
                <w:rFonts w:ascii="Arial Narrow" w:hAnsi="Arial Narrow" w:cs="Arial"/>
                <w:b/>
                <w:sz w:val="20"/>
                <w:szCs w:val="20"/>
              </w:rPr>
            </w:pPr>
            <w:r w:rsidRPr="002B416F">
              <w:rPr>
                <w:rFonts w:ascii="Arial Narrow" w:hAnsi="Arial Narrow" w:cs="Arial"/>
                <w:b/>
                <w:sz w:val="20"/>
                <w:szCs w:val="20"/>
              </w:rPr>
              <w:t>PBS item code</w:t>
            </w:r>
          </w:p>
        </w:tc>
        <w:tc>
          <w:tcPr>
            <w:tcW w:w="851" w:type="dxa"/>
          </w:tcPr>
          <w:p w:rsidR="007D5E16" w:rsidRPr="002B416F" w:rsidRDefault="007D5E16" w:rsidP="00E8151E">
            <w:pPr>
              <w:keepNext/>
              <w:ind w:left="-108"/>
              <w:jc w:val="center"/>
              <w:rPr>
                <w:rFonts w:ascii="Arial Narrow" w:hAnsi="Arial Narrow" w:cs="Arial"/>
                <w:b/>
                <w:sz w:val="20"/>
                <w:szCs w:val="20"/>
              </w:rPr>
            </w:pPr>
            <w:r w:rsidRPr="002B416F">
              <w:rPr>
                <w:rFonts w:ascii="Arial Narrow" w:hAnsi="Arial Narrow" w:cs="Arial"/>
                <w:b/>
                <w:sz w:val="20"/>
                <w:szCs w:val="20"/>
              </w:rPr>
              <w:t>Max. qty packs</w:t>
            </w:r>
          </w:p>
        </w:tc>
        <w:tc>
          <w:tcPr>
            <w:tcW w:w="850" w:type="dxa"/>
          </w:tcPr>
          <w:p w:rsidR="007D5E16" w:rsidRPr="002B416F" w:rsidRDefault="007D5E16" w:rsidP="00E8151E">
            <w:pPr>
              <w:keepNext/>
              <w:ind w:left="-108"/>
              <w:jc w:val="center"/>
              <w:rPr>
                <w:rFonts w:ascii="Arial Narrow" w:hAnsi="Arial Narrow" w:cs="Arial"/>
                <w:b/>
                <w:sz w:val="20"/>
                <w:szCs w:val="20"/>
              </w:rPr>
            </w:pPr>
            <w:r w:rsidRPr="002B416F">
              <w:rPr>
                <w:rFonts w:ascii="Arial Narrow" w:hAnsi="Arial Narrow" w:cs="Arial"/>
                <w:b/>
                <w:sz w:val="20"/>
                <w:szCs w:val="20"/>
              </w:rPr>
              <w:t>Max. qty units</w:t>
            </w:r>
          </w:p>
        </w:tc>
        <w:tc>
          <w:tcPr>
            <w:tcW w:w="709" w:type="dxa"/>
          </w:tcPr>
          <w:p w:rsidR="007D5E16" w:rsidRPr="002B416F" w:rsidRDefault="007D5E16" w:rsidP="00E8151E">
            <w:pPr>
              <w:keepNext/>
              <w:ind w:left="-108"/>
              <w:jc w:val="center"/>
              <w:rPr>
                <w:rFonts w:ascii="Arial Narrow" w:hAnsi="Arial Narrow" w:cs="Arial"/>
                <w:b/>
                <w:sz w:val="20"/>
                <w:szCs w:val="20"/>
              </w:rPr>
            </w:pPr>
            <w:r w:rsidRPr="002B416F">
              <w:rPr>
                <w:rFonts w:ascii="Arial Narrow" w:hAnsi="Arial Narrow" w:cs="Arial"/>
                <w:b/>
                <w:sz w:val="20"/>
                <w:szCs w:val="20"/>
              </w:rPr>
              <w:t>№.of</w:t>
            </w:r>
          </w:p>
          <w:p w:rsidR="007D5E16" w:rsidRPr="002B416F" w:rsidRDefault="007D5E16" w:rsidP="00E8151E">
            <w:pPr>
              <w:keepNext/>
              <w:ind w:left="-108"/>
              <w:jc w:val="center"/>
              <w:rPr>
                <w:rFonts w:ascii="Arial Narrow" w:hAnsi="Arial Narrow" w:cs="Arial"/>
                <w:b/>
                <w:sz w:val="20"/>
                <w:szCs w:val="20"/>
              </w:rPr>
            </w:pPr>
            <w:r w:rsidRPr="002B416F">
              <w:rPr>
                <w:rFonts w:ascii="Arial Narrow" w:hAnsi="Arial Narrow" w:cs="Arial"/>
                <w:b/>
                <w:sz w:val="20"/>
                <w:szCs w:val="20"/>
              </w:rPr>
              <w:t>Rpts</w:t>
            </w:r>
          </w:p>
        </w:tc>
        <w:tc>
          <w:tcPr>
            <w:tcW w:w="1417" w:type="dxa"/>
          </w:tcPr>
          <w:p w:rsidR="007D5E16" w:rsidRPr="002B416F" w:rsidRDefault="007D5E16" w:rsidP="00E8151E">
            <w:pPr>
              <w:keepNext/>
              <w:rPr>
                <w:rFonts w:ascii="Arial Narrow" w:hAnsi="Arial Narrow" w:cs="Arial"/>
                <w:b/>
                <w:sz w:val="20"/>
                <w:szCs w:val="20"/>
              </w:rPr>
            </w:pPr>
            <w:r w:rsidRPr="002B416F">
              <w:rPr>
                <w:rFonts w:ascii="Arial Narrow" w:hAnsi="Arial Narrow" w:cs="Arial"/>
                <w:b/>
                <w:sz w:val="20"/>
                <w:szCs w:val="20"/>
              </w:rPr>
              <w:t>Available brands</w:t>
            </w:r>
          </w:p>
        </w:tc>
      </w:tr>
      <w:tr w:rsidR="007D5E16" w:rsidRPr="002B416F" w:rsidTr="00E8151E">
        <w:trPr>
          <w:cantSplit/>
          <w:trHeight w:val="293"/>
        </w:trPr>
        <w:tc>
          <w:tcPr>
            <w:tcW w:w="9067" w:type="dxa"/>
            <w:gridSpan w:val="7"/>
          </w:tcPr>
          <w:p w:rsidR="007D5E16" w:rsidRPr="002B416F" w:rsidRDefault="007D5E16" w:rsidP="00E8151E">
            <w:pPr>
              <w:keepNext/>
              <w:ind w:left="-57"/>
              <w:rPr>
                <w:rFonts w:ascii="Arial Narrow" w:hAnsi="Arial Narrow" w:cs="Arial"/>
                <w:sz w:val="20"/>
                <w:szCs w:val="20"/>
              </w:rPr>
            </w:pPr>
            <w:r w:rsidRPr="002B416F">
              <w:rPr>
                <w:rFonts w:ascii="Arial Narrow" w:hAnsi="Arial Narrow" w:cs="Arial"/>
                <w:sz w:val="20"/>
                <w:szCs w:val="20"/>
              </w:rPr>
              <w:t>GLATIRAMER ACETATE</w:t>
            </w:r>
          </w:p>
        </w:tc>
      </w:tr>
      <w:tr w:rsidR="007D5E16" w:rsidRPr="002B416F" w:rsidTr="00E8151E">
        <w:trPr>
          <w:cantSplit/>
          <w:trHeight w:val="507"/>
        </w:trPr>
        <w:tc>
          <w:tcPr>
            <w:tcW w:w="4106" w:type="dxa"/>
            <w:gridSpan w:val="2"/>
          </w:tcPr>
          <w:p w:rsidR="007D5E16" w:rsidRPr="002B416F" w:rsidRDefault="007D5E16" w:rsidP="00E8151E">
            <w:pPr>
              <w:keepNext/>
              <w:ind w:left="-57"/>
              <w:rPr>
                <w:rFonts w:ascii="Arial Narrow" w:hAnsi="Arial Narrow" w:cs="Arial"/>
                <w:sz w:val="20"/>
                <w:szCs w:val="20"/>
              </w:rPr>
            </w:pPr>
            <w:r w:rsidRPr="002B416F">
              <w:rPr>
                <w:rFonts w:ascii="Arial Narrow" w:hAnsi="Arial Narrow" w:cs="Arial Narrow"/>
                <w:sz w:val="20"/>
                <w:szCs w:val="20"/>
              </w:rPr>
              <w:t>glatiramer acetate 40 mg/mL injection, 12 x 1 mL syringes</w:t>
            </w:r>
            <w:r w:rsidRPr="002B416F">
              <w:rPr>
                <w:rFonts w:ascii="Arial Narrow" w:hAnsi="Arial Narrow" w:cs="Arial"/>
                <w:sz w:val="20"/>
                <w:szCs w:val="20"/>
              </w:rPr>
              <w:t xml:space="preserve"> </w:t>
            </w:r>
          </w:p>
          <w:p w:rsidR="007D5E16" w:rsidRPr="002B416F" w:rsidRDefault="007D5E16" w:rsidP="00E8151E">
            <w:pPr>
              <w:keepNext/>
              <w:ind w:left="-57"/>
              <w:rPr>
                <w:rFonts w:ascii="Arial Narrow" w:hAnsi="Arial Narrow" w:cs="Arial"/>
                <w:sz w:val="20"/>
                <w:szCs w:val="20"/>
              </w:rPr>
            </w:pPr>
          </w:p>
        </w:tc>
        <w:tc>
          <w:tcPr>
            <w:tcW w:w="1134" w:type="dxa"/>
          </w:tcPr>
          <w:p w:rsidR="007D5E16" w:rsidRPr="002B416F" w:rsidRDefault="007D5E16" w:rsidP="00E8151E">
            <w:pPr>
              <w:keepNext/>
              <w:ind w:left="-108"/>
              <w:jc w:val="center"/>
              <w:rPr>
                <w:rFonts w:ascii="Arial Narrow" w:hAnsi="Arial Narrow" w:cs="Arial"/>
                <w:sz w:val="20"/>
                <w:szCs w:val="20"/>
              </w:rPr>
            </w:pPr>
            <w:r w:rsidRPr="002B416F">
              <w:rPr>
                <w:rFonts w:ascii="Arial Narrow" w:hAnsi="Arial Narrow" w:cs="Arial"/>
                <w:sz w:val="20"/>
                <w:szCs w:val="20"/>
              </w:rPr>
              <w:t xml:space="preserve">10416F </w:t>
            </w:r>
          </w:p>
          <w:p w:rsidR="007D5E16" w:rsidRPr="002B416F" w:rsidRDefault="007D5E16" w:rsidP="00E8151E">
            <w:pPr>
              <w:keepNext/>
              <w:ind w:left="-108"/>
              <w:jc w:val="center"/>
              <w:rPr>
                <w:rFonts w:ascii="Arial Narrow" w:hAnsi="Arial Narrow" w:cs="Arial"/>
                <w:sz w:val="20"/>
                <w:szCs w:val="20"/>
              </w:rPr>
            </w:pPr>
          </w:p>
        </w:tc>
        <w:tc>
          <w:tcPr>
            <w:tcW w:w="851" w:type="dxa"/>
          </w:tcPr>
          <w:p w:rsidR="007D5E16" w:rsidRPr="002B416F" w:rsidRDefault="007D5E16" w:rsidP="00E8151E">
            <w:pPr>
              <w:keepNext/>
              <w:jc w:val="center"/>
              <w:rPr>
                <w:rFonts w:ascii="Arial Narrow" w:hAnsi="Arial Narrow" w:cs="Arial"/>
                <w:sz w:val="20"/>
                <w:szCs w:val="20"/>
              </w:rPr>
            </w:pPr>
            <w:r w:rsidRPr="002B416F">
              <w:rPr>
                <w:rFonts w:ascii="Arial Narrow" w:hAnsi="Arial Narrow" w:cs="Arial"/>
                <w:sz w:val="20"/>
                <w:szCs w:val="20"/>
              </w:rPr>
              <w:t>1</w:t>
            </w:r>
          </w:p>
        </w:tc>
        <w:tc>
          <w:tcPr>
            <w:tcW w:w="850" w:type="dxa"/>
          </w:tcPr>
          <w:p w:rsidR="007D5E16" w:rsidRPr="002B416F" w:rsidRDefault="007D5E16" w:rsidP="00E8151E">
            <w:pPr>
              <w:keepNext/>
              <w:ind w:left="-108"/>
              <w:jc w:val="center"/>
              <w:rPr>
                <w:rFonts w:ascii="Arial Narrow" w:hAnsi="Arial Narrow" w:cs="Arial"/>
                <w:sz w:val="20"/>
                <w:szCs w:val="20"/>
              </w:rPr>
            </w:pPr>
            <w:r w:rsidRPr="002B416F">
              <w:rPr>
                <w:rFonts w:ascii="Arial Narrow" w:hAnsi="Arial Narrow" w:cs="Arial"/>
                <w:sz w:val="20"/>
                <w:szCs w:val="20"/>
              </w:rPr>
              <w:t>12</w:t>
            </w:r>
          </w:p>
        </w:tc>
        <w:tc>
          <w:tcPr>
            <w:tcW w:w="709" w:type="dxa"/>
          </w:tcPr>
          <w:p w:rsidR="007D5E16" w:rsidRPr="002B416F" w:rsidRDefault="007D5E16" w:rsidP="00E8151E">
            <w:pPr>
              <w:keepNext/>
              <w:ind w:left="-108"/>
              <w:jc w:val="center"/>
              <w:rPr>
                <w:rFonts w:ascii="Arial Narrow" w:hAnsi="Arial Narrow" w:cs="Arial"/>
                <w:sz w:val="20"/>
                <w:szCs w:val="20"/>
              </w:rPr>
            </w:pPr>
            <w:r w:rsidRPr="002B416F">
              <w:rPr>
                <w:rFonts w:ascii="Arial Narrow" w:hAnsi="Arial Narrow" w:cs="Arial"/>
                <w:sz w:val="20"/>
                <w:szCs w:val="20"/>
              </w:rPr>
              <w:t>5</w:t>
            </w:r>
          </w:p>
        </w:tc>
        <w:tc>
          <w:tcPr>
            <w:tcW w:w="1417" w:type="dxa"/>
          </w:tcPr>
          <w:p w:rsidR="007D5E16" w:rsidRPr="002B416F" w:rsidRDefault="007D5E16" w:rsidP="00E8151E">
            <w:pPr>
              <w:keepNext/>
              <w:rPr>
                <w:rFonts w:ascii="Arial Narrow" w:hAnsi="Arial Narrow" w:cs="Arial"/>
                <w:i/>
                <w:sz w:val="20"/>
                <w:szCs w:val="20"/>
              </w:rPr>
            </w:pPr>
            <w:r w:rsidRPr="002B416F">
              <w:rPr>
                <w:rFonts w:ascii="Arial Narrow" w:hAnsi="Arial Narrow" w:cs="Arial"/>
                <w:sz w:val="20"/>
                <w:szCs w:val="20"/>
                <w:vertAlign w:val="superscript"/>
              </w:rPr>
              <w:t>a</w:t>
            </w:r>
            <w:r w:rsidRPr="002B416F">
              <w:rPr>
                <w:rFonts w:ascii="Arial Narrow" w:hAnsi="Arial Narrow" w:cs="Arial"/>
                <w:i/>
                <w:sz w:val="20"/>
                <w:szCs w:val="20"/>
              </w:rPr>
              <w:t xml:space="preserve">Glatira </w:t>
            </w:r>
          </w:p>
          <w:p w:rsidR="007D5E16" w:rsidRPr="002B416F" w:rsidRDefault="007D5E16" w:rsidP="00E8151E">
            <w:pPr>
              <w:keepNext/>
              <w:rPr>
                <w:rFonts w:ascii="Arial Narrow" w:hAnsi="Arial Narrow" w:cs="Arial"/>
                <w:sz w:val="20"/>
                <w:szCs w:val="20"/>
              </w:rPr>
            </w:pPr>
            <w:r w:rsidRPr="002B416F">
              <w:rPr>
                <w:rFonts w:ascii="Arial Narrow" w:hAnsi="Arial Narrow" w:cs="Arial"/>
                <w:sz w:val="20"/>
                <w:szCs w:val="20"/>
                <w:vertAlign w:val="superscript"/>
              </w:rPr>
              <w:t>a</w:t>
            </w:r>
            <w:r w:rsidRPr="002B416F">
              <w:rPr>
                <w:rFonts w:ascii="Arial Narrow" w:hAnsi="Arial Narrow" w:cs="Arial"/>
                <w:sz w:val="20"/>
                <w:szCs w:val="20"/>
              </w:rPr>
              <w:t>Copaxone</w:t>
            </w:r>
          </w:p>
        </w:tc>
      </w:tr>
      <w:tr w:rsidR="007D5E16" w:rsidRPr="002B416F" w:rsidTr="00E8151E">
        <w:trPr>
          <w:cantSplit/>
          <w:trHeight w:val="327"/>
        </w:trPr>
        <w:tc>
          <w:tcPr>
            <w:tcW w:w="4106" w:type="dxa"/>
            <w:gridSpan w:val="2"/>
          </w:tcPr>
          <w:p w:rsidR="007D5E16" w:rsidRPr="002B416F" w:rsidRDefault="007D5E16" w:rsidP="00E8151E">
            <w:pPr>
              <w:keepNext/>
              <w:tabs>
                <w:tab w:val="left" w:pos="1077"/>
              </w:tabs>
              <w:ind w:left="-57"/>
              <w:rPr>
                <w:rFonts w:ascii="Arial Narrow" w:hAnsi="Arial Narrow" w:cs="Arial"/>
                <w:sz w:val="20"/>
                <w:szCs w:val="20"/>
              </w:rPr>
            </w:pPr>
            <w:r w:rsidRPr="002B416F">
              <w:rPr>
                <w:rFonts w:ascii="Arial Narrow" w:hAnsi="Arial Narrow" w:cs="Arial Narrow"/>
                <w:sz w:val="20"/>
                <w:szCs w:val="20"/>
              </w:rPr>
              <w:t>glatiramer acetate 20 mg/mL injection, 28 x 1 mL syringes</w:t>
            </w:r>
          </w:p>
        </w:tc>
        <w:tc>
          <w:tcPr>
            <w:tcW w:w="1134" w:type="dxa"/>
          </w:tcPr>
          <w:p w:rsidR="007D5E16" w:rsidRPr="002B416F" w:rsidRDefault="007D5E16" w:rsidP="00E8151E">
            <w:pPr>
              <w:keepNext/>
              <w:jc w:val="center"/>
              <w:rPr>
                <w:rFonts w:ascii="Arial Narrow" w:hAnsi="Arial Narrow" w:cs="Arial"/>
                <w:sz w:val="20"/>
                <w:szCs w:val="20"/>
              </w:rPr>
            </w:pPr>
            <w:r w:rsidRPr="002B416F">
              <w:rPr>
                <w:rFonts w:ascii="Arial Narrow" w:hAnsi="Arial Narrow" w:cs="Arial"/>
                <w:sz w:val="20"/>
                <w:szCs w:val="20"/>
              </w:rPr>
              <w:t>NEW</w:t>
            </w:r>
          </w:p>
        </w:tc>
        <w:tc>
          <w:tcPr>
            <w:tcW w:w="851" w:type="dxa"/>
          </w:tcPr>
          <w:p w:rsidR="007D5E16" w:rsidRPr="002B416F" w:rsidRDefault="007D5E16" w:rsidP="00E8151E">
            <w:pPr>
              <w:keepNext/>
              <w:jc w:val="center"/>
              <w:rPr>
                <w:rFonts w:ascii="Arial Narrow" w:hAnsi="Arial Narrow" w:cs="Arial"/>
                <w:sz w:val="20"/>
                <w:szCs w:val="20"/>
              </w:rPr>
            </w:pPr>
            <w:r w:rsidRPr="002B416F">
              <w:rPr>
                <w:rFonts w:ascii="Arial Narrow" w:hAnsi="Arial Narrow" w:cs="Arial"/>
                <w:sz w:val="20"/>
                <w:szCs w:val="20"/>
              </w:rPr>
              <w:t>1</w:t>
            </w:r>
          </w:p>
        </w:tc>
        <w:tc>
          <w:tcPr>
            <w:tcW w:w="850" w:type="dxa"/>
          </w:tcPr>
          <w:p w:rsidR="007D5E16" w:rsidRPr="002B416F" w:rsidRDefault="007D5E16" w:rsidP="00E8151E">
            <w:pPr>
              <w:keepNext/>
              <w:ind w:left="-108"/>
              <w:jc w:val="center"/>
              <w:rPr>
                <w:rFonts w:ascii="Arial Narrow" w:hAnsi="Arial Narrow" w:cs="Arial"/>
                <w:sz w:val="20"/>
                <w:szCs w:val="20"/>
              </w:rPr>
            </w:pPr>
            <w:r w:rsidRPr="002B416F">
              <w:rPr>
                <w:rFonts w:ascii="Arial Narrow" w:hAnsi="Arial Narrow" w:cs="Arial"/>
                <w:sz w:val="20"/>
                <w:szCs w:val="20"/>
              </w:rPr>
              <w:t>28</w:t>
            </w:r>
          </w:p>
        </w:tc>
        <w:tc>
          <w:tcPr>
            <w:tcW w:w="709" w:type="dxa"/>
          </w:tcPr>
          <w:p w:rsidR="007D5E16" w:rsidRPr="002B416F" w:rsidRDefault="007D5E16" w:rsidP="00E8151E">
            <w:pPr>
              <w:keepNext/>
              <w:ind w:left="-108"/>
              <w:jc w:val="center"/>
              <w:rPr>
                <w:rFonts w:ascii="Arial Narrow" w:hAnsi="Arial Narrow" w:cs="Arial"/>
                <w:sz w:val="20"/>
                <w:szCs w:val="20"/>
              </w:rPr>
            </w:pPr>
            <w:r w:rsidRPr="002B416F">
              <w:rPr>
                <w:rFonts w:ascii="Arial Narrow" w:hAnsi="Arial Narrow" w:cs="Arial"/>
                <w:sz w:val="20"/>
                <w:szCs w:val="20"/>
              </w:rPr>
              <w:t>5</w:t>
            </w:r>
          </w:p>
        </w:tc>
        <w:tc>
          <w:tcPr>
            <w:tcW w:w="1417" w:type="dxa"/>
          </w:tcPr>
          <w:p w:rsidR="007D5E16" w:rsidRPr="002B416F" w:rsidRDefault="007D5E16" w:rsidP="00E8151E">
            <w:pPr>
              <w:keepNext/>
              <w:rPr>
                <w:rFonts w:ascii="Arial Narrow" w:hAnsi="Arial Narrow" w:cs="Arial"/>
                <w:sz w:val="20"/>
                <w:szCs w:val="20"/>
              </w:rPr>
            </w:pPr>
            <w:r w:rsidRPr="002B416F">
              <w:rPr>
                <w:rFonts w:ascii="Arial Narrow" w:hAnsi="Arial Narrow" w:cs="Arial"/>
                <w:sz w:val="20"/>
                <w:szCs w:val="20"/>
              </w:rPr>
              <w:t>Glatira</w:t>
            </w:r>
          </w:p>
        </w:tc>
      </w:tr>
      <w:tr w:rsidR="007D5E16" w:rsidRPr="002B416F" w:rsidTr="00E8151E">
        <w:trPr>
          <w:cantSplit/>
          <w:trHeight w:val="221"/>
        </w:trPr>
        <w:tc>
          <w:tcPr>
            <w:tcW w:w="4106" w:type="dxa"/>
            <w:gridSpan w:val="2"/>
          </w:tcPr>
          <w:p w:rsidR="007D5E16" w:rsidRPr="002B416F" w:rsidRDefault="007D5E16" w:rsidP="00E8151E">
            <w:pPr>
              <w:keepNext/>
              <w:tabs>
                <w:tab w:val="left" w:pos="1077"/>
              </w:tabs>
              <w:ind w:left="-57"/>
              <w:rPr>
                <w:rFonts w:ascii="Arial Narrow" w:hAnsi="Arial Narrow" w:cs="Arial Narrow"/>
                <w:i/>
                <w:sz w:val="20"/>
                <w:szCs w:val="20"/>
              </w:rPr>
            </w:pPr>
          </w:p>
        </w:tc>
        <w:tc>
          <w:tcPr>
            <w:tcW w:w="3544" w:type="dxa"/>
            <w:gridSpan w:val="4"/>
          </w:tcPr>
          <w:p w:rsidR="007D5E16" w:rsidRPr="002B416F" w:rsidRDefault="007D5E16" w:rsidP="00E8151E">
            <w:pPr>
              <w:keepNext/>
              <w:ind w:left="-108"/>
              <w:jc w:val="center"/>
              <w:rPr>
                <w:rFonts w:ascii="Arial Narrow" w:hAnsi="Arial Narrow" w:cs="Arial"/>
                <w:sz w:val="20"/>
                <w:szCs w:val="20"/>
              </w:rPr>
            </w:pPr>
            <w:r w:rsidRPr="002B416F">
              <w:rPr>
                <w:rFonts w:ascii="Arial Narrow" w:hAnsi="Arial Narrow" w:cs="Arial"/>
                <w:sz w:val="20"/>
                <w:szCs w:val="20"/>
              </w:rPr>
              <w:t>Max Qty multiplier = 1, Repeat increases: Nil</w:t>
            </w:r>
          </w:p>
        </w:tc>
        <w:tc>
          <w:tcPr>
            <w:tcW w:w="1417" w:type="dxa"/>
          </w:tcPr>
          <w:p w:rsidR="007D5E16" w:rsidRPr="002B416F" w:rsidRDefault="007D5E16" w:rsidP="00E8151E">
            <w:pPr>
              <w:keepNext/>
              <w:rPr>
                <w:rFonts w:ascii="Arial Narrow" w:hAnsi="Arial Narrow" w:cs="Arial"/>
                <w:i/>
                <w:sz w:val="20"/>
                <w:szCs w:val="20"/>
              </w:rPr>
            </w:pP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7D5E16" w:rsidRPr="002B416F" w:rsidRDefault="007D5E16" w:rsidP="00E8151E">
            <w:pPr>
              <w:rPr>
                <w:rFonts w:ascii="Arial Narrow" w:hAnsi="Arial Narrow" w:cs="Arial"/>
                <w:b/>
                <w:sz w:val="20"/>
                <w:szCs w:val="20"/>
              </w:rPr>
            </w:pP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7D5E16" w:rsidRPr="002B416F" w:rsidRDefault="007D5E16" w:rsidP="00E8151E">
            <w:pPr>
              <w:rPr>
                <w:rFonts w:ascii="Arial Narrow" w:hAnsi="Arial Narrow" w:cs="Arial"/>
                <w:b/>
                <w:sz w:val="20"/>
                <w:szCs w:val="20"/>
              </w:rPr>
            </w:pPr>
            <w:r w:rsidRPr="002B416F">
              <w:rPr>
                <w:rFonts w:ascii="Arial Narrow" w:hAnsi="Arial Narrow" w:cs="Arial"/>
                <w:b/>
                <w:sz w:val="20"/>
                <w:szCs w:val="20"/>
              </w:rPr>
              <w:t xml:space="preserve">Restriction Summary 7698 / Treatment of Concept: 7695 </w:t>
            </w:r>
            <w:r w:rsidRPr="002B416F">
              <w:rPr>
                <w:rFonts w:ascii="Arial Narrow" w:hAnsi="Arial Narrow" w:cs="Arial"/>
                <w:sz w:val="20"/>
                <w:szCs w:val="20"/>
              </w:rPr>
              <w:t>(as of 1 March 2021)</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7D5E16" w:rsidRPr="002B416F" w:rsidRDefault="007D5E16" w:rsidP="00E8151E">
            <w:pPr>
              <w:jc w:val="cente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sz w:val="20"/>
                <w:szCs w:val="20"/>
              </w:rPr>
            </w:pPr>
            <w:r w:rsidRPr="002B416F">
              <w:rPr>
                <w:rFonts w:ascii="Arial Narrow" w:hAnsi="Arial Narrow" w:cs="Arial"/>
                <w:b/>
                <w:sz w:val="20"/>
                <w:szCs w:val="20"/>
              </w:rPr>
              <w:t xml:space="preserve">Category / Program:   </w:t>
            </w:r>
            <w:r w:rsidRPr="002B416F">
              <w:rPr>
                <w:rFonts w:ascii="Arial Narrow" w:hAnsi="Arial Narrow" w:cs="Arial"/>
                <w:sz w:val="20"/>
                <w:szCs w:val="20"/>
              </w:rPr>
              <w:t xml:space="preserve">GENERAL – General Schedule (Code GE) </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7D5E16" w:rsidRPr="002B416F" w:rsidRDefault="007D5E16" w:rsidP="00E8151E">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b/>
                <w:sz w:val="20"/>
                <w:szCs w:val="20"/>
              </w:rPr>
            </w:pPr>
            <w:r w:rsidRPr="002B416F">
              <w:rPr>
                <w:rFonts w:ascii="Arial Narrow" w:hAnsi="Arial Narrow" w:cs="Arial"/>
                <w:b/>
                <w:sz w:val="20"/>
                <w:szCs w:val="20"/>
              </w:rPr>
              <w:t xml:space="preserve">Prescriber type:  </w:t>
            </w:r>
            <w:r w:rsidRPr="002B416F">
              <w:rPr>
                <w:rFonts w:ascii="Arial Narrow" w:hAnsi="Arial Narrow" w:cs="Arial"/>
                <w:sz w:val="20"/>
                <w:szCs w:val="20"/>
              </w:rPr>
              <w:fldChar w:fldCharType="begin">
                <w:ffData>
                  <w:name w:val=""/>
                  <w:enabled/>
                  <w:calcOnExit w:val="0"/>
                  <w:checkBox>
                    <w:sizeAuto/>
                    <w:default w:val="1"/>
                  </w:checkBox>
                </w:ffData>
              </w:fldChar>
            </w:r>
            <w:r w:rsidRPr="002B416F">
              <w:rPr>
                <w:rFonts w:ascii="Arial Narrow" w:hAnsi="Arial Narrow" w:cs="Arial"/>
                <w:sz w:val="20"/>
                <w:szCs w:val="20"/>
              </w:rPr>
              <w:instrText xml:space="preserve"> FORMCHECKBOX </w:instrText>
            </w:r>
            <w:r w:rsidR="00EC4EC1">
              <w:rPr>
                <w:rFonts w:ascii="Arial Narrow" w:hAnsi="Arial Narrow" w:cs="Arial"/>
                <w:sz w:val="20"/>
                <w:szCs w:val="20"/>
              </w:rPr>
            </w:r>
            <w:r w:rsidR="00EC4EC1">
              <w:rPr>
                <w:rFonts w:ascii="Arial Narrow" w:hAnsi="Arial Narrow" w:cs="Arial"/>
                <w:sz w:val="20"/>
                <w:szCs w:val="20"/>
              </w:rPr>
              <w:fldChar w:fldCharType="separate"/>
            </w:r>
            <w:r w:rsidRPr="002B416F">
              <w:rPr>
                <w:rFonts w:ascii="Arial Narrow" w:hAnsi="Arial Narrow" w:cs="Arial"/>
                <w:sz w:val="20"/>
                <w:szCs w:val="20"/>
              </w:rPr>
              <w:fldChar w:fldCharType="end"/>
            </w:r>
            <w:r w:rsidRPr="002B416F">
              <w:rPr>
                <w:rFonts w:ascii="Arial Narrow" w:hAnsi="Arial Narrow" w:cs="Arial"/>
                <w:sz w:val="20"/>
                <w:szCs w:val="20"/>
              </w:rPr>
              <w:t xml:space="preserve">Medical Practitioners </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rPr>
          <w:trHeight w:val="178"/>
        </w:trPr>
        <w:tc>
          <w:tcPr>
            <w:tcW w:w="981" w:type="dxa"/>
            <w:vMerge/>
            <w:tcBorders>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b/>
                <w:sz w:val="20"/>
                <w:szCs w:val="20"/>
              </w:rPr>
            </w:pPr>
            <w:r w:rsidRPr="002B416F">
              <w:rPr>
                <w:rFonts w:ascii="Arial Narrow" w:hAnsi="Arial Narrow" w:cs="Arial"/>
                <w:b/>
                <w:sz w:val="20"/>
                <w:szCs w:val="20"/>
              </w:rPr>
              <w:t xml:space="preserve">Restriction type: </w:t>
            </w:r>
            <w:r w:rsidRPr="002B416F">
              <w:rPr>
                <w:rFonts w:ascii="Arial Narrow" w:eastAsia="Calibri" w:hAnsi="Arial Narrow" w:cs="Arial"/>
                <w:sz w:val="20"/>
                <w:szCs w:val="20"/>
              </w:rPr>
              <w:fldChar w:fldCharType="begin">
                <w:ffData>
                  <w:name w:val=""/>
                  <w:enabled/>
                  <w:calcOnExit w:val="0"/>
                  <w:checkBox>
                    <w:sizeAuto/>
                    <w:default w:val="1"/>
                  </w:checkBox>
                </w:ffData>
              </w:fldChar>
            </w:r>
            <w:r w:rsidRPr="002B416F">
              <w:rPr>
                <w:rFonts w:ascii="Arial Narrow" w:eastAsia="Calibri" w:hAnsi="Arial Narrow" w:cs="Arial"/>
                <w:sz w:val="20"/>
                <w:szCs w:val="20"/>
              </w:rPr>
              <w:instrText xml:space="preserve"> FORMCHECKBOX </w:instrText>
            </w:r>
            <w:r w:rsidR="00EC4EC1">
              <w:rPr>
                <w:rFonts w:ascii="Arial Narrow" w:eastAsia="Calibri" w:hAnsi="Arial Narrow" w:cs="Arial"/>
                <w:sz w:val="20"/>
                <w:szCs w:val="20"/>
              </w:rPr>
            </w:r>
            <w:r w:rsidR="00EC4EC1">
              <w:rPr>
                <w:rFonts w:ascii="Arial Narrow" w:eastAsia="Calibri" w:hAnsi="Arial Narrow" w:cs="Arial"/>
                <w:sz w:val="20"/>
                <w:szCs w:val="20"/>
              </w:rPr>
              <w:fldChar w:fldCharType="separate"/>
            </w:r>
            <w:r w:rsidRPr="002B416F">
              <w:rPr>
                <w:rFonts w:ascii="Arial Narrow" w:eastAsia="Calibri" w:hAnsi="Arial Narrow" w:cs="Arial"/>
                <w:sz w:val="20"/>
                <w:szCs w:val="20"/>
              </w:rPr>
              <w:fldChar w:fldCharType="end"/>
            </w:r>
            <w:r w:rsidRPr="002B416F">
              <w:rPr>
                <w:rFonts w:ascii="Arial Narrow" w:eastAsia="Calibri" w:hAnsi="Arial Narrow" w:cs="Arial"/>
                <w:sz w:val="20"/>
                <w:szCs w:val="20"/>
              </w:rPr>
              <w:t xml:space="preserve">Authority Required – Streamlined [7695] </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Administrative Advice:</w:t>
            </w:r>
            <w:r w:rsidRPr="002B416F">
              <w:rPr>
                <w:rFonts w:ascii="Arial Narrow" w:hAnsi="Arial Narrow"/>
                <w:color w:val="333333"/>
                <w:sz w:val="20"/>
                <w:szCs w:val="20"/>
              </w:rPr>
              <w:t xml:space="preserve"> No increase in the maximum quantity or number of units may be authorised.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rPr>
                <w:rFonts w:ascii="Arial Narrow" w:hAnsi="Arial Narrow" w:cs="Arial"/>
                <w:color w:val="222222"/>
                <w:sz w:val="20"/>
                <w:szCs w:val="20"/>
                <w:shd w:val="clear" w:color="auto" w:fill="EEEEEE"/>
              </w:rPr>
            </w:pPr>
            <w:r w:rsidRPr="002B416F">
              <w:rPr>
                <w:rFonts w:ascii="Arial Narrow" w:hAnsi="Arial Narrow"/>
                <w:b/>
                <w:bCs/>
                <w:color w:val="333333"/>
                <w:sz w:val="20"/>
                <w:szCs w:val="20"/>
              </w:rPr>
              <w:t>Administrative Advice:</w:t>
            </w:r>
            <w:r w:rsidRPr="002B416F">
              <w:rPr>
                <w:rFonts w:ascii="Arial Narrow" w:hAnsi="Arial Narrow" w:cs="Arial"/>
                <w:color w:val="222222"/>
                <w:sz w:val="20"/>
                <w:szCs w:val="20"/>
                <w:shd w:val="clear" w:color="auto" w:fill="EEEEEE"/>
              </w:rPr>
              <w:t xml:space="preserve"> </w:t>
            </w:r>
            <w:r w:rsidRPr="002B416F">
              <w:rPr>
                <w:rFonts w:ascii="Arial Narrow" w:hAnsi="Arial Narrow"/>
                <w:color w:val="333333"/>
                <w:sz w:val="20"/>
                <w:szCs w:val="20"/>
              </w:rPr>
              <w:t>No increase in the maximum number of repeats may be authorised.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Indication:</w:t>
            </w:r>
            <w:r w:rsidRPr="002B416F">
              <w:rPr>
                <w:rFonts w:ascii="Arial Narrow" w:hAnsi="Arial Narrow"/>
                <w:color w:val="333333"/>
                <w:sz w:val="20"/>
                <w:szCs w:val="20"/>
              </w:rPr>
              <w:t xml:space="preserve"> </w:t>
            </w:r>
            <w:r w:rsidRPr="002B416F">
              <w:rPr>
                <w:rFonts w:ascii="Arial Narrow" w:hAnsi="Arial Narrow"/>
                <w:bCs/>
                <w:color w:val="333333"/>
                <w:sz w:val="20"/>
                <w:szCs w:val="20"/>
              </w:rPr>
              <w:t>Multiple Sclerosis</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i/>
                <w:color w:val="333333"/>
                <w:sz w:val="20"/>
                <w:szCs w:val="20"/>
              </w:rPr>
            </w:pPr>
            <w:r w:rsidRPr="002B416F">
              <w:rPr>
                <w:rFonts w:ascii="Arial Narrow" w:hAnsi="Arial Narrow"/>
                <w:b/>
                <w:bCs/>
                <w:color w:val="333333"/>
                <w:sz w:val="20"/>
                <w:szCs w:val="20"/>
              </w:rPr>
              <w:t>Treatment Phase:</w:t>
            </w:r>
            <w:r w:rsidRPr="002B416F">
              <w:rPr>
                <w:rFonts w:ascii="Arial Narrow" w:hAnsi="Arial Narrow"/>
                <w:color w:val="333333"/>
                <w:sz w:val="20"/>
                <w:szCs w:val="20"/>
              </w:rPr>
              <w:t xml:space="preserve"> Initial treatment</w:t>
            </w:r>
            <w:r w:rsidRPr="002B416F">
              <w:rPr>
                <w:rFonts w:ascii="Arial Narrow" w:hAnsi="Arial Narrow"/>
                <w:i/>
                <w:color w:val="333333"/>
                <w:sz w:val="20"/>
                <w:szCs w:val="20"/>
              </w:rPr>
              <w:t xml:space="preserve"> </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Clinical criteria:</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jc w:val="left"/>
              <w:rPr>
                <w:rFonts w:ascii="Arial Narrow" w:hAnsi="Arial Narrow"/>
                <w:color w:val="333333"/>
                <w:sz w:val="20"/>
                <w:szCs w:val="20"/>
              </w:rPr>
            </w:pPr>
            <w:r w:rsidRPr="002B416F">
              <w:rPr>
                <w:rFonts w:ascii="Arial Narrow" w:hAnsi="Arial Narrow"/>
                <w:color w:val="333333"/>
                <w:sz w:val="20"/>
                <w:szCs w:val="20"/>
              </w:rPr>
              <w:t>The condition must be diagnosed as clinically definite relapsing-remitting multiple sclerosis by magnetic resonance imaging of the brain and/or spinal cord; or</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jc w:val="left"/>
              <w:rPr>
                <w:rFonts w:ascii="Arial Narrow" w:hAnsi="Arial Narrow"/>
                <w:color w:val="333333"/>
                <w:sz w:val="20"/>
                <w:szCs w:val="20"/>
              </w:rPr>
            </w:pPr>
            <w:r w:rsidRPr="002B416F">
              <w:rPr>
                <w:rFonts w:ascii="Arial Narrow" w:hAnsi="Arial Narrow"/>
                <w:color w:val="333333"/>
                <w:sz w:val="20"/>
                <w:szCs w:val="20"/>
              </w:rPr>
              <w:t>The condition must be diagnosed as clinically definite relapsing-remitting multiple sclerosis, with written certification provided by a radiologist that a magnetic resonance imaging scan is contraindicated because of the risk of physical (not psychological) injury to the patient</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AND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Clinical criteria:</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autoSpaceDE w:val="0"/>
              <w:autoSpaceDN w:val="0"/>
              <w:adjustRightInd w:val="0"/>
              <w:rPr>
                <w:rFonts w:ascii="Arial Narrow" w:hAnsi="Arial Narrow" w:cs="Arial Narrow"/>
                <w:i/>
                <w:iCs/>
                <w:sz w:val="20"/>
                <w:szCs w:val="20"/>
              </w:rPr>
            </w:pPr>
            <w:r w:rsidRPr="002B416F">
              <w:rPr>
                <w:rFonts w:ascii="Arial Narrow" w:hAnsi="Arial Narrow"/>
                <w:color w:val="333333"/>
                <w:sz w:val="20"/>
                <w:szCs w:val="20"/>
              </w:rPr>
              <w:t>Patient must have experienced at least 2 documented attacks of neurological dysfunction, believed to be due to multiple sclerosis, in the preceding 2 years of commencing a PBS-subsidised disease modifying therapy for this condition</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AND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Clinical criteria:</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autoSpaceDE w:val="0"/>
              <w:autoSpaceDN w:val="0"/>
              <w:adjustRightInd w:val="0"/>
              <w:rPr>
                <w:rFonts w:ascii="Arial Narrow" w:hAnsi="Arial Narrow"/>
                <w:color w:val="333333"/>
                <w:sz w:val="20"/>
                <w:szCs w:val="20"/>
              </w:rPr>
            </w:pPr>
            <w:r w:rsidRPr="002B416F">
              <w:rPr>
                <w:rFonts w:ascii="Arial Narrow" w:hAnsi="Arial Narrow"/>
                <w:color w:val="333333"/>
                <w:sz w:val="20"/>
                <w:szCs w:val="20"/>
              </w:rPr>
              <w:t>Patient must be ambulatory (without assistance or support)</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Prescribing Instructions:</w:t>
            </w:r>
          </w:p>
          <w:p w:rsidR="007D5E16" w:rsidRPr="002B416F" w:rsidRDefault="007D5E16" w:rsidP="00E8151E">
            <w:pPr>
              <w:rPr>
                <w:rFonts w:ascii="Arial Narrow" w:hAnsi="Arial Narrow"/>
                <w:i/>
                <w:color w:val="333333"/>
                <w:sz w:val="20"/>
                <w:szCs w:val="20"/>
              </w:rPr>
            </w:pPr>
            <w:r w:rsidRPr="002B416F">
              <w:rPr>
                <w:rFonts w:ascii="Arial Narrow" w:hAnsi="Arial Narrow"/>
                <w:color w:val="333333"/>
                <w:sz w:val="20"/>
                <w:szCs w:val="20"/>
              </w:rPr>
              <w:t>Where applicable, the date of the magnetic resonance imaging scan must be recorded in the patient's medical records.</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7D5E16" w:rsidRPr="002B416F" w:rsidRDefault="007D5E16" w:rsidP="00E8151E">
            <w:pPr>
              <w:rPr>
                <w:rFonts w:ascii="Arial Narrow" w:hAnsi="Arial Narrow" w:cs="Arial"/>
                <w:b/>
                <w:sz w:val="20"/>
                <w:szCs w:val="20"/>
              </w:rPr>
            </w:pP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rsidR="007D5E16" w:rsidRPr="002B416F" w:rsidRDefault="007D5E16" w:rsidP="00E8151E">
            <w:pPr>
              <w:rPr>
                <w:rFonts w:ascii="Arial Narrow" w:hAnsi="Arial Narrow" w:cs="Arial"/>
                <w:b/>
                <w:sz w:val="20"/>
                <w:szCs w:val="20"/>
              </w:rPr>
            </w:pPr>
            <w:r w:rsidRPr="002B416F">
              <w:rPr>
                <w:rFonts w:ascii="Arial Narrow" w:hAnsi="Arial Narrow" w:cs="Arial"/>
                <w:b/>
                <w:sz w:val="20"/>
                <w:szCs w:val="20"/>
              </w:rPr>
              <w:t xml:space="preserve">Restriction Summary 6860 / Treatment of Concept: 6860 </w:t>
            </w:r>
            <w:r w:rsidRPr="002B416F">
              <w:rPr>
                <w:rFonts w:ascii="Arial Narrow" w:hAnsi="Arial Narrow" w:cs="Arial"/>
                <w:sz w:val="20"/>
                <w:szCs w:val="20"/>
              </w:rPr>
              <w:t>(as of 1 March 2021)</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7D5E16" w:rsidRPr="002B416F" w:rsidRDefault="007D5E16" w:rsidP="00E8151E">
            <w:pPr>
              <w:rPr>
                <w:rFonts w:ascii="Arial Narrow" w:hAnsi="Arial Narrow" w:cs="Arial"/>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sz w:val="20"/>
                <w:szCs w:val="20"/>
              </w:rPr>
            </w:pPr>
            <w:r w:rsidRPr="002B416F">
              <w:rPr>
                <w:rFonts w:ascii="Arial Narrow" w:hAnsi="Arial Narrow" w:cs="Arial"/>
                <w:b/>
                <w:sz w:val="20"/>
                <w:szCs w:val="20"/>
              </w:rPr>
              <w:t xml:space="preserve">Category / Program:   </w:t>
            </w:r>
            <w:r w:rsidRPr="002B416F">
              <w:rPr>
                <w:rFonts w:ascii="Arial Narrow" w:hAnsi="Arial Narrow" w:cs="Arial"/>
                <w:sz w:val="20"/>
                <w:szCs w:val="20"/>
              </w:rPr>
              <w:t xml:space="preserve">GENERAL – General Schedule (Code GE) </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7D5E16" w:rsidRPr="002B416F" w:rsidRDefault="007D5E16" w:rsidP="00E8151E">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b/>
                <w:sz w:val="20"/>
                <w:szCs w:val="20"/>
              </w:rPr>
            </w:pPr>
            <w:r w:rsidRPr="002B416F">
              <w:rPr>
                <w:rFonts w:ascii="Arial Narrow" w:hAnsi="Arial Narrow" w:cs="Arial"/>
                <w:b/>
                <w:sz w:val="20"/>
                <w:szCs w:val="20"/>
              </w:rPr>
              <w:t xml:space="preserve">Prescriber type:   </w:t>
            </w:r>
            <w:r w:rsidRPr="002B416F">
              <w:rPr>
                <w:rFonts w:ascii="Arial Narrow" w:hAnsi="Arial Narrow" w:cs="Arial"/>
                <w:sz w:val="20"/>
                <w:szCs w:val="20"/>
              </w:rPr>
              <w:fldChar w:fldCharType="begin">
                <w:ffData>
                  <w:name w:val=""/>
                  <w:enabled/>
                  <w:calcOnExit w:val="0"/>
                  <w:checkBox>
                    <w:sizeAuto/>
                    <w:default w:val="1"/>
                  </w:checkBox>
                </w:ffData>
              </w:fldChar>
            </w:r>
            <w:r w:rsidRPr="002B416F">
              <w:rPr>
                <w:rFonts w:ascii="Arial Narrow" w:hAnsi="Arial Narrow" w:cs="Arial"/>
                <w:sz w:val="20"/>
                <w:szCs w:val="20"/>
              </w:rPr>
              <w:instrText xml:space="preserve"> FORMCHECKBOX </w:instrText>
            </w:r>
            <w:r w:rsidR="00EC4EC1">
              <w:rPr>
                <w:rFonts w:ascii="Arial Narrow" w:hAnsi="Arial Narrow" w:cs="Arial"/>
                <w:sz w:val="20"/>
                <w:szCs w:val="20"/>
              </w:rPr>
            </w:r>
            <w:r w:rsidR="00EC4EC1">
              <w:rPr>
                <w:rFonts w:ascii="Arial Narrow" w:hAnsi="Arial Narrow" w:cs="Arial"/>
                <w:sz w:val="20"/>
                <w:szCs w:val="20"/>
              </w:rPr>
              <w:fldChar w:fldCharType="separate"/>
            </w:r>
            <w:r w:rsidRPr="002B416F">
              <w:rPr>
                <w:rFonts w:ascii="Arial Narrow" w:hAnsi="Arial Narrow" w:cs="Arial"/>
                <w:sz w:val="20"/>
                <w:szCs w:val="20"/>
              </w:rPr>
              <w:fldChar w:fldCharType="end"/>
            </w:r>
            <w:r w:rsidRPr="002B416F">
              <w:rPr>
                <w:rFonts w:ascii="Arial Narrow" w:hAnsi="Arial Narrow" w:cs="Arial"/>
                <w:sz w:val="20"/>
                <w:szCs w:val="20"/>
              </w:rPr>
              <w:t xml:space="preserve">Medical Practitioners </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rPr>
          <w:trHeight w:val="292"/>
        </w:trPr>
        <w:tc>
          <w:tcPr>
            <w:tcW w:w="981" w:type="dxa"/>
            <w:vMerge/>
            <w:tcBorders>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rsidR="007D5E16" w:rsidRPr="002B416F" w:rsidRDefault="007D5E16" w:rsidP="00E8151E">
            <w:pPr>
              <w:rPr>
                <w:rFonts w:ascii="Arial Narrow" w:hAnsi="Arial Narrow" w:cs="Arial"/>
                <w:b/>
                <w:sz w:val="20"/>
                <w:szCs w:val="20"/>
              </w:rPr>
            </w:pPr>
            <w:r w:rsidRPr="002B416F">
              <w:rPr>
                <w:rFonts w:ascii="Arial Narrow" w:hAnsi="Arial Narrow" w:cs="Arial"/>
                <w:b/>
                <w:sz w:val="20"/>
                <w:szCs w:val="20"/>
              </w:rPr>
              <w:t xml:space="preserve">Restriction type: </w:t>
            </w:r>
            <w:r w:rsidRPr="002B416F">
              <w:rPr>
                <w:rFonts w:ascii="Arial Narrow" w:eastAsia="Calibri" w:hAnsi="Arial Narrow" w:cs="Arial"/>
                <w:sz w:val="20"/>
                <w:szCs w:val="20"/>
              </w:rPr>
              <w:fldChar w:fldCharType="begin">
                <w:ffData>
                  <w:name w:val=""/>
                  <w:enabled/>
                  <w:calcOnExit w:val="0"/>
                  <w:checkBox>
                    <w:sizeAuto/>
                    <w:default w:val="1"/>
                  </w:checkBox>
                </w:ffData>
              </w:fldChar>
            </w:r>
            <w:r w:rsidRPr="002B416F">
              <w:rPr>
                <w:rFonts w:ascii="Arial Narrow" w:eastAsia="Calibri" w:hAnsi="Arial Narrow" w:cs="Arial"/>
                <w:sz w:val="20"/>
                <w:szCs w:val="20"/>
              </w:rPr>
              <w:instrText xml:space="preserve"> FORMCHECKBOX </w:instrText>
            </w:r>
            <w:r w:rsidR="00EC4EC1">
              <w:rPr>
                <w:rFonts w:ascii="Arial Narrow" w:eastAsia="Calibri" w:hAnsi="Arial Narrow" w:cs="Arial"/>
                <w:sz w:val="20"/>
                <w:szCs w:val="20"/>
              </w:rPr>
            </w:r>
            <w:r w:rsidR="00EC4EC1">
              <w:rPr>
                <w:rFonts w:ascii="Arial Narrow" w:eastAsia="Calibri" w:hAnsi="Arial Narrow" w:cs="Arial"/>
                <w:sz w:val="20"/>
                <w:szCs w:val="20"/>
              </w:rPr>
              <w:fldChar w:fldCharType="separate"/>
            </w:r>
            <w:r w:rsidRPr="002B416F">
              <w:rPr>
                <w:rFonts w:ascii="Arial Narrow" w:eastAsia="Calibri" w:hAnsi="Arial Narrow" w:cs="Arial"/>
                <w:sz w:val="20"/>
                <w:szCs w:val="20"/>
              </w:rPr>
              <w:fldChar w:fldCharType="end"/>
            </w:r>
            <w:r w:rsidRPr="002B416F">
              <w:rPr>
                <w:rFonts w:ascii="Arial Narrow" w:eastAsia="Calibri" w:hAnsi="Arial Narrow" w:cs="Arial"/>
                <w:sz w:val="20"/>
                <w:szCs w:val="20"/>
              </w:rPr>
              <w:t xml:space="preserve"> Authority Required – Streamlined [6860] </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Administrative Advice:</w:t>
            </w:r>
            <w:r w:rsidRPr="002B416F">
              <w:rPr>
                <w:rFonts w:ascii="Arial Narrow" w:hAnsi="Arial Narrow"/>
                <w:color w:val="333333"/>
                <w:sz w:val="20"/>
                <w:szCs w:val="20"/>
              </w:rPr>
              <w:t xml:space="preserve"> No increase in the maximum quantity or number of units may be authorised.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rPr>
                <w:rFonts w:ascii="Arial Narrow" w:hAnsi="Arial Narrow" w:cs="Arial"/>
                <w:color w:val="222222"/>
                <w:sz w:val="20"/>
                <w:szCs w:val="20"/>
                <w:shd w:val="clear" w:color="auto" w:fill="EEEEEE"/>
              </w:rPr>
            </w:pPr>
            <w:r w:rsidRPr="002B416F">
              <w:rPr>
                <w:rFonts w:ascii="Arial Narrow" w:hAnsi="Arial Narrow"/>
                <w:b/>
                <w:bCs/>
                <w:color w:val="333333"/>
                <w:sz w:val="20"/>
                <w:szCs w:val="20"/>
              </w:rPr>
              <w:t>Administrative Advice:</w:t>
            </w:r>
            <w:r w:rsidRPr="002B416F">
              <w:rPr>
                <w:rFonts w:ascii="Arial Narrow" w:hAnsi="Arial Narrow" w:cs="Arial"/>
                <w:color w:val="222222"/>
                <w:sz w:val="20"/>
                <w:szCs w:val="20"/>
                <w:shd w:val="clear" w:color="auto" w:fill="EEEEEE"/>
              </w:rPr>
              <w:t xml:space="preserve"> </w:t>
            </w:r>
            <w:r w:rsidRPr="002B416F">
              <w:rPr>
                <w:rFonts w:ascii="Arial Narrow" w:hAnsi="Arial Narrow"/>
                <w:color w:val="333333"/>
                <w:sz w:val="20"/>
                <w:szCs w:val="20"/>
              </w:rPr>
              <w:t>No increase in the maximum number of repeats may be authorised.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Indication:</w:t>
            </w:r>
            <w:r w:rsidRPr="002B416F">
              <w:rPr>
                <w:rFonts w:ascii="Arial Narrow" w:hAnsi="Arial Narrow"/>
                <w:color w:val="333333"/>
                <w:sz w:val="20"/>
                <w:szCs w:val="20"/>
              </w:rPr>
              <w:t xml:space="preserve"> </w:t>
            </w:r>
            <w:r w:rsidRPr="002B416F">
              <w:rPr>
                <w:rFonts w:ascii="Arial Narrow" w:hAnsi="Arial Narrow"/>
                <w:bCs/>
                <w:color w:val="333333"/>
                <w:sz w:val="20"/>
                <w:szCs w:val="20"/>
              </w:rPr>
              <w:t>Multiple Sclerosis</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i/>
                <w:color w:val="333333"/>
                <w:sz w:val="20"/>
                <w:szCs w:val="20"/>
              </w:rPr>
            </w:pPr>
            <w:r w:rsidRPr="002B416F">
              <w:rPr>
                <w:rFonts w:ascii="Arial Narrow" w:hAnsi="Arial Narrow"/>
                <w:b/>
                <w:bCs/>
                <w:color w:val="333333"/>
                <w:sz w:val="20"/>
                <w:szCs w:val="20"/>
              </w:rPr>
              <w:t>Treatment Phase:</w:t>
            </w:r>
            <w:r w:rsidRPr="002B416F">
              <w:rPr>
                <w:rFonts w:ascii="Arial Narrow" w:hAnsi="Arial Narrow"/>
                <w:color w:val="333333"/>
                <w:sz w:val="20"/>
                <w:szCs w:val="20"/>
              </w:rPr>
              <w:t xml:space="preserve"> Continuing treatment</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Clinical criteria:</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jc w:val="left"/>
              <w:rPr>
                <w:rFonts w:ascii="Arial Narrow" w:hAnsi="Arial Narrow"/>
                <w:color w:val="333333"/>
                <w:sz w:val="20"/>
                <w:szCs w:val="20"/>
              </w:rPr>
            </w:pPr>
            <w:r w:rsidRPr="002B416F">
              <w:rPr>
                <w:rFonts w:ascii="Arial Narrow" w:hAnsi="Arial Narrow"/>
                <w:color w:val="333333"/>
                <w:sz w:val="20"/>
                <w:szCs w:val="20"/>
              </w:rPr>
              <w:t>The condition must be diagnosed as clinically definite relapsing-remitting multiple sclerosis</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AND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rPr>
                <w:rFonts w:ascii="Arial Narrow" w:hAnsi="Arial Narrow"/>
                <w:color w:val="333333"/>
                <w:sz w:val="20"/>
                <w:szCs w:val="20"/>
              </w:rPr>
            </w:pPr>
            <w:r w:rsidRPr="002B416F">
              <w:rPr>
                <w:rFonts w:ascii="Arial Narrow" w:hAnsi="Arial Narrow"/>
                <w:b/>
                <w:bCs/>
                <w:color w:val="333333"/>
                <w:sz w:val="20"/>
                <w:szCs w:val="20"/>
              </w:rPr>
              <w:t>Clinical criteria:</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hideMark/>
          </w:tcPr>
          <w:p w:rsidR="007D5E16" w:rsidRPr="002B416F" w:rsidRDefault="007D5E16" w:rsidP="00E8151E">
            <w:pPr>
              <w:jc w:val="left"/>
              <w:rPr>
                <w:rFonts w:ascii="Arial Narrow" w:hAnsi="Arial Narrow" w:cs="Arial Narrow"/>
                <w:i/>
                <w:iCs/>
                <w:sz w:val="20"/>
                <w:szCs w:val="20"/>
              </w:rPr>
            </w:pPr>
            <w:r w:rsidRPr="002B416F">
              <w:rPr>
                <w:rFonts w:ascii="Arial Narrow" w:hAnsi="Arial Narrow"/>
                <w:color w:val="333333"/>
                <w:sz w:val="20"/>
                <w:szCs w:val="20"/>
              </w:rPr>
              <w:t>Patient must have previously received PBS-subsidised treatment with this drug for this condition</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autoSpaceDE w:val="0"/>
              <w:autoSpaceDN w:val="0"/>
              <w:adjustRightInd w:val="0"/>
              <w:rPr>
                <w:rFonts w:ascii="Arial Narrow" w:hAnsi="Arial Narrow" w:cs="Arial"/>
                <w:sz w:val="20"/>
                <w:szCs w:val="20"/>
              </w:rPr>
            </w:pPr>
            <w:r w:rsidRPr="002B416F">
              <w:rPr>
                <w:rFonts w:ascii="Arial Narrow" w:hAnsi="Arial Narrow"/>
                <w:b/>
                <w:bCs/>
                <w:color w:val="333333"/>
                <w:sz w:val="20"/>
                <w:szCs w:val="20"/>
              </w:rPr>
              <w:t>AND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autoSpaceDE w:val="0"/>
              <w:autoSpaceDN w:val="0"/>
              <w:adjustRightInd w:val="0"/>
              <w:rPr>
                <w:rFonts w:ascii="Arial Narrow" w:hAnsi="Arial Narrow" w:cs="Arial"/>
                <w:sz w:val="20"/>
                <w:szCs w:val="20"/>
              </w:rPr>
            </w:pPr>
            <w:r w:rsidRPr="002B416F">
              <w:rPr>
                <w:rFonts w:ascii="Arial Narrow" w:hAnsi="Arial Narrow"/>
                <w:b/>
                <w:bCs/>
                <w:color w:val="333333"/>
                <w:sz w:val="20"/>
                <w:szCs w:val="20"/>
              </w:rPr>
              <w:t>Clinical criteria:</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jc w:val="left"/>
              <w:rPr>
                <w:rFonts w:ascii="Arial Narrow" w:hAnsi="Arial Narrow" w:cs="Arial"/>
                <w:sz w:val="20"/>
                <w:szCs w:val="20"/>
              </w:rPr>
            </w:pPr>
            <w:r w:rsidRPr="002B416F">
              <w:rPr>
                <w:rFonts w:ascii="Arial Narrow" w:hAnsi="Arial Narrow"/>
                <w:color w:val="333333"/>
                <w:sz w:val="20"/>
                <w:szCs w:val="20"/>
              </w:rPr>
              <w:t>Patient must not show continuing progression of disability while on treatment with this drug</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AND</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autoSpaceDE w:val="0"/>
              <w:autoSpaceDN w:val="0"/>
              <w:adjustRightInd w:val="0"/>
              <w:rPr>
                <w:rFonts w:ascii="Arial Narrow" w:hAnsi="Arial Narrow"/>
                <w:color w:val="333333"/>
                <w:sz w:val="20"/>
                <w:szCs w:val="20"/>
              </w:rPr>
            </w:pPr>
            <w:r w:rsidRPr="002B416F">
              <w:rPr>
                <w:rFonts w:ascii="Arial Narrow" w:hAnsi="Arial Narrow"/>
                <w:b/>
                <w:bCs/>
                <w:color w:val="333333"/>
                <w:sz w:val="20"/>
                <w:szCs w:val="20"/>
              </w:rPr>
              <w:t>Clinical criteria:</w:t>
            </w:r>
          </w:p>
        </w:tc>
      </w:tr>
      <w:tr w:rsidR="007D5E16" w:rsidRPr="002B416F" w:rsidTr="00E8151E">
        <w:tblPrEx>
          <w:tblCellMar>
            <w:top w:w="15" w:type="dxa"/>
            <w:left w:w="15" w:type="dxa"/>
            <w:bottom w:w="15" w:type="dxa"/>
            <w:right w:w="15" w:type="dxa"/>
          </w:tblCellMar>
          <w:tblLook w:val="04A0" w:firstRow="1" w:lastRow="0" w:firstColumn="1" w:lastColumn="0" w:noHBand="0" w:noVBand="1"/>
        </w:tblPrEx>
        <w:tc>
          <w:tcPr>
            <w:tcW w:w="981" w:type="dxa"/>
            <w:vAlign w:val="center"/>
          </w:tcPr>
          <w:p w:rsidR="007D5E16" w:rsidRPr="002B416F" w:rsidRDefault="007D5E16" w:rsidP="00E8151E">
            <w:pPr>
              <w:jc w:val="center"/>
              <w:rPr>
                <w:rFonts w:ascii="Arial Narrow" w:hAnsi="Arial Narrow"/>
                <w:color w:val="333333"/>
                <w:sz w:val="20"/>
                <w:szCs w:val="20"/>
              </w:rPr>
            </w:pPr>
          </w:p>
        </w:tc>
        <w:tc>
          <w:tcPr>
            <w:tcW w:w="8086" w:type="dxa"/>
            <w:gridSpan w:val="6"/>
            <w:vAlign w:val="center"/>
          </w:tcPr>
          <w:p w:rsidR="007D5E16" w:rsidRPr="002B416F" w:rsidRDefault="007D5E16" w:rsidP="00E8151E">
            <w:pPr>
              <w:jc w:val="left"/>
              <w:rPr>
                <w:rFonts w:ascii="Arial Narrow" w:hAnsi="Arial Narrow"/>
                <w:color w:val="333333"/>
                <w:sz w:val="20"/>
                <w:szCs w:val="20"/>
              </w:rPr>
            </w:pPr>
            <w:r w:rsidRPr="002B416F">
              <w:rPr>
                <w:rFonts w:ascii="Arial Narrow" w:hAnsi="Arial Narrow"/>
                <w:color w:val="333333"/>
                <w:sz w:val="20"/>
                <w:szCs w:val="20"/>
              </w:rPr>
              <w:t>Patient must have demonstrated compliance with, and an ability to tolerate this therapy</w:t>
            </w:r>
          </w:p>
        </w:tc>
      </w:tr>
    </w:tbl>
    <w:p w:rsidR="005B3D39" w:rsidRPr="007C1CCB" w:rsidRDefault="005B3D39" w:rsidP="005B3D39">
      <w:pPr>
        <w:rPr>
          <w:rFonts w:asciiTheme="minorHAnsi" w:hAnsiTheme="minorHAnsi" w:cs="Arial"/>
          <w:bCs/>
          <w:snapToGrid w:val="0"/>
        </w:rPr>
      </w:pPr>
    </w:p>
    <w:p w:rsidR="00587C74" w:rsidRDefault="00863D2B" w:rsidP="00A017FB">
      <w:pPr>
        <w:widowControl w:val="0"/>
        <w:rPr>
          <w:rFonts w:cs="Arial"/>
          <w:b/>
          <w:bCs/>
          <w:i/>
          <w:snapToGrid w:val="0"/>
          <w:szCs w:val="22"/>
          <w:lang w:eastAsia="en-US"/>
        </w:rPr>
      </w:pPr>
      <w:r w:rsidRPr="00A017FB">
        <w:rPr>
          <w:rFonts w:cs="Arial"/>
          <w:b/>
          <w:bCs/>
          <w:i/>
          <w:snapToGrid w:val="0"/>
          <w:szCs w:val="22"/>
          <w:lang w:eastAsia="en-US"/>
        </w:rPr>
        <w:t>This restriction may be subject to further review. Should there be any changes made to the restriction the Sponsor will be informed.</w:t>
      </w:r>
    </w:p>
    <w:p w:rsidR="00587C74" w:rsidRPr="00587C74" w:rsidRDefault="00587C74" w:rsidP="00587C74">
      <w:pPr>
        <w:rPr>
          <w:rFonts w:cs="Arial"/>
          <w:szCs w:val="22"/>
          <w:lang w:eastAsia="en-US"/>
        </w:rPr>
      </w:pPr>
    </w:p>
    <w:p w:rsidR="00587C74" w:rsidRPr="00587C74" w:rsidRDefault="00587C74" w:rsidP="00587C74">
      <w:pPr>
        <w:pStyle w:val="2-SectionHeading"/>
      </w:pPr>
      <w:r w:rsidRPr="00C07617">
        <w:t>Context for Decision</w:t>
      </w:r>
    </w:p>
    <w:p w:rsidR="00587C74" w:rsidRPr="007129F2" w:rsidRDefault="00587C74" w:rsidP="00587C74">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587C74" w:rsidRPr="00587C74" w:rsidRDefault="00587C74" w:rsidP="00587C74">
      <w:pPr>
        <w:pStyle w:val="2-SectionHeading"/>
      </w:pPr>
      <w:r>
        <w:t>Sponsor’s Comment</w:t>
      </w:r>
    </w:p>
    <w:p w:rsidR="005B3D39" w:rsidRPr="00587C74" w:rsidRDefault="00F34C8A" w:rsidP="004114B3">
      <w:pPr>
        <w:ind w:left="720"/>
        <w:rPr>
          <w:rFonts w:cs="Arial"/>
          <w:szCs w:val="22"/>
          <w:lang w:eastAsia="en-US"/>
        </w:rPr>
      </w:pPr>
      <w:r w:rsidRPr="00F34C8A">
        <w:rPr>
          <w:rFonts w:asciiTheme="minorHAnsi" w:hAnsiTheme="minorHAnsi" w:cs="Arial"/>
          <w:bCs/>
          <w:lang w:val="en-GB"/>
        </w:rPr>
        <w:t>Juno welcomes the PBAC's recommendation to list Glatira (glatiramer acetate) on the PBS for the treatment of multiple sclerosis</w:t>
      </w:r>
    </w:p>
    <w:sectPr w:rsidR="005B3D39" w:rsidRPr="00587C7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EC1" w:rsidRDefault="00EC4EC1">
      <w:r>
        <w:separator/>
      </w:r>
    </w:p>
    <w:p w:rsidR="00EC4EC1" w:rsidRDefault="00EC4EC1"/>
  </w:endnote>
  <w:endnote w:type="continuationSeparator" w:id="0">
    <w:p w:rsidR="00EC4EC1" w:rsidRDefault="00EC4EC1">
      <w:r>
        <w:continuationSeparator/>
      </w:r>
    </w:p>
    <w:p w:rsidR="00EC4EC1" w:rsidRDefault="00EC4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C4EC1" w:rsidTr="005A3173">
      <w:trPr>
        <w:trHeight w:val="151"/>
      </w:trPr>
      <w:tc>
        <w:tcPr>
          <w:tcW w:w="2250" w:type="pct"/>
          <w:tcBorders>
            <w:top w:val="nil"/>
            <w:left w:val="nil"/>
            <w:bottom w:val="single" w:sz="4" w:space="0" w:color="4F81BD"/>
            <w:right w:val="nil"/>
          </w:tcBorders>
        </w:tcPr>
        <w:p w:rsidR="00EC4EC1" w:rsidRPr="005A3173" w:rsidRDefault="00EC4EC1" w:rsidP="005A3173">
          <w:pPr>
            <w:pStyle w:val="Header"/>
            <w:spacing w:line="276" w:lineRule="auto"/>
            <w:rPr>
              <w:rFonts w:eastAsia="MS Gothic"/>
              <w:b/>
              <w:bCs/>
              <w:color w:val="4F81BD"/>
            </w:rPr>
          </w:pPr>
        </w:p>
      </w:tc>
      <w:tc>
        <w:tcPr>
          <w:tcW w:w="500" w:type="pct"/>
          <w:vMerge w:val="restart"/>
          <w:noWrap/>
          <w:vAlign w:val="center"/>
          <w:hideMark/>
        </w:tcPr>
        <w:p w:rsidR="00EC4EC1" w:rsidRPr="005A3173" w:rsidRDefault="00EC4EC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C4EC1" w:rsidRPr="005A3173" w:rsidRDefault="00EC4EC1" w:rsidP="005A3173">
          <w:pPr>
            <w:pStyle w:val="Header"/>
            <w:spacing w:line="276" w:lineRule="auto"/>
            <w:rPr>
              <w:rFonts w:eastAsia="MS Gothic"/>
              <w:b/>
              <w:bCs/>
              <w:color w:val="4F81BD"/>
            </w:rPr>
          </w:pPr>
        </w:p>
      </w:tc>
    </w:tr>
    <w:tr w:rsidR="00EC4EC1" w:rsidTr="005A3173">
      <w:trPr>
        <w:trHeight w:val="150"/>
      </w:trPr>
      <w:tc>
        <w:tcPr>
          <w:tcW w:w="2250" w:type="pct"/>
          <w:tcBorders>
            <w:top w:val="single" w:sz="4" w:space="0" w:color="4F81BD"/>
            <w:left w:val="nil"/>
            <w:bottom w:val="nil"/>
            <w:right w:val="nil"/>
          </w:tcBorders>
        </w:tcPr>
        <w:p w:rsidR="00EC4EC1" w:rsidRPr="005A3173" w:rsidRDefault="00EC4EC1" w:rsidP="005A3173">
          <w:pPr>
            <w:pStyle w:val="Header"/>
            <w:spacing w:line="276" w:lineRule="auto"/>
            <w:rPr>
              <w:rFonts w:eastAsia="MS Gothic"/>
              <w:b/>
              <w:bCs/>
              <w:color w:val="4F81BD"/>
            </w:rPr>
          </w:pPr>
        </w:p>
      </w:tc>
      <w:tc>
        <w:tcPr>
          <w:tcW w:w="0" w:type="auto"/>
          <w:vMerge/>
          <w:vAlign w:val="center"/>
          <w:hideMark/>
        </w:tcPr>
        <w:p w:rsidR="00EC4EC1" w:rsidRPr="005A3173" w:rsidRDefault="00EC4EC1" w:rsidP="005A3173">
          <w:pPr>
            <w:rPr>
              <w:color w:val="365F91"/>
              <w:sz w:val="22"/>
              <w:szCs w:val="22"/>
            </w:rPr>
          </w:pPr>
        </w:p>
      </w:tc>
      <w:tc>
        <w:tcPr>
          <w:tcW w:w="2250" w:type="pct"/>
          <w:tcBorders>
            <w:top w:val="single" w:sz="4" w:space="0" w:color="4F81BD"/>
            <w:left w:val="nil"/>
            <w:bottom w:val="nil"/>
            <w:right w:val="nil"/>
          </w:tcBorders>
        </w:tcPr>
        <w:p w:rsidR="00EC4EC1" w:rsidRPr="005A3173" w:rsidRDefault="00EC4EC1" w:rsidP="005A3173">
          <w:pPr>
            <w:pStyle w:val="Header"/>
            <w:spacing w:line="276" w:lineRule="auto"/>
            <w:rPr>
              <w:rFonts w:eastAsia="MS Gothic"/>
              <w:b/>
              <w:bCs/>
              <w:color w:val="4F81BD"/>
            </w:rPr>
          </w:pPr>
        </w:p>
      </w:tc>
    </w:tr>
  </w:tbl>
  <w:p w:rsidR="00EC4EC1" w:rsidRDefault="00EC4EC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4EC1" w:rsidRDefault="00EC4EC1">
    <w:pPr>
      <w:pStyle w:val="Footer"/>
    </w:pPr>
  </w:p>
  <w:p w:rsidR="00EC4EC1" w:rsidRDefault="00EC4EC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C1" w:rsidRDefault="00EC4EC1">
    <w:pPr>
      <w:pStyle w:val="Footer"/>
      <w:jc w:val="center"/>
    </w:pPr>
  </w:p>
  <w:p w:rsidR="00EC4EC1" w:rsidRPr="00AC5155" w:rsidRDefault="00EC4EC1" w:rsidP="00CE169E">
    <w:pPr>
      <w:pStyle w:val="Footer"/>
      <w:jc w:val="center"/>
      <w:rPr>
        <w:b/>
      </w:rPr>
    </w:pPr>
    <w:sdt>
      <w:sdtPr>
        <w:rPr>
          <w:b/>
        </w:rPr>
        <w:id w:val="-11769078"/>
        <w:docPartObj>
          <w:docPartGallery w:val="Page Numbers (Bottom of Page)"/>
          <w:docPartUnique/>
        </w:docPartObj>
      </w:sdtPr>
      <w:sdtEndPr>
        <w:rPr>
          <w:noProof/>
        </w:rPr>
      </w:sdtEndPr>
      <w:sdtContent>
        <w:r w:rsidRPr="00AC5155">
          <w:rPr>
            <w:b/>
          </w:rPr>
          <w:fldChar w:fldCharType="begin"/>
        </w:r>
        <w:r w:rsidRPr="00AC5155">
          <w:rPr>
            <w:b/>
          </w:rPr>
          <w:instrText xml:space="preserve"> PAGE   \* MERGEFORMAT </w:instrText>
        </w:r>
        <w:r w:rsidRPr="00AC5155">
          <w:rPr>
            <w:b/>
          </w:rPr>
          <w:fldChar w:fldCharType="separate"/>
        </w:r>
        <w:r w:rsidR="000E7D64">
          <w:rPr>
            <w:b/>
            <w:noProof/>
          </w:rPr>
          <w:t>2</w:t>
        </w:r>
        <w:r w:rsidRPr="00AC5155">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EC4EC1" w:rsidTr="005A3173">
      <w:trPr>
        <w:trHeight w:val="151"/>
      </w:trPr>
      <w:tc>
        <w:tcPr>
          <w:tcW w:w="2250" w:type="pct"/>
          <w:tcBorders>
            <w:top w:val="nil"/>
            <w:left w:val="nil"/>
            <w:bottom w:val="single" w:sz="4" w:space="0" w:color="4F81BD"/>
            <w:right w:val="nil"/>
          </w:tcBorders>
        </w:tcPr>
        <w:p w:rsidR="00EC4EC1" w:rsidRPr="005A3173" w:rsidRDefault="00EC4EC1" w:rsidP="005A3173">
          <w:pPr>
            <w:pStyle w:val="Header"/>
            <w:spacing w:line="276" w:lineRule="auto"/>
            <w:rPr>
              <w:rFonts w:eastAsia="MS Gothic"/>
              <w:b/>
              <w:bCs/>
              <w:color w:val="4F81BD"/>
            </w:rPr>
          </w:pPr>
        </w:p>
      </w:tc>
      <w:tc>
        <w:tcPr>
          <w:tcW w:w="500" w:type="pct"/>
          <w:vMerge w:val="restart"/>
          <w:noWrap/>
          <w:vAlign w:val="center"/>
          <w:hideMark/>
        </w:tcPr>
        <w:p w:rsidR="00EC4EC1" w:rsidRPr="005A3173" w:rsidRDefault="00EC4EC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C4EC1" w:rsidRPr="005A3173" w:rsidRDefault="00EC4EC1" w:rsidP="005A3173">
          <w:pPr>
            <w:pStyle w:val="Header"/>
            <w:spacing w:line="276" w:lineRule="auto"/>
            <w:rPr>
              <w:rFonts w:eastAsia="MS Gothic"/>
              <w:b/>
              <w:bCs/>
              <w:color w:val="4F81BD"/>
            </w:rPr>
          </w:pPr>
        </w:p>
      </w:tc>
    </w:tr>
    <w:tr w:rsidR="00EC4EC1" w:rsidTr="005A3173">
      <w:trPr>
        <w:trHeight w:val="150"/>
      </w:trPr>
      <w:tc>
        <w:tcPr>
          <w:tcW w:w="2250" w:type="pct"/>
          <w:tcBorders>
            <w:top w:val="single" w:sz="4" w:space="0" w:color="4F81BD"/>
            <w:left w:val="nil"/>
            <w:bottom w:val="nil"/>
            <w:right w:val="nil"/>
          </w:tcBorders>
        </w:tcPr>
        <w:p w:rsidR="00EC4EC1" w:rsidRPr="005A3173" w:rsidRDefault="00EC4EC1" w:rsidP="005A3173">
          <w:pPr>
            <w:pStyle w:val="Header"/>
            <w:spacing w:line="276" w:lineRule="auto"/>
            <w:rPr>
              <w:rFonts w:eastAsia="MS Gothic"/>
              <w:b/>
              <w:bCs/>
              <w:color w:val="4F81BD"/>
            </w:rPr>
          </w:pPr>
        </w:p>
      </w:tc>
      <w:tc>
        <w:tcPr>
          <w:tcW w:w="0" w:type="auto"/>
          <w:vMerge/>
          <w:vAlign w:val="center"/>
          <w:hideMark/>
        </w:tcPr>
        <w:p w:rsidR="00EC4EC1" w:rsidRPr="005A3173" w:rsidRDefault="00EC4EC1" w:rsidP="005A3173">
          <w:pPr>
            <w:rPr>
              <w:color w:val="365F91"/>
              <w:sz w:val="22"/>
              <w:szCs w:val="22"/>
            </w:rPr>
          </w:pPr>
        </w:p>
      </w:tc>
      <w:tc>
        <w:tcPr>
          <w:tcW w:w="2250" w:type="pct"/>
          <w:tcBorders>
            <w:top w:val="single" w:sz="4" w:space="0" w:color="4F81BD"/>
            <w:left w:val="nil"/>
            <w:bottom w:val="nil"/>
            <w:right w:val="nil"/>
          </w:tcBorders>
        </w:tcPr>
        <w:p w:rsidR="00EC4EC1" w:rsidRPr="005A3173" w:rsidRDefault="00EC4EC1"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EC4EC1" w:rsidTr="005A3173">
      <w:trPr>
        <w:trHeight w:val="151"/>
      </w:trPr>
      <w:tc>
        <w:tcPr>
          <w:tcW w:w="2250" w:type="pct"/>
          <w:tcBorders>
            <w:top w:val="nil"/>
            <w:left w:val="nil"/>
            <w:bottom w:val="single" w:sz="4" w:space="0" w:color="4F81BD"/>
            <w:right w:val="nil"/>
          </w:tcBorders>
        </w:tcPr>
        <w:p w:rsidR="00EC4EC1" w:rsidRPr="005A3173" w:rsidRDefault="00EC4EC1" w:rsidP="005A3173">
          <w:pPr>
            <w:pStyle w:val="Header"/>
            <w:spacing w:line="276" w:lineRule="auto"/>
            <w:rPr>
              <w:rFonts w:eastAsia="MS Gothic"/>
              <w:b/>
              <w:bCs/>
              <w:color w:val="4F81BD"/>
            </w:rPr>
          </w:pPr>
        </w:p>
      </w:tc>
      <w:tc>
        <w:tcPr>
          <w:tcW w:w="500" w:type="pct"/>
          <w:vMerge w:val="restart"/>
          <w:noWrap/>
          <w:vAlign w:val="center"/>
          <w:hideMark/>
        </w:tcPr>
        <w:p w:rsidR="00EC4EC1" w:rsidRPr="005A3173" w:rsidRDefault="00EC4EC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C4EC1" w:rsidRPr="005A3173" w:rsidRDefault="00EC4EC1" w:rsidP="005A3173">
          <w:pPr>
            <w:pStyle w:val="Header"/>
            <w:spacing w:line="276" w:lineRule="auto"/>
            <w:rPr>
              <w:rFonts w:eastAsia="MS Gothic"/>
              <w:b/>
              <w:bCs/>
              <w:color w:val="4F81BD"/>
            </w:rPr>
          </w:pPr>
        </w:p>
      </w:tc>
    </w:tr>
    <w:tr w:rsidR="00EC4EC1" w:rsidTr="005A3173">
      <w:trPr>
        <w:trHeight w:val="150"/>
      </w:trPr>
      <w:tc>
        <w:tcPr>
          <w:tcW w:w="2250" w:type="pct"/>
          <w:tcBorders>
            <w:top w:val="single" w:sz="4" w:space="0" w:color="4F81BD"/>
            <w:left w:val="nil"/>
            <w:bottom w:val="nil"/>
            <w:right w:val="nil"/>
          </w:tcBorders>
        </w:tcPr>
        <w:p w:rsidR="00EC4EC1" w:rsidRPr="005A3173" w:rsidRDefault="00EC4EC1" w:rsidP="005A3173">
          <w:pPr>
            <w:pStyle w:val="Header"/>
            <w:spacing w:line="276" w:lineRule="auto"/>
            <w:rPr>
              <w:rFonts w:eastAsia="MS Gothic"/>
              <w:b/>
              <w:bCs/>
              <w:color w:val="4F81BD"/>
            </w:rPr>
          </w:pPr>
        </w:p>
      </w:tc>
      <w:tc>
        <w:tcPr>
          <w:tcW w:w="0" w:type="auto"/>
          <w:vMerge/>
          <w:vAlign w:val="center"/>
          <w:hideMark/>
        </w:tcPr>
        <w:p w:rsidR="00EC4EC1" w:rsidRPr="005A3173" w:rsidRDefault="00EC4EC1" w:rsidP="005A3173">
          <w:pPr>
            <w:rPr>
              <w:color w:val="365F91"/>
              <w:sz w:val="22"/>
              <w:szCs w:val="22"/>
            </w:rPr>
          </w:pPr>
        </w:p>
      </w:tc>
      <w:tc>
        <w:tcPr>
          <w:tcW w:w="2250" w:type="pct"/>
          <w:tcBorders>
            <w:top w:val="single" w:sz="4" w:space="0" w:color="4F81BD"/>
            <w:left w:val="nil"/>
            <w:bottom w:val="nil"/>
            <w:right w:val="nil"/>
          </w:tcBorders>
        </w:tcPr>
        <w:p w:rsidR="00EC4EC1" w:rsidRPr="005A3173" w:rsidRDefault="00EC4EC1" w:rsidP="005A3173">
          <w:pPr>
            <w:pStyle w:val="Header"/>
            <w:spacing w:line="276" w:lineRule="auto"/>
            <w:rPr>
              <w:rFonts w:eastAsia="MS Gothic"/>
              <w:b/>
              <w:bCs/>
              <w:color w:val="4F81BD"/>
            </w:rPr>
          </w:pPr>
        </w:p>
      </w:tc>
    </w:tr>
  </w:tbl>
  <w:p w:rsidR="00EC4EC1" w:rsidRPr="007C0F57" w:rsidRDefault="00EC4EC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0E7D64">
      <w:rPr>
        <w:rStyle w:val="PageNumber"/>
        <w:noProof/>
      </w:rPr>
      <w:t>1</w:t>
    </w:r>
    <w:r>
      <w:rPr>
        <w:rStyle w:val="PageNumber"/>
      </w:rPr>
      <w:fldChar w:fldCharType="end"/>
    </w:r>
    <w:r w:rsidRPr="007C0F57">
      <w:rPr>
        <w:b/>
        <w:i/>
        <w:sz w:val="20"/>
        <w:szCs w:val="20"/>
      </w:rPr>
      <w:t>BAC Meeting</w:t>
    </w:r>
  </w:p>
  <w:p w:rsidR="00EC4EC1" w:rsidRPr="007C0F57" w:rsidRDefault="00EC4EC1" w:rsidP="007C0F57">
    <w:pPr>
      <w:pStyle w:val="Footer"/>
      <w:jc w:val="center"/>
      <w:rPr>
        <w:b/>
        <w:i/>
        <w:sz w:val="20"/>
        <w:szCs w:val="20"/>
      </w:rPr>
    </w:pPr>
    <w:r w:rsidRPr="007C0F57">
      <w:rPr>
        <w:b/>
        <w:i/>
        <w:sz w:val="20"/>
        <w:szCs w:val="20"/>
      </w:rPr>
      <w:t>Commercial-in-Confidence</w:t>
    </w:r>
  </w:p>
  <w:p w:rsidR="00EC4EC1" w:rsidRDefault="00EC4E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EC1" w:rsidRDefault="00EC4EC1">
      <w:r>
        <w:separator/>
      </w:r>
    </w:p>
    <w:p w:rsidR="00EC4EC1" w:rsidRDefault="00EC4EC1"/>
  </w:footnote>
  <w:footnote w:type="continuationSeparator" w:id="0">
    <w:p w:rsidR="00EC4EC1" w:rsidRDefault="00EC4EC1">
      <w:r>
        <w:continuationSeparator/>
      </w:r>
    </w:p>
    <w:p w:rsidR="00EC4EC1" w:rsidRDefault="00EC4E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EC4EC1" w:rsidRPr="008E0D90" w:rsidTr="00A06225">
      <w:trPr>
        <w:trHeight w:val="151"/>
      </w:trPr>
      <w:tc>
        <w:tcPr>
          <w:tcW w:w="2389" w:type="pct"/>
          <w:tcBorders>
            <w:top w:val="nil"/>
            <w:left w:val="nil"/>
            <w:bottom w:val="single" w:sz="4" w:space="0" w:color="4F81BD"/>
            <w:right w:val="nil"/>
          </w:tcBorders>
        </w:tcPr>
        <w:p w:rsidR="00EC4EC1" w:rsidRPr="00A06225" w:rsidRDefault="00EC4EC1">
          <w:pPr>
            <w:pStyle w:val="Header"/>
            <w:spacing w:line="276" w:lineRule="auto"/>
            <w:rPr>
              <w:rFonts w:ascii="Cambria" w:eastAsia="MS Gothic" w:hAnsi="Cambria"/>
              <w:b/>
              <w:bCs/>
              <w:color w:val="4F81BD"/>
            </w:rPr>
          </w:pPr>
        </w:p>
      </w:tc>
      <w:tc>
        <w:tcPr>
          <w:tcW w:w="333" w:type="pct"/>
          <w:vMerge w:val="restart"/>
          <w:noWrap/>
          <w:vAlign w:val="center"/>
          <w:hideMark/>
        </w:tcPr>
        <w:p w:rsidR="00EC4EC1" w:rsidRPr="00A06225" w:rsidRDefault="00EC4EC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C4EC1" w:rsidRPr="00A06225" w:rsidRDefault="00EC4EC1">
          <w:pPr>
            <w:pStyle w:val="Header"/>
            <w:spacing w:line="276" w:lineRule="auto"/>
            <w:rPr>
              <w:rFonts w:ascii="Cambria" w:eastAsia="MS Gothic" w:hAnsi="Cambria"/>
              <w:b/>
              <w:bCs/>
              <w:color w:val="4F81BD"/>
            </w:rPr>
          </w:pPr>
        </w:p>
      </w:tc>
    </w:tr>
    <w:tr w:rsidR="00EC4EC1" w:rsidRPr="008E0D90" w:rsidTr="00A06225">
      <w:trPr>
        <w:trHeight w:val="150"/>
      </w:trPr>
      <w:tc>
        <w:tcPr>
          <w:tcW w:w="2389" w:type="pct"/>
          <w:tcBorders>
            <w:top w:val="single" w:sz="4" w:space="0" w:color="4F81BD"/>
            <w:left w:val="nil"/>
            <w:bottom w:val="nil"/>
            <w:right w:val="nil"/>
          </w:tcBorders>
        </w:tcPr>
        <w:p w:rsidR="00EC4EC1" w:rsidRPr="00A06225" w:rsidRDefault="00EC4EC1">
          <w:pPr>
            <w:pStyle w:val="Header"/>
            <w:spacing w:line="276" w:lineRule="auto"/>
            <w:rPr>
              <w:rFonts w:ascii="Cambria" w:eastAsia="MS Gothic" w:hAnsi="Cambria"/>
              <w:b/>
              <w:bCs/>
              <w:color w:val="4F81BD"/>
            </w:rPr>
          </w:pPr>
        </w:p>
      </w:tc>
      <w:tc>
        <w:tcPr>
          <w:tcW w:w="0" w:type="auto"/>
          <w:vMerge/>
          <w:vAlign w:val="center"/>
          <w:hideMark/>
        </w:tcPr>
        <w:p w:rsidR="00EC4EC1" w:rsidRPr="00A06225" w:rsidRDefault="00EC4EC1">
          <w:pPr>
            <w:rPr>
              <w:rFonts w:ascii="Cambria" w:hAnsi="Cambria"/>
              <w:color w:val="4F81BD"/>
              <w:sz w:val="22"/>
              <w:szCs w:val="22"/>
            </w:rPr>
          </w:pPr>
        </w:p>
      </w:tc>
      <w:tc>
        <w:tcPr>
          <w:tcW w:w="2278" w:type="pct"/>
          <w:tcBorders>
            <w:top w:val="single" w:sz="4" w:space="0" w:color="4F81BD"/>
            <w:left w:val="nil"/>
            <w:bottom w:val="nil"/>
            <w:right w:val="nil"/>
          </w:tcBorders>
        </w:tcPr>
        <w:p w:rsidR="00EC4EC1" w:rsidRPr="00A06225" w:rsidRDefault="00EC4EC1">
          <w:pPr>
            <w:pStyle w:val="Header"/>
            <w:spacing w:line="276" w:lineRule="auto"/>
            <w:rPr>
              <w:rFonts w:ascii="Cambria" w:eastAsia="MS Gothic" w:hAnsi="Cambria"/>
              <w:b/>
              <w:bCs/>
              <w:color w:val="4F81BD"/>
            </w:rPr>
          </w:pPr>
        </w:p>
      </w:tc>
    </w:tr>
  </w:tbl>
  <w:p w:rsidR="00EC4EC1" w:rsidRDefault="00EC4EC1">
    <w:pPr>
      <w:pStyle w:val="Header"/>
    </w:pPr>
  </w:p>
  <w:p w:rsidR="00EC4EC1" w:rsidRDefault="00EC4E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C1" w:rsidRPr="00056684" w:rsidRDefault="00EC4EC1" w:rsidP="00CE169E">
    <w:pPr>
      <w:pStyle w:val="Header"/>
      <w:ind w:left="360"/>
      <w:rPr>
        <w:rFonts w:asciiTheme="minorHAnsi" w:hAnsiTheme="minorHAnsi"/>
        <w:i/>
        <w:color w:val="808080"/>
      </w:rPr>
    </w:pPr>
    <w:r>
      <w:rPr>
        <w:rFonts w:asciiTheme="minorHAnsi" w:hAnsiTheme="minorHAnsi" w:cs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EC4EC1" w:rsidRDefault="00EC4EC1"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64" w:rsidRDefault="000E7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773217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4C02CE"/>
    <w:multiLevelType w:val="hybridMultilevel"/>
    <w:tmpl w:val="94CCCF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963E6D"/>
    <w:multiLevelType w:val="hybridMultilevel"/>
    <w:tmpl w:val="28DE3F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784D033C"/>
    <w:multiLevelType w:val="multilevel"/>
    <w:tmpl w:val="BD8C1CF2"/>
    <w:lvl w:ilvl="0">
      <w:start w:val="1"/>
      <w:numFmt w:val="decimal"/>
      <w:pStyle w:val="2-SectionHeading"/>
      <w:lvlText w:val="%1"/>
      <w:lvlJc w:val="left"/>
      <w:pPr>
        <w:ind w:left="720" w:hanging="720"/>
      </w:pPr>
      <w:rPr>
        <w:rFonts w:hint="default"/>
        <w:b/>
        <w:i w:val="0"/>
        <w:color w:val="auto"/>
      </w:rPr>
    </w:lvl>
    <w:lvl w:ilvl="1">
      <w:start w:val="1"/>
      <w:numFmt w:val="decimal"/>
      <w:pStyle w:val="3Bodytext"/>
      <w:lvlText w:val="%1.%2"/>
      <w:lvlJc w:val="left"/>
      <w:pPr>
        <w:ind w:left="720" w:hanging="720"/>
      </w:pPr>
      <w:rPr>
        <w:rFonts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53672A"/>
    <w:multiLevelType w:val="hybridMultilevel"/>
    <w:tmpl w:val="A4B43658"/>
    <w:lvl w:ilvl="0" w:tplc="1788446E">
      <w:start w:val="1"/>
      <w:numFmt w:val="decimal"/>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0"/>
  </w:num>
  <w:num w:numId="3">
    <w:abstractNumId w:val="12"/>
  </w:num>
  <w:num w:numId="4">
    <w:abstractNumId w:val="11"/>
  </w:num>
  <w:num w:numId="5">
    <w:abstractNumId w:val="8"/>
  </w:num>
  <w:num w:numId="6">
    <w:abstractNumId w:val="1"/>
  </w:num>
  <w:num w:numId="7">
    <w:abstractNumId w:val="13"/>
  </w:num>
  <w:num w:numId="8">
    <w:abstractNumId w:val="10"/>
  </w:num>
  <w:num w:numId="9">
    <w:abstractNumId w:val="9"/>
  </w:num>
  <w:num w:numId="10">
    <w:abstractNumId w:val="4"/>
  </w:num>
  <w:num w:numId="11">
    <w:abstractNumId w:val="3"/>
  </w:num>
  <w:num w:numId="12">
    <w:abstractNumId w:val="6"/>
  </w:num>
  <w:num w:numId="13">
    <w:abstractNumId w:val="7"/>
  </w:num>
  <w:num w:numId="14">
    <w:abstractNumId w:val="5"/>
  </w:num>
  <w:num w:numId="15">
    <w:abstractNumId w:val="2"/>
  </w:num>
  <w:num w:numId="16">
    <w:abstractNumId w:val="12"/>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11A59"/>
    <w:rsid w:val="00016A41"/>
    <w:rsid w:val="000214D1"/>
    <w:rsid w:val="0002464A"/>
    <w:rsid w:val="00025A14"/>
    <w:rsid w:val="00025E00"/>
    <w:rsid w:val="00026353"/>
    <w:rsid w:val="000268B9"/>
    <w:rsid w:val="000307F1"/>
    <w:rsid w:val="0003106B"/>
    <w:rsid w:val="00033230"/>
    <w:rsid w:val="00034905"/>
    <w:rsid w:val="00041169"/>
    <w:rsid w:val="00041A0A"/>
    <w:rsid w:val="000421A1"/>
    <w:rsid w:val="0004240E"/>
    <w:rsid w:val="00045E26"/>
    <w:rsid w:val="000514B5"/>
    <w:rsid w:val="00060E64"/>
    <w:rsid w:val="00066755"/>
    <w:rsid w:val="00073E80"/>
    <w:rsid w:val="000763D5"/>
    <w:rsid w:val="00077143"/>
    <w:rsid w:val="00080B19"/>
    <w:rsid w:val="00082169"/>
    <w:rsid w:val="000918CB"/>
    <w:rsid w:val="00091B06"/>
    <w:rsid w:val="000951C4"/>
    <w:rsid w:val="0009559E"/>
    <w:rsid w:val="00095ADA"/>
    <w:rsid w:val="000969AD"/>
    <w:rsid w:val="000A2DD1"/>
    <w:rsid w:val="000A3AA2"/>
    <w:rsid w:val="000A44B2"/>
    <w:rsid w:val="000A52F6"/>
    <w:rsid w:val="000B44C3"/>
    <w:rsid w:val="000B558D"/>
    <w:rsid w:val="000C357E"/>
    <w:rsid w:val="000C5F95"/>
    <w:rsid w:val="000C6996"/>
    <w:rsid w:val="000D09E9"/>
    <w:rsid w:val="000D113F"/>
    <w:rsid w:val="000D23BA"/>
    <w:rsid w:val="000E5EA1"/>
    <w:rsid w:val="000E681E"/>
    <w:rsid w:val="000E7D64"/>
    <w:rsid w:val="000F0003"/>
    <w:rsid w:val="000F1691"/>
    <w:rsid w:val="000F3384"/>
    <w:rsid w:val="000F4E6A"/>
    <w:rsid w:val="000F596E"/>
    <w:rsid w:val="000F7354"/>
    <w:rsid w:val="00101880"/>
    <w:rsid w:val="00101ABE"/>
    <w:rsid w:val="00102202"/>
    <w:rsid w:val="00104227"/>
    <w:rsid w:val="00106C8D"/>
    <w:rsid w:val="001107BF"/>
    <w:rsid w:val="00113649"/>
    <w:rsid w:val="00121912"/>
    <w:rsid w:val="0012210B"/>
    <w:rsid w:val="0012417C"/>
    <w:rsid w:val="00126DEB"/>
    <w:rsid w:val="0012749D"/>
    <w:rsid w:val="00130101"/>
    <w:rsid w:val="00133719"/>
    <w:rsid w:val="0013394B"/>
    <w:rsid w:val="00133A6F"/>
    <w:rsid w:val="001371C4"/>
    <w:rsid w:val="00142395"/>
    <w:rsid w:val="00142714"/>
    <w:rsid w:val="001452ED"/>
    <w:rsid w:val="00147D84"/>
    <w:rsid w:val="00150113"/>
    <w:rsid w:val="001549C1"/>
    <w:rsid w:val="00162BDD"/>
    <w:rsid w:val="00162D4E"/>
    <w:rsid w:val="00163329"/>
    <w:rsid w:val="00164623"/>
    <w:rsid w:val="001652DE"/>
    <w:rsid w:val="00165B64"/>
    <w:rsid w:val="00174BAF"/>
    <w:rsid w:val="0017663A"/>
    <w:rsid w:val="00176B9D"/>
    <w:rsid w:val="0018059F"/>
    <w:rsid w:val="00180713"/>
    <w:rsid w:val="00180720"/>
    <w:rsid w:val="001830CE"/>
    <w:rsid w:val="001836E3"/>
    <w:rsid w:val="00183797"/>
    <w:rsid w:val="0018596D"/>
    <w:rsid w:val="0018643B"/>
    <w:rsid w:val="00193542"/>
    <w:rsid w:val="001949CD"/>
    <w:rsid w:val="001960B1"/>
    <w:rsid w:val="00196307"/>
    <w:rsid w:val="001A33EA"/>
    <w:rsid w:val="001A4C4F"/>
    <w:rsid w:val="001A76FB"/>
    <w:rsid w:val="001B017F"/>
    <w:rsid w:val="001B1B69"/>
    <w:rsid w:val="001B2BBC"/>
    <w:rsid w:val="001B3A40"/>
    <w:rsid w:val="001B3FFE"/>
    <w:rsid w:val="001B4CF4"/>
    <w:rsid w:val="001B5129"/>
    <w:rsid w:val="001B7343"/>
    <w:rsid w:val="001B7962"/>
    <w:rsid w:val="001C0B4C"/>
    <w:rsid w:val="001C1195"/>
    <w:rsid w:val="001C2E42"/>
    <w:rsid w:val="001C6E12"/>
    <w:rsid w:val="001D0480"/>
    <w:rsid w:val="001D1F5F"/>
    <w:rsid w:val="001E06D2"/>
    <w:rsid w:val="001E111B"/>
    <w:rsid w:val="001E1AA5"/>
    <w:rsid w:val="001F005B"/>
    <w:rsid w:val="001F1850"/>
    <w:rsid w:val="001F3189"/>
    <w:rsid w:val="001F462D"/>
    <w:rsid w:val="001F74F7"/>
    <w:rsid w:val="00200013"/>
    <w:rsid w:val="00201721"/>
    <w:rsid w:val="00203FAC"/>
    <w:rsid w:val="00207D93"/>
    <w:rsid w:val="00212E77"/>
    <w:rsid w:val="00213CFB"/>
    <w:rsid w:val="0021553C"/>
    <w:rsid w:val="0021557B"/>
    <w:rsid w:val="00215B6F"/>
    <w:rsid w:val="002174FD"/>
    <w:rsid w:val="00217BE1"/>
    <w:rsid w:val="00226E2B"/>
    <w:rsid w:val="0023302A"/>
    <w:rsid w:val="002339D4"/>
    <w:rsid w:val="00234252"/>
    <w:rsid w:val="00234AC7"/>
    <w:rsid w:val="00237AC6"/>
    <w:rsid w:val="00244490"/>
    <w:rsid w:val="00245B9C"/>
    <w:rsid w:val="00253499"/>
    <w:rsid w:val="0025370B"/>
    <w:rsid w:val="002551A4"/>
    <w:rsid w:val="00257664"/>
    <w:rsid w:val="00257C00"/>
    <w:rsid w:val="00262CC3"/>
    <w:rsid w:val="00265151"/>
    <w:rsid w:val="00265817"/>
    <w:rsid w:val="00265C2C"/>
    <w:rsid w:val="00266509"/>
    <w:rsid w:val="00271BA1"/>
    <w:rsid w:val="002762FA"/>
    <w:rsid w:val="00277505"/>
    <w:rsid w:val="002823B6"/>
    <w:rsid w:val="00294274"/>
    <w:rsid w:val="0029458F"/>
    <w:rsid w:val="002A0E04"/>
    <w:rsid w:val="002A104C"/>
    <w:rsid w:val="002A1EF7"/>
    <w:rsid w:val="002A38D2"/>
    <w:rsid w:val="002A494D"/>
    <w:rsid w:val="002A4960"/>
    <w:rsid w:val="002B0AE0"/>
    <w:rsid w:val="002B1AE6"/>
    <w:rsid w:val="002B1D51"/>
    <w:rsid w:val="002B2DE8"/>
    <w:rsid w:val="002B30F8"/>
    <w:rsid w:val="002B388A"/>
    <w:rsid w:val="002B416F"/>
    <w:rsid w:val="002B5596"/>
    <w:rsid w:val="002C212F"/>
    <w:rsid w:val="002C5AF4"/>
    <w:rsid w:val="002C7485"/>
    <w:rsid w:val="002D283A"/>
    <w:rsid w:val="002D3D09"/>
    <w:rsid w:val="002D4543"/>
    <w:rsid w:val="002E3153"/>
    <w:rsid w:val="002E5292"/>
    <w:rsid w:val="002E72CA"/>
    <w:rsid w:val="002F06F6"/>
    <w:rsid w:val="002F600D"/>
    <w:rsid w:val="00300AD6"/>
    <w:rsid w:val="00300B1B"/>
    <w:rsid w:val="003019D0"/>
    <w:rsid w:val="003036D8"/>
    <w:rsid w:val="003045E6"/>
    <w:rsid w:val="003056DF"/>
    <w:rsid w:val="003064AF"/>
    <w:rsid w:val="00310B68"/>
    <w:rsid w:val="00317C6C"/>
    <w:rsid w:val="00317D6D"/>
    <w:rsid w:val="00320CD3"/>
    <w:rsid w:val="00326E79"/>
    <w:rsid w:val="003301B1"/>
    <w:rsid w:val="00331189"/>
    <w:rsid w:val="003314B8"/>
    <w:rsid w:val="0033263D"/>
    <w:rsid w:val="0033518A"/>
    <w:rsid w:val="003367EF"/>
    <w:rsid w:val="00341AE4"/>
    <w:rsid w:val="003443AD"/>
    <w:rsid w:val="003467EB"/>
    <w:rsid w:val="003472ED"/>
    <w:rsid w:val="003476EE"/>
    <w:rsid w:val="003541DD"/>
    <w:rsid w:val="00355398"/>
    <w:rsid w:val="003559AA"/>
    <w:rsid w:val="00356E5B"/>
    <w:rsid w:val="003736C9"/>
    <w:rsid w:val="00377690"/>
    <w:rsid w:val="003818D5"/>
    <w:rsid w:val="00381BF1"/>
    <w:rsid w:val="003826D7"/>
    <w:rsid w:val="00382F2B"/>
    <w:rsid w:val="00384988"/>
    <w:rsid w:val="003872CF"/>
    <w:rsid w:val="0039782C"/>
    <w:rsid w:val="003A3974"/>
    <w:rsid w:val="003A5127"/>
    <w:rsid w:val="003A5B4A"/>
    <w:rsid w:val="003A5D95"/>
    <w:rsid w:val="003A712D"/>
    <w:rsid w:val="003B23C5"/>
    <w:rsid w:val="003B2A75"/>
    <w:rsid w:val="003B39E0"/>
    <w:rsid w:val="003B6124"/>
    <w:rsid w:val="003C093A"/>
    <w:rsid w:val="003C1ECF"/>
    <w:rsid w:val="003C2408"/>
    <w:rsid w:val="003C2FB5"/>
    <w:rsid w:val="003C3526"/>
    <w:rsid w:val="003C6121"/>
    <w:rsid w:val="003D169F"/>
    <w:rsid w:val="003D24C5"/>
    <w:rsid w:val="003D4AC4"/>
    <w:rsid w:val="003D63B7"/>
    <w:rsid w:val="003D74C5"/>
    <w:rsid w:val="003E468B"/>
    <w:rsid w:val="003E62BD"/>
    <w:rsid w:val="003E6CF6"/>
    <w:rsid w:val="003F0C3A"/>
    <w:rsid w:val="003F3228"/>
    <w:rsid w:val="003F536E"/>
    <w:rsid w:val="003F5C8C"/>
    <w:rsid w:val="003F63CE"/>
    <w:rsid w:val="003F6E4B"/>
    <w:rsid w:val="003F775A"/>
    <w:rsid w:val="00400E55"/>
    <w:rsid w:val="0040128E"/>
    <w:rsid w:val="00401C44"/>
    <w:rsid w:val="0040216B"/>
    <w:rsid w:val="0040314A"/>
    <w:rsid w:val="0040657C"/>
    <w:rsid w:val="004114B3"/>
    <w:rsid w:val="004252EC"/>
    <w:rsid w:val="00427B61"/>
    <w:rsid w:val="00430D39"/>
    <w:rsid w:val="0043173A"/>
    <w:rsid w:val="004465BD"/>
    <w:rsid w:val="00446938"/>
    <w:rsid w:val="004470E0"/>
    <w:rsid w:val="00456ECB"/>
    <w:rsid w:val="00461A44"/>
    <w:rsid w:val="00463E35"/>
    <w:rsid w:val="00466ADA"/>
    <w:rsid w:val="004702BB"/>
    <w:rsid w:val="004731AB"/>
    <w:rsid w:val="0047494B"/>
    <w:rsid w:val="00476245"/>
    <w:rsid w:val="00477A9B"/>
    <w:rsid w:val="00483035"/>
    <w:rsid w:val="00485940"/>
    <w:rsid w:val="004904B9"/>
    <w:rsid w:val="00496662"/>
    <w:rsid w:val="004A2484"/>
    <w:rsid w:val="004A5A85"/>
    <w:rsid w:val="004A71D1"/>
    <w:rsid w:val="004A7C5B"/>
    <w:rsid w:val="004B1845"/>
    <w:rsid w:val="004B2348"/>
    <w:rsid w:val="004B2E98"/>
    <w:rsid w:val="004B5640"/>
    <w:rsid w:val="004C03D0"/>
    <w:rsid w:val="004C1441"/>
    <w:rsid w:val="004C1BD7"/>
    <w:rsid w:val="004C31FE"/>
    <w:rsid w:val="004C524C"/>
    <w:rsid w:val="004C5FFA"/>
    <w:rsid w:val="004C691D"/>
    <w:rsid w:val="004C6C07"/>
    <w:rsid w:val="004C7439"/>
    <w:rsid w:val="004C7E15"/>
    <w:rsid w:val="004D2922"/>
    <w:rsid w:val="004D4FF6"/>
    <w:rsid w:val="004D582D"/>
    <w:rsid w:val="004E2E0D"/>
    <w:rsid w:val="004E37D9"/>
    <w:rsid w:val="004E4430"/>
    <w:rsid w:val="004E692D"/>
    <w:rsid w:val="004E7D87"/>
    <w:rsid w:val="004F1E2F"/>
    <w:rsid w:val="004F2553"/>
    <w:rsid w:val="004F2C07"/>
    <w:rsid w:val="00500C15"/>
    <w:rsid w:val="00501554"/>
    <w:rsid w:val="00502AFE"/>
    <w:rsid w:val="00502B33"/>
    <w:rsid w:val="00503AD7"/>
    <w:rsid w:val="00503DD0"/>
    <w:rsid w:val="00504E0C"/>
    <w:rsid w:val="0050647D"/>
    <w:rsid w:val="0051061E"/>
    <w:rsid w:val="005109D4"/>
    <w:rsid w:val="00512B7C"/>
    <w:rsid w:val="00514623"/>
    <w:rsid w:val="00514CD7"/>
    <w:rsid w:val="00520D6A"/>
    <w:rsid w:val="00522DB6"/>
    <w:rsid w:val="0052792D"/>
    <w:rsid w:val="005319B2"/>
    <w:rsid w:val="005320F1"/>
    <w:rsid w:val="00532402"/>
    <w:rsid w:val="00532888"/>
    <w:rsid w:val="00532C74"/>
    <w:rsid w:val="00533F5F"/>
    <w:rsid w:val="00534E2E"/>
    <w:rsid w:val="00535246"/>
    <w:rsid w:val="00544552"/>
    <w:rsid w:val="00545130"/>
    <w:rsid w:val="00551547"/>
    <w:rsid w:val="0055286A"/>
    <w:rsid w:val="00555745"/>
    <w:rsid w:val="00557D4F"/>
    <w:rsid w:val="0056484E"/>
    <w:rsid w:val="005742CD"/>
    <w:rsid w:val="005764CD"/>
    <w:rsid w:val="00577546"/>
    <w:rsid w:val="00577C4D"/>
    <w:rsid w:val="00580532"/>
    <w:rsid w:val="00581932"/>
    <w:rsid w:val="00587C74"/>
    <w:rsid w:val="005963BB"/>
    <w:rsid w:val="005A3173"/>
    <w:rsid w:val="005A3223"/>
    <w:rsid w:val="005A3DA3"/>
    <w:rsid w:val="005A40A9"/>
    <w:rsid w:val="005A52C4"/>
    <w:rsid w:val="005A63A1"/>
    <w:rsid w:val="005B105D"/>
    <w:rsid w:val="005B3D39"/>
    <w:rsid w:val="005C4F73"/>
    <w:rsid w:val="005C5584"/>
    <w:rsid w:val="005C7F28"/>
    <w:rsid w:val="005D03AB"/>
    <w:rsid w:val="005D380A"/>
    <w:rsid w:val="005D5017"/>
    <w:rsid w:val="005D63FA"/>
    <w:rsid w:val="005D7FDE"/>
    <w:rsid w:val="005E0D82"/>
    <w:rsid w:val="005E1333"/>
    <w:rsid w:val="005E1F55"/>
    <w:rsid w:val="005E3136"/>
    <w:rsid w:val="005E507D"/>
    <w:rsid w:val="005F2D9F"/>
    <w:rsid w:val="005F4097"/>
    <w:rsid w:val="005F61EB"/>
    <w:rsid w:val="00601A91"/>
    <w:rsid w:val="00602BA3"/>
    <w:rsid w:val="00605B63"/>
    <w:rsid w:val="00605F9A"/>
    <w:rsid w:val="00606201"/>
    <w:rsid w:val="00606EED"/>
    <w:rsid w:val="00612E34"/>
    <w:rsid w:val="00614159"/>
    <w:rsid w:val="00614B7E"/>
    <w:rsid w:val="00615BF1"/>
    <w:rsid w:val="006168FE"/>
    <w:rsid w:val="00616C5F"/>
    <w:rsid w:val="00616DAC"/>
    <w:rsid w:val="00617C00"/>
    <w:rsid w:val="006215F9"/>
    <w:rsid w:val="00621F08"/>
    <w:rsid w:val="00622A47"/>
    <w:rsid w:val="006263BF"/>
    <w:rsid w:val="0062748A"/>
    <w:rsid w:val="006300E9"/>
    <w:rsid w:val="00630A2C"/>
    <w:rsid w:val="0063682E"/>
    <w:rsid w:val="00637DD5"/>
    <w:rsid w:val="00640679"/>
    <w:rsid w:val="00642DA8"/>
    <w:rsid w:val="006436CD"/>
    <w:rsid w:val="00651169"/>
    <w:rsid w:val="00653D69"/>
    <w:rsid w:val="006552E6"/>
    <w:rsid w:val="00655794"/>
    <w:rsid w:val="00657C63"/>
    <w:rsid w:val="00662126"/>
    <w:rsid w:val="00665402"/>
    <w:rsid w:val="006670BE"/>
    <w:rsid w:val="00670A76"/>
    <w:rsid w:val="006711AA"/>
    <w:rsid w:val="00672B57"/>
    <w:rsid w:val="00673F1F"/>
    <w:rsid w:val="00675622"/>
    <w:rsid w:val="0067747D"/>
    <w:rsid w:val="0067766A"/>
    <w:rsid w:val="006818D5"/>
    <w:rsid w:val="00681CA4"/>
    <w:rsid w:val="00686F92"/>
    <w:rsid w:val="0069039D"/>
    <w:rsid w:val="006906DB"/>
    <w:rsid w:val="00691E6C"/>
    <w:rsid w:val="00693DFB"/>
    <w:rsid w:val="0069501D"/>
    <w:rsid w:val="00695165"/>
    <w:rsid w:val="00696129"/>
    <w:rsid w:val="00697CF2"/>
    <w:rsid w:val="00697F03"/>
    <w:rsid w:val="006A0EE8"/>
    <w:rsid w:val="006A12A5"/>
    <w:rsid w:val="006A5E20"/>
    <w:rsid w:val="006A77F4"/>
    <w:rsid w:val="006B0A63"/>
    <w:rsid w:val="006B0D94"/>
    <w:rsid w:val="006B10A2"/>
    <w:rsid w:val="006B485D"/>
    <w:rsid w:val="006B48FB"/>
    <w:rsid w:val="006C0448"/>
    <w:rsid w:val="006C0C45"/>
    <w:rsid w:val="006C334C"/>
    <w:rsid w:val="006C6C87"/>
    <w:rsid w:val="006C708E"/>
    <w:rsid w:val="006C7F64"/>
    <w:rsid w:val="006D14E7"/>
    <w:rsid w:val="006D2978"/>
    <w:rsid w:val="006D4444"/>
    <w:rsid w:val="006D6493"/>
    <w:rsid w:val="006D6EC7"/>
    <w:rsid w:val="006D7B83"/>
    <w:rsid w:val="006E0583"/>
    <w:rsid w:val="006E1BCD"/>
    <w:rsid w:val="006E524E"/>
    <w:rsid w:val="006F0A71"/>
    <w:rsid w:val="006F1B1E"/>
    <w:rsid w:val="006F3B73"/>
    <w:rsid w:val="006F40C2"/>
    <w:rsid w:val="006F4A20"/>
    <w:rsid w:val="006F5125"/>
    <w:rsid w:val="006F733D"/>
    <w:rsid w:val="00701F1A"/>
    <w:rsid w:val="00702B6F"/>
    <w:rsid w:val="00704664"/>
    <w:rsid w:val="00706A2F"/>
    <w:rsid w:val="0070718E"/>
    <w:rsid w:val="00710259"/>
    <w:rsid w:val="0071031F"/>
    <w:rsid w:val="00713172"/>
    <w:rsid w:val="0071340B"/>
    <w:rsid w:val="00713642"/>
    <w:rsid w:val="00715BBB"/>
    <w:rsid w:val="007174BB"/>
    <w:rsid w:val="0072025D"/>
    <w:rsid w:val="00723328"/>
    <w:rsid w:val="0073137C"/>
    <w:rsid w:val="00733C78"/>
    <w:rsid w:val="007353D3"/>
    <w:rsid w:val="007363E3"/>
    <w:rsid w:val="00737ABC"/>
    <w:rsid w:val="0074156B"/>
    <w:rsid w:val="00747092"/>
    <w:rsid w:val="007519D6"/>
    <w:rsid w:val="007555E8"/>
    <w:rsid w:val="0076341E"/>
    <w:rsid w:val="0076420C"/>
    <w:rsid w:val="0076645D"/>
    <w:rsid w:val="00771B3C"/>
    <w:rsid w:val="00771D07"/>
    <w:rsid w:val="00773BE3"/>
    <w:rsid w:val="007743DD"/>
    <w:rsid w:val="00774E2C"/>
    <w:rsid w:val="007753C2"/>
    <w:rsid w:val="007838B8"/>
    <w:rsid w:val="00786AF0"/>
    <w:rsid w:val="007915BA"/>
    <w:rsid w:val="007938F8"/>
    <w:rsid w:val="007A625A"/>
    <w:rsid w:val="007A6562"/>
    <w:rsid w:val="007B01A5"/>
    <w:rsid w:val="007B3DDC"/>
    <w:rsid w:val="007B3E88"/>
    <w:rsid w:val="007B72A6"/>
    <w:rsid w:val="007C0F57"/>
    <w:rsid w:val="007C1CCB"/>
    <w:rsid w:val="007C40B6"/>
    <w:rsid w:val="007C729F"/>
    <w:rsid w:val="007D503D"/>
    <w:rsid w:val="007D5E16"/>
    <w:rsid w:val="007E035C"/>
    <w:rsid w:val="007E1D28"/>
    <w:rsid w:val="007E1E85"/>
    <w:rsid w:val="007E20D3"/>
    <w:rsid w:val="007F0021"/>
    <w:rsid w:val="007F0907"/>
    <w:rsid w:val="007F2641"/>
    <w:rsid w:val="007F620D"/>
    <w:rsid w:val="007F70F4"/>
    <w:rsid w:val="007F7756"/>
    <w:rsid w:val="007F7C36"/>
    <w:rsid w:val="00804DB2"/>
    <w:rsid w:val="00806796"/>
    <w:rsid w:val="0081170D"/>
    <w:rsid w:val="00811CC0"/>
    <w:rsid w:val="00814677"/>
    <w:rsid w:val="008151D6"/>
    <w:rsid w:val="00815B0E"/>
    <w:rsid w:val="00821527"/>
    <w:rsid w:val="00822696"/>
    <w:rsid w:val="0082670D"/>
    <w:rsid w:val="008268BB"/>
    <w:rsid w:val="00826F6D"/>
    <w:rsid w:val="008306F3"/>
    <w:rsid w:val="00830E40"/>
    <w:rsid w:val="00835C62"/>
    <w:rsid w:val="00841B33"/>
    <w:rsid w:val="00842532"/>
    <w:rsid w:val="00846056"/>
    <w:rsid w:val="008461AE"/>
    <w:rsid w:val="00847EC0"/>
    <w:rsid w:val="008518CA"/>
    <w:rsid w:val="00855FD6"/>
    <w:rsid w:val="00856DDD"/>
    <w:rsid w:val="00863D2B"/>
    <w:rsid w:val="00863E68"/>
    <w:rsid w:val="008647B5"/>
    <w:rsid w:val="00865554"/>
    <w:rsid w:val="0087201D"/>
    <w:rsid w:val="00875DCB"/>
    <w:rsid w:val="00882085"/>
    <w:rsid w:val="00883188"/>
    <w:rsid w:val="00883E56"/>
    <w:rsid w:val="00893AA5"/>
    <w:rsid w:val="00897D58"/>
    <w:rsid w:val="00897F22"/>
    <w:rsid w:val="008A0B39"/>
    <w:rsid w:val="008A1956"/>
    <w:rsid w:val="008A4937"/>
    <w:rsid w:val="008A50F1"/>
    <w:rsid w:val="008A5883"/>
    <w:rsid w:val="008A59D9"/>
    <w:rsid w:val="008A6819"/>
    <w:rsid w:val="008A7722"/>
    <w:rsid w:val="008B2EC0"/>
    <w:rsid w:val="008D1B5C"/>
    <w:rsid w:val="008D1FB7"/>
    <w:rsid w:val="008D3C82"/>
    <w:rsid w:val="008D447E"/>
    <w:rsid w:val="008D6512"/>
    <w:rsid w:val="008D7A41"/>
    <w:rsid w:val="008E0D93"/>
    <w:rsid w:val="008E2C72"/>
    <w:rsid w:val="008E35F5"/>
    <w:rsid w:val="008E3680"/>
    <w:rsid w:val="008E5870"/>
    <w:rsid w:val="008F0213"/>
    <w:rsid w:val="008F1434"/>
    <w:rsid w:val="008F54C3"/>
    <w:rsid w:val="008F5E3D"/>
    <w:rsid w:val="008F6FDC"/>
    <w:rsid w:val="008F7355"/>
    <w:rsid w:val="009002F1"/>
    <w:rsid w:val="009023DC"/>
    <w:rsid w:val="009027C5"/>
    <w:rsid w:val="009055A5"/>
    <w:rsid w:val="009067B7"/>
    <w:rsid w:val="00917D69"/>
    <w:rsid w:val="00926560"/>
    <w:rsid w:val="00930937"/>
    <w:rsid w:val="009324A6"/>
    <w:rsid w:val="00933E6C"/>
    <w:rsid w:val="00935526"/>
    <w:rsid w:val="00937958"/>
    <w:rsid w:val="00941602"/>
    <w:rsid w:val="00941A3D"/>
    <w:rsid w:val="00942160"/>
    <w:rsid w:val="0094263F"/>
    <w:rsid w:val="00942845"/>
    <w:rsid w:val="0095146F"/>
    <w:rsid w:val="00955128"/>
    <w:rsid w:val="00957944"/>
    <w:rsid w:val="009602C5"/>
    <w:rsid w:val="009612FC"/>
    <w:rsid w:val="00962223"/>
    <w:rsid w:val="00966D0D"/>
    <w:rsid w:val="009670ED"/>
    <w:rsid w:val="0096783C"/>
    <w:rsid w:val="009722B3"/>
    <w:rsid w:val="00974C21"/>
    <w:rsid w:val="00975948"/>
    <w:rsid w:val="00977BF3"/>
    <w:rsid w:val="009803E4"/>
    <w:rsid w:val="00980B0E"/>
    <w:rsid w:val="009836A3"/>
    <w:rsid w:val="009855A8"/>
    <w:rsid w:val="00986C54"/>
    <w:rsid w:val="009913F4"/>
    <w:rsid w:val="00991782"/>
    <w:rsid w:val="0099465B"/>
    <w:rsid w:val="009951A1"/>
    <w:rsid w:val="009A0CDD"/>
    <w:rsid w:val="009A1E48"/>
    <w:rsid w:val="009A3168"/>
    <w:rsid w:val="009A61CA"/>
    <w:rsid w:val="009B0C64"/>
    <w:rsid w:val="009B0F67"/>
    <w:rsid w:val="009B1ED3"/>
    <w:rsid w:val="009B7231"/>
    <w:rsid w:val="009C3DC4"/>
    <w:rsid w:val="009C703C"/>
    <w:rsid w:val="009D206E"/>
    <w:rsid w:val="009D2F04"/>
    <w:rsid w:val="009D3CAA"/>
    <w:rsid w:val="009D53BC"/>
    <w:rsid w:val="009D6532"/>
    <w:rsid w:val="009D799E"/>
    <w:rsid w:val="009E2999"/>
    <w:rsid w:val="009E2E8E"/>
    <w:rsid w:val="009E337F"/>
    <w:rsid w:val="009E40E1"/>
    <w:rsid w:val="009E48A0"/>
    <w:rsid w:val="009E7C84"/>
    <w:rsid w:val="009F0EFA"/>
    <w:rsid w:val="009F4E46"/>
    <w:rsid w:val="009F5B65"/>
    <w:rsid w:val="009F5F2E"/>
    <w:rsid w:val="009F636D"/>
    <w:rsid w:val="00A01432"/>
    <w:rsid w:val="00A017FB"/>
    <w:rsid w:val="00A06225"/>
    <w:rsid w:val="00A128E6"/>
    <w:rsid w:val="00A144D3"/>
    <w:rsid w:val="00A154E4"/>
    <w:rsid w:val="00A2182D"/>
    <w:rsid w:val="00A22AC3"/>
    <w:rsid w:val="00A23F3F"/>
    <w:rsid w:val="00A24067"/>
    <w:rsid w:val="00A2744D"/>
    <w:rsid w:val="00A34E6C"/>
    <w:rsid w:val="00A36398"/>
    <w:rsid w:val="00A37C8D"/>
    <w:rsid w:val="00A37FB1"/>
    <w:rsid w:val="00A4020E"/>
    <w:rsid w:val="00A40F48"/>
    <w:rsid w:val="00A40FB5"/>
    <w:rsid w:val="00A420ED"/>
    <w:rsid w:val="00A42826"/>
    <w:rsid w:val="00A428F4"/>
    <w:rsid w:val="00A429B3"/>
    <w:rsid w:val="00A510E4"/>
    <w:rsid w:val="00A5273B"/>
    <w:rsid w:val="00A53A9D"/>
    <w:rsid w:val="00A55FEE"/>
    <w:rsid w:val="00A57422"/>
    <w:rsid w:val="00A62C1A"/>
    <w:rsid w:val="00A6426D"/>
    <w:rsid w:val="00A665C1"/>
    <w:rsid w:val="00A673A4"/>
    <w:rsid w:val="00A7001A"/>
    <w:rsid w:val="00A70622"/>
    <w:rsid w:val="00A70977"/>
    <w:rsid w:val="00A70D58"/>
    <w:rsid w:val="00A744F9"/>
    <w:rsid w:val="00A77613"/>
    <w:rsid w:val="00A81851"/>
    <w:rsid w:val="00A81F60"/>
    <w:rsid w:val="00A8390C"/>
    <w:rsid w:val="00A86AE0"/>
    <w:rsid w:val="00A906A5"/>
    <w:rsid w:val="00A928BD"/>
    <w:rsid w:val="00A92D01"/>
    <w:rsid w:val="00A97DE9"/>
    <w:rsid w:val="00AA12CD"/>
    <w:rsid w:val="00AA4D1C"/>
    <w:rsid w:val="00AA52FD"/>
    <w:rsid w:val="00AB5856"/>
    <w:rsid w:val="00AC193C"/>
    <w:rsid w:val="00AC4DE5"/>
    <w:rsid w:val="00AC5155"/>
    <w:rsid w:val="00AC5206"/>
    <w:rsid w:val="00AD3E5D"/>
    <w:rsid w:val="00AD4322"/>
    <w:rsid w:val="00AE11A5"/>
    <w:rsid w:val="00AE13E2"/>
    <w:rsid w:val="00AE22D3"/>
    <w:rsid w:val="00AE5A49"/>
    <w:rsid w:val="00AF62DF"/>
    <w:rsid w:val="00AF68CC"/>
    <w:rsid w:val="00AF70D7"/>
    <w:rsid w:val="00B06478"/>
    <w:rsid w:val="00B06760"/>
    <w:rsid w:val="00B07CFB"/>
    <w:rsid w:val="00B1059E"/>
    <w:rsid w:val="00B11897"/>
    <w:rsid w:val="00B137B0"/>
    <w:rsid w:val="00B16273"/>
    <w:rsid w:val="00B170A5"/>
    <w:rsid w:val="00B176C8"/>
    <w:rsid w:val="00B17EE5"/>
    <w:rsid w:val="00B20041"/>
    <w:rsid w:val="00B205AA"/>
    <w:rsid w:val="00B21657"/>
    <w:rsid w:val="00B22E84"/>
    <w:rsid w:val="00B233AD"/>
    <w:rsid w:val="00B23E25"/>
    <w:rsid w:val="00B25F75"/>
    <w:rsid w:val="00B26B3F"/>
    <w:rsid w:val="00B2778F"/>
    <w:rsid w:val="00B335AA"/>
    <w:rsid w:val="00B33635"/>
    <w:rsid w:val="00B37D0D"/>
    <w:rsid w:val="00B42AF4"/>
    <w:rsid w:val="00B42EB5"/>
    <w:rsid w:val="00B43E90"/>
    <w:rsid w:val="00B467DC"/>
    <w:rsid w:val="00B56118"/>
    <w:rsid w:val="00B60C67"/>
    <w:rsid w:val="00B6471B"/>
    <w:rsid w:val="00B64B17"/>
    <w:rsid w:val="00B6773F"/>
    <w:rsid w:val="00B70EB3"/>
    <w:rsid w:val="00B74876"/>
    <w:rsid w:val="00B7525E"/>
    <w:rsid w:val="00B760FB"/>
    <w:rsid w:val="00B767AB"/>
    <w:rsid w:val="00B76937"/>
    <w:rsid w:val="00B801BA"/>
    <w:rsid w:val="00B8289A"/>
    <w:rsid w:val="00B84D5C"/>
    <w:rsid w:val="00B90E43"/>
    <w:rsid w:val="00B940E0"/>
    <w:rsid w:val="00B956D8"/>
    <w:rsid w:val="00BA2DA8"/>
    <w:rsid w:val="00BA33DF"/>
    <w:rsid w:val="00BA347C"/>
    <w:rsid w:val="00BA3ACB"/>
    <w:rsid w:val="00BA4285"/>
    <w:rsid w:val="00BB14D7"/>
    <w:rsid w:val="00BB5C49"/>
    <w:rsid w:val="00BB6240"/>
    <w:rsid w:val="00BB69F5"/>
    <w:rsid w:val="00BB7EC3"/>
    <w:rsid w:val="00BC0454"/>
    <w:rsid w:val="00BC4B9A"/>
    <w:rsid w:val="00BC5071"/>
    <w:rsid w:val="00BD02C3"/>
    <w:rsid w:val="00BD13D9"/>
    <w:rsid w:val="00BD7483"/>
    <w:rsid w:val="00BD784C"/>
    <w:rsid w:val="00BE020A"/>
    <w:rsid w:val="00BE03C2"/>
    <w:rsid w:val="00BE13DF"/>
    <w:rsid w:val="00BF092C"/>
    <w:rsid w:val="00BF18F2"/>
    <w:rsid w:val="00BF27A0"/>
    <w:rsid w:val="00BF320B"/>
    <w:rsid w:val="00BF4CB6"/>
    <w:rsid w:val="00BF70F9"/>
    <w:rsid w:val="00C00DA7"/>
    <w:rsid w:val="00C04CDE"/>
    <w:rsid w:val="00C12768"/>
    <w:rsid w:val="00C12D70"/>
    <w:rsid w:val="00C16B2D"/>
    <w:rsid w:val="00C21B09"/>
    <w:rsid w:val="00C23595"/>
    <w:rsid w:val="00C262B0"/>
    <w:rsid w:val="00C2673A"/>
    <w:rsid w:val="00C27B58"/>
    <w:rsid w:val="00C33186"/>
    <w:rsid w:val="00C346DA"/>
    <w:rsid w:val="00C35996"/>
    <w:rsid w:val="00C3784B"/>
    <w:rsid w:val="00C4747E"/>
    <w:rsid w:val="00C5151E"/>
    <w:rsid w:val="00C5342C"/>
    <w:rsid w:val="00C53B2B"/>
    <w:rsid w:val="00C60272"/>
    <w:rsid w:val="00C603D4"/>
    <w:rsid w:val="00C6256A"/>
    <w:rsid w:val="00C710E2"/>
    <w:rsid w:val="00C71C3F"/>
    <w:rsid w:val="00C7409E"/>
    <w:rsid w:val="00C74D6D"/>
    <w:rsid w:val="00C76E76"/>
    <w:rsid w:val="00C77891"/>
    <w:rsid w:val="00C80010"/>
    <w:rsid w:val="00C91449"/>
    <w:rsid w:val="00C92D10"/>
    <w:rsid w:val="00C93C44"/>
    <w:rsid w:val="00C949FA"/>
    <w:rsid w:val="00CA4887"/>
    <w:rsid w:val="00CA48D9"/>
    <w:rsid w:val="00CB1193"/>
    <w:rsid w:val="00CB1360"/>
    <w:rsid w:val="00CB4767"/>
    <w:rsid w:val="00CB493D"/>
    <w:rsid w:val="00CC1B0C"/>
    <w:rsid w:val="00CC3B97"/>
    <w:rsid w:val="00CC3DDA"/>
    <w:rsid w:val="00CC5279"/>
    <w:rsid w:val="00CD3EC8"/>
    <w:rsid w:val="00CD7B32"/>
    <w:rsid w:val="00CE10C4"/>
    <w:rsid w:val="00CE169E"/>
    <w:rsid w:val="00CE27B5"/>
    <w:rsid w:val="00CE6DAF"/>
    <w:rsid w:val="00CE728D"/>
    <w:rsid w:val="00CF410A"/>
    <w:rsid w:val="00CF49BF"/>
    <w:rsid w:val="00D00AA3"/>
    <w:rsid w:val="00D0321E"/>
    <w:rsid w:val="00D03346"/>
    <w:rsid w:val="00D06C73"/>
    <w:rsid w:val="00D07A8A"/>
    <w:rsid w:val="00D13DC9"/>
    <w:rsid w:val="00D1455A"/>
    <w:rsid w:val="00D14A70"/>
    <w:rsid w:val="00D22093"/>
    <w:rsid w:val="00D22947"/>
    <w:rsid w:val="00D31150"/>
    <w:rsid w:val="00D3138B"/>
    <w:rsid w:val="00D3143D"/>
    <w:rsid w:val="00D3280C"/>
    <w:rsid w:val="00D3406A"/>
    <w:rsid w:val="00D36E76"/>
    <w:rsid w:val="00D40B11"/>
    <w:rsid w:val="00D414DB"/>
    <w:rsid w:val="00D415E3"/>
    <w:rsid w:val="00D441F1"/>
    <w:rsid w:val="00D45478"/>
    <w:rsid w:val="00D4572C"/>
    <w:rsid w:val="00D469B2"/>
    <w:rsid w:val="00D54B09"/>
    <w:rsid w:val="00D61DDC"/>
    <w:rsid w:val="00D6243E"/>
    <w:rsid w:val="00D62DE0"/>
    <w:rsid w:val="00D631BF"/>
    <w:rsid w:val="00D646A9"/>
    <w:rsid w:val="00D65658"/>
    <w:rsid w:val="00D72B6F"/>
    <w:rsid w:val="00D741EB"/>
    <w:rsid w:val="00D75FCE"/>
    <w:rsid w:val="00D7679C"/>
    <w:rsid w:val="00D80663"/>
    <w:rsid w:val="00D820F3"/>
    <w:rsid w:val="00D83605"/>
    <w:rsid w:val="00D84934"/>
    <w:rsid w:val="00D91271"/>
    <w:rsid w:val="00D919F5"/>
    <w:rsid w:val="00D94909"/>
    <w:rsid w:val="00D94F03"/>
    <w:rsid w:val="00D95B58"/>
    <w:rsid w:val="00DA0A82"/>
    <w:rsid w:val="00DA0D14"/>
    <w:rsid w:val="00DA1FC9"/>
    <w:rsid w:val="00DA2CB5"/>
    <w:rsid w:val="00DA4BAC"/>
    <w:rsid w:val="00DB0151"/>
    <w:rsid w:val="00DB071D"/>
    <w:rsid w:val="00DB5F54"/>
    <w:rsid w:val="00DB65F1"/>
    <w:rsid w:val="00DB6D4B"/>
    <w:rsid w:val="00DC2C3E"/>
    <w:rsid w:val="00DC3137"/>
    <w:rsid w:val="00DC4880"/>
    <w:rsid w:val="00DC788B"/>
    <w:rsid w:val="00DD0079"/>
    <w:rsid w:val="00DD3B2F"/>
    <w:rsid w:val="00DE23DB"/>
    <w:rsid w:val="00DE6D27"/>
    <w:rsid w:val="00DF01F8"/>
    <w:rsid w:val="00DF217D"/>
    <w:rsid w:val="00DF26A7"/>
    <w:rsid w:val="00DF3203"/>
    <w:rsid w:val="00DF3277"/>
    <w:rsid w:val="00DF6A89"/>
    <w:rsid w:val="00DF7919"/>
    <w:rsid w:val="00E0207E"/>
    <w:rsid w:val="00E03912"/>
    <w:rsid w:val="00E04A36"/>
    <w:rsid w:val="00E078D9"/>
    <w:rsid w:val="00E10293"/>
    <w:rsid w:val="00E1387F"/>
    <w:rsid w:val="00E15627"/>
    <w:rsid w:val="00E15CE9"/>
    <w:rsid w:val="00E164B3"/>
    <w:rsid w:val="00E16910"/>
    <w:rsid w:val="00E203E5"/>
    <w:rsid w:val="00E20C98"/>
    <w:rsid w:val="00E24E09"/>
    <w:rsid w:val="00E256EA"/>
    <w:rsid w:val="00E27234"/>
    <w:rsid w:val="00E30324"/>
    <w:rsid w:val="00E30D04"/>
    <w:rsid w:val="00E314DF"/>
    <w:rsid w:val="00E335C7"/>
    <w:rsid w:val="00E3495C"/>
    <w:rsid w:val="00E3609A"/>
    <w:rsid w:val="00E42BDB"/>
    <w:rsid w:val="00E43913"/>
    <w:rsid w:val="00E54915"/>
    <w:rsid w:val="00E57EEB"/>
    <w:rsid w:val="00E62D94"/>
    <w:rsid w:val="00E64F37"/>
    <w:rsid w:val="00E65091"/>
    <w:rsid w:val="00E65E54"/>
    <w:rsid w:val="00E661C7"/>
    <w:rsid w:val="00E80155"/>
    <w:rsid w:val="00E80D7C"/>
    <w:rsid w:val="00E8134B"/>
    <w:rsid w:val="00E8151E"/>
    <w:rsid w:val="00E8198F"/>
    <w:rsid w:val="00E81E0D"/>
    <w:rsid w:val="00E81F28"/>
    <w:rsid w:val="00E848C0"/>
    <w:rsid w:val="00E84B80"/>
    <w:rsid w:val="00E908BF"/>
    <w:rsid w:val="00E91B96"/>
    <w:rsid w:val="00E93432"/>
    <w:rsid w:val="00E93D1E"/>
    <w:rsid w:val="00E941A1"/>
    <w:rsid w:val="00E95CE3"/>
    <w:rsid w:val="00EA177A"/>
    <w:rsid w:val="00EA252F"/>
    <w:rsid w:val="00EA2825"/>
    <w:rsid w:val="00EA6518"/>
    <w:rsid w:val="00EA6FD6"/>
    <w:rsid w:val="00EA7466"/>
    <w:rsid w:val="00EA7EDE"/>
    <w:rsid w:val="00EB0518"/>
    <w:rsid w:val="00EB0B63"/>
    <w:rsid w:val="00EB1936"/>
    <w:rsid w:val="00EB37BE"/>
    <w:rsid w:val="00EB3A57"/>
    <w:rsid w:val="00EB5088"/>
    <w:rsid w:val="00EC4EC1"/>
    <w:rsid w:val="00ED1644"/>
    <w:rsid w:val="00ED2593"/>
    <w:rsid w:val="00ED73CE"/>
    <w:rsid w:val="00ED7D55"/>
    <w:rsid w:val="00ED7D9C"/>
    <w:rsid w:val="00EE31A2"/>
    <w:rsid w:val="00EE5FE0"/>
    <w:rsid w:val="00EE6B84"/>
    <w:rsid w:val="00EF0069"/>
    <w:rsid w:val="00EF44A0"/>
    <w:rsid w:val="00EF4FBA"/>
    <w:rsid w:val="00EF4FED"/>
    <w:rsid w:val="00EF6FB3"/>
    <w:rsid w:val="00F007C6"/>
    <w:rsid w:val="00F0172E"/>
    <w:rsid w:val="00F050BD"/>
    <w:rsid w:val="00F05187"/>
    <w:rsid w:val="00F05657"/>
    <w:rsid w:val="00F172AB"/>
    <w:rsid w:val="00F17ED6"/>
    <w:rsid w:val="00F209E2"/>
    <w:rsid w:val="00F25578"/>
    <w:rsid w:val="00F258E5"/>
    <w:rsid w:val="00F25B9C"/>
    <w:rsid w:val="00F26CC6"/>
    <w:rsid w:val="00F300BC"/>
    <w:rsid w:val="00F3263C"/>
    <w:rsid w:val="00F3334E"/>
    <w:rsid w:val="00F34C8A"/>
    <w:rsid w:val="00F36CCB"/>
    <w:rsid w:val="00F374E5"/>
    <w:rsid w:val="00F37B93"/>
    <w:rsid w:val="00F37BAD"/>
    <w:rsid w:val="00F37ECA"/>
    <w:rsid w:val="00F41CE4"/>
    <w:rsid w:val="00F43AF2"/>
    <w:rsid w:val="00F5007E"/>
    <w:rsid w:val="00F50EC4"/>
    <w:rsid w:val="00F52232"/>
    <w:rsid w:val="00F550CF"/>
    <w:rsid w:val="00F57A6D"/>
    <w:rsid w:val="00F638CC"/>
    <w:rsid w:val="00F64C9E"/>
    <w:rsid w:val="00F64CC1"/>
    <w:rsid w:val="00F67723"/>
    <w:rsid w:val="00F72317"/>
    <w:rsid w:val="00F7351D"/>
    <w:rsid w:val="00F74FD0"/>
    <w:rsid w:val="00F80475"/>
    <w:rsid w:val="00F8247A"/>
    <w:rsid w:val="00F82E5C"/>
    <w:rsid w:val="00F8421B"/>
    <w:rsid w:val="00F92B4C"/>
    <w:rsid w:val="00F9437F"/>
    <w:rsid w:val="00F95D81"/>
    <w:rsid w:val="00F9629A"/>
    <w:rsid w:val="00F97EFC"/>
    <w:rsid w:val="00FA1BDD"/>
    <w:rsid w:val="00FA29ED"/>
    <w:rsid w:val="00FA305C"/>
    <w:rsid w:val="00FA4DD5"/>
    <w:rsid w:val="00FA5883"/>
    <w:rsid w:val="00FA6055"/>
    <w:rsid w:val="00FB0B39"/>
    <w:rsid w:val="00FB1DDD"/>
    <w:rsid w:val="00FB322F"/>
    <w:rsid w:val="00FB442F"/>
    <w:rsid w:val="00FB5FEB"/>
    <w:rsid w:val="00FC118C"/>
    <w:rsid w:val="00FC1929"/>
    <w:rsid w:val="00FC308C"/>
    <w:rsid w:val="00FC4829"/>
    <w:rsid w:val="00FC5B46"/>
    <w:rsid w:val="00FD6D8E"/>
    <w:rsid w:val="00FE0663"/>
    <w:rsid w:val="00FE0E94"/>
    <w:rsid w:val="00FE14E8"/>
    <w:rsid w:val="00FE36D9"/>
    <w:rsid w:val="00FE3CD9"/>
    <w:rsid w:val="00FE6BA6"/>
    <w:rsid w:val="00FF00BD"/>
    <w:rsid w:val="00FF01A8"/>
    <w:rsid w:val="00FF1ED4"/>
    <w:rsid w:val="00FF2801"/>
    <w:rsid w:val="00FF3E4A"/>
    <w:rsid w:val="00FF5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3443AD"/>
    <w:pPr>
      <w:keepNext/>
    </w:pPr>
    <w:rPr>
      <w:rFonts w:ascii="Arial Narrow" w:eastAsiaTheme="majorEastAsia" w:hAnsi="Arial Narrow" w:cstheme="majorBidi"/>
      <w:b/>
      <w:bCs/>
      <w:sz w:val="20"/>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B8289A"/>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60194847">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F47E-EC89-4785-8FA8-D63F8DEA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3308</Words>
  <Characters>19395</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5.21	GLATIRAMER,  Injection containing glatiramer acetate 20 mg in 1 mL single d</vt:lpstr>
      <vt:lpstr>Purpose of Application </vt:lpstr>
      <vt:lpstr>Background </vt:lpstr>
      <vt:lpstr>    Registration status</vt:lpstr>
      <vt:lpstr>    Previous PBAC consideration </vt:lpstr>
      <vt:lpstr>Requested listing</vt:lpstr>
      <vt:lpstr>Comparator </vt:lpstr>
      <vt:lpstr>Consideration of the evidence</vt:lpstr>
      <vt:lpstr>    Sponsor hearing</vt:lpstr>
      <vt:lpstr>    Consumer comments</vt:lpstr>
      <vt:lpstr>    Clinical trials </vt:lpstr>
      <vt:lpstr>    Clinical claim</vt:lpstr>
      <vt:lpstr>    Economic analysis </vt:lpstr>
      <vt:lpstr>    Estimated PBS usage &amp; financial implications</vt:lpstr>
      <vt:lpstr>    Quality use of medicine</vt:lpstr>
      <vt:lpstr>PBAC Outcome</vt:lpstr>
      <vt:lpstr>Recommended listing</vt:lpstr>
      <vt:lpstr>Context for Decision</vt:lpstr>
      <vt:lpstr>Sponsor’s Comment</vt:lpstr>
    </vt:vector>
  </TitlesOfParts>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2021-06-30T05:24:00Z</dcterms:created>
  <dcterms:modified xsi:type="dcterms:W3CDTF">2021-06-30T05:24:00Z</dcterms:modified>
</cp:coreProperties>
</file>