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9EB9A" w14:textId="450FB4B2" w:rsidR="00A71E3B" w:rsidRPr="00EA5DF1" w:rsidRDefault="00497C4E" w:rsidP="00A71E3B">
      <w:pPr>
        <w:spacing w:after="240"/>
        <w:rPr>
          <w:b/>
        </w:rPr>
      </w:pPr>
      <w:bookmarkStart w:id="0" w:name="_Toc50709834"/>
      <w:r>
        <w:rPr>
          <w:color w:val="FF0000"/>
        </w:rPr>
        <w:t>An addendum has been included at the end of the document.</w:t>
      </w:r>
    </w:p>
    <w:p w14:paraId="2C503FD3" w14:textId="77777777" w:rsidR="0023544D" w:rsidRPr="005D05BB" w:rsidRDefault="0023544D" w:rsidP="0023544D">
      <w:pPr>
        <w:pStyle w:val="1-MainHeading"/>
        <w:spacing w:before="0" w:after="0"/>
      </w:pPr>
      <w:r w:rsidRPr="005D05BB">
        <w:t>5</w:t>
      </w:r>
      <w:r w:rsidR="00E32002" w:rsidRPr="005D05BB">
        <w:t>.</w:t>
      </w:r>
      <w:r w:rsidRPr="005D05BB">
        <w:t>06</w:t>
      </w:r>
      <w:r w:rsidR="00E32002" w:rsidRPr="005D05BB">
        <w:tab/>
        <w:t>INFLIXIMAB,</w:t>
      </w:r>
      <w:r w:rsidR="00E32002" w:rsidRPr="005D05BB">
        <w:br/>
      </w:r>
      <w:r w:rsidRPr="005D05BB">
        <w:t>Injection 120 mg in 1 mL pre-filled syringe</w:t>
      </w:r>
      <w:r w:rsidR="00E32002" w:rsidRPr="005D05BB">
        <w:t>,</w:t>
      </w:r>
      <w:r w:rsidR="00E32002" w:rsidRPr="005D05BB">
        <w:br/>
      </w:r>
      <w:r w:rsidRPr="005D05BB">
        <w:t>Injection 120 mg in 1 mL pre-filled pen,</w:t>
      </w:r>
      <w:bookmarkEnd w:id="0"/>
    </w:p>
    <w:p w14:paraId="1DAD4311" w14:textId="77777777" w:rsidR="00EA0B96" w:rsidRPr="005D05BB" w:rsidRDefault="00E32002" w:rsidP="00FB470B">
      <w:pPr>
        <w:pStyle w:val="3-BodyText"/>
        <w:numPr>
          <w:ilvl w:val="0"/>
          <w:numId w:val="0"/>
        </w:numPr>
        <w:spacing w:after="0"/>
        <w:ind w:left="720"/>
        <w:jc w:val="left"/>
        <w:rPr>
          <w:rFonts w:cstheme="minorHAnsi"/>
          <w:b/>
          <w:sz w:val="36"/>
          <w:szCs w:val="36"/>
        </w:rPr>
      </w:pPr>
      <w:r w:rsidRPr="005D05BB">
        <w:rPr>
          <w:rFonts w:cstheme="minorHAnsi"/>
          <w:b/>
          <w:sz w:val="36"/>
          <w:szCs w:val="36"/>
        </w:rPr>
        <w:t>Remsima</w:t>
      </w:r>
      <w:r w:rsidRPr="005D05BB">
        <w:rPr>
          <w:rFonts w:cstheme="minorHAnsi"/>
          <w:b/>
          <w:sz w:val="36"/>
          <w:szCs w:val="36"/>
          <w:vertAlign w:val="superscript"/>
        </w:rPr>
        <w:t>®</w:t>
      </w:r>
      <w:r w:rsidRPr="005D05BB">
        <w:rPr>
          <w:rFonts w:cstheme="minorHAnsi"/>
          <w:b/>
          <w:sz w:val="36"/>
          <w:szCs w:val="36"/>
        </w:rPr>
        <w:t>,</w:t>
      </w:r>
      <w:r w:rsidRPr="005D05BB">
        <w:rPr>
          <w:rFonts w:cstheme="minorHAnsi"/>
          <w:b/>
          <w:sz w:val="36"/>
          <w:szCs w:val="36"/>
        </w:rPr>
        <w:br/>
        <w:t>Celltrion</w:t>
      </w:r>
      <w:r w:rsidR="00212EE8" w:rsidRPr="005D05BB">
        <w:rPr>
          <w:rFonts w:cstheme="minorHAnsi"/>
          <w:b/>
          <w:sz w:val="36"/>
          <w:szCs w:val="36"/>
        </w:rPr>
        <w:t xml:space="preserve"> Healthcare Australia Pty Ltd</w:t>
      </w:r>
      <w:r w:rsidRPr="005D05BB">
        <w:rPr>
          <w:rFonts w:cstheme="minorHAnsi"/>
          <w:b/>
          <w:sz w:val="36"/>
          <w:szCs w:val="36"/>
        </w:rPr>
        <w:t>.</w:t>
      </w:r>
    </w:p>
    <w:p w14:paraId="1AF2AC9C" w14:textId="77777777" w:rsidR="00E32002" w:rsidRPr="005D05BB" w:rsidRDefault="00E32002" w:rsidP="00E32002">
      <w:pPr>
        <w:pStyle w:val="2-SectionHeading"/>
        <w:numPr>
          <w:ilvl w:val="0"/>
          <w:numId w:val="1"/>
        </w:numPr>
      </w:pPr>
      <w:bookmarkStart w:id="1" w:name="_Toc50709836"/>
      <w:r w:rsidRPr="005D05BB">
        <w:t>Purpose of submission</w:t>
      </w:r>
      <w:bookmarkEnd w:id="1"/>
    </w:p>
    <w:p w14:paraId="6AD49072" w14:textId="77777777" w:rsidR="00E32002" w:rsidRPr="005D05BB" w:rsidRDefault="00E32002" w:rsidP="00E83711">
      <w:pPr>
        <w:pStyle w:val="3-BodyText"/>
        <w:rPr>
          <w:i/>
        </w:rPr>
      </w:pPr>
      <w:r w:rsidRPr="005D05BB">
        <w:t>The submission requested Section 85 and Section 100 Authority Required listing of infliximab (IFX) administered via subcutaneous (SC) injection (Remsima</w:t>
      </w:r>
      <w:r w:rsidR="009A0108" w:rsidRPr="005D05BB">
        <w:t>®</w:t>
      </w:r>
      <w:r w:rsidRPr="005D05BB">
        <w:t>) as a biosimilar to IFX administered via intravenous (IV) infusion</w:t>
      </w:r>
      <w:bookmarkStart w:id="2" w:name="_Hlk50391357"/>
      <w:r w:rsidR="005D05BB">
        <w:t xml:space="preserve">. </w:t>
      </w:r>
      <w:r w:rsidRPr="005D05BB">
        <w:rPr>
          <w:iCs/>
        </w:rPr>
        <w:t xml:space="preserve">This was the first application to the PBAC for Remsima, and if listed will </w:t>
      </w:r>
      <w:r w:rsidRPr="005D05BB">
        <w:t>be the first SC formulation of IFX on the PBS</w:t>
      </w:r>
      <w:bookmarkEnd w:id="2"/>
      <w:r w:rsidR="005D05BB">
        <w:t xml:space="preserve">. </w:t>
      </w:r>
      <w:r w:rsidRPr="005D05BB">
        <w:t>Currently, t</w:t>
      </w:r>
      <w:r w:rsidRPr="005D05BB">
        <w:rPr>
          <w:rFonts w:cs="Calibri"/>
          <w:iCs/>
        </w:rPr>
        <w:t>here are three formulations of IFX IV on the PBS (Remicade</w:t>
      </w:r>
      <w:r w:rsidR="005F699D" w:rsidRPr="005D05BB">
        <w:rPr>
          <w:rFonts w:cs="Calibri"/>
          <w:iCs/>
        </w:rPr>
        <w:t>®</w:t>
      </w:r>
      <w:r w:rsidRPr="005D05BB">
        <w:rPr>
          <w:rFonts w:cs="Calibri"/>
          <w:iCs/>
        </w:rPr>
        <w:t>, Inflectra</w:t>
      </w:r>
      <w:r w:rsidR="009A0108" w:rsidRPr="005D05BB">
        <w:rPr>
          <w:rFonts w:cs="Calibri"/>
          <w:iCs/>
        </w:rPr>
        <w:t>®</w:t>
      </w:r>
      <w:r w:rsidRPr="005D05BB">
        <w:rPr>
          <w:rFonts w:cs="Calibri"/>
          <w:iCs/>
        </w:rPr>
        <w:t xml:space="preserve"> and Renflexis</w:t>
      </w:r>
      <w:r w:rsidR="009A0108" w:rsidRPr="005D05BB">
        <w:rPr>
          <w:rFonts w:cs="Calibri"/>
          <w:iCs/>
        </w:rPr>
        <w:t>®</w:t>
      </w:r>
      <w:r w:rsidRPr="005D05BB">
        <w:rPr>
          <w:rFonts w:cs="Calibri"/>
          <w:iCs/>
        </w:rPr>
        <w:t>)</w:t>
      </w:r>
      <w:r w:rsidR="005D05BB">
        <w:rPr>
          <w:rFonts w:cs="Calibri"/>
          <w:iCs/>
        </w:rPr>
        <w:t xml:space="preserve">. </w:t>
      </w:r>
    </w:p>
    <w:p w14:paraId="77B652F5" w14:textId="77777777" w:rsidR="00E32002" w:rsidRPr="005D05BB" w:rsidRDefault="00E32002" w:rsidP="00E32002">
      <w:pPr>
        <w:pStyle w:val="3-BodyText"/>
      </w:pPr>
      <w:r w:rsidRPr="005D05BB">
        <w:t xml:space="preserve">The submission requested listing in most indications currently approved for IFX IV, including for the treatment of adults with: </w:t>
      </w:r>
    </w:p>
    <w:p w14:paraId="2899706D" w14:textId="77777777" w:rsidR="00E32002" w:rsidRPr="005D05BB" w:rsidRDefault="00E32002" w:rsidP="00D432E3">
      <w:pPr>
        <w:pStyle w:val="3-BodyText"/>
        <w:numPr>
          <w:ilvl w:val="3"/>
          <w:numId w:val="10"/>
        </w:numPr>
        <w:spacing w:after="100"/>
        <w:ind w:left="1078" w:hanging="369"/>
      </w:pPr>
      <w:r w:rsidRPr="005D05BB">
        <w:t>severe active rheumatoid arthritis (RA),</w:t>
      </w:r>
    </w:p>
    <w:p w14:paraId="217ABCF9" w14:textId="77777777" w:rsidR="00E32002" w:rsidRPr="005D05BB" w:rsidRDefault="00E32002" w:rsidP="00D432E3">
      <w:pPr>
        <w:pStyle w:val="3-BodyText"/>
        <w:numPr>
          <w:ilvl w:val="3"/>
          <w:numId w:val="10"/>
        </w:numPr>
        <w:spacing w:after="100"/>
        <w:ind w:left="1078" w:hanging="369"/>
      </w:pPr>
      <w:r w:rsidRPr="005D05BB">
        <w:t>ankylosing spondylitis (AS),</w:t>
      </w:r>
    </w:p>
    <w:p w14:paraId="7CB058D9" w14:textId="77777777" w:rsidR="00E32002" w:rsidRPr="005D05BB" w:rsidRDefault="00E32002" w:rsidP="00D432E3">
      <w:pPr>
        <w:pStyle w:val="3-BodyText"/>
        <w:numPr>
          <w:ilvl w:val="3"/>
          <w:numId w:val="10"/>
        </w:numPr>
        <w:spacing w:after="100"/>
        <w:ind w:left="1078" w:hanging="369"/>
      </w:pPr>
      <w:r w:rsidRPr="005D05BB">
        <w:t>severe refractory Crohn’s disease (CD),</w:t>
      </w:r>
    </w:p>
    <w:p w14:paraId="144D661C" w14:textId="77777777" w:rsidR="00E32002" w:rsidRPr="005D05BB" w:rsidRDefault="00E32002" w:rsidP="00D432E3">
      <w:pPr>
        <w:pStyle w:val="3-BodyText"/>
        <w:numPr>
          <w:ilvl w:val="3"/>
          <w:numId w:val="10"/>
        </w:numPr>
        <w:spacing w:after="100"/>
        <w:ind w:left="1078" w:hanging="369"/>
      </w:pPr>
      <w:r w:rsidRPr="005D05BB">
        <w:t>complex refractory fistulising Crohn’s disease (RFCD),</w:t>
      </w:r>
    </w:p>
    <w:p w14:paraId="7852FB96" w14:textId="77777777" w:rsidR="00E32002" w:rsidRPr="005D05BB" w:rsidRDefault="00E32002" w:rsidP="00D432E3">
      <w:pPr>
        <w:pStyle w:val="3-BodyText"/>
        <w:numPr>
          <w:ilvl w:val="3"/>
          <w:numId w:val="10"/>
        </w:numPr>
        <w:spacing w:after="100"/>
        <w:ind w:left="1078" w:hanging="369"/>
      </w:pPr>
      <w:r w:rsidRPr="005D05BB">
        <w:t>severe active psoriatic arthritis (PsA),</w:t>
      </w:r>
    </w:p>
    <w:p w14:paraId="228AAB45" w14:textId="77777777" w:rsidR="00E32002" w:rsidRPr="005D05BB" w:rsidRDefault="00E32002" w:rsidP="00D432E3">
      <w:pPr>
        <w:pStyle w:val="3-BodyText"/>
        <w:numPr>
          <w:ilvl w:val="3"/>
          <w:numId w:val="10"/>
        </w:numPr>
        <w:spacing w:after="100"/>
        <w:ind w:left="1078" w:hanging="369"/>
      </w:pPr>
      <w:r w:rsidRPr="005D05BB">
        <w:t xml:space="preserve">moderate to severe ulcerative colitis (UC), and </w:t>
      </w:r>
    </w:p>
    <w:p w14:paraId="3CD9409F" w14:textId="77777777" w:rsidR="00E32002" w:rsidRPr="005D05BB" w:rsidRDefault="00E32002" w:rsidP="00D432E3">
      <w:pPr>
        <w:pStyle w:val="3-BodyText"/>
        <w:numPr>
          <w:ilvl w:val="3"/>
          <w:numId w:val="10"/>
        </w:numPr>
        <w:spacing w:after="100"/>
        <w:ind w:left="1078" w:hanging="369"/>
      </w:pPr>
      <w:r w:rsidRPr="005D05BB">
        <w:t>severe chronic plaque psoriasis (CPP).</w:t>
      </w:r>
    </w:p>
    <w:p w14:paraId="7590E355" w14:textId="77777777" w:rsidR="00E32002" w:rsidRPr="005D05BB" w:rsidRDefault="00E32002" w:rsidP="00003E1C">
      <w:pPr>
        <w:pStyle w:val="3-BodyText"/>
        <w:numPr>
          <w:ilvl w:val="0"/>
          <w:numId w:val="0"/>
        </w:numPr>
        <w:spacing w:before="240"/>
        <w:ind w:left="720"/>
      </w:pPr>
      <w:r w:rsidRPr="005D05BB">
        <w:t xml:space="preserve">The submission did not request listing for the treatment of </w:t>
      </w:r>
      <w:r w:rsidR="0038406C" w:rsidRPr="005D05BB">
        <w:t xml:space="preserve">moderate to severe </w:t>
      </w:r>
      <w:r w:rsidRPr="005D05BB">
        <w:t xml:space="preserve">UC or </w:t>
      </w:r>
      <w:r w:rsidR="0038406C" w:rsidRPr="005D05BB">
        <w:t xml:space="preserve">moderate to severe </w:t>
      </w:r>
      <w:r w:rsidRPr="005D05BB">
        <w:t xml:space="preserve">CD in patients aged 6-17 years given the lack of evidence in paediatric patients, or for the treatment of </w:t>
      </w:r>
      <w:r w:rsidRPr="00971441">
        <w:t>acute</w:t>
      </w:r>
      <w:r w:rsidRPr="005D05BB">
        <w:t xml:space="preserve"> severe UC </w:t>
      </w:r>
      <w:r w:rsidR="0038406C" w:rsidRPr="005D05BB">
        <w:t xml:space="preserve">(one dose of IFX IV approved) </w:t>
      </w:r>
      <w:r w:rsidRPr="005D05BB">
        <w:t>given patients cannot initiate treatment with IFX SC.</w:t>
      </w:r>
    </w:p>
    <w:p w14:paraId="526E3056" w14:textId="77777777" w:rsidR="007F6799" w:rsidRPr="005D05BB" w:rsidRDefault="007F6799" w:rsidP="00E32002">
      <w:pPr>
        <w:pStyle w:val="3-BodyText"/>
        <w:numPr>
          <w:ilvl w:val="0"/>
          <w:numId w:val="0"/>
        </w:numPr>
        <w:ind w:left="720"/>
      </w:pPr>
      <w:r w:rsidRPr="005D05BB">
        <w:t>For re</w:t>
      </w:r>
      <w:r w:rsidR="00111DAD" w:rsidRPr="005D05BB">
        <w:t>adability, the indications are referred to by their acronym only</w:t>
      </w:r>
      <w:r w:rsidR="005D05BB">
        <w:t xml:space="preserve">. </w:t>
      </w:r>
      <w:r w:rsidR="00111DAD" w:rsidRPr="005D05BB">
        <w:t xml:space="preserve">The acronym relates to the </w:t>
      </w:r>
      <w:r w:rsidR="0025791C" w:rsidRPr="005D05BB">
        <w:t xml:space="preserve">specific patient population; </w:t>
      </w:r>
      <w:r w:rsidR="00993E4F" w:rsidRPr="005D05BB">
        <w:t>e.g.</w:t>
      </w:r>
      <w:r w:rsidR="00111DAD" w:rsidRPr="005D05BB">
        <w:t xml:space="preserve"> RA refers to severe active RA.</w:t>
      </w:r>
    </w:p>
    <w:p w14:paraId="684121D7" w14:textId="77777777" w:rsidR="00E32002" w:rsidRPr="005D05BB" w:rsidRDefault="00E32002" w:rsidP="00E32002">
      <w:pPr>
        <w:pStyle w:val="3-BodyText"/>
      </w:pPr>
      <w:r w:rsidRPr="005D05BB">
        <w:t>The basis of the</w:t>
      </w:r>
      <w:r w:rsidR="00A6361D" w:rsidRPr="005D05BB">
        <w:t xml:space="preserve"> requested</w:t>
      </w:r>
      <w:r w:rsidRPr="005D05BB">
        <w:t xml:space="preserve"> listing was a cost-minimisation analysis</w:t>
      </w:r>
      <w:r w:rsidR="00A60A06" w:rsidRPr="005D05BB">
        <w:t xml:space="preserve"> (CMA)</w:t>
      </w:r>
      <w:r w:rsidRPr="005D05BB">
        <w:t xml:space="preserve"> to IFX IV, based on the weighted cost of treatment across each of the requested PBS indications</w:t>
      </w:r>
      <w:r w:rsidR="00BB6698" w:rsidRPr="005D05BB">
        <w:t xml:space="preserve"> (Table 1)</w:t>
      </w:r>
      <w:r w:rsidRPr="005D05BB">
        <w:t>.</w:t>
      </w:r>
    </w:p>
    <w:p w14:paraId="25BC23B4" w14:textId="77777777" w:rsidR="00993E4F" w:rsidRDefault="00993E4F">
      <w:pPr>
        <w:jc w:val="left"/>
        <w:rPr>
          <w:rStyle w:val="CommentReference"/>
          <w:rFonts w:eastAsiaTheme="majorEastAsia" w:cstheme="majorBidi"/>
          <w:bCs/>
          <w:szCs w:val="24"/>
        </w:rPr>
      </w:pPr>
      <w:r>
        <w:rPr>
          <w:rStyle w:val="CommentReference"/>
          <w:b w:val="0"/>
          <w:szCs w:val="24"/>
        </w:rPr>
        <w:br w:type="page"/>
      </w:r>
    </w:p>
    <w:p w14:paraId="3DB267C3" w14:textId="77777777" w:rsidR="00E32002" w:rsidRPr="005D05BB" w:rsidRDefault="00E32002" w:rsidP="00E32002">
      <w:pPr>
        <w:pStyle w:val="TableFigureHeading"/>
      </w:pPr>
      <w:r w:rsidRPr="005D05BB">
        <w:rPr>
          <w:rStyle w:val="CommentReference"/>
          <w:b/>
          <w:szCs w:val="24"/>
        </w:rPr>
        <w:lastRenderedPageBreak/>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3"/>
        <w:gridCol w:w="7904"/>
      </w:tblGrid>
      <w:tr w:rsidR="00E32002" w:rsidRPr="005D05BB" w14:paraId="4C28E97B" w14:textId="77777777" w:rsidTr="00A33E85">
        <w:tc>
          <w:tcPr>
            <w:tcW w:w="617" w:type="pct"/>
            <w:vAlign w:val="center"/>
          </w:tcPr>
          <w:p w14:paraId="00438699" w14:textId="77777777" w:rsidR="00E32002" w:rsidRPr="005D05BB" w:rsidRDefault="00E32002" w:rsidP="008F456C">
            <w:pPr>
              <w:pStyle w:val="In-tableHeading"/>
              <w:rPr>
                <w:lang w:val="en-AU"/>
              </w:rPr>
            </w:pPr>
            <w:r w:rsidRPr="005D05BB">
              <w:rPr>
                <w:lang w:val="en-AU"/>
              </w:rPr>
              <w:t>Component</w:t>
            </w:r>
          </w:p>
        </w:tc>
        <w:tc>
          <w:tcPr>
            <w:tcW w:w="4383" w:type="pct"/>
            <w:vAlign w:val="center"/>
          </w:tcPr>
          <w:p w14:paraId="398F5E7E" w14:textId="77777777" w:rsidR="00E32002" w:rsidRPr="005D05BB" w:rsidRDefault="00E32002" w:rsidP="008F456C">
            <w:pPr>
              <w:pStyle w:val="In-tableHeading"/>
              <w:rPr>
                <w:lang w:val="en-AU"/>
              </w:rPr>
            </w:pPr>
            <w:r w:rsidRPr="005D05BB">
              <w:rPr>
                <w:lang w:val="en-AU"/>
              </w:rPr>
              <w:t>Description</w:t>
            </w:r>
          </w:p>
        </w:tc>
      </w:tr>
      <w:tr w:rsidR="00E32002" w:rsidRPr="005D05BB" w14:paraId="22BF9BF7" w14:textId="77777777" w:rsidTr="00A33E85">
        <w:tc>
          <w:tcPr>
            <w:tcW w:w="617" w:type="pct"/>
            <w:vAlign w:val="center"/>
          </w:tcPr>
          <w:p w14:paraId="5891F683" w14:textId="77777777" w:rsidR="00E32002" w:rsidRPr="005D05BB" w:rsidRDefault="00E32002" w:rsidP="008F456C">
            <w:pPr>
              <w:pStyle w:val="TableText0"/>
              <w:keepNext w:val="0"/>
            </w:pPr>
            <w:r w:rsidRPr="005D05BB">
              <w:t>Population</w:t>
            </w:r>
          </w:p>
        </w:tc>
        <w:tc>
          <w:tcPr>
            <w:tcW w:w="4383" w:type="pct"/>
            <w:vAlign w:val="center"/>
          </w:tcPr>
          <w:p w14:paraId="72AAEFD4" w14:textId="77777777" w:rsidR="00E32002" w:rsidRPr="005D05BB" w:rsidRDefault="00E32002" w:rsidP="008F456C">
            <w:pPr>
              <w:pStyle w:val="TableText0"/>
              <w:keepNext w:val="0"/>
            </w:pPr>
            <w:r w:rsidRPr="005D05BB">
              <w:t xml:space="preserve">Adult patients with </w:t>
            </w:r>
            <w:r w:rsidRPr="005D05BB">
              <w:rPr>
                <w:b/>
                <w:bCs w:val="0"/>
              </w:rPr>
              <w:t>RA</w:t>
            </w:r>
            <w:r w:rsidRPr="005D05BB">
              <w:t xml:space="preserve">, </w:t>
            </w:r>
            <w:r w:rsidRPr="005D05BB">
              <w:rPr>
                <w:b/>
                <w:bCs w:val="0"/>
              </w:rPr>
              <w:t>AS</w:t>
            </w:r>
            <w:r w:rsidRPr="005D05BB">
              <w:t xml:space="preserve">, </w:t>
            </w:r>
            <w:r w:rsidRPr="005D05BB">
              <w:rPr>
                <w:b/>
                <w:bCs w:val="0"/>
              </w:rPr>
              <w:t>CD</w:t>
            </w:r>
            <w:r w:rsidRPr="005D05BB">
              <w:t xml:space="preserve">, </w:t>
            </w:r>
            <w:r w:rsidRPr="005D05BB">
              <w:rPr>
                <w:b/>
                <w:bCs w:val="0"/>
              </w:rPr>
              <w:t>RFCD</w:t>
            </w:r>
            <w:r w:rsidRPr="005D05BB">
              <w:t xml:space="preserve">, </w:t>
            </w:r>
            <w:r w:rsidRPr="005D05BB">
              <w:rPr>
                <w:b/>
                <w:bCs w:val="0"/>
              </w:rPr>
              <w:t>PsA</w:t>
            </w:r>
            <w:r w:rsidRPr="005D05BB">
              <w:t xml:space="preserve">, </w:t>
            </w:r>
            <w:r w:rsidRPr="005D05BB">
              <w:rPr>
                <w:b/>
                <w:bCs w:val="0"/>
              </w:rPr>
              <w:t>UC</w:t>
            </w:r>
            <w:r w:rsidRPr="005D05BB">
              <w:t xml:space="preserve">, and </w:t>
            </w:r>
            <w:r w:rsidRPr="005D05BB">
              <w:rPr>
                <w:b/>
                <w:bCs w:val="0"/>
              </w:rPr>
              <w:t>CPP</w:t>
            </w:r>
            <w:r w:rsidRPr="005D05BB">
              <w:t>.</w:t>
            </w:r>
          </w:p>
        </w:tc>
      </w:tr>
      <w:tr w:rsidR="00E32002" w:rsidRPr="005D05BB" w14:paraId="5C2D08B9" w14:textId="77777777" w:rsidTr="00A33E85">
        <w:tc>
          <w:tcPr>
            <w:tcW w:w="617" w:type="pct"/>
            <w:vAlign w:val="center"/>
          </w:tcPr>
          <w:p w14:paraId="2BCF27A0" w14:textId="77777777" w:rsidR="00E32002" w:rsidRPr="005D05BB" w:rsidRDefault="00E32002" w:rsidP="008F456C">
            <w:pPr>
              <w:pStyle w:val="TableText0"/>
              <w:keepNext w:val="0"/>
            </w:pPr>
            <w:r w:rsidRPr="005D05BB">
              <w:t>Intervention</w:t>
            </w:r>
          </w:p>
        </w:tc>
        <w:tc>
          <w:tcPr>
            <w:tcW w:w="4383" w:type="pct"/>
            <w:vAlign w:val="center"/>
          </w:tcPr>
          <w:p w14:paraId="452FF73F" w14:textId="77777777" w:rsidR="00E32002" w:rsidRPr="005D05BB" w:rsidRDefault="00E32002" w:rsidP="008F456C">
            <w:pPr>
              <w:pStyle w:val="TableText0"/>
              <w:keepNext w:val="0"/>
            </w:pPr>
            <w:r w:rsidRPr="005D05BB">
              <w:t>IFX SC (Remsima</w:t>
            </w:r>
            <w:r w:rsidR="00B02383" w:rsidRPr="005D05BB">
              <w:t>®</w:t>
            </w:r>
            <w:r w:rsidRPr="005D05BB">
              <w:t xml:space="preserve"> SC)</w:t>
            </w:r>
          </w:p>
        </w:tc>
      </w:tr>
      <w:tr w:rsidR="00E32002" w:rsidRPr="005D05BB" w14:paraId="43C23058" w14:textId="77777777" w:rsidTr="00A33E85">
        <w:tc>
          <w:tcPr>
            <w:tcW w:w="617" w:type="pct"/>
            <w:vAlign w:val="center"/>
          </w:tcPr>
          <w:p w14:paraId="46B47D12" w14:textId="77777777" w:rsidR="00E32002" w:rsidRPr="005D05BB" w:rsidRDefault="00E32002" w:rsidP="008F456C">
            <w:pPr>
              <w:pStyle w:val="TableText0"/>
              <w:keepNext w:val="0"/>
            </w:pPr>
            <w:r w:rsidRPr="005D05BB">
              <w:t>Comparator</w:t>
            </w:r>
          </w:p>
        </w:tc>
        <w:tc>
          <w:tcPr>
            <w:tcW w:w="4383" w:type="pct"/>
            <w:vAlign w:val="center"/>
          </w:tcPr>
          <w:p w14:paraId="152EE98B" w14:textId="77777777" w:rsidR="00E32002" w:rsidRPr="005D05BB" w:rsidRDefault="00E32002" w:rsidP="008F456C">
            <w:pPr>
              <w:pStyle w:val="TableText0"/>
              <w:keepNext w:val="0"/>
            </w:pPr>
            <w:r w:rsidRPr="005D05BB">
              <w:t>IFX IV (Inflectra</w:t>
            </w:r>
            <w:r w:rsidR="00B02383" w:rsidRPr="005D05BB">
              <w:t>®</w:t>
            </w:r>
            <w:r w:rsidRPr="005D05BB">
              <w:t xml:space="preserve"> / also known as Remsima</w:t>
            </w:r>
            <w:r w:rsidR="00B02383" w:rsidRPr="005D05BB">
              <w:t>®</w:t>
            </w:r>
            <w:r w:rsidRPr="005D05BB">
              <w:t xml:space="preserve"> IV)</w:t>
            </w:r>
          </w:p>
        </w:tc>
      </w:tr>
      <w:tr w:rsidR="00E32002" w:rsidRPr="005D05BB" w14:paraId="7D1D2721" w14:textId="77777777" w:rsidTr="00A33E85">
        <w:tc>
          <w:tcPr>
            <w:tcW w:w="617" w:type="pct"/>
            <w:vAlign w:val="center"/>
          </w:tcPr>
          <w:p w14:paraId="0BC57850" w14:textId="77777777" w:rsidR="00E32002" w:rsidRPr="005D05BB" w:rsidRDefault="00E32002" w:rsidP="008F456C">
            <w:pPr>
              <w:pStyle w:val="TableText0"/>
              <w:keepNext w:val="0"/>
            </w:pPr>
            <w:r w:rsidRPr="005D05BB">
              <w:t>Outcomes</w:t>
            </w:r>
          </w:p>
        </w:tc>
        <w:tc>
          <w:tcPr>
            <w:tcW w:w="4383" w:type="pct"/>
            <w:vAlign w:val="center"/>
          </w:tcPr>
          <w:p w14:paraId="31A54E75" w14:textId="77777777" w:rsidR="00E32002" w:rsidRPr="005D05BB" w:rsidRDefault="00E32002" w:rsidP="008F456C">
            <w:pPr>
              <w:pStyle w:val="TableText0"/>
              <w:keepNext w:val="0"/>
            </w:pPr>
            <w:r w:rsidRPr="005D05BB">
              <w:t>RA</w:t>
            </w:r>
          </w:p>
          <w:p w14:paraId="2DBFBD97" w14:textId="77777777" w:rsidR="00E32002" w:rsidRPr="005D05BB" w:rsidRDefault="00E32002" w:rsidP="008F456C">
            <w:pPr>
              <w:pStyle w:val="TableText0"/>
              <w:keepNext w:val="0"/>
            </w:pPr>
            <w:r w:rsidRPr="005D05BB">
              <w:rPr>
                <w:u w:val="single"/>
              </w:rPr>
              <w:t xml:space="preserve">Primary: </w:t>
            </w:r>
            <w:r w:rsidRPr="005D05BB">
              <w:t>DAS28 change from baseline at week 22</w:t>
            </w:r>
          </w:p>
          <w:p w14:paraId="2FD91097" w14:textId="77777777" w:rsidR="00E32002" w:rsidRPr="005D05BB" w:rsidRDefault="00E32002" w:rsidP="008F456C">
            <w:pPr>
              <w:pStyle w:val="TableText0"/>
              <w:keepNext w:val="0"/>
            </w:pPr>
            <w:r w:rsidRPr="005D05BB">
              <w:rPr>
                <w:u w:val="single"/>
              </w:rPr>
              <w:t>Secondary:</w:t>
            </w:r>
            <w:r w:rsidRPr="005D05BB">
              <w:t xml:space="preserve"> ACR 20 50 and 70</w:t>
            </w:r>
          </w:p>
          <w:p w14:paraId="355E3651" w14:textId="77777777" w:rsidR="00E32002" w:rsidRPr="005D05BB" w:rsidRDefault="00E32002" w:rsidP="008F456C">
            <w:pPr>
              <w:pStyle w:val="TableText0"/>
              <w:keepNext w:val="0"/>
            </w:pPr>
            <w:r w:rsidRPr="005D05BB">
              <w:t>Safety: Key safety outcomes: AEs and discontinuations due to AEs</w:t>
            </w:r>
          </w:p>
          <w:p w14:paraId="7A568382" w14:textId="77777777" w:rsidR="00E32002" w:rsidRPr="005D05BB" w:rsidRDefault="00E32002" w:rsidP="008F456C">
            <w:pPr>
              <w:pStyle w:val="TableText0"/>
              <w:keepNext w:val="0"/>
            </w:pPr>
            <w:r w:rsidRPr="005D05BB">
              <w:t>Irritable bowel disease (CD and UC)</w:t>
            </w:r>
          </w:p>
          <w:p w14:paraId="64001A5F" w14:textId="77777777" w:rsidR="00E32002" w:rsidRPr="005D05BB" w:rsidRDefault="00E32002" w:rsidP="008F456C">
            <w:pPr>
              <w:pStyle w:val="TableText0"/>
              <w:keepNext w:val="0"/>
            </w:pPr>
            <w:r w:rsidRPr="005D05BB">
              <w:rPr>
                <w:u w:val="single"/>
              </w:rPr>
              <w:t>Primary (PK):</w:t>
            </w:r>
            <w:r w:rsidRPr="005D05BB">
              <w:t xml:space="preserve"> IFX Ctrough, week22</w:t>
            </w:r>
          </w:p>
          <w:p w14:paraId="730089FF" w14:textId="77777777" w:rsidR="00E32002" w:rsidRPr="005D05BB" w:rsidRDefault="00E32002" w:rsidP="008F456C">
            <w:pPr>
              <w:pStyle w:val="TableText0"/>
              <w:keepNext w:val="0"/>
            </w:pPr>
            <w:r w:rsidRPr="005D05BB">
              <w:rPr>
                <w:u w:val="single"/>
              </w:rPr>
              <w:t>Secondary:</w:t>
            </w:r>
            <w:r w:rsidRPr="005D05BB">
              <w:t xml:space="preserve"> clinical response and remission, defined by CDAI for CD and Mayo score for UC</w:t>
            </w:r>
          </w:p>
          <w:p w14:paraId="76BAF385" w14:textId="77777777" w:rsidR="00E32002" w:rsidRPr="005D05BB" w:rsidRDefault="00E32002" w:rsidP="008F456C">
            <w:pPr>
              <w:pStyle w:val="TableText0"/>
              <w:keepNext w:val="0"/>
            </w:pPr>
            <w:r w:rsidRPr="005D05BB">
              <w:t>Safety: Key safety outcomes: AEs and discontinuations due to AEs</w:t>
            </w:r>
          </w:p>
        </w:tc>
      </w:tr>
      <w:tr w:rsidR="00E32002" w:rsidRPr="005D05BB" w14:paraId="39FF2BDF" w14:textId="77777777" w:rsidTr="00A33E85">
        <w:tc>
          <w:tcPr>
            <w:tcW w:w="617" w:type="pct"/>
            <w:vAlign w:val="center"/>
          </w:tcPr>
          <w:p w14:paraId="627319E4" w14:textId="77777777" w:rsidR="00E32002" w:rsidRPr="005D05BB" w:rsidRDefault="00E32002" w:rsidP="008F456C">
            <w:pPr>
              <w:pStyle w:val="TableText0"/>
              <w:keepNext w:val="0"/>
            </w:pPr>
            <w:r w:rsidRPr="005D05BB">
              <w:t>Clinical claim</w:t>
            </w:r>
          </w:p>
        </w:tc>
        <w:tc>
          <w:tcPr>
            <w:tcW w:w="4383" w:type="pct"/>
            <w:vAlign w:val="center"/>
          </w:tcPr>
          <w:p w14:paraId="74B5383C" w14:textId="77777777" w:rsidR="00E32002" w:rsidRPr="005D05BB" w:rsidRDefault="00E32002" w:rsidP="008F456C">
            <w:pPr>
              <w:pStyle w:val="TableText0"/>
              <w:keepNext w:val="0"/>
            </w:pPr>
            <w:r w:rsidRPr="005D05BB">
              <w:t>RA: 12</w:t>
            </w:r>
            <w:r w:rsidR="000B0C55" w:rsidRPr="005D05BB">
              <w:t>0 mg</w:t>
            </w:r>
            <w:r w:rsidRPr="005D05BB">
              <w:t xml:space="preserve"> IFX SC</w:t>
            </w:r>
            <w:r w:rsidR="00222D29" w:rsidRPr="005D05BB">
              <w:t xml:space="preserve"> given every 2 weeks has</w:t>
            </w:r>
            <w:r w:rsidRPr="005D05BB">
              <w:t xml:space="preserve"> superior efficacy and safety (based on discontinuation rates) compared to </w:t>
            </w:r>
            <w:r w:rsidR="000B0C55" w:rsidRPr="005D05BB">
              <w:t>3 mg/kg</w:t>
            </w:r>
            <w:r w:rsidRPr="005D05BB">
              <w:t xml:space="preserve"> IFX IV given every 8 weeks.</w:t>
            </w:r>
          </w:p>
          <w:p w14:paraId="673B5207" w14:textId="77777777" w:rsidR="00E32002" w:rsidRPr="005D05BB" w:rsidRDefault="00E32002" w:rsidP="008F456C">
            <w:pPr>
              <w:pStyle w:val="TableText0"/>
              <w:keepNext w:val="0"/>
            </w:pPr>
            <w:r w:rsidRPr="005D05BB">
              <w:t>UC: 12</w:t>
            </w:r>
            <w:r w:rsidR="000B0C55" w:rsidRPr="005D05BB">
              <w:t>0 mg</w:t>
            </w:r>
            <w:r w:rsidRPr="005D05BB">
              <w:t xml:space="preserve"> IFX SC</w:t>
            </w:r>
            <w:r w:rsidR="00222D29" w:rsidRPr="005D05BB">
              <w:t xml:space="preserve"> given every 2 weeks</w:t>
            </w:r>
            <w:r w:rsidRPr="005D05BB">
              <w:t xml:space="preserve"> </w:t>
            </w:r>
            <w:r w:rsidR="00222D29" w:rsidRPr="005D05BB">
              <w:t xml:space="preserve">has </w:t>
            </w:r>
            <w:r w:rsidRPr="005D05BB">
              <w:t xml:space="preserve">superior efficacy and non-inferior (similar) safety to </w:t>
            </w:r>
            <w:r w:rsidR="000B0C55" w:rsidRPr="005D05BB">
              <w:t>5 mg/kg</w:t>
            </w:r>
            <w:r w:rsidRPr="005D05BB">
              <w:t xml:space="preserve"> IFX IV given every 8 weeks.</w:t>
            </w:r>
          </w:p>
          <w:p w14:paraId="69C6B6AC" w14:textId="77777777" w:rsidR="00E32002" w:rsidRPr="005D05BB" w:rsidRDefault="00E32002" w:rsidP="008F456C">
            <w:pPr>
              <w:pStyle w:val="TableText0"/>
              <w:keepNext w:val="0"/>
            </w:pPr>
            <w:r w:rsidRPr="005D05BB">
              <w:t>CD: 12</w:t>
            </w:r>
            <w:r w:rsidR="000B0C55" w:rsidRPr="005D05BB">
              <w:t>0 mg</w:t>
            </w:r>
            <w:r w:rsidRPr="005D05BB">
              <w:t xml:space="preserve"> IFX SC given every 2 weeks, is at least equivalent (non-inferior) in terms of safety and efficacy to </w:t>
            </w:r>
            <w:r w:rsidR="000B0C55" w:rsidRPr="005D05BB">
              <w:t>5 mg/kg</w:t>
            </w:r>
            <w:r w:rsidRPr="005D05BB">
              <w:t xml:space="preserve"> IFX IV given every 8 weeks.</w:t>
            </w:r>
          </w:p>
          <w:p w14:paraId="075AE66A" w14:textId="77777777" w:rsidR="00E32002" w:rsidRPr="005D05BB" w:rsidRDefault="00E32002" w:rsidP="008F456C">
            <w:pPr>
              <w:pStyle w:val="TableText0"/>
              <w:keepNext w:val="0"/>
            </w:pPr>
          </w:p>
          <w:p w14:paraId="454622A3" w14:textId="77777777" w:rsidR="00E32002" w:rsidRPr="005D05BB" w:rsidRDefault="00E32002" w:rsidP="008F456C">
            <w:pPr>
              <w:pStyle w:val="TableText0"/>
              <w:keepNext w:val="0"/>
            </w:pPr>
            <w:r w:rsidRPr="005D05BB">
              <w:t>Given the data presented it is concluded</w:t>
            </w:r>
            <w:r w:rsidR="00222D29" w:rsidRPr="005D05BB">
              <w:t xml:space="preserve"> by extrapolation</w:t>
            </w:r>
            <w:r w:rsidRPr="005D05BB">
              <w:t xml:space="preserve"> that 12</w:t>
            </w:r>
            <w:r w:rsidR="000B0C55" w:rsidRPr="005D05BB">
              <w:t>0 mg</w:t>
            </w:r>
            <w:r w:rsidRPr="005D05BB">
              <w:t xml:space="preserve"> IFX SC given every 2 weeks, is at least equivalent (non-inferior) in terms of efficacy and safety to:</w:t>
            </w:r>
          </w:p>
          <w:p w14:paraId="2EAB8E8C" w14:textId="77777777" w:rsidR="00E32002" w:rsidRPr="005D05BB" w:rsidRDefault="000B0C55" w:rsidP="00D432E3">
            <w:pPr>
              <w:pStyle w:val="TableText0"/>
              <w:keepNext w:val="0"/>
              <w:numPr>
                <w:ilvl w:val="0"/>
                <w:numId w:val="5"/>
              </w:numPr>
              <w:ind w:left="258" w:hanging="142"/>
            </w:pPr>
            <w:r w:rsidRPr="005D05BB">
              <w:t>5 mg/kg</w:t>
            </w:r>
            <w:r w:rsidR="00E32002" w:rsidRPr="005D05BB">
              <w:t xml:space="preserve"> IFX IV given every 6 weeks for </w:t>
            </w:r>
            <w:r w:rsidR="00E32002" w:rsidRPr="005D05BB">
              <w:rPr>
                <w:bCs w:val="0"/>
              </w:rPr>
              <w:t>AS</w:t>
            </w:r>
            <w:r w:rsidR="00E32002" w:rsidRPr="005D05BB">
              <w:t>, and</w:t>
            </w:r>
          </w:p>
          <w:p w14:paraId="068867B5" w14:textId="77777777" w:rsidR="00E32002" w:rsidRPr="005D05BB" w:rsidRDefault="000B0C55" w:rsidP="00D432E3">
            <w:pPr>
              <w:pStyle w:val="TableText0"/>
              <w:keepNext w:val="0"/>
              <w:numPr>
                <w:ilvl w:val="0"/>
                <w:numId w:val="5"/>
              </w:numPr>
              <w:ind w:left="258" w:hanging="142"/>
            </w:pPr>
            <w:r w:rsidRPr="005D05BB">
              <w:t>5 mg/kg</w:t>
            </w:r>
            <w:r w:rsidR="00E32002" w:rsidRPr="005D05BB">
              <w:t xml:space="preserve"> IFX IV given every 8 weeks for </w:t>
            </w:r>
            <w:r w:rsidR="00E32002" w:rsidRPr="005D05BB">
              <w:rPr>
                <w:bCs w:val="0"/>
              </w:rPr>
              <w:t>PsA</w:t>
            </w:r>
            <w:r w:rsidR="00E32002" w:rsidRPr="005D05BB">
              <w:t xml:space="preserve">, </w:t>
            </w:r>
            <w:r w:rsidR="00E32002" w:rsidRPr="005D05BB">
              <w:rPr>
                <w:bCs w:val="0"/>
              </w:rPr>
              <w:t>CPP</w:t>
            </w:r>
            <w:r w:rsidR="00E32002" w:rsidRPr="005D05BB">
              <w:t xml:space="preserve">, </w:t>
            </w:r>
            <w:r w:rsidR="00E32002" w:rsidRPr="005D05BB">
              <w:rPr>
                <w:bCs w:val="0"/>
              </w:rPr>
              <w:t>RFCD</w:t>
            </w:r>
            <w:r w:rsidR="00E32002" w:rsidRPr="005D05BB">
              <w:t>.</w:t>
            </w:r>
          </w:p>
        </w:tc>
      </w:tr>
    </w:tbl>
    <w:p w14:paraId="0D42EECB" w14:textId="77777777" w:rsidR="00E32002" w:rsidRPr="005D05BB" w:rsidRDefault="00E32002" w:rsidP="00E32002">
      <w:pPr>
        <w:pStyle w:val="TableFigureFooter"/>
      </w:pPr>
      <w:r w:rsidRPr="005D05BB">
        <w:t xml:space="preserve">Abbreviations: ACR=American College of Rheumatology; AE=adverse event; AS=ankylosing spondylitis; CD=Crohn’s disease; CDAI=Crohn’s Disease Activity Index; CPP=chronic plaque psoriasis; DAS28=Disease Activity Score 28-joint; IFX=infliximab IV=intravenous; PK=pharmacokinetic outcomes; PsA=psoriatic arthritis; RA=rheumatoid arthritis; UC=ulcerative colitis; SC=subcutaneous; RFCD=refractory fistulising Crohn’s disease. </w:t>
      </w:r>
    </w:p>
    <w:p w14:paraId="5BCFA0FC" w14:textId="77777777" w:rsidR="00E32002" w:rsidRPr="005D05BB" w:rsidRDefault="00E32002" w:rsidP="00E32002">
      <w:pPr>
        <w:pStyle w:val="TableFigureFooter"/>
      </w:pPr>
      <w:r w:rsidRPr="005D05BB">
        <w:t>Source: Table 1.2, pp3-4 of the submission.</w:t>
      </w:r>
    </w:p>
    <w:p w14:paraId="475FC913" w14:textId="77777777" w:rsidR="00E32002" w:rsidRPr="005D05BB" w:rsidRDefault="00E32002" w:rsidP="00E32002">
      <w:pPr>
        <w:pStyle w:val="2-SectionHeading"/>
        <w:numPr>
          <w:ilvl w:val="0"/>
          <w:numId w:val="1"/>
        </w:numPr>
      </w:pPr>
      <w:bookmarkStart w:id="3" w:name="_Toc50709837"/>
      <w:r w:rsidRPr="005D05BB">
        <w:t>Background</w:t>
      </w:r>
      <w:bookmarkEnd w:id="3"/>
    </w:p>
    <w:p w14:paraId="40B1BC76" w14:textId="77777777" w:rsidR="00E32002" w:rsidRPr="005D05BB" w:rsidRDefault="00E32002" w:rsidP="00E32002">
      <w:pPr>
        <w:pStyle w:val="4-SubsectionHeading"/>
      </w:pPr>
      <w:bookmarkStart w:id="4" w:name="_Toc22897638"/>
      <w:bookmarkStart w:id="5" w:name="_Toc50709838"/>
      <w:r w:rsidRPr="005D05BB">
        <w:t>Registration status</w:t>
      </w:r>
      <w:bookmarkEnd w:id="4"/>
      <w:bookmarkEnd w:id="5"/>
    </w:p>
    <w:p w14:paraId="7D97DD8B" w14:textId="77777777" w:rsidR="00E32002" w:rsidRPr="005D05BB" w:rsidRDefault="00E32002" w:rsidP="00C563D2">
      <w:pPr>
        <w:pStyle w:val="3-BodyText"/>
      </w:pPr>
      <w:r w:rsidRPr="005D05BB">
        <w:t>The submission was made under the TGA/PBAC Parallel Process</w:t>
      </w:r>
      <w:bookmarkStart w:id="6" w:name="_Hlk51056160"/>
      <w:r w:rsidR="005D05BB">
        <w:t xml:space="preserve">. </w:t>
      </w:r>
      <w:r w:rsidR="00E83711" w:rsidRPr="005D05BB">
        <w:rPr>
          <w:iCs/>
        </w:rPr>
        <w:t xml:space="preserve">The submission </w:t>
      </w:r>
      <w:r w:rsidR="00E83711" w:rsidRPr="005D05BB">
        <w:t>described IFX SC as a biosimilar product to IFX IV</w:t>
      </w:r>
      <w:r w:rsidR="005D05BB">
        <w:t xml:space="preserve">. </w:t>
      </w:r>
      <w:r w:rsidR="00C563D2" w:rsidRPr="005D05BB">
        <w:t>In contrast, t</w:t>
      </w:r>
      <w:r w:rsidR="00E83711" w:rsidRPr="005D05BB">
        <w:t>he TGA</w:t>
      </w:r>
      <w:r w:rsidR="00C563D2" w:rsidRPr="005D05BB">
        <w:t xml:space="preserve"> documentation described</w:t>
      </w:r>
      <w:r w:rsidR="00E83711" w:rsidRPr="005D05BB">
        <w:t xml:space="preserve"> IFX SC as a new strength and route of administration of IFX</w:t>
      </w:r>
      <w:bookmarkEnd w:id="6"/>
      <w:r w:rsidR="005D05BB">
        <w:t xml:space="preserve">. </w:t>
      </w:r>
      <w:r w:rsidR="000F54FA" w:rsidRPr="005D05BB">
        <w:t>The Sponsor’s application to the TGA presented clinical evidence for the indications RA, UC and CD</w:t>
      </w:r>
      <w:r w:rsidR="00FB6B01" w:rsidRPr="005D05BB">
        <w:t>,</w:t>
      </w:r>
      <w:r w:rsidR="000F54FA" w:rsidRPr="005D05BB">
        <w:t xml:space="preserve"> and requested </w:t>
      </w:r>
      <w:r w:rsidR="000F54FA" w:rsidRPr="005D05BB">
        <w:rPr>
          <w:rFonts w:cstheme="minorHAnsi"/>
        </w:rPr>
        <w:t xml:space="preserve">extrapolation of </w:t>
      </w:r>
      <w:r w:rsidR="00FB6B01" w:rsidRPr="005D05BB">
        <w:rPr>
          <w:rFonts w:cstheme="minorHAnsi"/>
        </w:rPr>
        <w:t>evidence from these</w:t>
      </w:r>
      <w:r w:rsidR="000F54FA" w:rsidRPr="005D05BB">
        <w:rPr>
          <w:rFonts w:cstheme="minorHAnsi"/>
        </w:rPr>
        <w:t xml:space="preserve"> indications to AS, PsA and CPP</w:t>
      </w:r>
      <w:r w:rsidR="005D05BB">
        <w:t xml:space="preserve">. </w:t>
      </w:r>
      <w:r w:rsidR="00776A43" w:rsidRPr="005D05BB">
        <w:t>The TGA documents available at the time of PBAC consideration were the Clinical Evaluation report (CER; Round 2), the Delegate’s Overview, and the Advisory Committee on Medicines (ACM) outcome.</w:t>
      </w:r>
    </w:p>
    <w:p w14:paraId="461B262A" w14:textId="77777777" w:rsidR="00E32002" w:rsidRPr="005D05BB" w:rsidRDefault="00E32002" w:rsidP="003C7997">
      <w:pPr>
        <w:pStyle w:val="3-BodyText"/>
      </w:pPr>
      <w:r w:rsidRPr="005D05BB">
        <w:t>Table 2 presents the proposed TGA indications for IFX SC.</w:t>
      </w:r>
      <w:r w:rsidR="00FB6B01" w:rsidRPr="005D05BB">
        <w:t xml:space="preserve"> </w:t>
      </w:r>
      <w:r w:rsidR="00FB6B01" w:rsidRPr="005D05BB">
        <w:rPr>
          <w:iCs/>
        </w:rPr>
        <w:t>The clinical claim for these indications was extrapolated from the clinical evidence in RA, UC and CD.</w:t>
      </w:r>
    </w:p>
    <w:p w14:paraId="1A93FF17" w14:textId="77777777" w:rsidR="00993E4F" w:rsidRDefault="00993E4F">
      <w:pPr>
        <w:jc w:val="left"/>
        <w:rPr>
          <w:rFonts w:ascii="Arial Narrow" w:hAnsi="Arial Narrow"/>
          <w:b/>
          <w:sz w:val="20"/>
          <w:szCs w:val="20"/>
        </w:rPr>
      </w:pPr>
      <w:r>
        <w:rPr>
          <w:rFonts w:ascii="Arial Narrow" w:hAnsi="Arial Narrow"/>
          <w:b/>
          <w:sz w:val="20"/>
          <w:szCs w:val="20"/>
        </w:rPr>
        <w:br w:type="page"/>
      </w:r>
    </w:p>
    <w:p w14:paraId="3AADC310" w14:textId="77777777" w:rsidR="00E32002" w:rsidRPr="005D05BB" w:rsidRDefault="00E32002" w:rsidP="00E32002">
      <w:pPr>
        <w:rPr>
          <w:rFonts w:ascii="Arial Narrow" w:hAnsi="Arial Narrow"/>
          <w:b/>
          <w:sz w:val="20"/>
          <w:szCs w:val="20"/>
        </w:rPr>
      </w:pPr>
      <w:r w:rsidRPr="005D05BB">
        <w:rPr>
          <w:rFonts w:ascii="Arial Narrow" w:hAnsi="Arial Narrow"/>
          <w:b/>
          <w:sz w:val="20"/>
          <w:szCs w:val="20"/>
        </w:rPr>
        <w:lastRenderedPageBreak/>
        <w:t>Table 2: The proposed TGA indications for IFX SC as maintenance treatment in adult patients (≥18 years)</w:t>
      </w:r>
    </w:p>
    <w:tbl>
      <w:tblPr>
        <w:tblStyle w:val="TableGrid"/>
        <w:tblW w:w="5000" w:type="pct"/>
        <w:tblCellMar>
          <w:left w:w="28" w:type="dxa"/>
          <w:right w:w="28" w:type="dxa"/>
        </w:tblCellMar>
        <w:tblLook w:val="04A0" w:firstRow="1" w:lastRow="0" w:firstColumn="1" w:lastColumn="0" w:noHBand="0" w:noVBand="1"/>
        <w:tblCaption w:val="Table 2: The proposed TGA indications for IFX SC as maintenance treatment in adult patients (≥18 years)"/>
      </w:tblPr>
      <w:tblGrid>
        <w:gridCol w:w="1271"/>
        <w:gridCol w:w="7746"/>
      </w:tblGrid>
      <w:tr w:rsidR="00E32002" w:rsidRPr="005D05BB" w14:paraId="46137026" w14:textId="77777777" w:rsidTr="001A2685">
        <w:trPr>
          <w:tblHeader/>
        </w:trPr>
        <w:tc>
          <w:tcPr>
            <w:tcW w:w="705" w:type="pct"/>
          </w:tcPr>
          <w:p w14:paraId="37210F02" w14:textId="77777777" w:rsidR="00E32002" w:rsidRPr="005D05BB" w:rsidRDefault="00E32002" w:rsidP="008F456C">
            <w:pPr>
              <w:rPr>
                <w:rFonts w:ascii="Arial Narrow" w:hAnsi="Arial Narrow"/>
                <w:sz w:val="20"/>
                <w:szCs w:val="20"/>
              </w:rPr>
            </w:pPr>
          </w:p>
        </w:tc>
        <w:tc>
          <w:tcPr>
            <w:tcW w:w="4295" w:type="pct"/>
          </w:tcPr>
          <w:p w14:paraId="0A49A389" w14:textId="77777777" w:rsidR="00E32002" w:rsidRPr="005D05BB" w:rsidRDefault="00E32002" w:rsidP="008F456C">
            <w:pPr>
              <w:rPr>
                <w:rFonts w:ascii="Arial Narrow" w:hAnsi="Arial Narrow"/>
                <w:b/>
                <w:sz w:val="20"/>
                <w:szCs w:val="20"/>
              </w:rPr>
            </w:pPr>
            <w:r w:rsidRPr="005D05BB">
              <w:rPr>
                <w:rFonts w:ascii="Arial Narrow" w:hAnsi="Arial Narrow"/>
                <w:b/>
                <w:sz w:val="20"/>
                <w:szCs w:val="20"/>
              </w:rPr>
              <w:t>Proposed indication of IFX SC</w:t>
            </w:r>
          </w:p>
        </w:tc>
      </w:tr>
      <w:tr w:rsidR="00E32002" w:rsidRPr="005D05BB" w14:paraId="6C4EAC46" w14:textId="77777777" w:rsidTr="00A33E85">
        <w:tc>
          <w:tcPr>
            <w:tcW w:w="705" w:type="pct"/>
          </w:tcPr>
          <w:p w14:paraId="72C2302D"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RA</w:t>
            </w:r>
          </w:p>
        </w:tc>
        <w:tc>
          <w:tcPr>
            <w:tcW w:w="4295" w:type="pct"/>
          </w:tcPr>
          <w:p w14:paraId="1EBF2E67"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 combination with methotrexate, is indicated for the reduction of signs and symptoms and prevention of structural joint damage (erosions and joint space narrowing) in:</w:t>
            </w:r>
          </w:p>
          <w:p w14:paraId="2763E93B" w14:textId="77777777" w:rsidR="00E32002" w:rsidRPr="005D05BB" w:rsidRDefault="00E32002" w:rsidP="008F456C">
            <w:pPr>
              <w:tabs>
                <w:tab w:val="left" w:pos="0"/>
                <w:tab w:val="left" w:pos="253"/>
              </w:tabs>
              <w:rPr>
                <w:rFonts w:ascii="Arial Narrow" w:hAnsi="Arial Narrow"/>
                <w:sz w:val="20"/>
                <w:szCs w:val="20"/>
              </w:rPr>
            </w:pPr>
            <w:r w:rsidRPr="005D05BB">
              <w:rPr>
                <w:rFonts w:ascii="Arial Narrow" w:hAnsi="Arial Narrow"/>
                <w:sz w:val="20"/>
                <w:szCs w:val="20"/>
              </w:rPr>
              <w:t>•</w:t>
            </w:r>
            <w:r w:rsidRPr="005D05BB">
              <w:rPr>
                <w:rFonts w:ascii="Arial Narrow" w:hAnsi="Arial Narrow"/>
                <w:sz w:val="20"/>
                <w:szCs w:val="20"/>
              </w:rPr>
              <w:tab/>
              <w:t xml:space="preserve">patients with active disease despite treatment with methotrexate, and </w:t>
            </w:r>
          </w:p>
          <w:p w14:paraId="3EF73EAC" w14:textId="77777777" w:rsidR="00E32002" w:rsidRPr="005D05BB" w:rsidRDefault="00E32002" w:rsidP="008F456C">
            <w:pPr>
              <w:tabs>
                <w:tab w:val="left" w:pos="0"/>
                <w:tab w:val="left" w:pos="253"/>
              </w:tabs>
              <w:rPr>
                <w:rFonts w:ascii="Arial Narrow" w:hAnsi="Arial Narrow"/>
                <w:sz w:val="20"/>
                <w:szCs w:val="20"/>
              </w:rPr>
            </w:pPr>
            <w:r w:rsidRPr="005D05BB">
              <w:rPr>
                <w:rFonts w:ascii="Arial Narrow" w:hAnsi="Arial Narrow"/>
                <w:sz w:val="20"/>
                <w:szCs w:val="20"/>
              </w:rPr>
              <w:t>•</w:t>
            </w:r>
            <w:r w:rsidRPr="005D05BB">
              <w:rPr>
                <w:rFonts w:ascii="Arial Narrow" w:hAnsi="Arial Narrow"/>
                <w:sz w:val="20"/>
                <w:szCs w:val="20"/>
              </w:rPr>
              <w:tab/>
              <w:t>patients with active disease who have not previously received methotrexate.</w:t>
            </w:r>
          </w:p>
          <w:p w14:paraId="2E2C15D7" w14:textId="77777777" w:rsidR="00E32002" w:rsidRPr="005D05BB" w:rsidRDefault="00E32002" w:rsidP="008F456C">
            <w:pPr>
              <w:tabs>
                <w:tab w:val="left" w:pos="0"/>
                <w:tab w:val="left" w:pos="253"/>
              </w:tabs>
              <w:rPr>
                <w:rFonts w:ascii="Arial Narrow" w:hAnsi="Arial Narrow"/>
                <w:sz w:val="20"/>
                <w:szCs w:val="20"/>
              </w:rPr>
            </w:pPr>
            <w:r w:rsidRPr="005D05BB">
              <w:rPr>
                <w:rFonts w:ascii="Arial Narrow" w:hAnsi="Arial Narrow"/>
                <w:sz w:val="20"/>
                <w:szCs w:val="20"/>
              </w:rPr>
              <w:t>Remsima® should be given in combination with methotrexate</w:t>
            </w:r>
            <w:r w:rsidR="005D05BB">
              <w:rPr>
                <w:rFonts w:ascii="Arial Narrow" w:hAnsi="Arial Narrow"/>
                <w:sz w:val="20"/>
                <w:szCs w:val="20"/>
              </w:rPr>
              <w:t xml:space="preserve">. </w:t>
            </w:r>
            <w:r w:rsidRPr="005D05BB">
              <w:rPr>
                <w:rFonts w:ascii="Arial Narrow" w:hAnsi="Arial Narrow"/>
                <w:sz w:val="20"/>
                <w:szCs w:val="20"/>
              </w:rPr>
              <w:t>Efficacy and safety in Rheumatoid Arthritis have been demonstrated only in combination with methotrexate.”</w:t>
            </w:r>
          </w:p>
        </w:tc>
      </w:tr>
      <w:tr w:rsidR="00E32002" w:rsidRPr="005D05BB" w14:paraId="1F74C827" w14:textId="77777777" w:rsidTr="00A33E85">
        <w:tc>
          <w:tcPr>
            <w:tcW w:w="705" w:type="pct"/>
          </w:tcPr>
          <w:p w14:paraId="2133EB19"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AS</w:t>
            </w:r>
          </w:p>
        </w:tc>
        <w:tc>
          <w:tcPr>
            <w:tcW w:w="4295" w:type="pct"/>
          </w:tcPr>
          <w:p w14:paraId="5FCEE6B0"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the reduction of signs and symptoms and improvement in physical function in patients with active disease”</w:t>
            </w:r>
          </w:p>
        </w:tc>
      </w:tr>
      <w:tr w:rsidR="00E32002" w:rsidRPr="005D05BB" w14:paraId="3D0B2B80" w14:textId="77777777" w:rsidTr="00A33E85">
        <w:tc>
          <w:tcPr>
            <w:tcW w:w="705" w:type="pct"/>
          </w:tcPr>
          <w:p w14:paraId="5E2F4E51"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PsA</w:t>
            </w:r>
          </w:p>
        </w:tc>
        <w:tc>
          <w:tcPr>
            <w:tcW w:w="4295" w:type="pct"/>
          </w:tcPr>
          <w:p w14:paraId="57DC6492"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the treatment of the signs and symptoms, as well as for the improvement in physical function in adult patients with active and progressive psoriatic arthritis who have responded inadequately to disease-modifying anti-rheumatic drug (DMARD) therapy</w:t>
            </w:r>
            <w:r w:rsidR="005D05BB">
              <w:rPr>
                <w:rFonts w:ascii="Arial Narrow" w:hAnsi="Arial Narrow"/>
                <w:sz w:val="20"/>
                <w:szCs w:val="20"/>
              </w:rPr>
              <w:t xml:space="preserve">. </w:t>
            </w:r>
            <w:r w:rsidRPr="005D05BB">
              <w:rPr>
                <w:rFonts w:ascii="Arial Narrow" w:hAnsi="Arial Narrow"/>
                <w:sz w:val="20"/>
                <w:szCs w:val="20"/>
              </w:rPr>
              <w:t>Remsima® may be administered in combination with methotrexate.”</w:t>
            </w:r>
          </w:p>
        </w:tc>
      </w:tr>
      <w:tr w:rsidR="00E32002" w:rsidRPr="005D05BB" w14:paraId="6656FB86" w14:textId="77777777" w:rsidTr="00A33E85">
        <w:tc>
          <w:tcPr>
            <w:tcW w:w="705" w:type="pct"/>
          </w:tcPr>
          <w:p w14:paraId="7090AE01"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CPP</w:t>
            </w:r>
          </w:p>
        </w:tc>
        <w:tc>
          <w:tcPr>
            <w:tcW w:w="4295" w:type="pct"/>
          </w:tcPr>
          <w:p w14:paraId="79705AC4"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the treatment of adult patients with moderate to severe plaque psoriasis [i.e. CPP] for whom phototherapy or conventional systemic treatments have been inadequate or are inappropriate. Safety and efficacy beyond 12 months have not been established.”</w:t>
            </w:r>
          </w:p>
        </w:tc>
      </w:tr>
      <w:tr w:rsidR="00E32002" w:rsidRPr="005D05BB" w14:paraId="3F6CC151" w14:textId="77777777" w:rsidTr="00A33E85">
        <w:tc>
          <w:tcPr>
            <w:tcW w:w="705" w:type="pct"/>
            <w:vAlign w:val="center"/>
          </w:tcPr>
          <w:p w14:paraId="31FC3A4B" w14:textId="77777777" w:rsidR="00E32002" w:rsidRPr="005D05BB" w:rsidRDefault="00E32002" w:rsidP="008F456C">
            <w:pPr>
              <w:jc w:val="left"/>
              <w:rPr>
                <w:rFonts w:ascii="Arial Narrow" w:hAnsi="Arial Narrow"/>
                <w:sz w:val="20"/>
                <w:szCs w:val="20"/>
              </w:rPr>
            </w:pPr>
            <w:r w:rsidRPr="005D05BB">
              <w:rPr>
                <w:rFonts w:ascii="Arial Narrow" w:hAnsi="Arial Narrow"/>
                <w:sz w:val="20"/>
                <w:szCs w:val="20"/>
              </w:rPr>
              <w:t>CD</w:t>
            </w:r>
          </w:p>
        </w:tc>
        <w:tc>
          <w:tcPr>
            <w:tcW w:w="4295" w:type="pct"/>
          </w:tcPr>
          <w:p w14:paraId="34551754"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the treatment of moderate to severe Crohn’s disease, to reduce the signs and symptoms and to induce and maintain clinical remission in patients who have an inadequate response to conventional therapies.”</w:t>
            </w:r>
          </w:p>
        </w:tc>
      </w:tr>
      <w:tr w:rsidR="00E32002" w:rsidRPr="005D05BB" w14:paraId="383B5135" w14:textId="77777777" w:rsidTr="00A33E85">
        <w:tc>
          <w:tcPr>
            <w:tcW w:w="705" w:type="pct"/>
            <w:vAlign w:val="center"/>
          </w:tcPr>
          <w:p w14:paraId="4A41050F" w14:textId="77777777" w:rsidR="00E32002" w:rsidRPr="005D05BB" w:rsidRDefault="00E32002" w:rsidP="008F456C">
            <w:pPr>
              <w:jc w:val="left"/>
              <w:rPr>
                <w:rFonts w:ascii="Arial Narrow" w:hAnsi="Arial Narrow"/>
                <w:sz w:val="20"/>
                <w:szCs w:val="20"/>
              </w:rPr>
            </w:pPr>
            <w:r w:rsidRPr="005D05BB">
              <w:rPr>
                <w:rFonts w:ascii="Arial Narrow" w:hAnsi="Arial Narrow"/>
                <w:sz w:val="20"/>
                <w:szCs w:val="20"/>
              </w:rPr>
              <w:t>RFCD</w:t>
            </w:r>
          </w:p>
        </w:tc>
        <w:tc>
          <w:tcPr>
            <w:tcW w:w="4295" w:type="pct"/>
          </w:tcPr>
          <w:p w14:paraId="3B6BF8FA"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reducing the number of draining enterocutaneous and rectovaginal fistulas and maintaining fistula closure in adult patients.”</w:t>
            </w:r>
          </w:p>
        </w:tc>
      </w:tr>
      <w:tr w:rsidR="00E32002" w:rsidRPr="005D05BB" w14:paraId="00173F70" w14:textId="77777777" w:rsidTr="00A33E85">
        <w:tc>
          <w:tcPr>
            <w:tcW w:w="705" w:type="pct"/>
            <w:vAlign w:val="center"/>
          </w:tcPr>
          <w:p w14:paraId="56A7358B" w14:textId="77777777" w:rsidR="00E32002" w:rsidRPr="005D05BB" w:rsidRDefault="00E32002" w:rsidP="008F456C">
            <w:pPr>
              <w:jc w:val="left"/>
              <w:rPr>
                <w:rFonts w:ascii="Arial Narrow" w:hAnsi="Arial Narrow"/>
                <w:sz w:val="20"/>
                <w:szCs w:val="20"/>
              </w:rPr>
            </w:pPr>
            <w:r w:rsidRPr="005D05BB">
              <w:rPr>
                <w:rFonts w:ascii="Arial Narrow" w:hAnsi="Arial Narrow"/>
                <w:sz w:val="20"/>
                <w:szCs w:val="20"/>
              </w:rPr>
              <w:t>UC</w:t>
            </w:r>
          </w:p>
        </w:tc>
        <w:tc>
          <w:tcPr>
            <w:tcW w:w="4295" w:type="pct"/>
          </w:tcPr>
          <w:p w14:paraId="67BE06C9" w14:textId="77777777" w:rsidR="00E32002" w:rsidRPr="005D05BB" w:rsidRDefault="00E32002" w:rsidP="008F456C">
            <w:pPr>
              <w:rPr>
                <w:rFonts w:ascii="Arial Narrow" w:hAnsi="Arial Narrow"/>
                <w:sz w:val="20"/>
                <w:szCs w:val="20"/>
              </w:rPr>
            </w:pPr>
            <w:r w:rsidRPr="005D05BB">
              <w:rPr>
                <w:rFonts w:ascii="Arial Narrow" w:hAnsi="Arial Narrow"/>
                <w:sz w:val="20"/>
                <w:szCs w:val="20"/>
              </w:rPr>
              <w:t>“indicated for the treatment of moderately severe to severe active ulcerative colitis in patients who have had an inadequate response to conventional therapy.”</w:t>
            </w:r>
          </w:p>
        </w:tc>
      </w:tr>
    </w:tbl>
    <w:p w14:paraId="16E96D2D" w14:textId="77777777" w:rsidR="00E32002" w:rsidRPr="005D05BB" w:rsidRDefault="00E32002" w:rsidP="00E32002">
      <w:pPr>
        <w:rPr>
          <w:rFonts w:ascii="Arial Narrow" w:hAnsi="Arial Narrow"/>
          <w:sz w:val="18"/>
          <w:szCs w:val="18"/>
        </w:rPr>
      </w:pPr>
      <w:r w:rsidRPr="005D05BB">
        <w:rPr>
          <w:rFonts w:ascii="Arial Narrow" w:hAnsi="Arial Narrow"/>
          <w:sz w:val="18"/>
          <w:szCs w:val="18"/>
        </w:rPr>
        <w:t>Abbreviations: AS=ankylosing spondylitis; CD=Crohn’s disease; CPP=chronic plaque psoriasis; IFX=infliximab; PsA=psoriatic arthritis; RA=rheumatoid arthritis; RFCD=refractory fistulising Crohn’s disease;</w:t>
      </w:r>
    </w:p>
    <w:p w14:paraId="140E27C0" w14:textId="77777777" w:rsidR="00E32002" w:rsidRPr="005D05BB" w:rsidRDefault="00E32002" w:rsidP="00E32002">
      <w:pPr>
        <w:rPr>
          <w:rFonts w:ascii="Arial Narrow" w:hAnsi="Arial Narrow"/>
          <w:sz w:val="18"/>
          <w:szCs w:val="18"/>
        </w:rPr>
      </w:pPr>
      <w:r w:rsidRPr="005D05BB">
        <w:rPr>
          <w:rFonts w:ascii="Arial Narrow" w:hAnsi="Arial Narrow"/>
          <w:sz w:val="18"/>
          <w:szCs w:val="18"/>
        </w:rPr>
        <w:t>Source: Section 1.6.2, pp30-31 of the submission</w:t>
      </w:r>
    </w:p>
    <w:p w14:paraId="7E17AE0E" w14:textId="77777777" w:rsidR="00E32002" w:rsidRPr="005D05BB" w:rsidRDefault="00E32002" w:rsidP="00E32002">
      <w:pPr>
        <w:pStyle w:val="3-BodyText"/>
        <w:numPr>
          <w:ilvl w:val="0"/>
          <w:numId w:val="0"/>
        </w:numPr>
        <w:ind w:left="720"/>
      </w:pPr>
    </w:p>
    <w:p w14:paraId="6D7D5DC4" w14:textId="77777777" w:rsidR="00E32002" w:rsidRPr="005D05BB" w:rsidRDefault="00E32002" w:rsidP="00E32002">
      <w:pPr>
        <w:pStyle w:val="3-BodyText"/>
      </w:pPr>
      <w:r w:rsidRPr="005D05BB">
        <w:t>The</w:t>
      </w:r>
      <w:r w:rsidR="00462151" w:rsidRPr="005D05BB">
        <w:t xml:space="preserve"> CER </w:t>
      </w:r>
      <w:r w:rsidR="00831B22" w:rsidRPr="005D05BB">
        <w:t>recommended registration of IFX SC in RA, UC, and CD in adults (p276-277)</w:t>
      </w:r>
      <w:r w:rsidR="005D05BB">
        <w:t xml:space="preserve">. </w:t>
      </w:r>
      <w:r w:rsidR="00776A43" w:rsidRPr="005D05BB">
        <w:t>However, the</w:t>
      </w:r>
      <w:r w:rsidR="00462151" w:rsidRPr="005D05BB">
        <w:t xml:space="preserve"> PBAC noted that the</w:t>
      </w:r>
      <w:r w:rsidR="00776A43" w:rsidRPr="005D05BB">
        <w:t xml:space="preserve"> CER</w:t>
      </w:r>
      <w:r w:rsidRPr="005D05BB">
        <w:t xml:space="preserve"> did not recommend registration for AS, PsA and CPP</w:t>
      </w:r>
      <w:r w:rsidR="00462151" w:rsidRPr="005D05BB">
        <w:t xml:space="preserve"> (p277)</w:t>
      </w:r>
      <w:r w:rsidRPr="005D05BB">
        <w:t xml:space="preserve"> due to inadequate demonstration of safety, and raised concerns over:</w:t>
      </w:r>
    </w:p>
    <w:p w14:paraId="7D831A9D" w14:textId="77777777" w:rsidR="00E32002" w:rsidRPr="005D05BB" w:rsidRDefault="00E32002" w:rsidP="00D432E3">
      <w:pPr>
        <w:pStyle w:val="3-BodyText"/>
        <w:numPr>
          <w:ilvl w:val="3"/>
          <w:numId w:val="11"/>
        </w:numPr>
        <w:ind w:hanging="371"/>
      </w:pPr>
      <w:r w:rsidRPr="005D05BB">
        <w:t xml:space="preserve">extrapolating the safety data for IFX IV </w:t>
      </w:r>
      <w:r w:rsidR="000B0C55" w:rsidRPr="005D05BB">
        <w:t>5 mg/kg</w:t>
      </w:r>
      <w:r w:rsidRPr="005D05BB">
        <w:t xml:space="preserve"> in patients with AS, PsA and </w:t>
      </w:r>
      <w:r w:rsidR="00261190" w:rsidRPr="005D05BB">
        <w:t xml:space="preserve">CPP </w:t>
      </w:r>
      <w:r w:rsidRPr="005D05BB">
        <w:t>to IFX SC 12</w:t>
      </w:r>
      <w:r w:rsidR="000B0C55" w:rsidRPr="005D05BB">
        <w:t>0 mg</w:t>
      </w:r>
      <w:r w:rsidRPr="005D05BB">
        <w:t>, given that the safety of exposure to prolonged higher trough IFX concentrations in patients treated with SC 12</w:t>
      </w:r>
      <w:r w:rsidR="000B0C55" w:rsidRPr="005D05BB">
        <w:t>0 mg</w:t>
      </w:r>
      <w:r w:rsidRPr="005D05BB">
        <w:t xml:space="preserve"> compared to IV </w:t>
      </w:r>
      <w:r w:rsidR="000B0C55" w:rsidRPr="005D05BB">
        <w:t>5 mg/kg</w:t>
      </w:r>
      <w:r w:rsidR="00D95A59" w:rsidRPr="005D05BB">
        <w:t xml:space="preserve"> is unknown</w:t>
      </w:r>
      <w:r w:rsidRPr="005D05BB">
        <w:t xml:space="preserve">, and </w:t>
      </w:r>
    </w:p>
    <w:p w14:paraId="29A10753" w14:textId="77777777" w:rsidR="00E32002" w:rsidRPr="005D05BB" w:rsidRDefault="00E32002" w:rsidP="00D432E3">
      <w:pPr>
        <w:pStyle w:val="3-BodyText"/>
        <w:numPr>
          <w:ilvl w:val="3"/>
          <w:numId w:val="11"/>
        </w:numPr>
        <w:ind w:hanging="371"/>
      </w:pPr>
      <w:r w:rsidRPr="005D05BB">
        <w:t>the small number of patients in the two trials (of inflammatory bowel disease (IBD) and RA) treated with maintenance therapy IFX SC 12</w:t>
      </w:r>
      <w:r w:rsidR="000B0C55" w:rsidRPr="005D05BB">
        <w:t>0 mg</w:t>
      </w:r>
      <w:r w:rsidRPr="005D05BB">
        <w:t xml:space="preserve"> was not adequate to confidently extrapolate safety data from these trials to AS, PsA and CPP.</w:t>
      </w:r>
    </w:p>
    <w:p w14:paraId="21A2D299" w14:textId="77777777" w:rsidR="00462151" w:rsidRPr="005D05BB" w:rsidRDefault="00E32002" w:rsidP="00462151">
      <w:pPr>
        <w:pStyle w:val="3-BodyText"/>
        <w:numPr>
          <w:ilvl w:val="0"/>
          <w:numId w:val="0"/>
        </w:numPr>
        <w:ind w:left="720"/>
      </w:pPr>
      <w:r w:rsidRPr="005D05BB">
        <w:t xml:space="preserve">The </w:t>
      </w:r>
      <w:r w:rsidR="00462151" w:rsidRPr="005D05BB">
        <w:t>CER</w:t>
      </w:r>
      <w:r w:rsidRPr="005D05BB">
        <w:t xml:space="preserve"> also noted the uncertainties raised by the</w:t>
      </w:r>
      <w:r w:rsidR="00730D77" w:rsidRPr="005D05BB">
        <w:t xml:space="preserve"> European Medicines Agency</w:t>
      </w:r>
      <w:r w:rsidRPr="005D05BB">
        <w:t xml:space="preserve"> </w:t>
      </w:r>
      <w:r w:rsidR="00730D77" w:rsidRPr="005D05BB">
        <w:t>(</w:t>
      </w:r>
      <w:r w:rsidRPr="005D05BB">
        <w:t>EMA</w:t>
      </w:r>
      <w:r w:rsidR="00730D77" w:rsidRPr="005D05BB">
        <w:t>)</w:t>
      </w:r>
      <w:r w:rsidRPr="005D05BB">
        <w:t xml:space="preserve"> despite their positive recommendations of all the indications, and stated that the TGA was of the opinion “the uncertainties relating to the safety of </w:t>
      </w:r>
      <w:r w:rsidR="00377E25" w:rsidRPr="005D05BB">
        <w:t>Remsima</w:t>
      </w:r>
      <w:r w:rsidRPr="005D05BB">
        <w:t xml:space="preserve"> 120 mg SC for the treatment of As, PsA and Ps should be satisfactorily resolved in favour of the drug before it is recommended for approval rather than after it has been approved” (p278, TGA </w:t>
      </w:r>
      <w:r w:rsidR="00462151" w:rsidRPr="005D05BB">
        <w:t>CER</w:t>
      </w:r>
      <w:r w:rsidRPr="005D05BB">
        <w:t xml:space="preserve"> Round 2).</w:t>
      </w:r>
    </w:p>
    <w:p w14:paraId="7E75EA15" w14:textId="77777777" w:rsidR="00462151" w:rsidRPr="005D05BB" w:rsidRDefault="00462151" w:rsidP="00462151">
      <w:pPr>
        <w:pStyle w:val="3-BodyText"/>
      </w:pPr>
      <w:r w:rsidRPr="005D05BB">
        <w:t>The TGA Delegate’s Overview recommended registration of IFX SC for treatment of adult patients in RA, UC and CD based on the clinical evidence available</w:t>
      </w:r>
      <w:r w:rsidR="005D05BB">
        <w:t xml:space="preserve">. </w:t>
      </w:r>
      <w:r w:rsidRPr="005D05BB">
        <w:t xml:space="preserve">The Delegate </w:t>
      </w:r>
      <w:r w:rsidRPr="005D05BB">
        <w:lastRenderedPageBreak/>
        <w:t>was also inclined to extrapolate the efficacy and safety of Remsima to AS, PsA and CPP, but considered further independent expert advice from the ACM</w:t>
      </w:r>
      <w:r w:rsidR="005D05BB">
        <w:t xml:space="preserve">. </w:t>
      </w:r>
    </w:p>
    <w:p w14:paraId="0CA211CE" w14:textId="77777777" w:rsidR="00462151" w:rsidRPr="005D05BB" w:rsidRDefault="00462151" w:rsidP="00462151">
      <w:pPr>
        <w:pStyle w:val="3-BodyText"/>
      </w:pPr>
      <w:r w:rsidRPr="005D05BB">
        <w:rPr>
          <w:rFonts w:cstheme="minorHAnsi"/>
        </w:rPr>
        <w:t>The ACM advised that it is safe and allowable for extrapolation of infliximab SC indications to AS, PsA and CPP</w:t>
      </w:r>
      <w:r w:rsidR="00730D77" w:rsidRPr="005D05BB">
        <w:rPr>
          <w:rFonts w:cstheme="minorHAnsi"/>
        </w:rPr>
        <w:t xml:space="preserve"> (</w:t>
      </w:r>
      <w:r w:rsidR="00CA72A2" w:rsidRPr="005D05BB">
        <w:rPr>
          <w:rFonts w:cstheme="minorHAnsi"/>
        </w:rPr>
        <w:t>ACM Minutes on Item No. 2.02 infliximab</w:t>
      </w:r>
      <w:r w:rsidRPr="005D05BB">
        <w:rPr>
          <w:rFonts w:cstheme="minorHAnsi"/>
        </w:rPr>
        <w:t>)</w:t>
      </w:r>
      <w:r w:rsidR="005D05BB">
        <w:rPr>
          <w:rFonts w:cstheme="minorHAnsi"/>
        </w:rPr>
        <w:t xml:space="preserve">. </w:t>
      </w:r>
      <w:r w:rsidRPr="005D05BB">
        <w:rPr>
          <w:rFonts w:cstheme="minorHAnsi"/>
        </w:rPr>
        <w:t>The ACM expressed their support for the availability of a SC formulation, and considered it to have an overall positive benefit-risk profile for all of the proposed indications.</w:t>
      </w:r>
    </w:p>
    <w:p w14:paraId="4091CE26" w14:textId="77777777" w:rsidR="000222A2" w:rsidRPr="005D05BB" w:rsidRDefault="000222A2" w:rsidP="00E32002">
      <w:pPr>
        <w:pStyle w:val="3-BodyText"/>
        <w:numPr>
          <w:ilvl w:val="0"/>
          <w:numId w:val="0"/>
        </w:numPr>
        <w:ind w:left="709"/>
      </w:pPr>
      <w:r w:rsidRPr="005D05BB">
        <w:rPr>
          <w:i/>
        </w:rPr>
        <w:t>For more detail on PBAC’s view, see section 7 PBAC outcome.</w:t>
      </w:r>
    </w:p>
    <w:p w14:paraId="349E5821" w14:textId="77777777" w:rsidR="00E32002" w:rsidRPr="005D05BB" w:rsidRDefault="00E32002" w:rsidP="00E32002">
      <w:pPr>
        <w:pStyle w:val="2-SectionHeading"/>
        <w:numPr>
          <w:ilvl w:val="0"/>
          <w:numId w:val="1"/>
        </w:numPr>
      </w:pPr>
      <w:bookmarkStart w:id="7" w:name="_Toc50709839"/>
      <w:r w:rsidRPr="005D05BB">
        <w:t>Requested listing</w:t>
      </w:r>
      <w:bookmarkEnd w:id="7"/>
    </w:p>
    <w:p w14:paraId="39A7B90A" w14:textId="77777777" w:rsidR="009D3065" w:rsidRPr="005D05BB" w:rsidRDefault="003C7997" w:rsidP="009D3065">
      <w:pPr>
        <w:pStyle w:val="3-BodyText"/>
      </w:pPr>
      <w:r w:rsidRPr="005D05BB">
        <w:t>The</w:t>
      </w:r>
      <w:r w:rsidR="001C4022" w:rsidRPr="005D05BB">
        <w:t xml:space="preserve"> requested</w:t>
      </w:r>
      <w:r w:rsidRPr="005D05BB">
        <w:t xml:space="preserve"> abridged listing</w:t>
      </w:r>
      <w:r w:rsidR="000A117B" w:rsidRPr="005D05BB">
        <w:t xml:space="preserve"> for IFX SC</w:t>
      </w:r>
      <w:r w:rsidRPr="005D05BB">
        <w:t xml:space="preserve"> is provided</w:t>
      </w:r>
      <w:r w:rsidRPr="005D05BB">
        <w:rPr>
          <w:rFonts w:cstheme="minorHAnsi"/>
        </w:rPr>
        <w:t xml:space="preserve"> below. </w:t>
      </w:r>
      <w:r w:rsidRPr="005D05BB">
        <w:t>Suggested additions are in italics and deletions are in strikethrough</w:t>
      </w:r>
      <w:r w:rsidRPr="005D05BB">
        <w:rPr>
          <w:i/>
        </w:rPr>
        <w:t xml:space="preserve">. </w:t>
      </w:r>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925"/>
        <w:gridCol w:w="157"/>
        <w:gridCol w:w="787"/>
        <w:gridCol w:w="787"/>
        <w:gridCol w:w="787"/>
        <w:gridCol w:w="971"/>
        <w:gridCol w:w="971"/>
        <w:gridCol w:w="977"/>
        <w:gridCol w:w="1665"/>
      </w:tblGrid>
      <w:tr w:rsidR="00E32002" w:rsidRPr="005D05BB" w14:paraId="3C1E595A" w14:textId="77777777" w:rsidTr="00172785">
        <w:trPr>
          <w:trHeight w:val="870"/>
        </w:trPr>
        <w:tc>
          <w:tcPr>
            <w:tcW w:w="1153" w:type="pct"/>
            <w:gridSpan w:val="2"/>
            <w:tcBorders>
              <w:bottom w:val="single" w:sz="4" w:space="0" w:color="auto"/>
            </w:tcBorders>
            <w:vAlign w:val="center"/>
          </w:tcPr>
          <w:p w14:paraId="7272804F" w14:textId="77777777" w:rsidR="00E32002" w:rsidRPr="005D05BB" w:rsidRDefault="00E32002" w:rsidP="008F456C">
            <w:pPr>
              <w:pStyle w:val="Tabletext"/>
              <w:keepNext/>
              <w:rPr>
                <w:b/>
                <w:bCs/>
              </w:rPr>
            </w:pPr>
            <w:r w:rsidRPr="005D05BB">
              <w:rPr>
                <w:b/>
              </w:rPr>
              <w:t>Name, restriction, manner of administration, form</w:t>
            </w:r>
          </w:p>
        </w:tc>
        <w:tc>
          <w:tcPr>
            <w:tcW w:w="436" w:type="pct"/>
            <w:tcBorders>
              <w:bottom w:val="single" w:sz="4" w:space="0" w:color="auto"/>
            </w:tcBorders>
            <w:vAlign w:val="center"/>
          </w:tcPr>
          <w:p w14:paraId="2DB14213" w14:textId="77777777" w:rsidR="00E32002" w:rsidRPr="005D05BB" w:rsidRDefault="00E32002" w:rsidP="008F456C">
            <w:pPr>
              <w:pStyle w:val="Tabletext"/>
              <w:keepNext/>
              <w:jc w:val="center"/>
              <w:rPr>
                <w:b/>
                <w:bCs/>
              </w:rPr>
            </w:pPr>
            <w:r w:rsidRPr="005D05BB">
              <w:rPr>
                <w:b/>
              </w:rPr>
              <w:t>Max. qty (packs)</w:t>
            </w:r>
          </w:p>
        </w:tc>
        <w:tc>
          <w:tcPr>
            <w:tcW w:w="436" w:type="pct"/>
            <w:tcBorders>
              <w:bottom w:val="single" w:sz="4" w:space="0" w:color="auto"/>
            </w:tcBorders>
            <w:vAlign w:val="center"/>
          </w:tcPr>
          <w:p w14:paraId="0440919F" w14:textId="77777777" w:rsidR="00E32002" w:rsidRPr="005D05BB" w:rsidRDefault="00E32002" w:rsidP="008F456C">
            <w:pPr>
              <w:pStyle w:val="Tabletext"/>
              <w:keepNext/>
              <w:jc w:val="center"/>
              <w:rPr>
                <w:b/>
                <w:bCs/>
              </w:rPr>
            </w:pPr>
            <w:r w:rsidRPr="005D05BB">
              <w:rPr>
                <w:b/>
              </w:rPr>
              <w:t>Max. qty (units)</w:t>
            </w:r>
          </w:p>
        </w:tc>
        <w:tc>
          <w:tcPr>
            <w:tcW w:w="436" w:type="pct"/>
            <w:tcBorders>
              <w:bottom w:val="single" w:sz="4" w:space="0" w:color="auto"/>
            </w:tcBorders>
            <w:vAlign w:val="center"/>
          </w:tcPr>
          <w:p w14:paraId="3C1F3583" w14:textId="77777777" w:rsidR="00E32002" w:rsidRPr="005D05BB" w:rsidRDefault="00E32002" w:rsidP="008F456C">
            <w:pPr>
              <w:pStyle w:val="Tabletext"/>
              <w:keepNext/>
              <w:jc w:val="center"/>
              <w:rPr>
                <w:b/>
                <w:bCs/>
              </w:rPr>
            </w:pPr>
            <w:r w:rsidRPr="005D05BB">
              <w:rPr>
                <w:b/>
              </w:rPr>
              <w:t>No. of repeats</w:t>
            </w:r>
          </w:p>
        </w:tc>
        <w:tc>
          <w:tcPr>
            <w:tcW w:w="538" w:type="pct"/>
            <w:tcBorders>
              <w:bottom w:val="single" w:sz="4" w:space="0" w:color="auto"/>
            </w:tcBorders>
            <w:vAlign w:val="center"/>
          </w:tcPr>
          <w:p w14:paraId="1454B7A3" w14:textId="77777777" w:rsidR="00E32002" w:rsidRPr="005D05BB" w:rsidRDefault="00E32002" w:rsidP="008F456C">
            <w:pPr>
              <w:pStyle w:val="Tabletext"/>
              <w:keepNext/>
              <w:jc w:val="center"/>
              <w:rPr>
                <w:b/>
              </w:rPr>
            </w:pPr>
            <w:r w:rsidRPr="005D05BB">
              <w:rPr>
                <w:b/>
              </w:rPr>
              <w:t>DPMQ:</w:t>
            </w:r>
          </w:p>
          <w:p w14:paraId="1115A1EA" w14:textId="77777777" w:rsidR="00E32002" w:rsidRPr="005D05BB" w:rsidRDefault="00E32002" w:rsidP="008F456C">
            <w:pPr>
              <w:pStyle w:val="Tabletext"/>
              <w:keepNext/>
              <w:jc w:val="center"/>
              <w:rPr>
                <w:b/>
                <w:bCs/>
              </w:rPr>
            </w:pPr>
            <w:r w:rsidRPr="005D05BB">
              <w:rPr>
                <w:b/>
                <w:bCs/>
              </w:rPr>
              <w:t>Section 85</w:t>
            </w:r>
          </w:p>
        </w:tc>
        <w:tc>
          <w:tcPr>
            <w:tcW w:w="538" w:type="pct"/>
            <w:tcBorders>
              <w:bottom w:val="single" w:sz="4" w:space="0" w:color="auto"/>
            </w:tcBorders>
            <w:vAlign w:val="center"/>
          </w:tcPr>
          <w:p w14:paraId="05F13C3E" w14:textId="77777777" w:rsidR="00E32002" w:rsidRPr="005D05BB" w:rsidRDefault="00E32002" w:rsidP="008F456C">
            <w:pPr>
              <w:pStyle w:val="Tabletext"/>
              <w:keepNext/>
              <w:jc w:val="center"/>
              <w:rPr>
                <w:b/>
              </w:rPr>
            </w:pPr>
            <w:r w:rsidRPr="005D05BB">
              <w:rPr>
                <w:b/>
              </w:rPr>
              <w:t>DPMQ:</w:t>
            </w:r>
          </w:p>
          <w:p w14:paraId="12A0CCC6" w14:textId="77777777" w:rsidR="00E32002" w:rsidRPr="005D05BB" w:rsidRDefault="00E32002" w:rsidP="008F456C">
            <w:pPr>
              <w:pStyle w:val="Tabletext"/>
              <w:keepNext/>
              <w:jc w:val="center"/>
              <w:rPr>
                <w:b/>
              </w:rPr>
            </w:pPr>
            <w:r w:rsidRPr="005D05BB">
              <w:rPr>
                <w:b/>
                <w:bCs/>
              </w:rPr>
              <w:t>Section 100 (Public)</w:t>
            </w:r>
          </w:p>
        </w:tc>
        <w:tc>
          <w:tcPr>
            <w:tcW w:w="541" w:type="pct"/>
            <w:tcBorders>
              <w:bottom w:val="single" w:sz="4" w:space="0" w:color="auto"/>
            </w:tcBorders>
            <w:vAlign w:val="center"/>
          </w:tcPr>
          <w:p w14:paraId="3DDC8EE3" w14:textId="77777777" w:rsidR="00E32002" w:rsidRPr="005D05BB" w:rsidRDefault="00E32002" w:rsidP="008F456C">
            <w:pPr>
              <w:pStyle w:val="Tabletext"/>
              <w:keepNext/>
              <w:jc w:val="center"/>
              <w:rPr>
                <w:b/>
              </w:rPr>
            </w:pPr>
            <w:r w:rsidRPr="005D05BB">
              <w:rPr>
                <w:b/>
              </w:rPr>
              <w:t>DPMQ:</w:t>
            </w:r>
          </w:p>
          <w:p w14:paraId="516274D4" w14:textId="77777777" w:rsidR="00E32002" w:rsidRPr="005D05BB" w:rsidRDefault="00E32002" w:rsidP="008F456C">
            <w:pPr>
              <w:pStyle w:val="Tabletext"/>
              <w:keepNext/>
              <w:jc w:val="center"/>
              <w:rPr>
                <w:b/>
              </w:rPr>
            </w:pPr>
            <w:r w:rsidRPr="005D05BB">
              <w:rPr>
                <w:b/>
                <w:bCs/>
              </w:rPr>
              <w:t>Section 100 (Private)</w:t>
            </w:r>
          </w:p>
        </w:tc>
        <w:tc>
          <w:tcPr>
            <w:tcW w:w="922" w:type="pct"/>
            <w:tcBorders>
              <w:bottom w:val="single" w:sz="4" w:space="0" w:color="auto"/>
            </w:tcBorders>
            <w:vAlign w:val="center"/>
          </w:tcPr>
          <w:p w14:paraId="4928C51A" w14:textId="77777777" w:rsidR="00E32002" w:rsidRPr="005D05BB" w:rsidRDefault="00E32002" w:rsidP="008F456C">
            <w:pPr>
              <w:pStyle w:val="Tabletext"/>
              <w:keepNext/>
              <w:jc w:val="center"/>
              <w:rPr>
                <w:b/>
                <w:bCs/>
              </w:rPr>
            </w:pPr>
            <w:r w:rsidRPr="005D05BB">
              <w:rPr>
                <w:b/>
              </w:rPr>
              <w:t>Proprietary name and manufacturer</w:t>
            </w:r>
          </w:p>
        </w:tc>
      </w:tr>
      <w:tr w:rsidR="00E32002" w:rsidRPr="005D05BB" w14:paraId="0F0CC4B0" w14:textId="77777777" w:rsidTr="00172785">
        <w:trPr>
          <w:trHeight w:val="397"/>
        </w:trPr>
        <w:tc>
          <w:tcPr>
            <w:tcW w:w="4078" w:type="pct"/>
            <w:gridSpan w:val="8"/>
            <w:tcBorders>
              <w:bottom w:val="nil"/>
            </w:tcBorders>
            <w:vAlign w:val="center"/>
          </w:tcPr>
          <w:p w14:paraId="7356A28A" w14:textId="77777777" w:rsidR="00E32002" w:rsidRPr="005D05BB" w:rsidRDefault="00E32002" w:rsidP="008F456C">
            <w:pPr>
              <w:pStyle w:val="Tabletext"/>
              <w:keepNext/>
              <w:rPr>
                <w:b/>
                <w:bCs/>
              </w:rPr>
            </w:pPr>
            <w:r w:rsidRPr="005D05BB">
              <w:rPr>
                <w:b/>
                <w:bCs/>
              </w:rPr>
              <w:t>Initial Treatment 1, 2 and 3, Balance of Supply</w:t>
            </w:r>
          </w:p>
          <w:p w14:paraId="5DA687F6" w14:textId="77777777" w:rsidR="00E32002" w:rsidRPr="005D05BB" w:rsidRDefault="00E32002" w:rsidP="008F456C">
            <w:pPr>
              <w:pStyle w:val="Tabletext"/>
              <w:keepNext/>
            </w:pPr>
            <w:r w:rsidRPr="005D05BB">
              <w:rPr>
                <w:b/>
                <w:bCs/>
              </w:rPr>
              <w:t>Infliximab</w:t>
            </w:r>
          </w:p>
        </w:tc>
        <w:tc>
          <w:tcPr>
            <w:tcW w:w="922" w:type="pct"/>
            <w:tcBorders>
              <w:bottom w:val="nil"/>
            </w:tcBorders>
            <w:vAlign w:val="center"/>
          </w:tcPr>
          <w:p w14:paraId="58BABDB6" w14:textId="77777777" w:rsidR="00E32002" w:rsidRPr="005D05BB" w:rsidRDefault="00E32002" w:rsidP="008F456C">
            <w:pPr>
              <w:pStyle w:val="Tabletext"/>
              <w:keepNext/>
              <w:jc w:val="center"/>
            </w:pPr>
          </w:p>
        </w:tc>
      </w:tr>
      <w:tr w:rsidR="00E32002" w:rsidRPr="005D05BB" w14:paraId="03408C24" w14:textId="77777777" w:rsidTr="00172785">
        <w:trPr>
          <w:trHeight w:val="70"/>
        </w:trPr>
        <w:tc>
          <w:tcPr>
            <w:tcW w:w="1153" w:type="pct"/>
            <w:gridSpan w:val="2"/>
            <w:tcBorders>
              <w:top w:val="nil"/>
              <w:bottom w:val="nil"/>
            </w:tcBorders>
            <w:vAlign w:val="center"/>
          </w:tcPr>
          <w:p w14:paraId="77E2580B" w14:textId="77777777" w:rsidR="00E32002" w:rsidRPr="005D05BB" w:rsidRDefault="00E32002" w:rsidP="008F456C">
            <w:pPr>
              <w:pStyle w:val="Tabletext"/>
              <w:keepNext/>
              <w:rPr>
                <w:bCs/>
              </w:rPr>
            </w:pPr>
            <w:r w:rsidRPr="005D05BB">
              <w:rPr>
                <w:bCs/>
              </w:rPr>
              <w:t>12</w:t>
            </w:r>
            <w:r w:rsidR="000B0C55" w:rsidRPr="005D05BB">
              <w:rPr>
                <w:bCs/>
              </w:rPr>
              <w:t>0 mg</w:t>
            </w:r>
            <w:r w:rsidRPr="005D05BB">
              <w:rPr>
                <w:bCs/>
              </w:rPr>
              <w:t xml:space="preserve"> pre-filled syringe </w:t>
            </w:r>
          </w:p>
        </w:tc>
        <w:tc>
          <w:tcPr>
            <w:tcW w:w="436" w:type="pct"/>
            <w:tcBorders>
              <w:top w:val="nil"/>
              <w:bottom w:val="nil"/>
            </w:tcBorders>
            <w:vAlign w:val="center"/>
          </w:tcPr>
          <w:p w14:paraId="4158A278" w14:textId="77777777" w:rsidR="00E32002" w:rsidRPr="005D05BB" w:rsidRDefault="00E32002" w:rsidP="008F456C">
            <w:pPr>
              <w:pStyle w:val="Tabletext"/>
              <w:keepNext/>
              <w:jc w:val="center"/>
            </w:pPr>
            <w:r w:rsidRPr="005D05BB">
              <w:t>2</w:t>
            </w:r>
          </w:p>
        </w:tc>
        <w:tc>
          <w:tcPr>
            <w:tcW w:w="436" w:type="pct"/>
            <w:tcBorders>
              <w:top w:val="nil"/>
              <w:bottom w:val="nil"/>
            </w:tcBorders>
            <w:vAlign w:val="center"/>
          </w:tcPr>
          <w:p w14:paraId="005DB4D5" w14:textId="77777777" w:rsidR="00E32002" w:rsidRPr="005D05BB" w:rsidRDefault="00E32002" w:rsidP="008F456C">
            <w:pPr>
              <w:pStyle w:val="Tabletext"/>
              <w:keepNext/>
              <w:jc w:val="center"/>
            </w:pPr>
            <w:r w:rsidRPr="005D05BB">
              <w:t>2</w:t>
            </w:r>
          </w:p>
        </w:tc>
        <w:tc>
          <w:tcPr>
            <w:tcW w:w="436" w:type="pct"/>
            <w:tcBorders>
              <w:top w:val="nil"/>
              <w:bottom w:val="nil"/>
            </w:tcBorders>
            <w:vAlign w:val="center"/>
          </w:tcPr>
          <w:p w14:paraId="25EEFDB0" w14:textId="77777777" w:rsidR="00E32002" w:rsidRPr="005D05BB" w:rsidRDefault="00E32002" w:rsidP="008F456C">
            <w:pPr>
              <w:pStyle w:val="Tabletext"/>
              <w:keepNext/>
              <w:jc w:val="center"/>
            </w:pPr>
            <w:r w:rsidRPr="005D05BB">
              <w:t>2* or 3</w:t>
            </w:r>
            <w:r w:rsidRPr="005D05BB">
              <w:rPr>
                <w:vertAlign w:val="superscript"/>
              </w:rPr>
              <w:t>#</w:t>
            </w:r>
          </w:p>
        </w:tc>
        <w:tc>
          <w:tcPr>
            <w:tcW w:w="538" w:type="pct"/>
            <w:tcBorders>
              <w:top w:val="nil"/>
              <w:bottom w:val="nil"/>
            </w:tcBorders>
            <w:vAlign w:val="center"/>
          </w:tcPr>
          <w:p w14:paraId="5C870627" w14:textId="77777777" w:rsidR="00E32002" w:rsidRPr="00FB13D0" w:rsidRDefault="00E32002" w:rsidP="008F456C">
            <w:pPr>
              <w:pStyle w:val="Tabletext"/>
              <w:keepNext/>
              <w:jc w:val="center"/>
              <w:rPr>
                <w:iCs/>
              </w:rPr>
            </w:pPr>
            <w:r w:rsidRPr="00FB13D0">
              <w:rPr>
                <w:iCs/>
              </w:rPr>
              <w:t>$</w:t>
            </w:r>
            <w:r w:rsidR="00921FA1">
              <w:rPr>
                <w:iCs/>
                <w:noProof/>
                <w:color w:val="000000"/>
                <w:highlight w:val="black"/>
              </w:rPr>
              <w:t>''''''''''''''''''</w:t>
            </w:r>
            <w:r w:rsidRPr="00FB13D0">
              <w:rPr>
                <w:iCs/>
                <w:vertAlign w:val="superscript"/>
              </w:rPr>
              <w:t>+</w:t>
            </w:r>
          </w:p>
        </w:tc>
        <w:tc>
          <w:tcPr>
            <w:tcW w:w="538" w:type="pct"/>
            <w:tcBorders>
              <w:top w:val="nil"/>
              <w:bottom w:val="nil"/>
            </w:tcBorders>
            <w:vAlign w:val="center"/>
          </w:tcPr>
          <w:p w14:paraId="4303FDC1"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541" w:type="pct"/>
            <w:tcBorders>
              <w:top w:val="nil"/>
              <w:bottom w:val="nil"/>
            </w:tcBorders>
            <w:vAlign w:val="center"/>
          </w:tcPr>
          <w:p w14:paraId="0B2AAB0F"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922" w:type="pct"/>
            <w:vMerge w:val="restart"/>
            <w:tcBorders>
              <w:top w:val="nil"/>
            </w:tcBorders>
            <w:vAlign w:val="center"/>
          </w:tcPr>
          <w:p w14:paraId="7EF11F09" w14:textId="77777777" w:rsidR="00E32002" w:rsidRPr="005D05BB" w:rsidRDefault="00E32002" w:rsidP="008F456C">
            <w:pPr>
              <w:pStyle w:val="Tabletext"/>
              <w:keepNext/>
              <w:jc w:val="center"/>
            </w:pPr>
            <w:r w:rsidRPr="005D05BB">
              <w:t>Remsima</w:t>
            </w:r>
            <w:r w:rsidR="00AE455A" w:rsidRPr="005D05BB">
              <w:t>®</w:t>
            </w:r>
            <w:r w:rsidRPr="005D05BB">
              <w:t>, Celltrion Healthcare Pty Ltd</w:t>
            </w:r>
          </w:p>
        </w:tc>
      </w:tr>
      <w:tr w:rsidR="00E32002" w:rsidRPr="005D05BB" w14:paraId="4F98C955" w14:textId="77777777" w:rsidTr="00172785">
        <w:trPr>
          <w:trHeight w:val="213"/>
        </w:trPr>
        <w:tc>
          <w:tcPr>
            <w:tcW w:w="1153" w:type="pct"/>
            <w:gridSpan w:val="2"/>
            <w:tcBorders>
              <w:top w:val="nil"/>
              <w:bottom w:val="single" w:sz="4" w:space="0" w:color="auto"/>
            </w:tcBorders>
            <w:vAlign w:val="center"/>
          </w:tcPr>
          <w:p w14:paraId="5E4CFBE5" w14:textId="77777777" w:rsidR="00E32002" w:rsidRPr="005D05BB" w:rsidRDefault="00E32002" w:rsidP="008F456C">
            <w:pPr>
              <w:pStyle w:val="Tabletext"/>
              <w:keepNext/>
              <w:rPr>
                <w:bCs/>
              </w:rPr>
            </w:pPr>
            <w:r w:rsidRPr="005D05BB">
              <w:rPr>
                <w:bCs/>
              </w:rPr>
              <w:t>12</w:t>
            </w:r>
            <w:r w:rsidR="000B0C55" w:rsidRPr="005D05BB">
              <w:rPr>
                <w:bCs/>
              </w:rPr>
              <w:t>0 mg</w:t>
            </w:r>
            <w:r w:rsidRPr="005D05BB">
              <w:rPr>
                <w:bCs/>
              </w:rPr>
              <w:t xml:space="preserve"> pre-filled pen</w:t>
            </w:r>
          </w:p>
        </w:tc>
        <w:tc>
          <w:tcPr>
            <w:tcW w:w="436" w:type="pct"/>
            <w:tcBorders>
              <w:top w:val="nil"/>
              <w:bottom w:val="single" w:sz="4" w:space="0" w:color="auto"/>
            </w:tcBorders>
            <w:vAlign w:val="center"/>
          </w:tcPr>
          <w:p w14:paraId="4A687096" w14:textId="77777777" w:rsidR="00E32002" w:rsidRPr="005D05BB" w:rsidRDefault="00E32002" w:rsidP="008F456C">
            <w:pPr>
              <w:pStyle w:val="Tabletext"/>
              <w:keepNext/>
              <w:jc w:val="center"/>
            </w:pPr>
            <w:r w:rsidRPr="005D05BB">
              <w:t>2</w:t>
            </w:r>
          </w:p>
        </w:tc>
        <w:tc>
          <w:tcPr>
            <w:tcW w:w="436" w:type="pct"/>
            <w:tcBorders>
              <w:top w:val="nil"/>
              <w:bottom w:val="single" w:sz="4" w:space="0" w:color="auto"/>
            </w:tcBorders>
            <w:vAlign w:val="center"/>
          </w:tcPr>
          <w:p w14:paraId="23B406A8" w14:textId="77777777" w:rsidR="00E32002" w:rsidRPr="005D05BB" w:rsidRDefault="00E32002" w:rsidP="008F456C">
            <w:pPr>
              <w:pStyle w:val="Tabletext"/>
              <w:keepNext/>
              <w:jc w:val="center"/>
            </w:pPr>
            <w:r w:rsidRPr="005D05BB">
              <w:t>2</w:t>
            </w:r>
          </w:p>
        </w:tc>
        <w:tc>
          <w:tcPr>
            <w:tcW w:w="436" w:type="pct"/>
            <w:tcBorders>
              <w:top w:val="nil"/>
              <w:bottom w:val="single" w:sz="4" w:space="0" w:color="auto"/>
            </w:tcBorders>
            <w:vAlign w:val="center"/>
          </w:tcPr>
          <w:p w14:paraId="4C701E8B" w14:textId="77777777" w:rsidR="00E32002" w:rsidRPr="005D05BB" w:rsidRDefault="00E32002" w:rsidP="008F456C">
            <w:pPr>
              <w:pStyle w:val="Tabletext"/>
              <w:keepNext/>
              <w:jc w:val="center"/>
            </w:pPr>
            <w:r w:rsidRPr="005D05BB">
              <w:t>2* or 3</w:t>
            </w:r>
            <w:r w:rsidRPr="005D05BB">
              <w:rPr>
                <w:vertAlign w:val="superscript"/>
              </w:rPr>
              <w:t>#</w:t>
            </w:r>
          </w:p>
        </w:tc>
        <w:tc>
          <w:tcPr>
            <w:tcW w:w="538" w:type="pct"/>
            <w:tcBorders>
              <w:top w:val="nil"/>
              <w:bottom w:val="single" w:sz="4" w:space="0" w:color="auto"/>
            </w:tcBorders>
            <w:vAlign w:val="center"/>
          </w:tcPr>
          <w:p w14:paraId="0450873A" w14:textId="77777777" w:rsidR="00E32002" w:rsidRPr="00FB13D0" w:rsidRDefault="00E32002" w:rsidP="008F456C">
            <w:pPr>
              <w:pStyle w:val="Tabletext"/>
              <w:keepNext/>
              <w:jc w:val="center"/>
              <w:rPr>
                <w:iCs/>
              </w:rPr>
            </w:pPr>
            <w:r w:rsidRPr="00FB13D0">
              <w:rPr>
                <w:iCs/>
              </w:rPr>
              <w:t>$</w:t>
            </w:r>
            <w:r w:rsidR="00921FA1">
              <w:rPr>
                <w:iCs/>
                <w:noProof/>
                <w:color w:val="000000"/>
                <w:highlight w:val="black"/>
              </w:rPr>
              <w:t>''''''''''''''''''</w:t>
            </w:r>
            <w:r w:rsidRPr="00FB13D0">
              <w:rPr>
                <w:iCs/>
                <w:vertAlign w:val="superscript"/>
              </w:rPr>
              <w:t>+</w:t>
            </w:r>
          </w:p>
        </w:tc>
        <w:tc>
          <w:tcPr>
            <w:tcW w:w="538" w:type="pct"/>
            <w:tcBorders>
              <w:top w:val="nil"/>
              <w:bottom w:val="single" w:sz="4" w:space="0" w:color="auto"/>
            </w:tcBorders>
            <w:vAlign w:val="center"/>
          </w:tcPr>
          <w:p w14:paraId="20606F8C"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541" w:type="pct"/>
            <w:tcBorders>
              <w:top w:val="nil"/>
              <w:bottom w:val="single" w:sz="4" w:space="0" w:color="auto"/>
            </w:tcBorders>
            <w:vAlign w:val="center"/>
          </w:tcPr>
          <w:p w14:paraId="2EA41F88"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922" w:type="pct"/>
            <w:vMerge/>
            <w:tcBorders>
              <w:bottom w:val="single" w:sz="4" w:space="0" w:color="auto"/>
            </w:tcBorders>
            <w:vAlign w:val="center"/>
          </w:tcPr>
          <w:p w14:paraId="695A7DCB" w14:textId="77777777" w:rsidR="00E32002" w:rsidRPr="005D05BB" w:rsidRDefault="00E32002" w:rsidP="008F456C">
            <w:pPr>
              <w:pStyle w:val="Tabletext"/>
              <w:keepNext/>
              <w:jc w:val="center"/>
            </w:pPr>
          </w:p>
        </w:tc>
      </w:tr>
      <w:tr w:rsidR="00E32002" w:rsidRPr="005D05BB" w14:paraId="339BACEB" w14:textId="77777777" w:rsidTr="00172785">
        <w:trPr>
          <w:trHeight w:val="213"/>
        </w:trPr>
        <w:tc>
          <w:tcPr>
            <w:tcW w:w="5000" w:type="pct"/>
            <w:gridSpan w:val="9"/>
            <w:tcBorders>
              <w:bottom w:val="nil"/>
            </w:tcBorders>
            <w:vAlign w:val="center"/>
          </w:tcPr>
          <w:p w14:paraId="3370B3FF" w14:textId="77777777" w:rsidR="00E32002" w:rsidRPr="00FB13D0" w:rsidRDefault="00E32002" w:rsidP="008F456C">
            <w:pPr>
              <w:pStyle w:val="Tabletext"/>
              <w:keepNext/>
              <w:rPr>
                <w:b/>
                <w:bCs/>
              </w:rPr>
            </w:pPr>
            <w:r w:rsidRPr="00FB13D0">
              <w:rPr>
                <w:b/>
                <w:bCs/>
              </w:rPr>
              <w:t>Continuing Treatment^, Balance of Supply</w:t>
            </w:r>
          </w:p>
          <w:p w14:paraId="05B6099E" w14:textId="77777777" w:rsidR="00E32002" w:rsidRPr="00FB13D0" w:rsidRDefault="00E32002" w:rsidP="008F456C">
            <w:pPr>
              <w:pStyle w:val="Tabletext"/>
              <w:keepNext/>
            </w:pPr>
            <w:r w:rsidRPr="00FB13D0">
              <w:rPr>
                <w:b/>
                <w:bCs/>
              </w:rPr>
              <w:t>Infliximab</w:t>
            </w:r>
          </w:p>
        </w:tc>
      </w:tr>
      <w:tr w:rsidR="00E32002" w:rsidRPr="005D05BB" w14:paraId="5D517818" w14:textId="77777777" w:rsidTr="00172785">
        <w:trPr>
          <w:trHeight w:val="213"/>
        </w:trPr>
        <w:tc>
          <w:tcPr>
            <w:tcW w:w="1153" w:type="pct"/>
            <w:gridSpan w:val="2"/>
            <w:tcBorders>
              <w:top w:val="nil"/>
              <w:bottom w:val="nil"/>
            </w:tcBorders>
            <w:vAlign w:val="center"/>
          </w:tcPr>
          <w:p w14:paraId="764587E3" w14:textId="77777777" w:rsidR="00E32002" w:rsidRPr="005D05BB" w:rsidRDefault="00E32002" w:rsidP="008F456C">
            <w:pPr>
              <w:pStyle w:val="Tabletext"/>
              <w:keepNext/>
              <w:rPr>
                <w:bCs/>
              </w:rPr>
            </w:pPr>
            <w:r w:rsidRPr="005D05BB">
              <w:rPr>
                <w:bCs/>
              </w:rPr>
              <w:t>12</w:t>
            </w:r>
            <w:r w:rsidR="000B0C55" w:rsidRPr="005D05BB">
              <w:rPr>
                <w:bCs/>
              </w:rPr>
              <w:t>0 mg</w:t>
            </w:r>
            <w:r w:rsidRPr="005D05BB">
              <w:rPr>
                <w:bCs/>
              </w:rPr>
              <w:t xml:space="preserve"> pre-filled syringe </w:t>
            </w:r>
          </w:p>
        </w:tc>
        <w:tc>
          <w:tcPr>
            <w:tcW w:w="436" w:type="pct"/>
            <w:tcBorders>
              <w:top w:val="nil"/>
              <w:bottom w:val="nil"/>
            </w:tcBorders>
            <w:vAlign w:val="center"/>
          </w:tcPr>
          <w:p w14:paraId="647B0B78" w14:textId="77777777" w:rsidR="00E32002" w:rsidRPr="005D05BB" w:rsidRDefault="00E32002" w:rsidP="008F456C">
            <w:pPr>
              <w:pStyle w:val="Tabletext"/>
              <w:keepNext/>
              <w:jc w:val="center"/>
            </w:pPr>
            <w:r w:rsidRPr="005D05BB">
              <w:t>2</w:t>
            </w:r>
          </w:p>
        </w:tc>
        <w:tc>
          <w:tcPr>
            <w:tcW w:w="436" w:type="pct"/>
            <w:tcBorders>
              <w:top w:val="nil"/>
              <w:bottom w:val="nil"/>
            </w:tcBorders>
            <w:vAlign w:val="center"/>
          </w:tcPr>
          <w:p w14:paraId="5F73EC1C" w14:textId="77777777" w:rsidR="00E32002" w:rsidRPr="005D05BB" w:rsidRDefault="00E32002" w:rsidP="008F456C">
            <w:pPr>
              <w:pStyle w:val="Tabletext"/>
              <w:keepNext/>
              <w:jc w:val="center"/>
            </w:pPr>
            <w:r w:rsidRPr="005D05BB">
              <w:t>2</w:t>
            </w:r>
          </w:p>
        </w:tc>
        <w:tc>
          <w:tcPr>
            <w:tcW w:w="436" w:type="pct"/>
            <w:tcBorders>
              <w:top w:val="nil"/>
              <w:bottom w:val="nil"/>
            </w:tcBorders>
            <w:vAlign w:val="center"/>
          </w:tcPr>
          <w:p w14:paraId="7D35CF20" w14:textId="77777777" w:rsidR="00E32002" w:rsidRPr="005D05BB" w:rsidRDefault="00E32002" w:rsidP="008F456C">
            <w:pPr>
              <w:pStyle w:val="Tabletext"/>
              <w:keepNext/>
              <w:jc w:val="center"/>
            </w:pPr>
            <w:r w:rsidRPr="005D05BB">
              <w:t>5</w:t>
            </w:r>
          </w:p>
        </w:tc>
        <w:tc>
          <w:tcPr>
            <w:tcW w:w="538" w:type="pct"/>
            <w:tcBorders>
              <w:top w:val="nil"/>
              <w:bottom w:val="nil"/>
            </w:tcBorders>
          </w:tcPr>
          <w:p w14:paraId="1458007B" w14:textId="77777777" w:rsidR="00E32002" w:rsidRPr="00FB13D0" w:rsidRDefault="00E32002" w:rsidP="008F456C">
            <w:pPr>
              <w:pStyle w:val="Tabletext"/>
              <w:keepNext/>
              <w:jc w:val="center"/>
              <w:rPr>
                <w:iCs/>
              </w:rPr>
            </w:pPr>
            <w:r w:rsidRPr="00FB13D0">
              <w:rPr>
                <w:iCs/>
              </w:rPr>
              <w:t>$</w:t>
            </w:r>
            <w:r w:rsidR="00921FA1">
              <w:rPr>
                <w:iCs/>
                <w:noProof/>
                <w:color w:val="000000"/>
                <w:highlight w:val="black"/>
              </w:rPr>
              <w:t>'''''''''''''''</w:t>
            </w:r>
            <w:r w:rsidRPr="00FB13D0">
              <w:rPr>
                <w:iCs/>
                <w:vertAlign w:val="superscript"/>
              </w:rPr>
              <w:t>+</w:t>
            </w:r>
          </w:p>
        </w:tc>
        <w:tc>
          <w:tcPr>
            <w:tcW w:w="538" w:type="pct"/>
            <w:tcBorders>
              <w:top w:val="nil"/>
              <w:bottom w:val="nil"/>
            </w:tcBorders>
            <w:vAlign w:val="center"/>
          </w:tcPr>
          <w:p w14:paraId="0F1719EC"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541" w:type="pct"/>
            <w:tcBorders>
              <w:top w:val="nil"/>
              <w:bottom w:val="nil"/>
            </w:tcBorders>
            <w:vAlign w:val="center"/>
          </w:tcPr>
          <w:p w14:paraId="044A1ECC"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922" w:type="pct"/>
            <w:vMerge w:val="restart"/>
            <w:tcBorders>
              <w:top w:val="nil"/>
            </w:tcBorders>
            <w:vAlign w:val="center"/>
          </w:tcPr>
          <w:p w14:paraId="2A8C2418" w14:textId="77777777" w:rsidR="00E32002" w:rsidRPr="005D05BB" w:rsidRDefault="00E32002" w:rsidP="008F456C">
            <w:pPr>
              <w:pStyle w:val="Tabletext"/>
              <w:keepNext/>
              <w:jc w:val="center"/>
            </w:pPr>
            <w:r w:rsidRPr="005D05BB">
              <w:t>Remsima</w:t>
            </w:r>
            <w:r w:rsidR="00AE455A" w:rsidRPr="005D05BB">
              <w:t>®</w:t>
            </w:r>
            <w:r w:rsidRPr="005D05BB">
              <w:t>, Celltrion Healthcare Pty Ltd</w:t>
            </w:r>
          </w:p>
        </w:tc>
      </w:tr>
      <w:tr w:rsidR="00E32002" w:rsidRPr="005D05BB" w14:paraId="35C3777C" w14:textId="77777777" w:rsidTr="00172785">
        <w:trPr>
          <w:trHeight w:val="213"/>
        </w:trPr>
        <w:tc>
          <w:tcPr>
            <w:tcW w:w="1153" w:type="pct"/>
            <w:gridSpan w:val="2"/>
            <w:tcBorders>
              <w:top w:val="nil"/>
              <w:bottom w:val="single" w:sz="4" w:space="0" w:color="auto"/>
            </w:tcBorders>
            <w:vAlign w:val="center"/>
          </w:tcPr>
          <w:p w14:paraId="19792695" w14:textId="77777777" w:rsidR="00E32002" w:rsidRPr="005D05BB" w:rsidRDefault="00E32002" w:rsidP="008F456C">
            <w:pPr>
              <w:pStyle w:val="Tabletext"/>
              <w:keepNext/>
              <w:rPr>
                <w:bCs/>
              </w:rPr>
            </w:pPr>
            <w:r w:rsidRPr="005D05BB">
              <w:rPr>
                <w:bCs/>
              </w:rPr>
              <w:t>12</w:t>
            </w:r>
            <w:r w:rsidR="000B0C55" w:rsidRPr="005D05BB">
              <w:rPr>
                <w:bCs/>
              </w:rPr>
              <w:t>0 mg</w:t>
            </w:r>
            <w:r w:rsidRPr="005D05BB">
              <w:rPr>
                <w:bCs/>
              </w:rPr>
              <w:t xml:space="preserve"> pre-filled pen</w:t>
            </w:r>
          </w:p>
        </w:tc>
        <w:tc>
          <w:tcPr>
            <w:tcW w:w="436" w:type="pct"/>
            <w:tcBorders>
              <w:top w:val="nil"/>
              <w:bottom w:val="single" w:sz="4" w:space="0" w:color="auto"/>
            </w:tcBorders>
            <w:vAlign w:val="center"/>
          </w:tcPr>
          <w:p w14:paraId="57C9F141" w14:textId="77777777" w:rsidR="00E32002" w:rsidRPr="005D05BB" w:rsidRDefault="00E32002" w:rsidP="008F456C">
            <w:pPr>
              <w:pStyle w:val="Tabletext"/>
              <w:keepNext/>
              <w:jc w:val="center"/>
            </w:pPr>
            <w:r w:rsidRPr="005D05BB">
              <w:t>2</w:t>
            </w:r>
          </w:p>
        </w:tc>
        <w:tc>
          <w:tcPr>
            <w:tcW w:w="436" w:type="pct"/>
            <w:tcBorders>
              <w:top w:val="nil"/>
              <w:bottom w:val="single" w:sz="4" w:space="0" w:color="auto"/>
            </w:tcBorders>
            <w:vAlign w:val="center"/>
          </w:tcPr>
          <w:p w14:paraId="79391D42" w14:textId="77777777" w:rsidR="00E32002" w:rsidRPr="005D05BB" w:rsidRDefault="00E32002" w:rsidP="008F456C">
            <w:pPr>
              <w:pStyle w:val="Tabletext"/>
              <w:keepNext/>
              <w:jc w:val="center"/>
            </w:pPr>
            <w:r w:rsidRPr="005D05BB">
              <w:t>2</w:t>
            </w:r>
          </w:p>
        </w:tc>
        <w:tc>
          <w:tcPr>
            <w:tcW w:w="436" w:type="pct"/>
            <w:tcBorders>
              <w:top w:val="nil"/>
              <w:bottom w:val="single" w:sz="4" w:space="0" w:color="auto"/>
            </w:tcBorders>
            <w:vAlign w:val="center"/>
          </w:tcPr>
          <w:p w14:paraId="1F24543B" w14:textId="77777777" w:rsidR="00E32002" w:rsidRPr="005D05BB" w:rsidRDefault="00E32002" w:rsidP="008F456C">
            <w:pPr>
              <w:pStyle w:val="Tabletext"/>
              <w:keepNext/>
              <w:jc w:val="center"/>
            </w:pPr>
            <w:r w:rsidRPr="005D05BB">
              <w:t>5</w:t>
            </w:r>
          </w:p>
        </w:tc>
        <w:tc>
          <w:tcPr>
            <w:tcW w:w="538" w:type="pct"/>
            <w:tcBorders>
              <w:top w:val="nil"/>
              <w:bottom w:val="single" w:sz="4" w:space="0" w:color="auto"/>
            </w:tcBorders>
          </w:tcPr>
          <w:p w14:paraId="4FC01A99" w14:textId="77777777" w:rsidR="00E32002" w:rsidRPr="00FB13D0" w:rsidRDefault="00E32002" w:rsidP="008F456C">
            <w:pPr>
              <w:pStyle w:val="Tabletext"/>
              <w:keepNext/>
              <w:jc w:val="center"/>
              <w:rPr>
                <w:iCs/>
              </w:rPr>
            </w:pPr>
            <w:r w:rsidRPr="00FB13D0">
              <w:rPr>
                <w:iCs/>
              </w:rPr>
              <w:t>$</w:t>
            </w:r>
            <w:r w:rsidR="00921FA1">
              <w:rPr>
                <w:iCs/>
                <w:noProof/>
                <w:color w:val="000000"/>
                <w:highlight w:val="black"/>
              </w:rPr>
              <w:t>'''''''''''''''''</w:t>
            </w:r>
            <w:r w:rsidRPr="00FB13D0">
              <w:rPr>
                <w:iCs/>
                <w:vertAlign w:val="superscript"/>
              </w:rPr>
              <w:t>+</w:t>
            </w:r>
          </w:p>
        </w:tc>
        <w:tc>
          <w:tcPr>
            <w:tcW w:w="538" w:type="pct"/>
            <w:tcBorders>
              <w:top w:val="nil"/>
              <w:bottom w:val="single" w:sz="4" w:space="0" w:color="auto"/>
            </w:tcBorders>
            <w:vAlign w:val="center"/>
          </w:tcPr>
          <w:p w14:paraId="17C93E25"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541" w:type="pct"/>
            <w:tcBorders>
              <w:top w:val="nil"/>
              <w:bottom w:val="single" w:sz="4" w:space="0" w:color="auto"/>
            </w:tcBorders>
            <w:vAlign w:val="center"/>
          </w:tcPr>
          <w:p w14:paraId="1E61CDC3" w14:textId="77777777" w:rsidR="00E32002" w:rsidRPr="00FB13D0" w:rsidRDefault="00E32002" w:rsidP="008F456C">
            <w:pPr>
              <w:pStyle w:val="Tabletext"/>
              <w:keepNext/>
              <w:jc w:val="center"/>
            </w:pPr>
            <w:r w:rsidRPr="00FB13D0">
              <w:t>$</w:t>
            </w:r>
            <w:r w:rsidR="00921FA1">
              <w:rPr>
                <w:noProof/>
                <w:color w:val="000000"/>
                <w:highlight w:val="black"/>
              </w:rPr>
              <w:t>''''''''''''''''</w:t>
            </w:r>
          </w:p>
        </w:tc>
        <w:tc>
          <w:tcPr>
            <w:tcW w:w="922" w:type="pct"/>
            <w:vMerge/>
            <w:tcBorders>
              <w:bottom w:val="single" w:sz="4" w:space="0" w:color="auto"/>
            </w:tcBorders>
            <w:vAlign w:val="center"/>
          </w:tcPr>
          <w:p w14:paraId="291F6DC9" w14:textId="77777777" w:rsidR="00E32002" w:rsidRPr="005D05BB" w:rsidRDefault="00E32002" w:rsidP="008F456C">
            <w:pPr>
              <w:pStyle w:val="Tabletext"/>
              <w:keepNext/>
              <w:jc w:val="center"/>
            </w:pPr>
          </w:p>
        </w:tc>
      </w:tr>
      <w:tr w:rsidR="00E32002" w:rsidRPr="005D05BB" w14:paraId="6105C56B"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26CBA41E" w14:textId="77777777" w:rsidR="00E32002" w:rsidRPr="005D05BB" w:rsidRDefault="00E32002" w:rsidP="008F456C">
            <w:pPr>
              <w:pStyle w:val="Tabletext"/>
            </w:pPr>
            <w:r w:rsidRPr="005D05BB">
              <w:t>Category/Program:</w:t>
            </w:r>
          </w:p>
        </w:tc>
        <w:tc>
          <w:tcPr>
            <w:tcW w:w="3934" w:type="pct"/>
            <w:gridSpan w:val="8"/>
            <w:tcBorders>
              <w:top w:val="single" w:sz="4" w:space="0" w:color="auto"/>
              <w:left w:val="single" w:sz="4" w:space="0" w:color="auto"/>
              <w:bottom w:val="single" w:sz="4" w:space="0" w:color="auto"/>
              <w:right w:val="single" w:sz="4" w:space="0" w:color="auto"/>
            </w:tcBorders>
          </w:tcPr>
          <w:p w14:paraId="6D63E518" w14:textId="77777777" w:rsidR="00E32002" w:rsidRPr="005D05BB" w:rsidRDefault="00E32002" w:rsidP="008F456C">
            <w:pPr>
              <w:pStyle w:val="TableText0"/>
              <w:keepNext w:val="0"/>
              <w:widowControl w:val="0"/>
            </w:pPr>
            <w:r w:rsidRPr="005D05BB">
              <w:t>GENERAL – General Schedule (Code GE)</w:t>
            </w:r>
          </w:p>
          <w:p w14:paraId="2C58AD86" w14:textId="77777777" w:rsidR="00E32002" w:rsidRPr="005D05BB" w:rsidRDefault="00E32002" w:rsidP="008F456C">
            <w:pPr>
              <w:pStyle w:val="Tabletext"/>
            </w:pPr>
            <w:r w:rsidRPr="005D05BB">
              <w:t>Section 100 – Highly Specialised Drugs Program: Public &amp; Private Hospital</w:t>
            </w:r>
          </w:p>
        </w:tc>
      </w:tr>
      <w:tr w:rsidR="00E32002" w:rsidRPr="005D05BB" w14:paraId="11704386"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35738E9C" w14:textId="77777777" w:rsidR="00E32002" w:rsidRPr="005D05BB" w:rsidRDefault="00E32002" w:rsidP="008F456C">
            <w:pPr>
              <w:pStyle w:val="Tabletext"/>
            </w:pPr>
            <w:r w:rsidRPr="005D05BB">
              <w:t>PBS indication:</w:t>
            </w:r>
          </w:p>
        </w:tc>
        <w:tc>
          <w:tcPr>
            <w:tcW w:w="3934" w:type="pct"/>
            <w:gridSpan w:val="8"/>
            <w:tcBorders>
              <w:top w:val="single" w:sz="4" w:space="0" w:color="auto"/>
              <w:left w:val="single" w:sz="4" w:space="0" w:color="auto"/>
              <w:bottom w:val="single" w:sz="4" w:space="0" w:color="auto"/>
              <w:right w:val="single" w:sz="4" w:space="0" w:color="auto"/>
            </w:tcBorders>
          </w:tcPr>
          <w:p w14:paraId="2D32D05D" w14:textId="77777777" w:rsidR="00E32002" w:rsidRPr="005D05BB" w:rsidRDefault="00E32002" w:rsidP="008F456C">
            <w:pPr>
              <w:pStyle w:val="Tabletext"/>
            </w:pPr>
            <w:r w:rsidRPr="005D05BB">
              <w:t>Ankylosing spondylitis, complex refractory fistulising Crohn’s disease, moderate to severe ulcerative colitis, severe Crohn’s disease, severe active rheumatoid arthritis, severe chronic plaque psoriasis and severe psoriatic arthritis.</w:t>
            </w:r>
          </w:p>
        </w:tc>
      </w:tr>
      <w:tr w:rsidR="00E32002" w:rsidRPr="005D05BB" w14:paraId="05538FEA"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1ADB26F3" w14:textId="77777777" w:rsidR="00E32002" w:rsidRPr="005D05BB" w:rsidRDefault="00E32002" w:rsidP="008F456C">
            <w:pPr>
              <w:pStyle w:val="Tabletext"/>
            </w:pPr>
            <w:r w:rsidRPr="005D05BB">
              <w:t>Treatment phase:</w:t>
            </w:r>
          </w:p>
        </w:tc>
        <w:tc>
          <w:tcPr>
            <w:tcW w:w="3934" w:type="pct"/>
            <w:gridSpan w:val="8"/>
            <w:tcBorders>
              <w:top w:val="single" w:sz="4" w:space="0" w:color="auto"/>
              <w:left w:val="single" w:sz="4" w:space="0" w:color="auto"/>
              <w:bottom w:val="single" w:sz="4" w:space="0" w:color="auto"/>
              <w:right w:val="single" w:sz="4" w:space="0" w:color="auto"/>
            </w:tcBorders>
          </w:tcPr>
          <w:p w14:paraId="647205C0" w14:textId="77777777" w:rsidR="00E32002" w:rsidRPr="005D05BB" w:rsidRDefault="00E32002" w:rsidP="008F456C">
            <w:pPr>
              <w:pStyle w:val="Tabletext"/>
            </w:pPr>
            <w:r w:rsidRPr="005D05BB">
              <w:t>Initial treatment 1</w:t>
            </w:r>
          </w:p>
        </w:tc>
      </w:tr>
      <w:tr w:rsidR="00E32002" w:rsidRPr="005D05BB" w14:paraId="63D45B61"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71C4AC77" w14:textId="77777777" w:rsidR="00E32002" w:rsidRPr="005D05BB" w:rsidRDefault="00E32002" w:rsidP="008F456C">
            <w:pPr>
              <w:pStyle w:val="Tabletext"/>
            </w:pPr>
            <w:r w:rsidRPr="005D05BB">
              <w:t>Restriction:</w:t>
            </w:r>
          </w:p>
        </w:tc>
        <w:tc>
          <w:tcPr>
            <w:tcW w:w="3934" w:type="pct"/>
            <w:gridSpan w:val="8"/>
            <w:tcBorders>
              <w:top w:val="single" w:sz="4" w:space="0" w:color="auto"/>
              <w:left w:val="single" w:sz="4" w:space="0" w:color="auto"/>
              <w:bottom w:val="single" w:sz="4" w:space="0" w:color="auto"/>
              <w:right w:val="single" w:sz="4" w:space="0" w:color="auto"/>
            </w:tcBorders>
          </w:tcPr>
          <w:p w14:paraId="211954BB" w14:textId="77777777" w:rsidR="00E32002" w:rsidRPr="005D05BB" w:rsidRDefault="00E32002" w:rsidP="008F456C">
            <w:pPr>
              <w:pStyle w:val="Tabletext"/>
            </w:pPr>
            <w:r w:rsidRPr="005D05BB">
              <w:fldChar w:fldCharType="begin">
                <w:ffData>
                  <w:name w:val="Check3"/>
                  <w:enabled/>
                  <w:calcOnExit w:val="0"/>
                  <w:checkBox>
                    <w:sizeAuto/>
                    <w:default w:val="1"/>
                  </w:checkBox>
                </w:ffData>
              </w:fldChar>
            </w:r>
            <w:r w:rsidRPr="005D05BB">
              <w:instrText xml:space="preserve"> FORMCHECKBOX </w:instrText>
            </w:r>
            <w:r w:rsidR="00E515FB">
              <w:fldChar w:fldCharType="separate"/>
            </w:r>
            <w:r w:rsidRPr="005D05BB">
              <w:fldChar w:fldCharType="end"/>
            </w:r>
            <w:r w:rsidRPr="005D05BB">
              <w:t>Authority Required – Telephone, Electronic</w:t>
            </w:r>
          </w:p>
        </w:tc>
      </w:tr>
      <w:tr w:rsidR="00E32002" w:rsidRPr="005D05BB" w14:paraId="0D1ABD2E"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64C28316" w14:textId="77777777" w:rsidR="00E32002" w:rsidRPr="005D05BB" w:rsidRDefault="00E32002" w:rsidP="008F456C">
            <w:pPr>
              <w:pStyle w:val="Tabletext"/>
            </w:pPr>
            <w:r w:rsidRPr="005D05BB">
              <w:t>Treatment criteria:</w:t>
            </w:r>
          </w:p>
        </w:tc>
        <w:tc>
          <w:tcPr>
            <w:tcW w:w="3934" w:type="pct"/>
            <w:gridSpan w:val="8"/>
            <w:tcBorders>
              <w:top w:val="single" w:sz="4" w:space="0" w:color="auto"/>
              <w:left w:val="single" w:sz="4" w:space="0" w:color="auto"/>
              <w:bottom w:val="single" w:sz="4" w:space="0" w:color="auto"/>
              <w:right w:val="single" w:sz="4" w:space="0" w:color="auto"/>
            </w:tcBorders>
          </w:tcPr>
          <w:p w14:paraId="152BBD95" w14:textId="77777777" w:rsidR="00E32002" w:rsidRPr="005D05BB" w:rsidRDefault="00E32002" w:rsidP="008F456C">
            <w:pPr>
              <w:pStyle w:val="KMC16-Tablecontent"/>
              <w:widowControl w:val="0"/>
              <w:spacing w:before="0" w:after="0"/>
              <w:rPr>
                <w:b/>
                <w:u w:val="single"/>
                <w:lang w:val="en-AU"/>
              </w:rPr>
            </w:pPr>
            <w:r w:rsidRPr="005D05BB">
              <w:rPr>
                <w:b/>
                <w:u w:val="single"/>
                <w:lang w:val="en-AU"/>
              </w:rPr>
              <w:t>Indications: ankylosing spondylitis, severe rheumatoid arthritis and severe psoriatic arthritis</w:t>
            </w:r>
          </w:p>
          <w:p w14:paraId="4A14C7C2" w14:textId="77777777" w:rsidR="00E32002" w:rsidRPr="005D05BB" w:rsidRDefault="00E32002" w:rsidP="008F456C">
            <w:pPr>
              <w:pStyle w:val="KMC16-Tablecontent"/>
              <w:widowControl w:val="0"/>
              <w:spacing w:before="0" w:after="0"/>
              <w:rPr>
                <w:lang w:val="en-AU"/>
              </w:rPr>
            </w:pPr>
            <w:r w:rsidRPr="005D05BB">
              <w:rPr>
                <w:lang w:val="en-AU"/>
              </w:rPr>
              <w:t>Must be treated by a rheumatologist; OR</w:t>
            </w:r>
          </w:p>
          <w:p w14:paraId="1A403405" w14:textId="77777777" w:rsidR="00E32002" w:rsidRPr="005D05BB" w:rsidRDefault="00E32002" w:rsidP="008F456C">
            <w:pPr>
              <w:pStyle w:val="TableText0"/>
              <w:keepNext w:val="0"/>
              <w:widowControl w:val="0"/>
            </w:pPr>
            <w:r w:rsidRPr="005D05BB">
              <w:t xml:space="preserve">Must be treated by a clinical immunologist with expertise in the management of (the indication). </w:t>
            </w:r>
          </w:p>
          <w:p w14:paraId="2C1875CA" w14:textId="77777777" w:rsidR="00E32002" w:rsidRPr="005D05BB" w:rsidRDefault="00E32002" w:rsidP="008F456C">
            <w:pPr>
              <w:pStyle w:val="TableText0"/>
              <w:keepNext w:val="0"/>
              <w:widowControl w:val="0"/>
            </w:pPr>
          </w:p>
          <w:p w14:paraId="416B9548" w14:textId="77777777" w:rsidR="00E32002" w:rsidRPr="005D05BB" w:rsidRDefault="00E32002" w:rsidP="008F456C">
            <w:pPr>
              <w:pStyle w:val="KMC16-Tablecontent"/>
              <w:widowControl w:val="0"/>
              <w:spacing w:before="0" w:after="0"/>
              <w:rPr>
                <w:b/>
                <w:u w:val="single"/>
                <w:lang w:val="en-AU"/>
              </w:rPr>
            </w:pPr>
            <w:r w:rsidRPr="005D05BB">
              <w:rPr>
                <w:b/>
                <w:u w:val="single"/>
                <w:lang w:val="en-AU"/>
              </w:rPr>
              <w:t>Indications: severe chronic plaque psoriasis</w:t>
            </w:r>
          </w:p>
          <w:p w14:paraId="574ACF42" w14:textId="77777777" w:rsidR="00E32002" w:rsidRPr="005D05BB" w:rsidRDefault="00E32002" w:rsidP="008F456C">
            <w:pPr>
              <w:pStyle w:val="TableText0"/>
              <w:keepNext w:val="0"/>
              <w:widowControl w:val="0"/>
            </w:pPr>
            <w:r w:rsidRPr="005D05BB">
              <w:rPr>
                <w:color w:val="000000"/>
                <w:szCs w:val="20"/>
              </w:rPr>
              <w:t>Must be treated by a dermatologist.</w:t>
            </w:r>
          </w:p>
          <w:p w14:paraId="6BFE0A97" w14:textId="77777777" w:rsidR="00E32002" w:rsidRPr="005D05BB" w:rsidRDefault="00E32002" w:rsidP="008F456C">
            <w:pPr>
              <w:pStyle w:val="TableText0"/>
              <w:keepNext w:val="0"/>
              <w:widowControl w:val="0"/>
              <w:rPr>
                <w:rFonts w:cs="Arial"/>
              </w:rPr>
            </w:pPr>
          </w:p>
          <w:p w14:paraId="0BE9271D" w14:textId="77777777" w:rsidR="00E32002" w:rsidRPr="005D05BB" w:rsidRDefault="00E32002" w:rsidP="008F456C">
            <w:pPr>
              <w:pStyle w:val="TableText0"/>
              <w:keepNext w:val="0"/>
              <w:widowControl w:val="0"/>
              <w:rPr>
                <w:rFonts w:eastAsia="Times New Roman" w:cs="Arial"/>
                <w:b/>
                <w:bCs w:val="0"/>
                <w:color w:val="000000"/>
                <w:szCs w:val="22"/>
                <w:u w:val="single"/>
                <w:lang w:eastAsia="en-US"/>
              </w:rPr>
            </w:pPr>
            <w:r w:rsidRPr="005D05BB">
              <w:rPr>
                <w:b/>
                <w:u w:val="single"/>
              </w:rPr>
              <w:t>Indications:</w:t>
            </w:r>
            <w:r w:rsidRPr="005D05BB">
              <w:rPr>
                <w:rFonts w:eastAsia="Times New Roman" w:cs="Arial"/>
                <w:b/>
                <w:bCs w:val="0"/>
                <w:color w:val="000000"/>
                <w:szCs w:val="22"/>
                <w:u w:val="single"/>
                <w:lang w:eastAsia="en-US"/>
              </w:rPr>
              <w:t xml:space="preserve"> complex refractory fistulising Crohn’s disease, moderate to severe ulcerative colitis and severe Crohn’s disease</w:t>
            </w:r>
          </w:p>
          <w:p w14:paraId="0A8E3883" w14:textId="77777777" w:rsidR="00E32002" w:rsidRPr="005D05BB" w:rsidRDefault="00E32002" w:rsidP="008F456C">
            <w:pPr>
              <w:pStyle w:val="Tabletext"/>
            </w:pPr>
            <w:r w:rsidRPr="005D05BB">
              <w:rPr>
                <w:szCs w:val="20"/>
              </w:rPr>
              <w:t>Must be treated by a gastroenterologist (code 87); OR</w:t>
            </w:r>
            <w:r w:rsidRPr="005D05BB">
              <w:rPr>
                <w:szCs w:val="20"/>
              </w:rPr>
              <w:br/>
              <w:t>Must be treated by a consultant physician [internal medicine specialising in gastroenterology (code 81)]; OR</w:t>
            </w:r>
            <w:r w:rsidRPr="005D05BB">
              <w:rPr>
                <w:szCs w:val="20"/>
              </w:rPr>
              <w:br/>
              <w:t>Must be treated by a consultant physician [general medicine specialising in gastroenterology (code 82)].</w:t>
            </w:r>
          </w:p>
        </w:tc>
      </w:tr>
      <w:tr w:rsidR="00E32002" w:rsidRPr="005D05BB" w14:paraId="0DFD8824"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55D83B0B" w14:textId="77777777" w:rsidR="00E32002" w:rsidRPr="005D05BB" w:rsidRDefault="00E32002" w:rsidP="008F456C">
            <w:pPr>
              <w:pStyle w:val="Tabletext"/>
            </w:pPr>
            <w:r w:rsidRPr="005D05BB">
              <w:t>Clinical criteria:</w:t>
            </w:r>
          </w:p>
        </w:tc>
        <w:tc>
          <w:tcPr>
            <w:tcW w:w="3934" w:type="pct"/>
            <w:gridSpan w:val="8"/>
            <w:tcBorders>
              <w:top w:val="single" w:sz="4" w:space="0" w:color="auto"/>
              <w:left w:val="single" w:sz="4" w:space="0" w:color="auto"/>
              <w:bottom w:val="single" w:sz="4" w:space="0" w:color="auto"/>
              <w:right w:val="single" w:sz="4" w:space="0" w:color="auto"/>
            </w:tcBorders>
          </w:tcPr>
          <w:p w14:paraId="635DEAB6" w14:textId="77777777" w:rsidR="00E32002" w:rsidRPr="005D05BB" w:rsidRDefault="00D9102A" w:rsidP="008F456C">
            <w:pPr>
              <w:pStyle w:val="TableText0"/>
              <w:keepNext w:val="0"/>
              <w:widowControl w:val="0"/>
              <w:rPr>
                <w:rFonts w:cs="Arial"/>
              </w:rPr>
            </w:pPr>
            <w:r w:rsidRPr="005D05BB">
              <w:rPr>
                <w:rFonts w:cs="Arial"/>
              </w:rPr>
              <w:t>R</w:t>
            </w:r>
            <w:r w:rsidR="00E32002" w:rsidRPr="005D05BB">
              <w:rPr>
                <w:rFonts w:cs="Arial"/>
              </w:rPr>
              <w:t>estriction details for each indication</w:t>
            </w:r>
            <w:r w:rsidR="00386F7E" w:rsidRPr="005D05BB">
              <w:rPr>
                <w:rFonts w:cs="Arial"/>
              </w:rPr>
              <w:t xml:space="preserve"> </w:t>
            </w:r>
            <w:r w:rsidR="00386F7E" w:rsidRPr="005D05BB">
              <w:rPr>
                <w:rFonts w:cs="Arial"/>
                <w:i/>
              </w:rPr>
              <w:t xml:space="preserve">were provided </w:t>
            </w:r>
            <w:r w:rsidR="00386F7E" w:rsidRPr="005D05BB">
              <w:rPr>
                <w:rFonts w:cs="Arial"/>
              </w:rPr>
              <w:t xml:space="preserve">in </w:t>
            </w:r>
            <w:r w:rsidR="00386F7E" w:rsidRPr="005D05BB">
              <w:rPr>
                <w:rFonts w:cs="Arial"/>
                <w:i/>
              </w:rPr>
              <w:t>an</w:t>
            </w:r>
            <w:r w:rsidR="00386F7E" w:rsidRPr="005D05BB">
              <w:rPr>
                <w:rFonts w:cs="Arial"/>
              </w:rPr>
              <w:t xml:space="preserve"> a</w:t>
            </w:r>
            <w:r w:rsidR="00E32002" w:rsidRPr="005D05BB">
              <w:rPr>
                <w:rFonts w:cs="Arial"/>
              </w:rPr>
              <w:t>ttachment to the submission.</w:t>
            </w:r>
          </w:p>
          <w:p w14:paraId="25024087" w14:textId="77777777" w:rsidR="00E32002" w:rsidRPr="005D05BB" w:rsidRDefault="00E32002" w:rsidP="008F456C">
            <w:pPr>
              <w:pStyle w:val="TableText0"/>
              <w:keepNext w:val="0"/>
              <w:widowControl w:val="0"/>
              <w:rPr>
                <w:rFonts w:cs="Arial"/>
              </w:rPr>
            </w:pPr>
          </w:p>
          <w:p w14:paraId="627250E9" w14:textId="77777777" w:rsidR="00E32002" w:rsidRPr="005D05BB" w:rsidRDefault="00E32002" w:rsidP="008F456C">
            <w:pPr>
              <w:pStyle w:val="TableText0"/>
              <w:keepNext w:val="0"/>
              <w:widowControl w:val="0"/>
              <w:rPr>
                <w:rFonts w:cs="Arial"/>
                <w:b/>
                <w:u w:val="single"/>
              </w:rPr>
            </w:pPr>
            <w:r w:rsidRPr="005D05BB">
              <w:rPr>
                <w:rFonts w:cs="Arial"/>
                <w:b/>
                <w:u w:val="single"/>
              </w:rPr>
              <w:t xml:space="preserve">Common criteria for the following indications: ankylosing spondylitis, complex refractory </w:t>
            </w:r>
            <w:r w:rsidRPr="005D05BB">
              <w:rPr>
                <w:rFonts w:cs="Arial"/>
                <w:b/>
                <w:u w:val="single"/>
              </w:rPr>
              <w:lastRenderedPageBreak/>
              <w:t>fistulising Crohn’s disease, moderate to severe ulcerative colitis and severe Crohn’s disease.</w:t>
            </w:r>
          </w:p>
          <w:p w14:paraId="5696DAA0" w14:textId="77777777" w:rsidR="00E32002" w:rsidRPr="005D05BB" w:rsidRDefault="00E32002" w:rsidP="008F456C">
            <w:pPr>
              <w:pStyle w:val="TableText0"/>
              <w:keepNext w:val="0"/>
              <w:widowControl w:val="0"/>
              <w:rPr>
                <w:rFonts w:cs="Arial"/>
              </w:rPr>
            </w:pPr>
            <w:r w:rsidRPr="005D05BB">
              <w:rPr>
                <w:rFonts w:cs="Arial"/>
              </w:rPr>
              <w:t>‘Patient must not receive more than 12 weeks of treatment under this restriction (excluding loading dose infusions).’</w:t>
            </w:r>
          </w:p>
          <w:p w14:paraId="744E201C" w14:textId="77777777" w:rsidR="00E32002" w:rsidRPr="005D05BB" w:rsidRDefault="00E32002" w:rsidP="008F456C">
            <w:pPr>
              <w:pStyle w:val="TableText0"/>
              <w:keepNext w:val="0"/>
              <w:widowControl w:val="0"/>
              <w:rPr>
                <w:rFonts w:cs="Arial"/>
              </w:rPr>
            </w:pPr>
          </w:p>
          <w:p w14:paraId="7432D944" w14:textId="77777777" w:rsidR="00E32002" w:rsidRPr="005D05BB" w:rsidRDefault="00E32002" w:rsidP="008F456C">
            <w:pPr>
              <w:pStyle w:val="TableText0"/>
              <w:keepNext w:val="0"/>
              <w:widowControl w:val="0"/>
              <w:rPr>
                <w:rFonts w:cs="Arial"/>
                <w:b/>
                <w:u w:val="single"/>
              </w:rPr>
            </w:pPr>
            <w:r w:rsidRPr="005D05BB">
              <w:rPr>
                <w:rFonts w:cs="Arial"/>
                <w:b/>
                <w:u w:val="single"/>
              </w:rPr>
              <w:t xml:space="preserve">Common criteria for the following indications: severe chronic plaque psoriasis, rheumatoid arthritis, </w:t>
            </w:r>
            <w:r w:rsidRPr="005D05BB">
              <w:rPr>
                <w:b/>
                <w:u w:val="single"/>
              </w:rPr>
              <w:t>psoriatic arthritis</w:t>
            </w:r>
          </w:p>
          <w:p w14:paraId="5DC5F2B9" w14:textId="77777777" w:rsidR="00E32002" w:rsidRPr="005D05BB" w:rsidRDefault="00E32002" w:rsidP="008F456C">
            <w:pPr>
              <w:pStyle w:val="Tabletext"/>
            </w:pPr>
            <w:r w:rsidRPr="005D05BB">
              <w:rPr>
                <w:szCs w:val="20"/>
              </w:rPr>
              <w:t>‘Patient must not receive more than 16 weeks of treatment (not including loading dose infusions) under this restriction.’</w:t>
            </w:r>
          </w:p>
        </w:tc>
      </w:tr>
      <w:tr w:rsidR="00E32002" w:rsidRPr="005D05BB" w14:paraId="2ED46AD8"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tcPr>
          <w:p w14:paraId="525C73E4" w14:textId="77777777" w:rsidR="00E32002" w:rsidRPr="005D05BB" w:rsidRDefault="00E32002" w:rsidP="008F456C">
            <w:pPr>
              <w:pStyle w:val="Tabletext"/>
            </w:pPr>
            <w:r w:rsidRPr="005D05BB">
              <w:lastRenderedPageBreak/>
              <w:t>Population criteria:</w:t>
            </w:r>
          </w:p>
        </w:tc>
        <w:tc>
          <w:tcPr>
            <w:tcW w:w="3934" w:type="pct"/>
            <w:gridSpan w:val="8"/>
            <w:tcBorders>
              <w:top w:val="single" w:sz="4" w:space="0" w:color="auto"/>
              <w:left w:val="single" w:sz="4" w:space="0" w:color="auto"/>
              <w:bottom w:val="single" w:sz="4" w:space="0" w:color="auto"/>
              <w:right w:val="single" w:sz="4" w:space="0" w:color="auto"/>
            </w:tcBorders>
          </w:tcPr>
          <w:p w14:paraId="3FD6CF1D" w14:textId="77777777" w:rsidR="00E32002" w:rsidRPr="005D05BB" w:rsidRDefault="00E32002" w:rsidP="008F456C">
            <w:pPr>
              <w:pStyle w:val="Tabletext"/>
              <w:rPr>
                <w:color w:val="000000"/>
              </w:rPr>
            </w:pPr>
            <w:r w:rsidRPr="005D05BB">
              <w:t>Patient must be aged 18 years or older.</w:t>
            </w:r>
          </w:p>
        </w:tc>
      </w:tr>
      <w:tr w:rsidR="00E32002" w:rsidRPr="005D05BB" w14:paraId="2E691547" w14:textId="77777777" w:rsidTr="00172785">
        <w:tblPrEx>
          <w:tblBorders>
            <w:left w:val="single" w:sz="4" w:space="0" w:color="auto"/>
            <w:right w:val="single" w:sz="4" w:space="0" w:color="auto"/>
            <w:insideV w:val="single" w:sz="4" w:space="0" w:color="auto"/>
          </w:tblBorders>
        </w:tblPrEx>
        <w:trPr>
          <w:trHeight w:val="20"/>
        </w:trPr>
        <w:tc>
          <w:tcPr>
            <w:tcW w:w="1066" w:type="pct"/>
            <w:tcBorders>
              <w:top w:val="single" w:sz="4" w:space="0" w:color="auto"/>
              <w:left w:val="single" w:sz="4" w:space="0" w:color="auto"/>
              <w:bottom w:val="single" w:sz="4" w:space="0" w:color="auto"/>
              <w:right w:val="single" w:sz="4" w:space="0" w:color="auto"/>
            </w:tcBorders>
            <w:hideMark/>
          </w:tcPr>
          <w:p w14:paraId="2613BC1C" w14:textId="77777777" w:rsidR="00E32002" w:rsidRPr="005D05BB" w:rsidRDefault="00E32002" w:rsidP="008F456C">
            <w:pPr>
              <w:pStyle w:val="Tabletext"/>
            </w:pPr>
            <w:r w:rsidRPr="005D05BB">
              <w:t>Prescriber criteria:</w:t>
            </w:r>
          </w:p>
        </w:tc>
        <w:tc>
          <w:tcPr>
            <w:tcW w:w="3934" w:type="pct"/>
            <w:gridSpan w:val="8"/>
            <w:tcBorders>
              <w:top w:val="single" w:sz="4" w:space="0" w:color="auto"/>
              <w:left w:val="single" w:sz="4" w:space="0" w:color="auto"/>
              <w:bottom w:val="single" w:sz="4" w:space="0" w:color="auto"/>
              <w:right w:val="single" w:sz="4" w:space="0" w:color="auto"/>
            </w:tcBorders>
          </w:tcPr>
          <w:p w14:paraId="5E243744" w14:textId="77777777" w:rsidR="00E32002" w:rsidRPr="005D05BB" w:rsidRDefault="00386F7E" w:rsidP="008F456C">
            <w:pPr>
              <w:pStyle w:val="Tabletext"/>
              <w:rPr>
                <w:color w:val="000000"/>
              </w:rPr>
            </w:pPr>
            <w:r w:rsidRPr="005D05BB">
              <w:rPr>
                <w:rFonts w:cs="Arial"/>
              </w:rPr>
              <w:t xml:space="preserve">Restriction details for each indication </w:t>
            </w:r>
            <w:r w:rsidRPr="005D05BB">
              <w:rPr>
                <w:rFonts w:cs="Arial"/>
                <w:i/>
              </w:rPr>
              <w:t xml:space="preserve">were provided </w:t>
            </w:r>
            <w:r w:rsidRPr="005D05BB">
              <w:rPr>
                <w:rFonts w:cs="Arial"/>
              </w:rPr>
              <w:t xml:space="preserve">in </w:t>
            </w:r>
            <w:r w:rsidRPr="005D05BB">
              <w:rPr>
                <w:rFonts w:cs="Arial"/>
                <w:i/>
              </w:rPr>
              <w:t>an</w:t>
            </w:r>
            <w:r w:rsidRPr="005D05BB">
              <w:rPr>
                <w:rFonts w:cs="Arial"/>
              </w:rPr>
              <w:t xml:space="preserve"> attachment to the submission.</w:t>
            </w:r>
          </w:p>
        </w:tc>
      </w:tr>
    </w:tbl>
    <w:p w14:paraId="10621C03" w14:textId="77777777" w:rsidR="00970196" w:rsidRPr="005D05BB" w:rsidRDefault="009701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2"/>
        <w:gridCol w:w="7095"/>
      </w:tblGrid>
      <w:tr w:rsidR="00E32002" w:rsidRPr="005D05BB" w14:paraId="341D6DAB" w14:textId="77777777" w:rsidTr="00D9102A">
        <w:trPr>
          <w:trHeight w:val="20"/>
        </w:trPr>
        <w:tc>
          <w:tcPr>
            <w:tcW w:w="1066" w:type="pct"/>
            <w:tcBorders>
              <w:top w:val="single" w:sz="4" w:space="0" w:color="auto"/>
              <w:left w:val="single" w:sz="4" w:space="0" w:color="auto"/>
              <w:bottom w:val="single" w:sz="4" w:space="0" w:color="auto"/>
              <w:right w:val="single" w:sz="4" w:space="0" w:color="auto"/>
            </w:tcBorders>
          </w:tcPr>
          <w:p w14:paraId="1ED9630D" w14:textId="77777777" w:rsidR="00E32002" w:rsidRPr="005D05BB" w:rsidRDefault="00E32002" w:rsidP="008F456C">
            <w:pPr>
              <w:pStyle w:val="Tabletext"/>
            </w:pPr>
            <w:r w:rsidRPr="005D05BB">
              <w:t>Treatment phase:</w:t>
            </w:r>
          </w:p>
        </w:tc>
        <w:tc>
          <w:tcPr>
            <w:tcW w:w="3934" w:type="pct"/>
            <w:tcBorders>
              <w:top w:val="single" w:sz="4" w:space="0" w:color="auto"/>
              <w:left w:val="single" w:sz="4" w:space="0" w:color="auto"/>
              <w:bottom w:val="single" w:sz="4" w:space="0" w:color="auto"/>
              <w:right w:val="single" w:sz="4" w:space="0" w:color="auto"/>
            </w:tcBorders>
          </w:tcPr>
          <w:p w14:paraId="14B9B9E6" w14:textId="77777777" w:rsidR="00E32002" w:rsidRPr="005D05BB" w:rsidRDefault="00E32002" w:rsidP="008F456C">
            <w:pPr>
              <w:pStyle w:val="Tabletext"/>
              <w:rPr>
                <w:rFonts w:cs="Arial"/>
              </w:rPr>
            </w:pPr>
            <w:r w:rsidRPr="005D05BB">
              <w:t>Continuing treatment</w:t>
            </w:r>
          </w:p>
        </w:tc>
      </w:tr>
      <w:tr w:rsidR="00E32002" w:rsidRPr="005D05BB" w14:paraId="794C0A62" w14:textId="77777777" w:rsidTr="00D9102A">
        <w:trPr>
          <w:trHeight w:val="20"/>
        </w:trPr>
        <w:tc>
          <w:tcPr>
            <w:tcW w:w="1066" w:type="pct"/>
            <w:tcBorders>
              <w:top w:val="single" w:sz="4" w:space="0" w:color="auto"/>
              <w:left w:val="single" w:sz="4" w:space="0" w:color="auto"/>
              <w:bottom w:val="single" w:sz="4" w:space="0" w:color="auto"/>
              <w:right w:val="single" w:sz="4" w:space="0" w:color="auto"/>
            </w:tcBorders>
          </w:tcPr>
          <w:p w14:paraId="68050D0A" w14:textId="77777777" w:rsidR="00E32002" w:rsidRPr="005D05BB" w:rsidRDefault="00E32002" w:rsidP="008F456C">
            <w:pPr>
              <w:pStyle w:val="Tabletext"/>
            </w:pPr>
            <w:r w:rsidRPr="005D05BB">
              <w:t>Restriction:</w:t>
            </w:r>
          </w:p>
        </w:tc>
        <w:tc>
          <w:tcPr>
            <w:tcW w:w="3934" w:type="pct"/>
            <w:tcBorders>
              <w:top w:val="single" w:sz="4" w:space="0" w:color="auto"/>
              <w:left w:val="single" w:sz="4" w:space="0" w:color="auto"/>
              <w:bottom w:val="single" w:sz="4" w:space="0" w:color="auto"/>
              <w:right w:val="single" w:sz="4" w:space="0" w:color="auto"/>
            </w:tcBorders>
          </w:tcPr>
          <w:p w14:paraId="24D22342" w14:textId="77777777" w:rsidR="00E32002" w:rsidRPr="005D05BB" w:rsidRDefault="00E32002" w:rsidP="008F456C">
            <w:pPr>
              <w:pStyle w:val="TableText0"/>
              <w:keepNext w:val="0"/>
              <w:widowControl w:val="0"/>
            </w:pPr>
            <w:r w:rsidRPr="005D05BB">
              <w:fldChar w:fldCharType="begin">
                <w:ffData>
                  <w:name w:val="Check3"/>
                  <w:enabled/>
                  <w:calcOnExit w:val="0"/>
                  <w:checkBox>
                    <w:sizeAuto/>
                    <w:default w:val="1"/>
                  </w:checkBox>
                </w:ffData>
              </w:fldChar>
            </w:r>
            <w:r w:rsidRPr="005D05BB">
              <w:instrText xml:space="preserve"> FORMCHECKBOX </w:instrText>
            </w:r>
            <w:r w:rsidR="00E515FB">
              <w:fldChar w:fldCharType="separate"/>
            </w:r>
            <w:r w:rsidRPr="005D05BB">
              <w:fldChar w:fldCharType="end"/>
            </w:r>
            <w:r w:rsidRPr="005D05BB">
              <w:t xml:space="preserve"> Authority Required – Telephone, Electronic, for First continuing treatment</w:t>
            </w:r>
            <w:r w:rsidRPr="005D05BB">
              <w:rPr>
                <w:vertAlign w:val="superscript"/>
              </w:rPr>
              <w:t>±</w:t>
            </w:r>
            <w:r w:rsidRPr="005D05BB">
              <w:t>.</w:t>
            </w:r>
          </w:p>
          <w:p w14:paraId="2C9F60A9" w14:textId="77777777" w:rsidR="00E32002" w:rsidRPr="005D05BB" w:rsidRDefault="00E32002" w:rsidP="008F456C">
            <w:pPr>
              <w:pStyle w:val="Tabletext"/>
              <w:rPr>
                <w:rFonts w:cs="Arial"/>
              </w:rPr>
            </w:pPr>
            <w:r w:rsidRPr="005D05BB">
              <w:fldChar w:fldCharType="begin">
                <w:ffData>
                  <w:name w:val="Check3"/>
                  <w:enabled/>
                  <w:calcOnExit w:val="0"/>
                  <w:checkBox>
                    <w:sizeAuto/>
                    <w:default w:val="1"/>
                  </w:checkBox>
                </w:ffData>
              </w:fldChar>
            </w:r>
            <w:r w:rsidRPr="005D05BB">
              <w:instrText xml:space="preserve"> FORMCHECKBOX </w:instrText>
            </w:r>
            <w:r w:rsidR="00E515FB">
              <w:fldChar w:fldCharType="separate"/>
            </w:r>
            <w:r w:rsidRPr="005D05BB">
              <w:fldChar w:fldCharType="end"/>
            </w:r>
            <w:r w:rsidRPr="005D05BB">
              <w:t xml:space="preserve"> Authority Required – Streamlined, for Subsequent continuing treatment</w:t>
            </w:r>
            <w:r w:rsidRPr="005D05BB">
              <w:rPr>
                <w:vertAlign w:val="superscript"/>
              </w:rPr>
              <w:t>±</w:t>
            </w:r>
            <w:r w:rsidRPr="005D05BB">
              <w:t>.</w:t>
            </w:r>
          </w:p>
        </w:tc>
      </w:tr>
      <w:tr w:rsidR="00E32002" w:rsidRPr="005D05BB" w14:paraId="5A207624" w14:textId="77777777" w:rsidTr="00D9102A">
        <w:trPr>
          <w:trHeight w:val="20"/>
        </w:trPr>
        <w:tc>
          <w:tcPr>
            <w:tcW w:w="1066" w:type="pct"/>
            <w:tcBorders>
              <w:top w:val="single" w:sz="4" w:space="0" w:color="auto"/>
              <w:left w:val="single" w:sz="4" w:space="0" w:color="auto"/>
              <w:bottom w:val="single" w:sz="4" w:space="0" w:color="auto"/>
              <w:right w:val="single" w:sz="4" w:space="0" w:color="auto"/>
            </w:tcBorders>
          </w:tcPr>
          <w:p w14:paraId="75374D61" w14:textId="77777777" w:rsidR="00E32002" w:rsidRPr="005D05BB" w:rsidRDefault="00E32002" w:rsidP="008F456C">
            <w:pPr>
              <w:pStyle w:val="Tabletext"/>
            </w:pPr>
            <w:r w:rsidRPr="005D05BB">
              <w:t>Treatment criteria:</w:t>
            </w:r>
          </w:p>
        </w:tc>
        <w:tc>
          <w:tcPr>
            <w:tcW w:w="3934" w:type="pct"/>
            <w:tcBorders>
              <w:top w:val="single" w:sz="4" w:space="0" w:color="auto"/>
              <w:left w:val="single" w:sz="4" w:space="0" w:color="auto"/>
              <w:bottom w:val="single" w:sz="4" w:space="0" w:color="auto"/>
              <w:right w:val="single" w:sz="4" w:space="0" w:color="auto"/>
            </w:tcBorders>
          </w:tcPr>
          <w:p w14:paraId="65A08523" w14:textId="77777777" w:rsidR="00E32002" w:rsidRPr="005D05BB" w:rsidRDefault="00E32002" w:rsidP="008F456C">
            <w:pPr>
              <w:pStyle w:val="Tabletext"/>
              <w:rPr>
                <w:rFonts w:cs="Arial"/>
              </w:rPr>
            </w:pPr>
            <w:r w:rsidRPr="005D05BB">
              <w:rPr>
                <w:szCs w:val="20"/>
              </w:rPr>
              <w:t>As for Initial Treatment.</w:t>
            </w:r>
          </w:p>
        </w:tc>
      </w:tr>
      <w:tr w:rsidR="00E32002" w:rsidRPr="005D05BB" w14:paraId="56D1C4C3" w14:textId="77777777" w:rsidTr="00D9102A">
        <w:trPr>
          <w:trHeight w:val="20"/>
        </w:trPr>
        <w:tc>
          <w:tcPr>
            <w:tcW w:w="1066" w:type="pct"/>
            <w:tcBorders>
              <w:top w:val="single" w:sz="4" w:space="0" w:color="auto"/>
              <w:left w:val="single" w:sz="4" w:space="0" w:color="auto"/>
              <w:bottom w:val="single" w:sz="4" w:space="0" w:color="auto"/>
              <w:right w:val="single" w:sz="4" w:space="0" w:color="auto"/>
            </w:tcBorders>
          </w:tcPr>
          <w:p w14:paraId="2A612888" w14:textId="77777777" w:rsidR="00E32002" w:rsidRPr="005D05BB" w:rsidRDefault="00E32002" w:rsidP="008F456C">
            <w:pPr>
              <w:pStyle w:val="Tabletext"/>
            </w:pPr>
            <w:r w:rsidRPr="005D05BB">
              <w:t>Clinical criteria:</w:t>
            </w:r>
          </w:p>
        </w:tc>
        <w:tc>
          <w:tcPr>
            <w:tcW w:w="3934" w:type="pct"/>
            <w:tcBorders>
              <w:top w:val="single" w:sz="4" w:space="0" w:color="auto"/>
              <w:left w:val="single" w:sz="4" w:space="0" w:color="auto"/>
              <w:bottom w:val="single" w:sz="4" w:space="0" w:color="auto"/>
              <w:right w:val="single" w:sz="4" w:space="0" w:color="auto"/>
            </w:tcBorders>
          </w:tcPr>
          <w:p w14:paraId="6C5CC0FF" w14:textId="77777777" w:rsidR="00E32002" w:rsidRPr="005D05BB" w:rsidRDefault="00386F7E" w:rsidP="008F456C">
            <w:pPr>
              <w:pStyle w:val="TableText0"/>
              <w:keepNext w:val="0"/>
              <w:widowControl w:val="0"/>
              <w:rPr>
                <w:rFonts w:cs="Arial"/>
              </w:rPr>
            </w:pPr>
            <w:r w:rsidRPr="005D05BB">
              <w:rPr>
                <w:rFonts w:cs="Arial"/>
              </w:rPr>
              <w:t xml:space="preserve">Restriction details for each indication </w:t>
            </w:r>
            <w:r w:rsidRPr="005D05BB">
              <w:rPr>
                <w:rFonts w:cs="Arial"/>
                <w:i/>
              </w:rPr>
              <w:t xml:space="preserve">were provided </w:t>
            </w:r>
            <w:r w:rsidRPr="005D05BB">
              <w:rPr>
                <w:rFonts w:cs="Arial"/>
              </w:rPr>
              <w:t xml:space="preserve">in </w:t>
            </w:r>
            <w:r w:rsidRPr="005D05BB">
              <w:rPr>
                <w:rFonts w:cs="Arial"/>
                <w:i/>
              </w:rPr>
              <w:t>an</w:t>
            </w:r>
            <w:r w:rsidRPr="005D05BB">
              <w:rPr>
                <w:rFonts w:cs="Arial"/>
              </w:rPr>
              <w:t xml:space="preserve"> attachment to the submission.</w:t>
            </w:r>
          </w:p>
          <w:p w14:paraId="3D64DD70" w14:textId="77777777" w:rsidR="00E32002" w:rsidRPr="005D05BB" w:rsidRDefault="00E32002" w:rsidP="008F456C">
            <w:pPr>
              <w:pStyle w:val="TableText0"/>
              <w:keepNext w:val="0"/>
              <w:widowControl w:val="0"/>
              <w:rPr>
                <w:rFonts w:cs="Arial"/>
              </w:rPr>
            </w:pPr>
          </w:p>
          <w:p w14:paraId="618FF39E" w14:textId="77777777" w:rsidR="00E32002" w:rsidRPr="005D05BB" w:rsidRDefault="00E32002" w:rsidP="008F456C">
            <w:pPr>
              <w:pStyle w:val="TableText0"/>
              <w:keepNext w:val="0"/>
              <w:widowControl w:val="0"/>
              <w:rPr>
                <w:rFonts w:cs="Arial"/>
                <w:b/>
                <w:u w:val="single"/>
              </w:rPr>
            </w:pPr>
            <w:r w:rsidRPr="005D05BB">
              <w:rPr>
                <w:rFonts w:cs="Arial"/>
                <w:b/>
                <w:u w:val="single"/>
              </w:rPr>
              <w:t>Common criteria for all indications</w:t>
            </w:r>
          </w:p>
          <w:p w14:paraId="6A81DDBF" w14:textId="77777777" w:rsidR="00E32002" w:rsidRPr="005D05BB" w:rsidRDefault="00E32002" w:rsidP="008F456C">
            <w:pPr>
              <w:pStyle w:val="KMC16-Tablecontent"/>
              <w:rPr>
                <w:lang w:val="en-AU"/>
              </w:rPr>
            </w:pPr>
            <w:r w:rsidRPr="005D05BB">
              <w:rPr>
                <w:bCs/>
                <w:lang w:val="en-AU"/>
              </w:rPr>
              <w:t>‘</w:t>
            </w:r>
            <w:r w:rsidRPr="005D05BB">
              <w:rPr>
                <w:lang w:val="en-AU"/>
              </w:rPr>
              <w:t>Patient must have demonstrated … an adequate response to treatment’,</w:t>
            </w:r>
          </w:p>
          <w:p w14:paraId="1324D111" w14:textId="77777777" w:rsidR="00E32002" w:rsidRPr="005D05BB" w:rsidRDefault="00E32002" w:rsidP="008F456C">
            <w:pPr>
              <w:pStyle w:val="KMC16-Tablecontent"/>
              <w:rPr>
                <w:lang w:val="en-AU"/>
              </w:rPr>
            </w:pPr>
            <w:r w:rsidRPr="005D05BB">
              <w:rPr>
                <w:lang w:val="en-AU"/>
              </w:rPr>
              <w:t>AND</w:t>
            </w:r>
          </w:p>
          <w:p w14:paraId="06752324" w14:textId="77777777" w:rsidR="00E32002" w:rsidRPr="005D05BB" w:rsidRDefault="00E32002" w:rsidP="008F456C">
            <w:pPr>
              <w:pStyle w:val="Tabletext"/>
              <w:rPr>
                <w:rFonts w:cs="Arial"/>
              </w:rPr>
            </w:pPr>
            <w:r w:rsidRPr="005D05BB">
              <w:t>‘Patient must not receive more than 24 weeks of treatment under this restriction.’</w:t>
            </w:r>
          </w:p>
        </w:tc>
      </w:tr>
      <w:tr w:rsidR="002E523E" w:rsidRPr="005D05BB" w14:paraId="3A67BE7F" w14:textId="77777777" w:rsidTr="00D9102A">
        <w:trPr>
          <w:trHeight w:val="20"/>
        </w:trPr>
        <w:tc>
          <w:tcPr>
            <w:tcW w:w="1066" w:type="pct"/>
            <w:tcBorders>
              <w:top w:val="single" w:sz="4" w:space="0" w:color="auto"/>
              <w:left w:val="single" w:sz="4" w:space="0" w:color="auto"/>
              <w:bottom w:val="single" w:sz="4" w:space="0" w:color="auto"/>
              <w:right w:val="single" w:sz="4" w:space="0" w:color="auto"/>
            </w:tcBorders>
          </w:tcPr>
          <w:p w14:paraId="48765EE1" w14:textId="77777777" w:rsidR="002E523E" w:rsidRPr="005D05BB" w:rsidRDefault="002E523E" w:rsidP="002E523E">
            <w:pPr>
              <w:pStyle w:val="Tabletext"/>
            </w:pPr>
            <w:r w:rsidRPr="005D05BB">
              <w:rPr>
                <w:b/>
              </w:rPr>
              <w:t>Administrative Advice:</w:t>
            </w:r>
          </w:p>
        </w:tc>
        <w:tc>
          <w:tcPr>
            <w:tcW w:w="3934" w:type="pct"/>
            <w:tcBorders>
              <w:top w:val="single" w:sz="4" w:space="0" w:color="auto"/>
              <w:left w:val="single" w:sz="4" w:space="0" w:color="auto"/>
              <w:bottom w:val="single" w:sz="4" w:space="0" w:color="auto"/>
              <w:right w:val="single" w:sz="4" w:space="0" w:color="auto"/>
            </w:tcBorders>
          </w:tcPr>
          <w:p w14:paraId="0022C91D" w14:textId="77777777" w:rsidR="002E523E" w:rsidRPr="005D05BB" w:rsidRDefault="002E523E" w:rsidP="002E523E">
            <w:pPr>
              <w:pStyle w:val="TableText0"/>
              <w:keepNext w:val="0"/>
              <w:widowControl w:val="0"/>
              <w:rPr>
                <w:strike/>
              </w:rPr>
            </w:pPr>
            <w:r w:rsidRPr="005D05BB">
              <w:rPr>
                <w:strike/>
              </w:rPr>
              <w:t>Note Biosimilar preferred prescribing policy</w:t>
            </w:r>
          </w:p>
          <w:p w14:paraId="518A1C2D" w14:textId="77777777" w:rsidR="002E523E" w:rsidRPr="005D05BB" w:rsidRDefault="002E523E" w:rsidP="002E523E">
            <w:pPr>
              <w:pStyle w:val="TableText0"/>
              <w:keepNext w:val="0"/>
              <w:widowControl w:val="0"/>
              <w:rPr>
                <w:rFonts w:cs="Arial"/>
              </w:rPr>
            </w:pPr>
            <w:r w:rsidRPr="005D05BB">
              <w:t>Note Prescribers must include the proprietary name (brand) on the prescription to ensure the appropriate item is approved.</w:t>
            </w:r>
          </w:p>
        </w:tc>
      </w:tr>
    </w:tbl>
    <w:p w14:paraId="3903CF53" w14:textId="77777777" w:rsidR="00E32002" w:rsidRPr="005D05BB" w:rsidRDefault="00E32002" w:rsidP="00E32002">
      <w:pPr>
        <w:pStyle w:val="TableFooter"/>
        <w:tabs>
          <w:tab w:val="left" w:pos="142"/>
        </w:tabs>
        <w:ind w:left="135" w:hanging="135"/>
      </w:pPr>
      <w:r w:rsidRPr="005D05BB">
        <w:t>*</w:t>
      </w:r>
      <w:r w:rsidRPr="005D05BB">
        <w:tab/>
        <w:t>Indications include: ankylosing spondylitis, complex refractory fistulising Crohn’s disease, moderate to severe ulcerative colitis and severe Crohn’s disease.</w:t>
      </w:r>
    </w:p>
    <w:p w14:paraId="62357E0A" w14:textId="77777777" w:rsidR="00E32002" w:rsidRPr="005D05BB" w:rsidRDefault="00E32002" w:rsidP="00E32002">
      <w:pPr>
        <w:pStyle w:val="TableFooter"/>
        <w:tabs>
          <w:tab w:val="left" w:pos="142"/>
        </w:tabs>
      </w:pPr>
      <w:r w:rsidRPr="005D05BB">
        <w:rPr>
          <w:vertAlign w:val="superscript"/>
        </w:rPr>
        <w:t>#</w:t>
      </w:r>
      <w:r w:rsidRPr="005D05BB">
        <w:rPr>
          <w:vertAlign w:val="superscript"/>
        </w:rPr>
        <w:tab/>
      </w:r>
      <w:r w:rsidRPr="005D05BB">
        <w:t>Indications include: severe active rheumatoid arthritis, severe chronic plaque psoriasis and severe psoriatic arthritis.</w:t>
      </w:r>
    </w:p>
    <w:p w14:paraId="39312C23" w14:textId="77777777" w:rsidR="00E32002" w:rsidRPr="005D05BB" w:rsidRDefault="00E32002" w:rsidP="00E32002">
      <w:pPr>
        <w:pStyle w:val="TableFooter"/>
        <w:tabs>
          <w:tab w:val="left" w:pos="142"/>
        </w:tabs>
      </w:pPr>
      <w:r w:rsidRPr="005D05BB">
        <w:t>^</w:t>
      </w:r>
      <w:r w:rsidRPr="005D05BB">
        <w:tab/>
        <w:t>‘First’ and ‘subsequent’ continuing treatment for all indications except ulcerative colitis</w:t>
      </w:r>
    </w:p>
    <w:p w14:paraId="2E7700C6" w14:textId="77777777" w:rsidR="00E32002" w:rsidRPr="005D05BB" w:rsidRDefault="00E32002" w:rsidP="00E32002">
      <w:pPr>
        <w:pStyle w:val="TableFigureFooter"/>
        <w:tabs>
          <w:tab w:val="left" w:pos="142"/>
        </w:tabs>
        <w:ind w:left="135" w:hanging="135"/>
      </w:pPr>
      <w:r w:rsidRPr="005D05BB">
        <w:t>+</w:t>
      </w:r>
      <w:r w:rsidRPr="005D05BB">
        <w:tab/>
        <w:t xml:space="preserve">Updated DPMQ. The submission requested a </w:t>
      </w:r>
      <w:r w:rsidRPr="003A6946">
        <w:t>Section 85 DPMQ of $</w:t>
      </w:r>
      <w:r w:rsidR="00921FA1">
        <w:rPr>
          <w:noProof/>
          <w:color w:val="000000"/>
          <w:highlight w:val="black"/>
        </w:rPr>
        <w:t xml:space="preserve">''''''''''''''' </w:t>
      </w:r>
      <w:r w:rsidRPr="003A6946">
        <w:t xml:space="preserve">assuming a wholesale </w:t>
      </w:r>
      <w:r w:rsidR="00B90D76" w:rsidRPr="003A6946">
        <w:t>mark-up</w:t>
      </w:r>
      <w:r w:rsidRPr="003A6946">
        <w:t xml:space="preserve"> of $</w:t>
      </w:r>
      <w:r w:rsidR="00921FA1">
        <w:rPr>
          <w:noProof/>
          <w:color w:val="000000"/>
          <w:highlight w:val="black"/>
        </w:rPr>
        <w:t xml:space="preserve">''''''''''''' </w:t>
      </w:r>
      <w:r w:rsidRPr="003A6946">
        <w:t>for AEMP &gt;$</w:t>
      </w:r>
      <w:r w:rsidR="00921FA1">
        <w:rPr>
          <w:noProof/>
          <w:color w:val="000000"/>
          <w:highlight w:val="black"/>
        </w:rPr>
        <w:t>''''''''''</w:t>
      </w:r>
      <w:r w:rsidRPr="003A6946">
        <w:t xml:space="preserve">; however, the current wholesale </w:t>
      </w:r>
      <w:r w:rsidR="00B90D76" w:rsidRPr="003A6946">
        <w:t>mark-up</w:t>
      </w:r>
      <w:r w:rsidRPr="003A6946">
        <w:t xml:space="preserve"> is </w:t>
      </w:r>
      <w:r w:rsidR="00921FA1">
        <w:rPr>
          <w:noProof/>
          <w:color w:val="000000"/>
          <w:highlight w:val="black"/>
        </w:rPr>
        <w:t>''''''''''</w:t>
      </w:r>
      <w:r w:rsidRPr="003A6946">
        <w:t>% for AEMP &lt;$</w:t>
      </w:r>
      <w:r w:rsidR="00921FA1">
        <w:rPr>
          <w:noProof/>
          <w:color w:val="000000"/>
          <w:highlight w:val="black"/>
        </w:rPr>
        <w:t>'''''''''''''''</w:t>
      </w:r>
      <w:r w:rsidRPr="003A6946">
        <w:t>, corresponding to a DPMQ of $</w:t>
      </w:r>
      <w:r w:rsidR="00921FA1">
        <w:rPr>
          <w:noProof/>
          <w:color w:val="000000"/>
          <w:highlight w:val="black"/>
        </w:rPr>
        <w:t>''''''''''''''''</w:t>
      </w:r>
      <w:r w:rsidR="000A0942" w:rsidRPr="003A6946">
        <w:t>. This</w:t>
      </w:r>
      <w:r w:rsidR="000A0942">
        <w:t xml:space="preserve"> was based on the mark-up applicable from 1 January 2021.</w:t>
      </w:r>
    </w:p>
    <w:p w14:paraId="26657F67" w14:textId="77777777" w:rsidR="00E32002" w:rsidRPr="005D05BB" w:rsidRDefault="00E32002" w:rsidP="00E32002">
      <w:pPr>
        <w:pStyle w:val="TableFigureFooter"/>
        <w:tabs>
          <w:tab w:val="left" w:pos="142"/>
        </w:tabs>
        <w:spacing w:after="0"/>
        <w:ind w:left="135" w:hanging="135"/>
      </w:pPr>
      <w:r w:rsidRPr="005D05BB">
        <w:rPr>
          <w:vertAlign w:val="superscript"/>
        </w:rPr>
        <w:t>±</w:t>
      </w:r>
      <w:r w:rsidRPr="005D05BB">
        <w:tab/>
        <w:t>No distinction between first and subsequent continuing treatment for ulcerative colitis, in-line with current PBS listing of IFX IV.</w:t>
      </w:r>
    </w:p>
    <w:p w14:paraId="1ED5533C" w14:textId="77777777" w:rsidR="002E523E" w:rsidRPr="005D05BB" w:rsidRDefault="002E523E" w:rsidP="00E32002">
      <w:pPr>
        <w:pStyle w:val="TableFigureFooter"/>
        <w:tabs>
          <w:tab w:val="left" w:pos="142"/>
        </w:tabs>
        <w:spacing w:after="0"/>
        <w:ind w:left="135" w:hanging="135"/>
      </w:pPr>
      <w:r w:rsidRPr="005D05BB">
        <w:t>Source: Attachment 2 to the submission (7 separate documents).</w:t>
      </w:r>
    </w:p>
    <w:p w14:paraId="78E6DCD7" w14:textId="77777777" w:rsidR="00E32002" w:rsidRPr="005D05BB" w:rsidRDefault="00E32002" w:rsidP="00E32002"/>
    <w:p w14:paraId="4BB31F36" w14:textId="77777777" w:rsidR="00E32002" w:rsidRPr="005D05BB" w:rsidRDefault="00E32002" w:rsidP="00B95E62">
      <w:pPr>
        <w:pStyle w:val="3-BodyText"/>
      </w:pPr>
      <w:r w:rsidRPr="005D05BB">
        <w:t xml:space="preserve">The </w:t>
      </w:r>
      <w:r w:rsidR="009D4578" w:rsidRPr="005D05BB">
        <w:t>S</w:t>
      </w:r>
      <w:r w:rsidRPr="005D05BB">
        <w:t>ponsor requested Section 85 and Section 100 Highly Specialised Drugs Program (HSDP) Authority Required (Telephone, Electronic; and Streamlined) listing for two formulations of IFX SC (</w:t>
      </w:r>
      <w:r w:rsidR="00377E25" w:rsidRPr="005D05BB">
        <w:t>Remsima</w:t>
      </w:r>
      <w:r w:rsidRPr="005D05BB">
        <w:t>), 12</w:t>
      </w:r>
      <w:r w:rsidR="000B0C55" w:rsidRPr="005D05BB">
        <w:t>0mg</w:t>
      </w:r>
      <w:r w:rsidRPr="005D05BB">
        <w:t xml:space="preserve"> pre-filled syringe and 12</w:t>
      </w:r>
      <w:r w:rsidR="000B0C55" w:rsidRPr="005D05BB">
        <w:t>0mg</w:t>
      </w:r>
      <w:r w:rsidRPr="005D05BB">
        <w:t xml:space="preserve"> pre-filled autoinjector pen, for and initial and continuing treatment of adult patients with RA, UC, AS, CD, RFCD, PsA and CPP</w:t>
      </w:r>
      <w:r w:rsidR="005D05BB">
        <w:t xml:space="preserve">. </w:t>
      </w:r>
      <w:r w:rsidR="00B95E62" w:rsidRPr="005D05BB">
        <w:rPr>
          <w:iCs/>
          <w:color w:val="000000" w:themeColor="text1"/>
        </w:rPr>
        <w:t xml:space="preserve">The Sponsor </w:t>
      </w:r>
      <w:r w:rsidR="00124B35" w:rsidRPr="005D05BB">
        <w:rPr>
          <w:iCs/>
          <w:color w:val="000000" w:themeColor="text1"/>
        </w:rPr>
        <w:t xml:space="preserve">stated </w:t>
      </w:r>
      <w:r w:rsidR="00B95E62" w:rsidRPr="005D05BB">
        <w:rPr>
          <w:iCs/>
          <w:color w:val="000000" w:themeColor="text1"/>
        </w:rPr>
        <w:t xml:space="preserve">in the </w:t>
      </w:r>
      <w:r w:rsidR="00BB7FA0">
        <w:rPr>
          <w:iCs/>
          <w:color w:val="000000" w:themeColor="text1"/>
        </w:rPr>
        <w:t>Pre-Sub-Committee Response (PSCR)</w:t>
      </w:r>
      <w:r w:rsidR="00B95E62" w:rsidRPr="005D05BB">
        <w:rPr>
          <w:iCs/>
          <w:color w:val="000000" w:themeColor="text1"/>
        </w:rPr>
        <w:t xml:space="preserve"> that difficult to treat patients are often seen in hospital settings and for these patients, IFX treatment is initiated during their hospital stay, which is an opportunity to provide (i) the required self-injection technique training for SC use and (ii) the IFX SC script</w:t>
      </w:r>
      <w:r w:rsidR="005D05BB">
        <w:rPr>
          <w:iCs/>
          <w:color w:val="000000" w:themeColor="text1"/>
        </w:rPr>
        <w:t xml:space="preserve">. </w:t>
      </w:r>
      <w:r w:rsidR="000A117B" w:rsidRPr="005D05BB">
        <w:rPr>
          <w:iCs/>
          <w:color w:val="000000" w:themeColor="text1"/>
        </w:rPr>
        <w:t xml:space="preserve">However, the PBAC considered that </w:t>
      </w:r>
      <w:r w:rsidR="00124B35" w:rsidRPr="005D05BB">
        <w:rPr>
          <w:iCs/>
          <w:color w:val="000000" w:themeColor="text1"/>
        </w:rPr>
        <w:t xml:space="preserve">only a Section 85 listing is warranted and noted that all other </w:t>
      </w:r>
      <w:r w:rsidR="00124B35" w:rsidRPr="005D05BB">
        <w:t xml:space="preserve">biologic disease-modifying </w:t>
      </w:r>
      <w:r w:rsidR="00F95372">
        <w:t>drugs (bDM</w:t>
      </w:r>
      <w:r w:rsidR="00124B35" w:rsidRPr="005D05BB">
        <w:t xml:space="preserve">Ds) </w:t>
      </w:r>
      <w:r w:rsidR="00124B35" w:rsidRPr="005D05BB">
        <w:rPr>
          <w:iCs/>
          <w:color w:val="000000" w:themeColor="text1"/>
        </w:rPr>
        <w:t>administered via SC injections on the PBS are listed under Section 85.</w:t>
      </w:r>
    </w:p>
    <w:p w14:paraId="31C1453E" w14:textId="77777777" w:rsidR="00E32002" w:rsidRPr="005D05BB" w:rsidRDefault="00E32002" w:rsidP="00E32002">
      <w:pPr>
        <w:pStyle w:val="3-BodyText"/>
      </w:pPr>
      <w:r w:rsidRPr="005D05BB">
        <w:t>The wording of the requested restrictions for IFX SC are similar to the corresponding restrictions for IFX IV, but it was assumed that the current PBS listings for IFX IV will enable the prescribing of the two IV loading doses required prior to IFX SC</w:t>
      </w:r>
      <w:r w:rsidR="005D05BB">
        <w:t xml:space="preserve">. </w:t>
      </w:r>
      <w:r w:rsidRPr="005D05BB">
        <w:rPr>
          <w:iCs/>
        </w:rPr>
        <w:t>The</w:t>
      </w:r>
      <w:r w:rsidR="000E6C28" w:rsidRPr="005D05BB">
        <w:rPr>
          <w:iCs/>
        </w:rPr>
        <w:t xml:space="preserve"> PBAC </w:t>
      </w:r>
      <w:r w:rsidR="000E6C28" w:rsidRPr="005D05BB">
        <w:rPr>
          <w:iCs/>
        </w:rPr>
        <w:lastRenderedPageBreak/>
        <w:t>noted that the</w:t>
      </w:r>
      <w:r w:rsidRPr="005D05BB">
        <w:rPr>
          <w:iCs/>
        </w:rPr>
        <w:t xml:space="preserve"> wording of the current IFX IV restrictions may need to be amended to permit these loading doses.</w:t>
      </w:r>
    </w:p>
    <w:p w14:paraId="5E8A2135" w14:textId="77777777" w:rsidR="0020206C" w:rsidRPr="005D05BB" w:rsidRDefault="002F0F4E" w:rsidP="00600FD1">
      <w:pPr>
        <w:pStyle w:val="3-BodyText"/>
      </w:pPr>
      <w:r w:rsidRPr="005D05BB">
        <w:t xml:space="preserve">The </w:t>
      </w:r>
      <w:r w:rsidR="009D4578" w:rsidRPr="005D05BB">
        <w:t>S</w:t>
      </w:r>
      <w:r w:rsidRPr="005D05BB">
        <w:t xml:space="preserve">ponsor requested </w:t>
      </w:r>
      <w:r w:rsidR="002E523E" w:rsidRPr="005D05BB">
        <w:t>Authority Required – Streamlined listing for subsequent continuing treatment (or ‘continuing treatment’ in UC), consistent with biosimilar brands of IFX IV and in line with the biosimilar preferred prescribing policy</w:t>
      </w:r>
      <w:r w:rsidR="005D05BB">
        <w:t xml:space="preserve">. </w:t>
      </w:r>
      <w:r w:rsidR="00245C04" w:rsidRPr="005D05BB">
        <w:t>The Sponsor stated in the PSCR that their request for listing is “in accordance with the Government’s Biosimilar Uptake Drivers for IFX (November 2019) and expects IFX SC to form part of the Price Disclosure data collection, alongside Remicade, Inflectra and Renflexis® (as all contain the same drug and have the same administration by “injection”)”</w:t>
      </w:r>
      <w:r w:rsidR="005D05BB">
        <w:t xml:space="preserve">. </w:t>
      </w:r>
      <w:r w:rsidR="00245C04" w:rsidRPr="005D05BB">
        <w:t xml:space="preserve">The PSCR also argued </w:t>
      </w:r>
      <w:r w:rsidR="00245C04" w:rsidRPr="005D05BB">
        <w:rPr>
          <w:iCs/>
        </w:rPr>
        <w:t>that “the Note relating to Biosimilar preferred prescribing policy should remain.”</w:t>
      </w:r>
      <w:r w:rsidR="00245C04" w:rsidRPr="005D05BB">
        <w:t xml:space="preserve"> </w:t>
      </w:r>
      <w:r w:rsidR="005A6DA2" w:rsidRPr="005D05BB">
        <w:t>The ESC noted that i</w:t>
      </w:r>
      <w:r w:rsidR="00245C04" w:rsidRPr="005D05BB">
        <w:t xml:space="preserve">f IFX SC is recommended for listing, it would have </w:t>
      </w:r>
      <w:r w:rsidR="0064117C">
        <w:t xml:space="preserve">a separate item number because </w:t>
      </w:r>
      <w:r w:rsidR="00245C04" w:rsidRPr="005D05BB">
        <w:t>it has a different route of administration, and biosimilar policy would not apply in this case</w:t>
      </w:r>
      <w:r w:rsidR="005D05BB">
        <w:t xml:space="preserve">. </w:t>
      </w:r>
      <w:r w:rsidR="00245C04" w:rsidRPr="005D05BB">
        <w:rPr>
          <w:iCs/>
        </w:rPr>
        <w:t>Therefore</w:t>
      </w:r>
      <w:r w:rsidR="002E523E" w:rsidRPr="005D05BB">
        <w:rPr>
          <w:iCs/>
        </w:rPr>
        <w:t>, the administrative advice in the requested restriction noting ‘Biosimilar preferred prescribing policy’ should be deleted and the requested Streamlined listings may not be appropriate</w:t>
      </w:r>
      <w:r w:rsidR="005D05BB">
        <w:rPr>
          <w:iCs/>
        </w:rPr>
        <w:t xml:space="preserve">. </w:t>
      </w:r>
      <w:r w:rsidR="00E308CE" w:rsidRPr="005D05BB">
        <w:rPr>
          <w:iCs/>
        </w:rPr>
        <w:t xml:space="preserve">The Sponsor further stated in the pre-PBAC response that </w:t>
      </w:r>
      <w:r w:rsidR="00E308CE" w:rsidRPr="005D05BB">
        <w:t>listing IFX SC and IFX IV with different Authority levels would be confusing and unnecessarily burdensome for prescribers.</w:t>
      </w:r>
      <w:r w:rsidR="00E308CE" w:rsidRPr="005D05BB">
        <w:rPr>
          <w:iCs/>
        </w:rPr>
        <w:t xml:space="preserve"> The PBAC agreed with the ESC</w:t>
      </w:r>
      <w:r w:rsidR="00177F80" w:rsidRPr="005D05BB">
        <w:rPr>
          <w:iCs/>
        </w:rPr>
        <w:t xml:space="preserve"> that the</w:t>
      </w:r>
      <w:r w:rsidR="00E308CE" w:rsidRPr="005D05BB">
        <w:rPr>
          <w:iCs/>
        </w:rPr>
        <w:t xml:space="preserve"> </w:t>
      </w:r>
      <w:r w:rsidR="00177F80" w:rsidRPr="005D05BB">
        <w:rPr>
          <w:iCs/>
        </w:rPr>
        <w:t>premise of biosimilarity for the purposes of PBS listing is</w:t>
      </w:r>
      <w:r w:rsidR="00402778" w:rsidRPr="005D05BB">
        <w:rPr>
          <w:iCs/>
        </w:rPr>
        <w:t xml:space="preserve"> flawed</w:t>
      </w:r>
      <w:r w:rsidR="00177F80" w:rsidRPr="005D05BB">
        <w:rPr>
          <w:iCs/>
        </w:rPr>
        <w:t xml:space="preserve"> given the different routes of administration, </w:t>
      </w:r>
      <w:r w:rsidR="00600FD1" w:rsidRPr="005D05BB">
        <w:rPr>
          <w:iCs/>
        </w:rPr>
        <w:t>where</w:t>
      </w:r>
      <w:r w:rsidR="00177F80" w:rsidRPr="005D05BB">
        <w:rPr>
          <w:iCs/>
        </w:rPr>
        <w:t xml:space="preserve"> IFX SC </w:t>
      </w:r>
      <w:r w:rsidR="00365380" w:rsidRPr="005D05BB">
        <w:rPr>
          <w:iCs/>
        </w:rPr>
        <w:t>is</w:t>
      </w:r>
      <w:r w:rsidR="00177F80" w:rsidRPr="005D05BB">
        <w:rPr>
          <w:iCs/>
        </w:rPr>
        <w:t xml:space="preserve"> fixed dose and IFX IV </w:t>
      </w:r>
      <w:r w:rsidR="00365380" w:rsidRPr="005D05BB">
        <w:rPr>
          <w:iCs/>
        </w:rPr>
        <w:t>is</w:t>
      </w:r>
      <w:r w:rsidR="00177F80" w:rsidRPr="005D05BB">
        <w:rPr>
          <w:iCs/>
        </w:rPr>
        <w:t xml:space="preserve"> weight-based dosing, and there is evidence of different pharmacokinetic profiles. The PBAC considered that </w:t>
      </w:r>
      <w:r w:rsidR="00402778" w:rsidRPr="005D05BB">
        <w:rPr>
          <w:iCs/>
        </w:rPr>
        <w:t>restrictions</w:t>
      </w:r>
      <w:r w:rsidR="00177F80" w:rsidRPr="005D05BB">
        <w:rPr>
          <w:iCs/>
        </w:rPr>
        <w:t xml:space="preserve"> for IFX SC should not</w:t>
      </w:r>
      <w:r w:rsidR="00402778" w:rsidRPr="005D05BB">
        <w:rPr>
          <w:iCs/>
        </w:rPr>
        <w:t xml:space="preserve"> be based on biosimilar policy but consistency with other SC</w:t>
      </w:r>
      <w:r w:rsidR="00177F80" w:rsidRPr="005D05BB">
        <w:rPr>
          <w:iCs/>
        </w:rPr>
        <w:t xml:space="preserve"> agents</w:t>
      </w:r>
      <w:r w:rsidR="00402778" w:rsidRPr="005D05BB">
        <w:rPr>
          <w:iCs/>
        </w:rPr>
        <w:t xml:space="preserve"> and/or similar indications</w:t>
      </w:r>
      <w:r w:rsidR="00600FD1" w:rsidRPr="005D05BB">
        <w:rPr>
          <w:iCs/>
        </w:rPr>
        <w:t>.</w:t>
      </w:r>
    </w:p>
    <w:p w14:paraId="7428C53E" w14:textId="77777777" w:rsidR="00E32002" w:rsidRPr="005D05BB" w:rsidRDefault="00E32002" w:rsidP="00E32002">
      <w:pPr>
        <w:pStyle w:val="3-BodyText"/>
      </w:pPr>
      <w:r w:rsidRPr="005D05BB">
        <w:t xml:space="preserve">For initial treatment, patients receive 6 weeks of IFX IV (two infusions at Week 0 and Week 2 with IV </w:t>
      </w:r>
      <w:r w:rsidR="000B0C55" w:rsidRPr="005D05BB">
        <w:t>3 mg/kg</w:t>
      </w:r>
      <w:r w:rsidRPr="005D05BB">
        <w:t xml:space="preserve"> or </w:t>
      </w:r>
      <w:r w:rsidR="000B0C55" w:rsidRPr="005D05BB">
        <w:t>5 mg/kg</w:t>
      </w:r>
      <w:r w:rsidRPr="005D05BB">
        <w:t xml:space="preserve"> depending on the indication), before becoming eligible for treatment with IFX SC</w:t>
      </w:r>
      <w:r w:rsidR="005D05BB">
        <w:t xml:space="preserve">. </w:t>
      </w:r>
      <w:r w:rsidRPr="005D05BB">
        <w:t>The requested maximum quantities of IFX SC then provide for a total of 18 weeks or 22 weeks of initial treatment with IFX depending on the indication</w:t>
      </w:r>
      <w:r w:rsidR="005D05BB">
        <w:t xml:space="preserve">. </w:t>
      </w:r>
      <w:r w:rsidRPr="005D05BB">
        <w:rPr>
          <w:iCs/>
        </w:rPr>
        <w:t>The stated maximum durations for initial treatment with IFX SC (i.e. ‘12 weeks’ and ‘16 weeks’) do not include the first 6 weeks of treatment with IFX IV.</w:t>
      </w:r>
    </w:p>
    <w:p w14:paraId="5B23D74E" w14:textId="77777777" w:rsidR="002805CA" w:rsidRPr="005D05BB" w:rsidRDefault="002805CA" w:rsidP="00E32002">
      <w:pPr>
        <w:pStyle w:val="3-BodyText"/>
      </w:pPr>
      <w:r w:rsidRPr="005D05BB">
        <w:t>The PBAC noted that for the CPP, AS, RA and PsA, indications, the Initial 1 restriction stating: ‘Patient must not have received PBS-subsidised treatment with a biological medicine for this condition’ should be removed since patients would already have received IFX IV.</w:t>
      </w:r>
    </w:p>
    <w:p w14:paraId="0907A7E0" w14:textId="77777777" w:rsidR="00E32002" w:rsidRPr="005D05BB" w:rsidRDefault="00E32002" w:rsidP="00FB3BB0">
      <w:pPr>
        <w:pStyle w:val="3-BodyText"/>
        <w:rPr>
          <w:iCs/>
        </w:rPr>
      </w:pPr>
      <w:r w:rsidRPr="005D05BB">
        <w:rPr>
          <w:iCs/>
          <w:color w:val="000000" w:themeColor="text1"/>
        </w:rPr>
        <w:t xml:space="preserve">For RA, CPP and PsA, patients treated with IFX SC will receive </w:t>
      </w:r>
      <w:r w:rsidRPr="005D05BB">
        <w:rPr>
          <w:iCs/>
        </w:rPr>
        <w:t>a maximum of 22 weeks of initial treatment, which is consistent with the current listing of IFX IV for these indications</w:t>
      </w:r>
      <w:r w:rsidR="005D05BB">
        <w:rPr>
          <w:iCs/>
        </w:rPr>
        <w:t xml:space="preserve">. </w:t>
      </w:r>
      <w:r w:rsidRPr="005D05BB">
        <w:rPr>
          <w:iCs/>
        </w:rPr>
        <w:t>For AS, CD, RFCD and UC, patients treated with IFX SC will receive a maximum of 18 weeks of initial treatment, which is consistent with the current listing of IFX IV in AS, but provides for an additional 4 weeks of initial treatment in CD, RFCD and UC (maximum of ‘3 doses’ or ‘14 weeks’)</w:t>
      </w:r>
      <w:r w:rsidR="005D05BB">
        <w:rPr>
          <w:iCs/>
        </w:rPr>
        <w:t xml:space="preserve">. </w:t>
      </w:r>
      <w:r w:rsidR="00CC6D77" w:rsidRPr="005D05BB">
        <w:rPr>
          <w:iCs/>
        </w:rPr>
        <w:t>The ESC noted that t</w:t>
      </w:r>
      <w:r w:rsidRPr="005D05BB">
        <w:rPr>
          <w:iCs/>
        </w:rPr>
        <w:t>he submission did not provide any justification for the additional 4 weeks of initial treatment with IFX SC in CD, RFCD and UC</w:t>
      </w:r>
      <w:r w:rsidR="005D05BB">
        <w:rPr>
          <w:iCs/>
        </w:rPr>
        <w:t xml:space="preserve">. </w:t>
      </w:r>
      <w:r w:rsidR="007701E6" w:rsidRPr="005D05BB">
        <w:rPr>
          <w:iCs/>
        </w:rPr>
        <w:t xml:space="preserve">The PBAC considered that the maximum duration of initial </w:t>
      </w:r>
      <w:r w:rsidR="007701E6" w:rsidRPr="005D05BB">
        <w:rPr>
          <w:iCs/>
        </w:rPr>
        <w:lastRenderedPageBreak/>
        <w:t>treatment for IFX SC should be consistent with established maximums for IFX IV for all indications.</w:t>
      </w:r>
    </w:p>
    <w:p w14:paraId="05BFFC5E" w14:textId="77777777" w:rsidR="00C0697E" w:rsidRPr="005D05BB" w:rsidRDefault="00C0697E" w:rsidP="00FB3BB0">
      <w:pPr>
        <w:pStyle w:val="3-BodyText"/>
        <w:rPr>
          <w:iCs/>
        </w:rPr>
      </w:pPr>
      <w:r w:rsidRPr="005D05BB">
        <w:t xml:space="preserve">The PBAC advised that the </w:t>
      </w:r>
      <w:r w:rsidRPr="005D05BB">
        <w:rPr>
          <w:rFonts w:cstheme="minorHAnsi"/>
        </w:rPr>
        <w:t>IFX SC restrictions should have an</w:t>
      </w:r>
      <w:r w:rsidRPr="005D05BB">
        <w:t xml:space="preserve"> initial SC restriction that allow transition from IV to SC at Week 6 onwards until assessment from Week 12, and a </w:t>
      </w:r>
      <w:r w:rsidR="00F736AA" w:rsidRPr="005D05BB">
        <w:t>Balance of S</w:t>
      </w:r>
      <w:r w:rsidRPr="005D05BB">
        <w:t>upply (to initial SC and continuing SC) to complete what is required for each indication. A continuing restriction will also be required, as the ‘first and subsequent’ continuing restriction will not be applicable here.</w:t>
      </w:r>
    </w:p>
    <w:p w14:paraId="31415A45" w14:textId="77777777" w:rsidR="00932CB2" w:rsidRPr="005D05BB" w:rsidRDefault="00932CB2" w:rsidP="00FB3BB0">
      <w:pPr>
        <w:pStyle w:val="3-BodyText"/>
        <w:rPr>
          <w:iCs/>
        </w:rPr>
      </w:pPr>
      <w:r w:rsidRPr="005D05BB">
        <w:t>The PBAC agreed with the Sponsor that the evaluation of response should remain the same as for IFX IV (even though in the PI the recommended time to response differs for some indications), in line with precedence set by IFX IV and other TNFαs.</w:t>
      </w:r>
    </w:p>
    <w:p w14:paraId="3330E4C8" w14:textId="77777777" w:rsidR="00EE34FE" w:rsidRPr="005D05BB" w:rsidRDefault="00E32002" w:rsidP="0094684D">
      <w:pPr>
        <w:pStyle w:val="3-BodyText"/>
      </w:pPr>
      <w:r w:rsidRPr="005D05BB">
        <w:t>For continuing treatment in all indications (for patients who respond to treatment continuation criteria), the requested maximum quantities provide up to 24 weeks of treatment</w:t>
      </w:r>
      <w:r w:rsidR="005D05BB">
        <w:t xml:space="preserve">. </w:t>
      </w:r>
      <w:r w:rsidRPr="005D05BB">
        <w:rPr>
          <w:iCs/>
        </w:rPr>
        <w:t>This is consistent with the current listing of IFX IV in all requested indications.</w:t>
      </w:r>
    </w:p>
    <w:p w14:paraId="75C58CB8" w14:textId="77777777" w:rsidR="00D268B7" w:rsidRPr="005D05BB" w:rsidRDefault="00D268B7" w:rsidP="0094684D">
      <w:pPr>
        <w:pStyle w:val="3-BodyText"/>
      </w:pPr>
      <w:r w:rsidRPr="005D05BB">
        <w:t xml:space="preserve">The PBAC agreed with the ESC that re-induction after a treatment break should not be required, whereas the </w:t>
      </w:r>
      <w:r w:rsidR="00F736AA" w:rsidRPr="005D05BB">
        <w:t xml:space="preserve">requested </w:t>
      </w:r>
      <w:r w:rsidRPr="005D05BB">
        <w:t>restriction assumes SC is pre-dated by 2 doses of IV</w:t>
      </w:r>
      <w:r w:rsidR="005D05BB">
        <w:t xml:space="preserve">. </w:t>
      </w:r>
      <w:r w:rsidRPr="005D05BB">
        <w:t>The PBAC advised that the restriction should be consistent with the PI in allowing resumption after treatment break without re-induction.</w:t>
      </w:r>
    </w:p>
    <w:p w14:paraId="36B4544C" w14:textId="77777777" w:rsidR="00C94EB8" w:rsidRPr="005D05BB" w:rsidRDefault="00C94EB8" w:rsidP="0094684D">
      <w:pPr>
        <w:pStyle w:val="3-BodyText"/>
      </w:pPr>
      <w:r w:rsidRPr="005D05BB">
        <w:t>The PBAC considered that existing IFX patients who have received more than 2 IV doses should be allowed to switch to IFX SC, and the limitation of patients receiving only 2 doses of IFX IV before switching to IFX SC should be resolved in the restriction.</w:t>
      </w:r>
    </w:p>
    <w:p w14:paraId="3F12BF5A" w14:textId="77777777" w:rsidR="00584EA5" w:rsidRPr="005D05BB" w:rsidRDefault="00495B5B" w:rsidP="00584EA5">
      <w:pPr>
        <w:pStyle w:val="3-BodyText"/>
      </w:pPr>
      <w:r w:rsidRPr="005D05BB">
        <w:t>In general, t</w:t>
      </w:r>
      <w:r w:rsidR="0098532B" w:rsidRPr="005D05BB">
        <w:t>he PBAC considered that the listing for IFX SC should show alignment to the current concepts of initiation, continuation, balance of supply</w:t>
      </w:r>
      <w:r w:rsidR="00402778" w:rsidRPr="005D05BB">
        <w:t xml:space="preserve"> for IFX IV,</w:t>
      </w:r>
      <w:r w:rsidR="0098532B" w:rsidRPr="005D05BB">
        <w:t xml:space="preserve"> and ensure assessment at </w:t>
      </w:r>
      <w:r w:rsidR="008D2A53" w:rsidRPr="005D05BB">
        <w:t>p</w:t>
      </w:r>
      <w:r w:rsidR="00C0697E" w:rsidRPr="005D05BB">
        <w:t xml:space="preserve">recedented </w:t>
      </w:r>
      <w:r w:rsidR="00B90D76" w:rsidRPr="005D05BB">
        <w:t>time points</w:t>
      </w:r>
      <w:r w:rsidR="00C0697E" w:rsidRPr="005D05BB">
        <w:t>.</w:t>
      </w:r>
    </w:p>
    <w:p w14:paraId="4D43AE12" w14:textId="77777777" w:rsidR="00402778" w:rsidRPr="005D05BB" w:rsidRDefault="00584EA5" w:rsidP="00584EA5">
      <w:pPr>
        <w:pStyle w:val="3-BodyText"/>
      </w:pPr>
      <w:r w:rsidRPr="005D05BB">
        <w:t xml:space="preserve">The PBAC noted that the fixed </w:t>
      </w:r>
      <w:r w:rsidR="00CE6070" w:rsidRPr="005D05BB">
        <w:t>SC</w:t>
      </w:r>
      <w:r w:rsidRPr="005D05BB">
        <w:t xml:space="preserve"> dose</w:t>
      </w:r>
      <w:r w:rsidR="00CE6070" w:rsidRPr="005D05BB">
        <w:t xml:space="preserve"> limi</w:t>
      </w:r>
      <w:r w:rsidRPr="005D05BB">
        <w:t>ts dose flexibility available with IFX</w:t>
      </w:r>
      <w:r w:rsidR="00CE6070" w:rsidRPr="005D05BB">
        <w:t xml:space="preserve"> IV: IFX is given every 6 (A</w:t>
      </w:r>
      <w:r w:rsidRPr="005D05BB">
        <w:t>S) or 8 weeks at a dose of 3 mg/</w:t>
      </w:r>
      <w:r w:rsidR="00CE6070" w:rsidRPr="005D05BB">
        <w:t>kg for RA and 5 mg/kg for all other indications</w:t>
      </w:r>
      <w:r w:rsidR="005D05BB">
        <w:t xml:space="preserve">. </w:t>
      </w:r>
      <w:r w:rsidRPr="005D05BB">
        <w:t xml:space="preserve">Since </w:t>
      </w:r>
      <w:r w:rsidR="00CE6070" w:rsidRPr="005D05BB">
        <w:t xml:space="preserve">IFX IV can be titrated from 1.5 mg/kg to 7.5 mg/kg for RA, and dose adjustments can be made up to 10 mg/kg for </w:t>
      </w:r>
      <w:r w:rsidRPr="005D05BB">
        <w:t xml:space="preserve">CD and RFCD, </w:t>
      </w:r>
      <w:r w:rsidR="00CE6070" w:rsidRPr="005D05BB">
        <w:t>some patients may need to stay on</w:t>
      </w:r>
      <w:r w:rsidRPr="005D05BB">
        <w:t xml:space="preserve"> IFX</w:t>
      </w:r>
      <w:r w:rsidR="00CE6070" w:rsidRPr="005D05BB">
        <w:t xml:space="preserve"> IV</w:t>
      </w:r>
      <w:r w:rsidRPr="005D05BB">
        <w:t xml:space="preserve"> to retain dose flexibility.</w:t>
      </w:r>
    </w:p>
    <w:p w14:paraId="3879C23B" w14:textId="77777777" w:rsidR="000222A2" w:rsidRPr="005D05BB" w:rsidRDefault="000222A2" w:rsidP="000222A2">
      <w:pPr>
        <w:pStyle w:val="3-BodyText"/>
        <w:numPr>
          <w:ilvl w:val="0"/>
          <w:numId w:val="0"/>
        </w:numPr>
        <w:ind w:left="720"/>
      </w:pPr>
      <w:r w:rsidRPr="005D05BB">
        <w:rPr>
          <w:i/>
        </w:rPr>
        <w:t>For more detail on PBAC’s view, see section 7 PBAC outcome.</w:t>
      </w:r>
    </w:p>
    <w:p w14:paraId="321D152C" w14:textId="77777777" w:rsidR="00E32002" w:rsidRPr="005D05BB" w:rsidRDefault="00E32002" w:rsidP="00E32002">
      <w:pPr>
        <w:pStyle w:val="2-SectionHeading"/>
        <w:numPr>
          <w:ilvl w:val="0"/>
          <w:numId w:val="1"/>
        </w:numPr>
      </w:pPr>
      <w:bookmarkStart w:id="8" w:name="_Toc50709840"/>
      <w:r w:rsidRPr="005D05BB">
        <w:t>Population and disease</w:t>
      </w:r>
      <w:bookmarkEnd w:id="8"/>
    </w:p>
    <w:p w14:paraId="20C1F441" w14:textId="77777777" w:rsidR="00E32002" w:rsidRPr="005D05BB" w:rsidRDefault="00E32002" w:rsidP="00E32002">
      <w:pPr>
        <w:pStyle w:val="3-BodyText"/>
      </w:pPr>
      <w:bookmarkStart w:id="9" w:name="_Hlk49933379"/>
      <w:r w:rsidRPr="005D05BB">
        <w:t>The proposed indications for IFX SC include:</w:t>
      </w:r>
    </w:p>
    <w:bookmarkEnd w:id="9"/>
    <w:p w14:paraId="4BC42F17"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u w:val="single"/>
        </w:rPr>
        <w:t>RA</w:t>
      </w:r>
      <w:r w:rsidR="002F72EF" w:rsidRPr="005D05BB">
        <w:rPr>
          <w:rFonts w:asciiTheme="minorHAnsi" w:hAnsiTheme="minorHAnsi"/>
          <w:snapToGrid w:val="0"/>
        </w:rPr>
        <w:t xml:space="preserve">, </w:t>
      </w:r>
      <w:r w:rsidRPr="005D05BB">
        <w:rPr>
          <w:rFonts w:asciiTheme="minorHAnsi" w:hAnsiTheme="minorHAnsi"/>
          <w:snapToGrid w:val="0"/>
        </w:rPr>
        <w:t>an autoimmune disease caused by chronic inflammation</w:t>
      </w:r>
      <w:r w:rsidR="005D05BB">
        <w:rPr>
          <w:rFonts w:asciiTheme="minorHAnsi" w:hAnsiTheme="minorHAnsi"/>
          <w:snapToGrid w:val="0"/>
        </w:rPr>
        <w:t xml:space="preserve">. </w:t>
      </w:r>
      <w:r w:rsidRPr="005D05BB">
        <w:rPr>
          <w:rFonts w:asciiTheme="minorHAnsi" w:hAnsiTheme="minorHAnsi"/>
          <w:snapToGrid w:val="0"/>
        </w:rPr>
        <w:t>Typical features of RA include deformities of the fingers and toes.</w:t>
      </w:r>
    </w:p>
    <w:p w14:paraId="404F5827"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u w:val="single"/>
        </w:rPr>
        <w:lastRenderedPageBreak/>
        <w:t>AS</w:t>
      </w:r>
      <w:r w:rsidRPr="005D05BB">
        <w:rPr>
          <w:rFonts w:asciiTheme="minorHAnsi" w:hAnsiTheme="minorHAnsi"/>
          <w:snapToGrid w:val="0"/>
        </w:rPr>
        <w:t xml:space="preserve"> (or radiographic axial spondyloarthritis)</w:t>
      </w:r>
      <w:r w:rsidR="002F72EF" w:rsidRPr="005D05BB">
        <w:rPr>
          <w:rFonts w:asciiTheme="minorHAnsi" w:hAnsiTheme="minorHAnsi"/>
          <w:snapToGrid w:val="0"/>
        </w:rPr>
        <w:t xml:space="preserve">, </w:t>
      </w:r>
      <w:r w:rsidRPr="005D05BB">
        <w:rPr>
          <w:rFonts w:asciiTheme="minorHAnsi" w:hAnsiTheme="minorHAnsi"/>
          <w:snapToGrid w:val="0"/>
        </w:rPr>
        <w:t>characterised by inflammation of the spine and sacroiliac joints, with inflammation and damage mainly occurring at entheses, the connective tissue between bones and ligaments or tendons.</w:t>
      </w:r>
    </w:p>
    <w:p w14:paraId="3EF59EFE"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u w:val="single"/>
        </w:rPr>
        <w:t>PsA</w:t>
      </w:r>
      <w:r w:rsidR="002F72EF" w:rsidRPr="005D05BB">
        <w:rPr>
          <w:rFonts w:asciiTheme="minorHAnsi" w:hAnsiTheme="minorHAnsi"/>
          <w:snapToGrid w:val="0"/>
        </w:rPr>
        <w:t xml:space="preserve">, </w:t>
      </w:r>
      <w:r w:rsidRPr="005D05BB">
        <w:rPr>
          <w:rFonts w:asciiTheme="minorHAnsi" w:hAnsiTheme="minorHAnsi"/>
          <w:snapToGrid w:val="0"/>
        </w:rPr>
        <w:t>an inflammatory musculoskeletal disease associated with psoriasis, which affects multiple organs including peripheral and axial joints, entheses, skin and nails and is associated with comorbidities</w:t>
      </w:r>
      <w:r w:rsidRPr="005D05BB">
        <w:t xml:space="preserve"> </w:t>
      </w:r>
      <w:r w:rsidRPr="005D05BB">
        <w:rPr>
          <w:rFonts w:asciiTheme="minorHAnsi" w:hAnsiTheme="minorHAnsi"/>
          <w:snapToGrid w:val="0"/>
        </w:rPr>
        <w:t>such as osteoporosis and subclinical bowel inflammation.</w:t>
      </w:r>
    </w:p>
    <w:p w14:paraId="6FE15368"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u w:val="single"/>
        </w:rPr>
        <w:t>CPP</w:t>
      </w:r>
      <w:r w:rsidR="002F72EF" w:rsidRPr="005D05BB">
        <w:rPr>
          <w:rFonts w:asciiTheme="minorHAnsi" w:hAnsiTheme="minorHAnsi"/>
          <w:snapToGrid w:val="0"/>
        </w:rPr>
        <w:t xml:space="preserve">, </w:t>
      </w:r>
      <w:r w:rsidRPr="005D05BB">
        <w:rPr>
          <w:rFonts w:asciiTheme="minorHAnsi" w:hAnsiTheme="minorHAnsi"/>
          <w:snapToGrid w:val="0"/>
        </w:rPr>
        <w:t>a chronic inflammatory skin disease characterised by plaque type lesions and is associated with multiple comorbidities including</w:t>
      </w:r>
      <w:r w:rsidR="00BD3F18" w:rsidRPr="005D05BB">
        <w:rPr>
          <w:rFonts w:asciiTheme="minorHAnsi" w:hAnsiTheme="minorHAnsi"/>
          <w:snapToGrid w:val="0"/>
        </w:rPr>
        <w:t xml:space="preserve"> irritable bowel disease (</w:t>
      </w:r>
      <w:r w:rsidRPr="005D05BB">
        <w:rPr>
          <w:rFonts w:asciiTheme="minorHAnsi" w:hAnsiTheme="minorHAnsi"/>
          <w:snapToGrid w:val="0"/>
        </w:rPr>
        <w:t>IBD</w:t>
      </w:r>
      <w:r w:rsidR="00BD3F18" w:rsidRPr="005D05BB">
        <w:rPr>
          <w:rFonts w:asciiTheme="minorHAnsi" w:hAnsiTheme="minorHAnsi"/>
          <w:snapToGrid w:val="0"/>
        </w:rPr>
        <w:t>)</w:t>
      </w:r>
      <w:r w:rsidRPr="005D05BB">
        <w:rPr>
          <w:rFonts w:asciiTheme="minorHAnsi" w:hAnsiTheme="minorHAnsi"/>
          <w:snapToGrid w:val="0"/>
        </w:rPr>
        <w:t>.</w:t>
      </w:r>
    </w:p>
    <w:p w14:paraId="3249B485" w14:textId="77777777" w:rsidR="00E32002" w:rsidRPr="005D05BB" w:rsidRDefault="00E32002" w:rsidP="00D432E3">
      <w:pPr>
        <w:numPr>
          <w:ilvl w:val="0"/>
          <w:numId w:val="6"/>
        </w:numPr>
        <w:tabs>
          <w:tab w:val="num" w:pos="360"/>
        </w:tabs>
        <w:spacing w:after="120"/>
        <w:ind w:left="1134" w:hanging="425"/>
      </w:pPr>
      <w:r w:rsidRPr="005D05BB">
        <w:rPr>
          <w:rFonts w:asciiTheme="minorHAnsi" w:hAnsiTheme="minorHAnsi"/>
          <w:snapToGrid w:val="0"/>
          <w:u w:val="single"/>
        </w:rPr>
        <w:t>CD and UC</w:t>
      </w:r>
      <w:r w:rsidR="002F72EF" w:rsidRPr="005D05BB">
        <w:rPr>
          <w:rFonts w:asciiTheme="minorHAnsi" w:hAnsiTheme="minorHAnsi"/>
          <w:snapToGrid w:val="0"/>
        </w:rPr>
        <w:t xml:space="preserve">, </w:t>
      </w:r>
      <w:r w:rsidRPr="005D05BB">
        <w:rPr>
          <w:rFonts w:asciiTheme="minorHAnsi" w:hAnsiTheme="minorHAnsi"/>
          <w:snapToGrid w:val="0"/>
        </w:rPr>
        <w:t>two common types of IBD, characterised by chronic inflammation of the intestinal tract associated with imbalance of intestinal microbiota</w:t>
      </w:r>
      <w:r w:rsidR="005D05BB">
        <w:rPr>
          <w:rFonts w:asciiTheme="minorHAnsi" w:hAnsiTheme="minorHAnsi"/>
          <w:snapToGrid w:val="0"/>
        </w:rPr>
        <w:t xml:space="preserve">. </w:t>
      </w:r>
      <w:r w:rsidRPr="005D05BB">
        <w:rPr>
          <w:rFonts w:asciiTheme="minorHAnsi" w:hAnsiTheme="minorHAnsi"/>
          <w:snapToGrid w:val="0"/>
        </w:rPr>
        <w:t>These disorders have somewhat different pathologic and clinical characteristics, but with substantial overlap</w:t>
      </w:r>
      <w:r w:rsidR="005D05BB">
        <w:rPr>
          <w:rFonts w:asciiTheme="minorHAnsi" w:hAnsiTheme="minorHAnsi"/>
          <w:snapToGrid w:val="0"/>
        </w:rPr>
        <w:t xml:space="preserve">. </w:t>
      </w:r>
      <w:r w:rsidRPr="005D05BB">
        <w:rPr>
          <w:rFonts w:asciiTheme="minorHAnsi" w:hAnsiTheme="minorHAnsi"/>
          <w:snapToGrid w:val="0"/>
        </w:rPr>
        <w:t xml:space="preserve">In RFCD, the </w:t>
      </w:r>
      <w:r w:rsidRPr="005D05BB">
        <w:t>clinical manifestation of fistulas depends upon the area of involvement adjacent to the diseased bowel segment.</w:t>
      </w:r>
    </w:p>
    <w:p w14:paraId="509F0FFB" w14:textId="77777777" w:rsidR="00E32002" w:rsidRPr="005D05BB" w:rsidRDefault="00E32002" w:rsidP="00E32002">
      <w:pPr>
        <w:pStyle w:val="3-BodyText"/>
      </w:pPr>
      <w:r w:rsidRPr="005D05BB">
        <w:t>IFX is a chimeric human-murine monoclonal antibody that binds to human tumour necrosis factor alpha (TNFα), a pro-inflammatory and immunoregulatory cytokine that mediates chronic inflammation in a number of conditions</w:t>
      </w:r>
      <w:r w:rsidR="005D05BB">
        <w:t xml:space="preserve">. </w:t>
      </w:r>
      <w:r w:rsidRPr="005D05BB">
        <w:t>If listed, IFX SC would be used as an alternative to IFX IV and have a similar place on the clinical management algorithm.</w:t>
      </w:r>
    </w:p>
    <w:p w14:paraId="0134FCD5" w14:textId="77777777" w:rsidR="00E32002" w:rsidRPr="005D05BB" w:rsidRDefault="00E32002" w:rsidP="008A3E7A">
      <w:pPr>
        <w:pStyle w:val="3-BodyText"/>
      </w:pPr>
      <w:r w:rsidRPr="005D05BB">
        <w:t>The draft PI for IFX SC states that all patients must initiate treatment with IFX IV (</w:t>
      </w:r>
      <w:r w:rsidR="000B0C55" w:rsidRPr="005D05BB">
        <w:t>3</w:t>
      </w:r>
      <w:r w:rsidR="00E43D74" w:rsidRPr="005D05BB">
        <w:t> </w:t>
      </w:r>
      <w:r w:rsidR="000B0C55" w:rsidRPr="005D05BB">
        <w:t>mg/kg</w:t>
      </w:r>
      <w:r w:rsidRPr="005D05BB">
        <w:t xml:space="preserve"> or </w:t>
      </w:r>
      <w:r w:rsidR="000B0C55" w:rsidRPr="005D05BB">
        <w:t>5 mg/kg</w:t>
      </w:r>
      <w:r w:rsidRPr="005D05BB">
        <w:t xml:space="preserve"> depending on the indication) for two infusions administered at Week 0 and Week 2, before commencing IFX SC 12</w:t>
      </w:r>
      <w:r w:rsidR="000B0C55" w:rsidRPr="005D05BB">
        <w:t>0 mg</w:t>
      </w:r>
      <w:r w:rsidRPr="005D05BB">
        <w:t xml:space="preserve"> administered every 2 weeks from Week 6</w:t>
      </w:r>
      <w:r w:rsidR="005D05BB">
        <w:t xml:space="preserve">. </w:t>
      </w:r>
      <w:r w:rsidRPr="005D05BB">
        <w:t>The same re-administration instructions apply to both IFX IV and IFX SC after a break in treatment, but re-induction with IFX IV is not required for patients using IFX SC</w:t>
      </w:r>
      <w:r w:rsidR="005D05BB">
        <w:t xml:space="preserve">. </w:t>
      </w:r>
      <w:r w:rsidRPr="005D05BB">
        <w:t xml:space="preserve">The draft PI states that </w:t>
      </w:r>
      <w:bookmarkStart w:id="10" w:name="_Hlk51055891"/>
      <w:r w:rsidR="008048B9" w:rsidRPr="005D05BB">
        <w:t>to optimise clinical response during maintenance, patients with RA or CD may dose adjust up to IFX IV 7.5</w:t>
      </w:r>
      <w:r w:rsidR="00E43D74" w:rsidRPr="005D05BB">
        <w:t xml:space="preserve"> </w:t>
      </w:r>
      <w:r w:rsidR="008048B9" w:rsidRPr="005D05BB">
        <w:t>mg/kg or 10</w:t>
      </w:r>
      <w:r w:rsidR="00E43D74" w:rsidRPr="005D05BB">
        <w:t xml:space="preserve"> </w:t>
      </w:r>
      <w:r w:rsidR="008048B9" w:rsidRPr="005D05BB">
        <w:t xml:space="preserve">mg/kg respectively, however </w:t>
      </w:r>
      <w:bookmarkEnd w:id="10"/>
      <w:r w:rsidRPr="005D05BB">
        <w:t xml:space="preserve">there is insufficient information for switching from IFX IV higher than </w:t>
      </w:r>
      <w:r w:rsidR="000B0C55" w:rsidRPr="005D05BB">
        <w:t>3 mg/kg</w:t>
      </w:r>
      <w:r w:rsidRPr="005D05BB">
        <w:t xml:space="preserve"> for RA or </w:t>
      </w:r>
      <w:r w:rsidR="000B0C55" w:rsidRPr="005D05BB">
        <w:t>5 mg/kg</w:t>
      </w:r>
      <w:r w:rsidRPr="005D05BB">
        <w:t xml:space="preserve"> for CD every 8 weeks (Q8W) to IFX SC formulation</w:t>
      </w:r>
      <w:r w:rsidR="005D05BB">
        <w:t xml:space="preserve">. </w:t>
      </w:r>
      <w:r w:rsidRPr="005D05BB">
        <w:t>There is also no information regarding switching from IFX SC formulation to IFX IV</w:t>
      </w:r>
      <w:r w:rsidR="005D05BB">
        <w:t xml:space="preserve">. </w:t>
      </w:r>
      <w:r w:rsidR="008A3E7A" w:rsidRPr="005D05BB">
        <w:t>The PBAC noted that there</w:t>
      </w:r>
      <w:r w:rsidR="00D268B7" w:rsidRPr="005D05BB">
        <w:t xml:space="preserve"> is</w:t>
      </w:r>
      <w:r w:rsidR="008A3E7A" w:rsidRPr="005D05BB">
        <w:t xml:space="preserve"> insufficient information available about switching to IFX SC from higher doses of IFX IV, or from IFX SC back to IFX IV.</w:t>
      </w:r>
    </w:p>
    <w:p w14:paraId="68D43963" w14:textId="77777777" w:rsidR="00E32002" w:rsidRPr="005D05BB" w:rsidRDefault="00E32002" w:rsidP="00E32002">
      <w:pPr>
        <w:pStyle w:val="3-BodyText"/>
      </w:pPr>
      <w:r w:rsidRPr="005D05BB">
        <w:t>The TGA Clinical Evaluation Report (Round 2) noted that the selection of IFX SC 12</w:t>
      </w:r>
      <w:r w:rsidR="008A3E7A" w:rsidRPr="005D05BB">
        <w:t>0 </w:t>
      </w:r>
      <w:r w:rsidR="000B0C55" w:rsidRPr="005D05BB">
        <w:t>mg</w:t>
      </w:r>
      <w:r w:rsidRPr="005D05BB">
        <w:t xml:space="preserve"> fixed-dose regimen was based on a pharmacokinetic modelling report which included obese patients (100-15</w:t>
      </w:r>
      <w:r w:rsidR="000B0C55" w:rsidRPr="005D05BB">
        <w:t>0 kg</w:t>
      </w:r>
      <w:r w:rsidRPr="005D05BB">
        <w:t>) where the simulated outcomes met the bioequivalence interval</w:t>
      </w:r>
      <w:r w:rsidR="005D05BB">
        <w:t xml:space="preserve">. </w:t>
      </w:r>
      <w:r w:rsidRPr="005D05BB">
        <w:t xml:space="preserve">The TGA evaluator also noted that the limited data from Study 1.6 Part 1 at Week 54 and a post-hoc analysis of Part 2 suggest that efficacy was generally </w:t>
      </w:r>
      <w:r w:rsidR="0016465E" w:rsidRPr="005D05BB">
        <w:t xml:space="preserve">comparable </w:t>
      </w:r>
      <w:r w:rsidRPr="005D05BB">
        <w:t>between SC 12</w:t>
      </w:r>
      <w:r w:rsidR="000B0C55" w:rsidRPr="005D05BB">
        <w:t>0 mg</w:t>
      </w:r>
      <w:r w:rsidRPr="005D05BB">
        <w:t xml:space="preserve"> (n=11) and SC 24</w:t>
      </w:r>
      <w:r w:rsidR="000B0C55" w:rsidRPr="005D05BB">
        <w:t>0 mg</w:t>
      </w:r>
      <w:r w:rsidRPr="005D05BB">
        <w:t xml:space="preserve"> (n=7) for patients with CD and between SC 12</w:t>
      </w:r>
      <w:r w:rsidR="000B0C55" w:rsidRPr="005D05BB">
        <w:t>0 mg</w:t>
      </w:r>
      <w:r w:rsidRPr="005D05BB">
        <w:t xml:space="preserve"> (n=28) and SC 120/24</w:t>
      </w:r>
      <w:r w:rsidR="000B0C55" w:rsidRPr="005D05BB">
        <w:t>0 mg</w:t>
      </w:r>
      <w:r w:rsidRPr="005D05BB">
        <w:t xml:space="preserve"> (n=38) for patients with UC.</w:t>
      </w:r>
    </w:p>
    <w:p w14:paraId="30AA8C25" w14:textId="77777777" w:rsidR="00E32002" w:rsidRPr="005D05BB" w:rsidRDefault="00E32002" w:rsidP="00E32002">
      <w:pPr>
        <w:pStyle w:val="2-SectionHeading"/>
        <w:numPr>
          <w:ilvl w:val="0"/>
          <w:numId w:val="1"/>
        </w:numPr>
      </w:pPr>
      <w:bookmarkStart w:id="11" w:name="_Toc50709841"/>
      <w:r w:rsidRPr="005D05BB">
        <w:lastRenderedPageBreak/>
        <w:t>Comparator</w:t>
      </w:r>
      <w:bookmarkEnd w:id="11"/>
    </w:p>
    <w:p w14:paraId="19CF2C14" w14:textId="77777777" w:rsidR="00E32002" w:rsidRPr="005D05BB" w:rsidRDefault="00E32002" w:rsidP="00E32002">
      <w:pPr>
        <w:pStyle w:val="3-BodyText"/>
        <w:rPr>
          <w:snapToGrid/>
        </w:rPr>
      </w:pPr>
      <w:r w:rsidRPr="005D05BB">
        <w:rPr>
          <w:snapToGrid/>
        </w:rPr>
        <w:t>The submission nominated IFX IV (Inflectra</w:t>
      </w:r>
      <w:r w:rsidR="00AA6F92" w:rsidRPr="005D05BB">
        <w:rPr>
          <w:snapToGrid/>
        </w:rPr>
        <w:t>®</w:t>
      </w:r>
      <w:r w:rsidRPr="005D05BB">
        <w:rPr>
          <w:snapToGrid/>
        </w:rPr>
        <w:t xml:space="preserve">) as the main comparator, </w:t>
      </w:r>
      <w:r w:rsidR="000B0C55" w:rsidRPr="005D05BB">
        <w:rPr>
          <w:snapToGrid/>
        </w:rPr>
        <w:t xml:space="preserve">stating that </w:t>
      </w:r>
      <w:r w:rsidRPr="005D05BB">
        <w:rPr>
          <w:snapToGrid/>
        </w:rPr>
        <w:t>IFX SC (</w:t>
      </w:r>
      <w:r w:rsidR="00377E25" w:rsidRPr="005D05BB">
        <w:rPr>
          <w:snapToGrid/>
        </w:rPr>
        <w:t>Remsima</w:t>
      </w:r>
      <w:r w:rsidRPr="005D05BB">
        <w:rPr>
          <w:snapToGrid/>
        </w:rPr>
        <w:t>) is a biosimilar formulation</w:t>
      </w:r>
      <w:r w:rsidR="005D05BB">
        <w:rPr>
          <w:snapToGrid/>
        </w:rPr>
        <w:t xml:space="preserve">. </w:t>
      </w:r>
      <w:r w:rsidR="00377E25" w:rsidRPr="005D05BB">
        <w:rPr>
          <w:iCs/>
        </w:rPr>
        <w:t>Inflectra</w:t>
      </w:r>
      <w:r w:rsidRPr="005D05BB">
        <w:rPr>
          <w:iCs/>
        </w:rPr>
        <w:t xml:space="preserve"> (known as </w:t>
      </w:r>
      <w:r w:rsidR="00377E25" w:rsidRPr="005D05BB">
        <w:rPr>
          <w:iCs/>
        </w:rPr>
        <w:t>Remsima</w:t>
      </w:r>
      <w:r w:rsidRPr="005D05BB">
        <w:rPr>
          <w:iCs/>
        </w:rPr>
        <w:t xml:space="preserve"> IV overseas) is an approved biosimilar to the original brand </w:t>
      </w:r>
      <w:r w:rsidR="00377E25" w:rsidRPr="005D05BB">
        <w:rPr>
          <w:iCs/>
        </w:rPr>
        <w:t>Remicade</w:t>
      </w:r>
      <w:r w:rsidR="005D05BB">
        <w:rPr>
          <w:iCs/>
        </w:rPr>
        <w:t xml:space="preserve">. </w:t>
      </w:r>
      <w:r w:rsidR="004A3B44" w:rsidRPr="005D05BB">
        <w:rPr>
          <w:iCs/>
        </w:rPr>
        <w:t xml:space="preserve">However, </w:t>
      </w:r>
      <w:r w:rsidR="000B0C55" w:rsidRPr="005D05BB">
        <w:rPr>
          <w:rFonts w:cstheme="minorHAnsi"/>
        </w:rPr>
        <w:t>IFX SC</w:t>
      </w:r>
      <w:r w:rsidR="004A3B44" w:rsidRPr="005D05BB">
        <w:rPr>
          <w:rFonts w:cstheme="minorHAnsi"/>
        </w:rPr>
        <w:t xml:space="preserve"> has been</w:t>
      </w:r>
      <w:r w:rsidR="000B0C55" w:rsidRPr="005D05BB">
        <w:rPr>
          <w:rFonts w:cstheme="minorHAnsi"/>
        </w:rPr>
        <w:t xml:space="preserve"> evaluated for registration by the TGA </w:t>
      </w:r>
      <w:r w:rsidR="00FB334C" w:rsidRPr="005D05BB">
        <w:rPr>
          <w:rFonts w:cstheme="minorHAnsi"/>
        </w:rPr>
        <w:t>as a new strength and route of administration</w:t>
      </w:r>
      <w:r w:rsidR="004A3B44" w:rsidRPr="005D05BB">
        <w:rPr>
          <w:rFonts w:cstheme="minorHAnsi"/>
        </w:rPr>
        <w:t xml:space="preserve"> (paragraph 2.1)</w:t>
      </w:r>
      <w:r w:rsidR="00AD52CA" w:rsidRPr="005D05BB">
        <w:rPr>
          <w:rFonts w:cstheme="minorHAnsi"/>
        </w:rPr>
        <w:t>, and the PBAC</w:t>
      </w:r>
      <w:r w:rsidR="0064117C">
        <w:rPr>
          <w:rFonts w:cstheme="minorHAnsi"/>
        </w:rPr>
        <w:t xml:space="preserve"> noted </w:t>
      </w:r>
      <w:r w:rsidR="0064117C">
        <w:t>that IFX SC is not a biosimilar and therefore the biosimilar prescribing policy should not apply to IFX SC</w:t>
      </w:r>
      <w:r w:rsidR="00AD52CA" w:rsidRPr="005D05BB">
        <w:rPr>
          <w:rFonts w:cstheme="minorHAnsi"/>
        </w:rPr>
        <w:t xml:space="preserve"> (paragraph 3.4)</w:t>
      </w:r>
      <w:r w:rsidR="000B0C55" w:rsidRPr="005D05BB">
        <w:rPr>
          <w:rFonts w:cstheme="minorHAnsi"/>
        </w:rPr>
        <w:t>.</w:t>
      </w:r>
    </w:p>
    <w:p w14:paraId="3BDABD6E" w14:textId="77777777" w:rsidR="00E32002" w:rsidRPr="005C07DD" w:rsidRDefault="00E32002" w:rsidP="005C07DD">
      <w:pPr>
        <w:pStyle w:val="3-BodyText"/>
      </w:pPr>
      <w:r w:rsidRPr="005D05BB">
        <w:t>The</w:t>
      </w:r>
      <w:r w:rsidR="004A3B44" w:rsidRPr="005D05BB">
        <w:t xml:space="preserve"> evaluation considered that the</w:t>
      </w:r>
      <w:r w:rsidRPr="005D05BB">
        <w:t xml:space="preserve"> nominated comparator is generally reasonable given patients must commence treatment on IFX IV before switching to IFX SC</w:t>
      </w:r>
      <w:r w:rsidR="005D05BB">
        <w:t xml:space="preserve">. </w:t>
      </w:r>
      <w:r w:rsidR="00003E1C" w:rsidRPr="005D05BB">
        <w:t xml:space="preserve">However, IFX SC (including the IV loading doses), may also substitute for other treatments when initiating therapy thus </w:t>
      </w:r>
      <w:r w:rsidRPr="005D05BB">
        <w:t>all other b</w:t>
      </w:r>
      <w:r w:rsidR="00F95372">
        <w:t>DM</w:t>
      </w:r>
      <w:r w:rsidRPr="005D05BB">
        <w:t>Ds available on the PBS for the various different indications are also relevant comparators</w:t>
      </w:r>
      <w:r w:rsidR="005D05BB">
        <w:t xml:space="preserve">. </w:t>
      </w:r>
      <w:r w:rsidR="004A3B44" w:rsidRPr="005D05BB">
        <w:t>The ESC agreed with the evaluation that IFX IV followed by IFX SC may replace a number of alternative therapies.</w:t>
      </w:r>
    </w:p>
    <w:p w14:paraId="51A1E759" w14:textId="77777777" w:rsidR="00200FD6" w:rsidRPr="005D05BB" w:rsidRDefault="00A56527" w:rsidP="004E4BB4">
      <w:pPr>
        <w:pStyle w:val="3-BodyText"/>
        <w:rPr>
          <w:snapToGrid/>
        </w:rPr>
      </w:pPr>
      <w:r w:rsidRPr="005D05BB">
        <w:t xml:space="preserve">The PBAC’s approach has been to recommend that new, non-inferior or therapeutically equivalent products should be PBS listed at the price of the lowest cost product in a basket of products that have been considered by the PBAC to be either non-inferior or therapeutically equivalent to each other, regardless of the market share, or clinical utility/use of the lowest cost product. This approach is consistent Section 101(3B) of the </w:t>
      </w:r>
      <w:r w:rsidRPr="005D05BB">
        <w:rPr>
          <w:iCs/>
        </w:rPr>
        <w:t>National Health Act 1953</w:t>
      </w:r>
      <w:r w:rsidRPr="005D05BB">
        <w:t xml:space="preserve"> (‘The Act’), which states that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 shall not recommend to the Minister that the drug, preparation or class be made available as pharmaceutical benefits under this Part unless the Committee is satisfied that the first</w:t>
      </w:r>
      <w:r w:rsidRPr="005D05BB">
        <w:rPr>
          <w:rFonts w:ascii="Cambria Math" w:hAnsi="Cambria Math"/>
        </w:rPr>
        <w:noBreakHyphen/>
      </w:r>
      <w:r w:rsidRPr="005D05BB">
        <w:t>mentioned therapy, for some patients, provides a significant improvement in efficacy or reduction of toxicity over the alternative therapy or therapies.” In effect, this section of the Act requires PBAC to consider what therapies could be replaced rather than what therapies will be replaced</w:t>
      </w:r>
      <w:r w:rsidR="00F95372">
        <w:t>, and any currently listed bDM</w:t>
      </w:r>
      <w:r w:rsidRPr="005D05BB">
        <w:t>D could be considered an alternative therapy.</w:t>
      </w:r>
    </w:p>
    <w:p w14:paraId="4B3518A0" w14:textId="77777777" w:rsidR="002A7D05" w:rsidRPr="004E025C" w:rsidRDefault="002A7D05" w:rsidP="002A7D05">
      <w:pPr>
        <w:widowControl w:val="0"/>
        <w:numPr>
          <w:ilvl w:val="1"/>
          <w:numId w:val="1"/>
        </w:numPr>
        <w:spacing w:after="120"/>
        <w:rPr>
          <w:rFonts w:asciiTheme="minorHAnsi" w:hAnsiTheme="minorHAnsi"/>
          <w:bCs/>
          <w:snapToGrid w:val="0"/>
        </w:rPr>
      </w:pPr>
      <w:r w:rsidRPr="004E025C">
        <w:rPr>
          <w:rFonts w:asciiTheme="minorHAnsi" w:hAnsiTheme="minorHAnsi"/>
          <w:bCs/>
          <w:snapToGrid w:val="0"/>
        </w:rPr>
        <w:t xml:space="preserve">The PBAC considered that the nomination of </w:t>
      </w:r>
      <w:r>
        <w:rPr>
          <w:rFonts w:asciiTheme="minorHAnsi" w:hAnsiTheme="minorHAnsi"/>
          <w:bCs/>
          <w:snapToGrid w:val="0"/>
        </w:rPr>
        <w:t>IFX</w:t>
      </w:r>
      <w:r w:rsidRPr="004E025C">
        <w:rPr>
          <w:rFonts w:asciiTheme="minorHAnsi" w:hAnsiTheme="minorHAnsi"/>
          <w:bCs/>
          <w:snapToGrid w:val="0"/>
        </w:rPr>
        <w:t xml:space="preserve"> IV as comparator is appropriate. The PBAC considered that while there are alternative bDMDs which may be less costly, a switch from those alternative agents to </w:t>
      </w:r>
      <w:r w:rsidR="007D1914">
        <w:rPr>
          <w:rFonts w:asciiTheme="minorHAnsi" w:hAnsiTheme="minorHAnsi"/>
          <w:bCs/>
          <w:snapToGrid w:val="0"/>
        </w:rPr>
        <w:t>IFX</w:t>
      </w:r>
      <w:r w:rsidRPr="004E025C">
        <w:rPr>
          <w:rFonts w:asciiTheme="minorHAnsi" w:hAnsiTheme="minorHAnsi"/>
          <w:bCs/>
          <w:snapToGrid w:val="0"/>
        </w:rPr>
        <w:t xml:space="preserve"> SC for maintenance treatment is less likely, in particular where an assessment of response makes it inappropriate and/or when re-induction with </w:t>
      </w:r>
      <w:r>
        <w:rPr>
          <w:rFonts w:asciiTheme="minorHAnsi" w:hAnsiTheme="minorHAnsi"/>
          <w:bCs/>
          <w:snapToGrid w:val="0"/>
        </w:rPr>
        <w:t>IFX</w:t>
      </w:r>
      <w:r w:rsidRPr="004E025C">
        <w:rPr>
          <w:rFonts w:asciiTheme="minorHAnsi" w:hAnsiTheme="minorHAnsi"/>
          <w:bCs/>
          <w:snapToGrid w:val="0"/>
        </w:rPr>
        <w:t xml:space="preserve"> IV would be required. The PBAC further considered that </w:t>
      </w:r>
      <w:r>
        <w:rPr>
          <w:rFonts w:asciiTheme="minorHAnsi" w:hAnsiTheme="minorHAnsi"/>
          <w:bCs/>
          <w:snapToGrid w:val="0"/>
        </w:rPr>
        <w:t>IFX</w:t>
      </w:r>
      <w:r w:rsidRPr="004E025C">
        <w:rPr>
          <w:rFonts w:asciiTheme="minorHAnsi" w:hAnsiTheme="minorHAnsi"/>
          <w:bCs/>
          <w:snapToGrid w:val="0"/>
        </w:rPr>
        <w:t xml:space="preserve"> IV followed by </w:t>
      </w:r>
      <w:r>
        <w:rPr>
          <w:rFonts w:asciiTheme="minorHAnsi" w:hAnsiTheme="minorHAnsi"/>
          <w:bCs/>
          <w:snapToGrid w:val="0"/>
        </w:rPr>
        <w:t>IFX</w:t>
      </w:r>
      <w:r w:rsidRPr="004E025C">
        <w:rPr>
          <w:rFonts w:asciiTheme="minorHAnsi" w:hAnsiTheme="minorHAnsi"/>
          <w:bCs/>
          <w:snapToGrid w:val="0"/>
        </w:rPr>
        <w:t xml:space="preserve"> SC is likely to deliver </w:t>
      </w:r>
      <w:r>
        <w:rPr>
          <w:rFonts w:asciiTheme="minorHAnsi" w:hAnsiTheme="minorHAnsi"/>
          <w:bCs/>
          <w:snapToGrid w:val="0"/>
        </w:rPr>
        <w:t xml:space="preserve">improved </w:t>
      </w:r>
      <w:r w:rsidRPr="004E025C">
        <w:rPr>
          <w:rFonts w:asciiTheme="minorHAnsi" w:hAnsiTheme="minorHAnsi"/>
          <w:bCs/>
          <w:snapToGrid w:val="0"/>
        </w:rPr>
        <w:t>outcome</w:t>
      </w:r>
      <w:r>
        <w:rPr>
          <w:rFonts w:asciiTheme="minorHAnsi" w:hAnsiTheme="minorHAnsi"/>
          <w:bCs/>
          <w:snapToGrid w:val="0"/>
        </w:rPr>
        <w:t>s</w:t>
      </w:r>
      <w:r w:rsidRPr="004E025C">
        <w:rPr>
          <w:rFonts w:asciiTheme="minorHAnsi" w:hAnsiTheme="minorHAnsi"/>
          <w:bCs/>
          <w:snapToGrid w:val="0"/>
        </w:rPr>
        <w:t xml:space="preserve">, </w:t>
      </w:r>
      <w:r>
        <w:rPr>
          <w:rFonts w:asciiTheme="minorHAnsi" w:hAnsiTheme="minorHAnsi"/>
          <w:bCs/>
          <w:snapToGrid w:val="0"/>
        </w:rPr>
        <w:t>for</w:t>
      </w:r>
      <w:r w:rsidRPr="004E025C">
        <w:rPr>
          <w:rFonts w:asciiTheme="minorHAnsi" w:hAnsiTheme="minorHAnsi"/>
          <w:bCs/>
          <w:snapToGrid w:val="0"/>
        </w:rPr>
        <w:t xml:space="preserve"> some patients, </w:t>
      </w:r>
      <w:r>
        <w:rPr>
          <w:iCs/>
        </w:rPr>
        <w:t>compared with</w:t>
      </w:r>
      <w:r w:rsidRPr="004E025C">
        <w:rPr>
          <w:iCs/>
        </w:rPr>
        <w:t xml:space="preserve"> a switch to an alternative agent</w:t>
      </w:r>
      <w:r w:rsidRPr="004E025C">
        <w:rPr>
          <w:rFonts w:asciiTheme="minorHAnsi" w:hAnsiTheme="minorHAnsi"/>
          <w:bCs/>
          <w:snapToGrid w:val="0"/>
        </w:rPr>
        <w:t>.</w:t>
      </w:r>
    </w:p>
    <w:p w14:paraId="4EFE7D0D" w14:textId="77777777" w:rsidR="000222A2" w:rsidRPr="005D05BB" w:rsidRDefault="000222A2" w:rsidP="000222A2">
      <w:pPr>
        <w:pStyle w:val="3-BodyText"/>
        <w:numPr>
          <w:ilvl w:val="0"/>
          <w:numId w:val="0"/>
        </w:numPr>
        <w:ind w:left="720"/>
        <w:rPr>
          <w:snapToGrid/>
        </w:rPr>
      </w:pPr>
      <w:r w:rsidRPr="005D05BB">
        <w:rPr>
          <w:i/>
        </w:rPr>
        <w:t>For more detail on PBAC’s view, see section 7 PBAC outcome.</w:t>
      </w:r>
    </w:p>
    <w:p w14:paraId="14104E24" w14:textId="77777777" w:rsidR="00E32002" w:rsidRPr="005D05BB" w:rsidRDefault="00E32002" w:rsidP="00E32002">
      <w:pPr>
        <w:pStyle w:val="2-SectionHeading"/>
        <w:numPr>
          <w:ilvl w:val="0"/>
          <w:numId w:val="1"/>
        </w:numPr>
      </w:pPr>
      <w:bookmarkStart w:id="12" w:name="_Toc50709842"/>
      <w:bookmarkStart w:id="13" w:name="_Toc22897640"/>
      <w:r w:rsidRPr="005D05BB">
        <w:lastRenderedPageBreak/>
        <w:t>Consideration of the evidence</w:t>
      </w:r>
      <w:bookmarkEnd w:id="12"/>
    </w:p>
    <w:p w14:paraId="50927C91" w14:textId="77777777" w:rsidR="00B429E4" w:rsidRPr="005D05BB" w:rsidRDefault="00B429E4" w:rsidP="00B429E4">
      <w:pPr>
        <w:pStyle w:val="4-SubsectionHeading"/>
        <w:rPr>
          <w:snapToGrid w:val="0"/>
        </w:rPr>
      </w:pPr>
      <w:r w:rsidRPr="005D05BB">
        <w:rPr>
          <w:snapToGrid w:val="0"/>
        </w:rPr>
        <w:t>Sponsor hearing</w:t>
      </w:r>
    </w:p>
    <w:p w14:paraId="1EC19714" w14:textId="77777777" w:rsidR="00FD01BA" w:rsidRPr="005D05BB" w:rsidRDefault="00FD01BA" w:rsidP="001E2155">
      <w:pPr>
        <w:pStyle w:val="3-BodyText"/>
        <w:rPr>
          <w:bCs/>
        </w:rPr>
      </w:pPr>
      <w:r w:rsidRPr="005D05BB">
        <w:rPr>
          <w:bCs/>
        </w:rPr>
        <w:t>The Sponsor requested a hearing for this item, which was presented by a gastroenterologist with expertise in IBD</w:t>
      </w:r>
      <w:r w:rsidR="005D05BB">
        <w:rPr>
          <w:bCs/>
        </w:rPr>
        <w:t>.</w:t>
      </w:r>
      <w:r w:rsidR="001E2155" w:rsidRPr="001E2155">
        <w:t xml:space="preserve"> </w:t>
      </w:r>
      <w:r w:rsidR="001E2155">
        <w:t xml:space="preserve">The clinician discussed the morbidity associated with IBD, the role of IFX IV and IFX SC in the treatment of patients with IBD and the development of </w:t>
      </w:r>
      <w:r w:rsidR="001E2155" w:rsidRPr="005D05BB">
        <w:rPr>
          <w:bCs/>
        </w:rPr>
        <w:t>IFX anti-drug antibodies</w:t>
      </w:r>
      <w:r w:rsidR="001E2155">
        <w:rPr>
          <w:bCs/>
        </w:rPr>
        <w:t xml:space="preserve">. </w:t>
      </w:r>
      <w:r w:rsidRPr="005D05BB">
        <w:rPr>
          <w:bCs/>
        </w:rPr>
        <w:t>The PBAC considered that the hearing was not informative as it did not add substantively to the evidence presented in the submission.</w:t>
      </w:r>
    </w:p>
    <w:p w14:paraId="03CD89ED" w14:textId="77777777" w:rsidR="00B429E4" w:rsidRPr="005D05BB" w:rsidRDefault="00B429E4" w:rsidP="00B429E4">
      <w:pPr>
        <w:pStyle w:val="4-SubsectionHeading"/>
        <w:rPr>
          <w:snapToGrid w:val="0"/>
        </w:rPr>
      </w:pPr>
      <w:r w:rsidRPr="005D05BB">
        <w:rPr>
          <w:snapToGrid w:val="0"/>
        </w:rPr>
        <w:t>Consumer comments</w:t>
      </w:r>
    </w:p>
    <w:p w14:paraId="7F30EA4A" w14:textId="77777777" w:rsidR="00B429E4" w:rsidRPr="005D05BB" w:rsidRDefault="00B429E4" w:rsidP="00C64CC4">
      <w:pPr>
        <w:pStyle w:val="3-BodyText"/>
      </w:pPr>
      <w:r w:rsidRPr="005D05BB">
        <w:t xml:space="preserve">The PBAC noted and welcomed the input from </w:t>
      </w:r>
      <w:r w:rsidR="00FB31C0" w:rsidRPr="005D05BB">
        <w:t>2 organisations</w:t>
      </w:r>
      <w:r w:rsidRPr="005D05BB">
        <w:t xml:space="preserve"> via the Consumer Comments facility on the PBS website</w:t>
      </w:r>
      <w:r w:rsidR="00C64CC4" w:rsidRPr="005D05BB">
        <w:t>,</w:t>
      </w:r>
      <w:r w:rsidR="00317651" w:rsidRPr="005D05BB">
        <w:t xml:space="preserve"> </w:t>
      </w:r>
      <w:r w:rsidR="00317651" w:rsidRPr="005D05BB">
        <w:rPr>
          <w:bCs/>
        </w:rPr>
        <w:t>Crohn’s &amp; Colitis Australia (CCA) and</w:t>
      </w:r>
      <w:r w:rsidR="00C64CC4" w:rsidRPr="005D05BB">
        <w:t xml:space="preserve"> the </w:t>
      </w:r>
      <w:r w:rsidR="00C64CC4" w:rsidRPr="005D05BB">
        <w:rPr>
          <w:bCs/>
        </w:rPr>
        <w:t>National Paediatric Medicines Forum</w:t>
      </w:r>
      <w:r w:rsidR="005D05BB">
        <w:t xml:space="preserve">. </w:t>
      </w:r>
    </w:p>
    <w:p w14:paraId="129904A2" w14:textId="77777777" w:rsidR="001E093A" w:rsidRPr="005D05BB" w:rsidRDefault="001E093A" w:rsidP="001E093A">
      <w:pPr>
        <w:pStyle w:val="3-BodyText"/>
      </w:pPr>
      <w:r w:rsidRPr="005D05BB">
        <w:t>CCA stated that the SC formulation is an important option for consumers because it would not require infusion in a medical facility, providing flexibility for consumers, avoidance of absence from work for treatment, and reduced travel for those particularly in remote or regional areas</w:t>
      </w:r>
      <w:r w:rsidR="005D05BB">
        <w:t xml:space="preserve">. </w:t>
      </w:r>
      <w:r w:rsidRPr="005D05BB">
        <w:t>For some remote or regional people who cannot travel regularly for infusions, it would provide a new treatment choice</w:t>
      </w:r>
      <w:r w:rsidR="005D05BB">
        <w:t xml:space="preserve">. </w:t>
      </w:r>
      <w:r w:rsidRPr="005D05BB">
        <w:t>CCA stated that the option of subcutaneous injection of IFX was welcomed by multiple consumers.</w:t>
      </w:r>
    </w:p>
    <w:p w14:paraId="1353761F" w14:textId="77777777" w:rsidR="00B429E4" w:rsidRPr="005D05BB" w:rsidRDefault="00317651" w:rsidP="005C0DB1">
      <w:pPr>
        <w:pStyle w:val="3-BodyText"/>
      </w:pPr>
      <w:r w:rsidRPr="005D05BB">
        <w:t xml:space="preserve">The comments from the </w:t>
      </w:r>
      <w:r w:rsidRPr="005D05BB">
        <w:rPr>
          <w:bCs/>
        </w:rPr>
        <w:t xml:space="preserve">National Paediatric Medicines Forum </w:t>
      </w:r>
      <w:r w:rsidRPr="005D05BB">
        <w:t>were not relevant</w:t>
      </w:r>
      <w:r w:rsidR="006403D4" w:rsidRPr="005D05BB">
        <w:t xml:space="preserve"> to this submission</w:t>
      </w:r>
      <w:r w:rsidRPr="005D05BB">
        <w:t>, as IFX SC is not being considered for paediatric use.</w:t>
      </w:r>
      <w:r w:rsidR="006403D4" w:rsidRPr="005D05BB">
        <w:t xml:space="preserve"> </w:t>
      </w:r>
    </w:p>
    <w:p w14:paraId="03E750BE" w14:textId="77777777" w:rsidR="00E32002" w:rsidRPr="005D05BB" w:rsidRDefault="00E32002" w:rsidP="005C0DB1">
      <w:pPr>
        <w:pStyle w:val="4-SubsectionHeading"/>
        <w:keepLines/>
      </w:pPr>
      <w:bookmarkStart w:id="14" w:name="_Toc50709843"/>
      <w:r w:rsidRPr="005D05BB">
        <w:t>Clinical trials</w:t>
      </w:r>
      <w:bookmarkEnd w:id="13"/>
      <w:bookmarkEnd w:id="14"/>
    </w:p>
    <w:p w14:paraId="5C113574" w14:textId="77777777" w:rsidR="00E32002" w:rsidRPr="005D05BB" w:rsidRDefault="00E32002" w:rsidP="003D0E31">
      <w:pPr>
        <w:pStyle w:val="3-BodyText"/>
      </w:pPr>
      <w:r w:rsidRPr="005D05BB">
        <w:t>The literature search identified two head-to-head randomised trials comparing IFX SC (</w:t>
      </w:r>
      <w:r w:rsidR="00377E25" w:rsidRPr="005D05BB">
        <w:t>Remsima</w:t>
      </w:r>
      <w:r w:rsidRPr="005D05BB">
        <w:t>) to IFX IV (</w:t>
      </w:r>
      <w:r w:rsidR="00377E25" w:rsidRPr="005D05BB">
        <w:t>Inflectra</w:t>
      </w:r>
      <w:r w:rsidRPr="005D05BB">
        <w:t>)</w:t>
      </w:r>
      <w:r w:rsidR="0048439E" w:rsidRPr="005D05BB">
        <w:rPr>
          <w:rStyle w:val="FootnoteReference"/>
        </w:rPr>
        <w:footnoteReference w:id="1"/>
      </w:r>
      <w:r w:rsidR="00BB6698" w:rsidRPr="005D05BB">
        <w:t xml:space="preserve"> (Table 3)</w:t>
      </w:r>
      <w:r w:rsidRPr="005D05BB">
        <w:t>:</w:t>
      </w:r>
    </w:p>
    <w:p w14:paraId="1B3C9855" w14:textId="77777777" w:rsidR="00E32002" w:rsidRPr="005D05BB" w:rsidRDefault="00E32002" w:rsidP="00FB31C0">
      <w:pPr>
        <w:numPr>
          <w:ilvl w:val="0"/>
          <w:numId w:val="6"/>
        </w:numPr>
        <w:spacing w:after="120"/>
        <w:ind w:left="1134" w:hanging="425"/>
        <w:rPr>
          <w:rFonts w:asciiTheme="minorHAnsi" w:hAnsiTheme="minorHAnsi"/>
          <w:snapToGrid w:val="0"/>
        </w:rPr>
      </w:pPr>
      <w:r w:rsidRPr="005D05BB">
        <w:rPr>
          <w:rFonts w:asciiTheme="minorHAnsi" w:hAnsiTheme="minorHAnsi"/>
          <w:snapToGrid w:val="0"/>
        </w:rPr>
        <w:t>Study 3.5 Part 2 compared IFX SC 12</w:t>
      </w:r>
      <w:r w:rsidR="000B0C55" w:rsidRPr="005D05BB">
        <w:rPr>
          <w:rFonts w:asciiTheme="minorHAnsi" w:hAnsiTheme="minorHAnsi"/>
          <w:snapToGrid w:val="0"/>
        </w:rPr>
        <w:t>0 mg</w:t>
      </w:r>
      <w:r w:rsidRPr="005D05BB">
        <w:rPr>
          <w:rFonts w:asciiTheme="minorHAnsi" w:hAnsiTheme="minorHAnsi"/>
          <w:snapToGrid w:val="0"/>
        </w:rPr>
        <w:t xml:space="preserve"> every 2 weeks (Q2W) to IFX IV </w:t>
      </w:r>
      <w:r w:rsidR="000B0C55" w:rsidRPr="005D05BB">
        <w:rPr>
          <w:rFonts w:asciiTheme="minorHAnsi" w:hAnsiTheme="minorHAnsi"/>
          <w:snapToGrid w:val="0"/>
        </w:rPr>
        <w:t>3 mg/kg</w:t>
      </w:r>
      <w:r w:rsidRPr="005D05BB">
        <w:rPr>
          <w:rFonts w:asciiTheme="minorHAnsi" w:hAnsiTheme="minorHAnsi"/>
          <w:snapToGrid w:val="0"/>
        </w:rPr>
        <w:t xml:space="preserve"> every 8 weeks (Q8W) in patients with RA, and</w:t>
      </w:r>
    </w:p>
    <w:p w14:paraId="7EACABA6" w14:textId="77777777" w:rsidR="00E32002" w:rsidRPr="005D05BB" w:rsidRDefault="00E32002" w:rsidP="00FB31C0">
      <w:pPr>
        <w:numPr>
          <w:ilvl w:val="0"/>
          <w:numId w:val="6"/>
        </w:numPr>
        <w:spacing w:after="120"/>
        <w:ind w:left="1134" w:hanging="425"/>
        <w:rPr>
          <w:rFonts w:asciiTheme="minorHAnsi" w:hAnsiTheme="minorHAnsi"/>
          <w:snapToGrid w:val="0"/>
        </w:rPr>
      </w:pPr>
      <w:r w:rsidRPr="005D05BB">
        <w:rPr>
          <w:rFonts w:asciiTheme="minorHAnsi" w:hAnsiTheme="minorHAnsi"/>
          <w:snapToGrid w:val="0"/>
        </w:rPr>
        <w:t>Study 1.6 Part 2 compared IFX SC 120/24</w:t>
      </w:r>
      <w:r w:rsidR="000B0C55" w:rsidRPr="005D05BB">
        <w:rPr>
          <w:rFonts w:asciiTheme="minorHAnsi" w:hAnsiTheme="minorHAnsi"/>
          <w:snapToGrid w:val="0"/>
        </w:rPr>
        <w:t>0 mg</w:t>
      </w:r>
      <w:r w:rsidRPr="005D05BB">
        <w:rPr>
          <w:rFonts w:asciiTheme="minorHAnsi" w:hAnsiTheme="minorHAnsi"/>
          <w:snapToGrid w:val="0"/>
        </w:rPr>
        <w:t xml:space="preserve"> every 2 weeks (Q2W) to IFX IV </w:t>
      </w:r>
      <w:r w:rsidR="00064060">
        <w:rPr>
          <w:rFonts w:asciiTheme="minorHAnsi" w:hAnsiTheme="minorHAnsi"/>
          <w:snapToGrid w:val="0"/>
        </w:rPr>
        <w:t>5 </w:t>
      </w:r>
      <w:r w:rsidR="000B0C55" w:rsidRPr="005D05BB">
        <w:rPr>
          <w:rFonts w:asciiTheme="minorHAnsi" w:hAnsiTheme="minorHAnsi"/>
          <w:snapToGrid w:val="0"/>
        </w:rPr>
        <w:t>mg/kg</w:t>
      </w:r>
      <w:r w:rsidRPr="005D05BB">
        <w:rPr>
          <w:rFonts w:asciiTheme="minorHAnsi" w:hAnsiTheme="minorHAnsi"/>
          <w:snapToGrid w:val="0"/>
        </w:rPr>
        <w:t xml:space="preserve"> every 8 weeks (Q8W) in patients with CD or UC.</w:t>
      </w:r>
    </w:p>
    <w:p w14:paraId="4141F70A" w14:textId="77777777" w:rsidR="00993E4F" w:rsidRDefault="00993E4F">
      <w:pPr>
        <w:jc w:val="left"/>
        <w:rPr>
          <w:rStyle w:val="CommentReference"/>
          <w:rFonts w:eastAsiaTheme="majorEastAsia" w:cstheme="majorBidi"/>
          <w:bCs/>
          <w:szCs w:val="24"/>
        </w:rPr>
      </w:pPr>
      <w:r>
        <w:rPr>
          <w:rStyle w:val="CommentReference"/>
          <w:b w:val="0"/>
          <w:szCs w:val="24"/>
        </w:rPr>
        <w:br w:type="page"/>
      </w:r>
    </w:p>
    <w:p w14:paraId="1AAF1EAA" w14:textId="77777777" w:rsidR="00E32002" w:rsidRPr="005D05BB" w:rsidRDefault="00E32002" w:rsidP="00A54929">
      <w:pPr>
        <w:pStyle w:val="TableFigureHeading"/>
      </w:pPr>
      <w:r w:rsidRPr="005D05BB">
        <w:rPr>
          <w:rStyle w:val="CommentReference"/>
          <w:b/>
          <w:szCs w:val="24"/>
        </w:rPr>
        <w:lastRenderedPageBreak/>
        <w:t>Table 3: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6804"/>
        <w:gridCol w:w="941"/>
      </w:tblGrid>
      <w:tr w:rsidR="00E32002" w:rsidRPr="005D05BB" w14:paraId="03931EAC" w14:textId="77777777" w:rsidTr="00A33E85">
        <w:trPr>
          <w:tblHeader/>
        </w:trPr>
        <w:tc>
          <w:tcPr>
            <w:tcW w:w="705" w:type="pct"/>
            <w:vAlign w:val="center"/>
          </w:tcPr>
          <w:p w14:paraId="4B38260A" w14:textId="77777777" w:rsidR="00E32002" w:rsidRPr="005D05BB" w:rsidRDefault="00E32002" w:rsidP="00A54929">
            <w:pPr>
              <w:pStyle w:val="In-tableHeading"/>
              <w:rPr>
                <w:lang w:val="en-AU"/>
              </w:rPr>
            </w:pPr>
            <w:r w:rsidRPr="005D05BB">
              <w:rPr>
                <w:lang w:val="en-AU"/>
              </w:rPr>
              <w:t>Trial ID</w:t>
            </w:r>
          </w:p>
        </w:tc>
        <w:tc>
          <w:tcPr>
            <w:tcW w:w="3773" w:type="pct"/>
            <w:vAlign w:val="center"/>
          </w:tcPr>
          <w:p w14:paraId="44183602" w14:textId="77777777" w:rsidR="00E32002" w:rsidRPr="005D05BB" w:rsidRDefault="00E32002" w:rsidP="00A54929">
            <w:pPr>
              <w:pStyle w:val="In-tableHeading"/>
              <w:rPr>
                <w:lang w:val="en-AU"/>
              </w:rPr>
            </w:pPr>
            <w:r w:rsidRPr="005D05BB">
              <w:rPr>
                <w:lang w:val="en-AU"/>
              </w:rPr>
              <w:t>Protocol title/ Publication title</w:t>
            </w:r>
          </w:p>
        </w:tc>
        <w:tc>
          <w:tcPr>
            <w:tcW w:w="522" w:type="pct"/>
            <w:vAlign w:val="center"/>
          </w:tcPr>
          <w:p w14:paraId="6FDCC589" w14:textId="77777777" w:rsidR="00E32002" w:rsidRPr="005D05BB" w:rsidRDefault="00E32002" w:rsidP="00A54929">
            <w:pPr>
              <w:pStyle w:val="In-tableHeading"/>
              <w:rPr>
                <w:lang w:val="en-AU"/>
              </w:rPr>
            </w:pPr>
            <w:r w:rsidRPr="005D05BB">
              <w:rPr>
                <w:lang w:val="en-AU"/>
              </w:rPr>
              <w:t>Publication citation</w:t>
            </w:r>
          </w:p>
        </w:tc>
      </w:tr>
      <w:tr w:rsidR="00E32002" w:rsidRPr="005D05BB" w14:paraId="6A1E83BA" w14:textId="77777777" w:rsidTr="00A33E85">
        <w:trPr>
          <w:trHeight w:val="410"/>
        </w:trPr>
        <w:tc>
          <w:tcPr>
            <w:tcW w:w="705" w:type="pct"/>
            <w:vAlign w:val="center"/>
          </w:tcPr>
          <w:p w14:paraId="3E0C5060" w14:textId="77777777" w:rsidR="00E32002" w:rsidRPr="005D05BB" w:rsidRDefault="00E32002" w:rsidP="008F456C">
            <w:pPr>
              <w:pStyle w:val="TableText0"/>
              <w:keepNext w:val="0"/>
            </w:pPr>
            <w:r w:rsidRPr="005D05BB">
              <w:t>Study 3.5 Part 2</w:t>
            </w:r>
          </w:p>
          <w:p w14:paraId="79744CF0" w14:textId="77777777" w:rsidR="00E32002" w:rsidRPr="005D05BB" w:rsidRDefault="00E32002" w:rsidP="008F456C">
            <w:pPr>
              <w:pStyle w:val="TableText0"/>
              <w:keepNext w:val="0"/>
            </w:pPr>
            <w:r w:rsidRPr="005D05BB">
              <w:t>NCT03147248</w:t>
            </w:r>
          </w:p>
        </w:tc>
        <w:tc>
          <w:tcPr>
            <w:tcW w:w="3773" w:type="pct"/>
            <w:tcBorders>
              <w:bottom w:val="single" w:sz="4" w:space="0" w:color="auto"/>
            </w:tcBorders>
            <w:vAlign w:val="center"/>
          </w:tcPr>
          <w:p w14:paraId="7DB879C3" w14:textId="77777777" w:rsidR="00E32002" w:rsidRPr="005D05BB" w:rsidRDefault="00E32002" w:rsidP="008F456C">
            <w:pPr>
              <w:pStyle w:val="TableText0"/>
              <w:keepNext w:val="0"/>
              <w:rPr>
                <w:szCs w:val="18"/>
              </w:rPr>
            </w:pPr>
            <w:r w:rsidRPr="005D05BB">
              <w:rPr>
                <w:szCs w:val="18"/>
              </w:rPr>
              <w:t>FINAL CLINICAL STUDY REPORT (PART 2) A Randomised, Parallel-Group, Phase I/III Study to Evaluate Efficacy, Pharmacokinetics and Safety between Subcutaneous CT-P13 and Intravenous CT-P13 in Patients with Active Rheumatoid Arthritis. PROTOCOL NUMBER 3.5 CT-P13. (Celltrion 2019)</w:t>
            </w:r>
          </w:p>
        </w:tc>
        <w:tc>
          <w:tcPr>
            <w:tcW w:w="522" w:type="pct"/>
            <w:vAlign w:val="center"/>
          </w:tcPr>
          <w:p w14:paraId="2924214E" w14:textId="77777777" w:rsidR="00E32002" w:rsidRPr="005D05BB" w:rsidRDefault="00E32002" w:rsidP="008F456C">
            <w:pPr>
              <w:pStyle w:val="TableText0"/>
              <w:keepNext w:val="0"/>
            </w:pPr>
            <w:r w:rsidRPr="005D05BB">
              <w:rPr>
                <w:szCs w:val="18"/>
              </w:rPr>
              <w:t>12 August 2019.</w:t>
            </w:r>
          </w:p>
        </w:tc>
      </w:tr>
      <w:tr w:rsidR="00E32002" w:rsidRPr="005D05BB" w14:paraId="521A1FF8" w14:textId="77777777" w:rsidTr="00A33E85">
        <w:trPr>
          <w:trHeight w:val="385"/>
        </w:trPr>
        <w:tc>
          <w:tcPr>
            <w:tcW w:w="705" w:type="pct"/>
            <w:vMerge w:val="restart"/>
            <w:vAlign w:val="center"/>
          </w:tcPr>
          <w:p w14:paraId="2FB060F8" w14:textId="77777777" w:rsidR="00E32002" w:rsidRPr="005D05BB" w:rsidRDefault="00E32002" w:rsidP="008F456C">
            <w:pPr>
              <w:pStyle w:val="TableText0"/>
              <w:keepNext w:val="0"/>
            </w:pPr>
            <w:r w:rsidRPr="005D05BB">
              <w:t>Study 1.6 Part 2</w:t>
            </w:r>
          </w:p>
          <w:p w14:paraId="1C84E13D" w14:textId="77777777" w:rsidR="00E32002" w:rsidRPr="005D05BB" w:rsidRDefault="00E32002" w:rsidP="008F456C">
            <w:pPr>
              <w:pStyle w:val="TableText0"/>
              <w:keepNext w:val="0"/>
            </w:pPr>
            <w:r w:rsidRPr="005D05BB">
              <w:t>NCT02883452</w:t>
            </w:r>
          </w:p>
        </w:tc>
        <w:tc>
          <w:tcPr>
            <w:tcW w:w="3773" w:type="pct"/>
            <w:tcBorders>
              <w:bottom w:val="nil"/>
            </w:tcBorders>
            <w:vAlign w:val="center"/>
          </w:tcPr>
          <w:p w14:paraId="30C19E27" w14:textId="77777777" w:rsidR="00E32002" w:rsidRPr="005D05BB" w:rsidRDefault="00E32002" w:rsidP="008F456C">
            <w:pPr>
              <w:pStyle w:val="TableText0"/>
              <w:keepNext w:val="0"/>
            </w:pPr>
            <w:r w:rsidRPr="005D05BB">
              <w:rPr>
                <w:szCs w:val="18"/>
              </w:rPr>
              <w:t>WEEK 30 CLINICAL STUDY REPORT (PART 2) An Open-label, Randomized, Parallel-Group, Phase I Study to Evaluate Pharmacokinetics, Efficacy and Safety between Subcutaneous CT-P13 and Intravenous CT-P13 in Patients with Active Crohn's Disease and Active Ulcerative Colitis PROTOCOL NUMBER CT-P13 1.6. (Celltrion 2018)</w:t>
            </w:r>
          </w:p>
        </w:tc>
        <w:tc>
          <w:tcPr>
            <w:tcW w:w="522" w:type="pct"/>
            <w:tcBorders>
              <w:bottom w:val="nil"/>
            </w:tcBorders>
            <w:vAlign w:val="center"/>
          </w:tcPr>
          <w:p w14:paraId="0EDD1277" w14:textId="77777777" w:rsidR="00E32002" w:rsidRPr="005D05BB" w:rsidRDefault="00E32002" w:rsidP="008F456C">
            <w:pPr>
              <w:pStyle w:val="TableText0"/>
              <w:keepNext w:val="0"/>
            </w:pPr>
            <w:r w:rsidRPr="005D05BB">
              <w:rPr>
                <w:szCs w:val="18"/>
              </w:rPr>
              <w:t>August 2019</w:t>
            </w:r>
          </w:p>
        </w:tc>
      </w:tr>
      <w:tr w:rsidR="00E32002" w:rsidRPr="005D05BB" w14:paraId="63794FC7" w14:textId="77777777" w:rsidTr="00A33E85">
        <w:tc>
          <w:tcPr>
            <w:tcW w:w="705" w:type="pct"/>
            <w:vMerge/>
            <w:tcBorders>
              <w:bottom w:val="single" w:sz="4" w:space="0" w:color="auto"/>
            </w:tcBorders>
            <w:vAlign w:val="center"/>
          </w:tcPr>
          <w:p w14:paraId="4F494489" w14:textId="77777777" w:rsidR="00E32002" w:rsidRPr="005D05BB" w:rsidRDefault="00E32002" w:rsidP="008F456C">
            <w:pPr>
              <w:pStyle w:val="TableText0"/>
              <w:keepNext w:val="0"/>
            </w:pPr>
          </w:p>
        </w:tc>
        <w:tc>
          <w:tcPr>
            <w:tcW w:w="3773" w:type="pct"/>
            <w:tcBorders>
              <w:top w:val="nil"/>
              <w:bottom w:val="single" w:sz="4" w:space="0" w:color="auto"/>
            </w:tcBorders>
            <w:vAlign w:val="center"/>
          </w:tcPr>
          <w:p w14:paraId="48D714A2" w14:textId="77777777" w:rsidR="00E32002" w:rsidRPr="005D05BB" w:rsidRDefault="00E32002" w:rsidP="008F456C">
            <w:pPr>
              <w:pStyle w:val="TableText0"/>
              <w:keepNext w:val="0"/>
              <w:rPr>
                <w:szCs w:val="18"/>
              </w:rPr>
            </w:pPr>
            <w:r w:rsidRPr="005D05BB">
              <w:rPr>
                <w:szCs w:val="18"/>
              </w:rPr>
              <w:t>Celltrion. Final Clinical Study Report (Part 2): An Open-label, Randomized, Parallel-Group, Phase I Study to Evaluate Pharmacokinetics, Efficacy and Safety between Subcutaneous CT-P13 and Intravenous CT-P13 in Patients with Active Crohn’s Disease and Active Ulcerative Colitis. (Celltrion 2020)</w:t>
            </w:r>
          </w:p>
        </w:tc>
        <w:tc>
          <w:tcPr>
            <w:tcW w:w="522" w:type="pct"/>
            <w:tcBorders>
              <w:top w:val="nil"/>
              <w:bottom w:val="single" w:sz="4" w:space="0" w:color="auto"/>
            </w:tcBorders>
            <w:vAlign w:val="center"/>
          </w:tcPr>
          <w:p w14:paraId="7E3F7505" w14:textId="77777777" w:rsidR="00E32002" w:rsidRPr="005D05BB" w:rsidRDefault="00E32002" w:rsidP="008F456C">
            <w:pPr>
              <w:pStyle w:val="TableText0"/>
              <w:keepNext w:val="0"/>
            </w:pPr>
            <w:r w:rsidRPr="005D05BB">
              <w:rPr>
                <w:szCs w:val="18"/>
              </w:rPr>
              <w:t>31 March 2020</w:t>
            </w:r>
          </w:p>
        </w:tc>
      </w:tr>
    </w:tbl>
    <w:p w14:paraId="3FF67503" w14:textId="77777777" w:rsidR="00E32002" w:rsidRPr="005D05BB" w:rsidRDefault="00E32002" w:rsidP="00E32002">
      <w:pPr>
        <w:pStyle w:val="TableFigureFooter"/>
        <w:rPr>
          <w:sz w:val="20"/>
        </w:rPr>
      </w:pPr>
      <w:r w:rsidRPr="005D05BB">
        <w:t>Source: Table 2.5, pp45-46 of the submission.</w:t>
      </w:r>
    </w:p>
    <w:p w14:paraId="6CF3C742" w14:textId="77777777" w:rsidR="00E32002" w:rsidRPr="005D05BB" w:rsidRDefault="00E32002" w:rsidP="00D63C12">
      <w:pPr>
        <w:pStyle w:val="3-BodyText"/>
      </w:pPr>
      <w:r w:rsidRPr="005D05BB">
        <w:rPr>
          <w:iCs/>
        </w:rPr>
        <w:t>The submission did not present any clinical evidence to inform the comparative efficacy and safety between IFX SC and IFX IV in RFCD, AS, PsA or CPP</w:t>
      </w:r>
      <w:bookmarkStart w:id="15" w:name="_Hlk50390512"/>
      <w:r w:rsidR="005D05BB">
        <w:rPr>
          <w:iCs/>
        </w:rPr>
        <w:t xml:space="preserve">. </w:t>
      </w:r>
      <w:r w:rsidRPr="005D05BB">
        <w:rPr>
          <w:iCs/>
        </w:rPr>
        <w:t>The clinical claim for these indications was extrapolated from the clinical evidence in RA, UC and CD</w:t>
      </w:r>
      <w:bookmarkEnd w:id="15"/>
      <w:r w:rsidR="005D05BB">
        <w:rPr>
          <w:iCs/>
        </w:rPr>
        <w:t xml:space="preserve">. </w:t>
      </w:r>
    </w:p>
    <w:p w14:paraId="5F3020A4" w14:textId="77777777" w:rsidR="00E32002" w:rsidRPr="005D05BB" w:rsidRDefault="00E32002" w:rsidP="00E32002">
      <w:pPr>
        <w:pStyle w:val="3-BodyText"/>
      </w:pPr>
      <w:r w:rsidRPr="005D05BB">
        <w:t>Table 4 presents the key features of the included trials.</w:t>
      </w:r>
    </w:p>
    <w:p w14:paraId="5461228C" w14:textId="77777777" w:rsidR="00E32002" w:rsidRPr="005D05BB" w:rsidRDefault="00E32002" w:rsidP="00BB6698">
      <w:pPr>
        <w:keepNext/>
        <w:keepLines/>
        <w:widowControl w:val="0"/>
        <w:rPr>
          <w:rFonts w:ascii="Arial Narrow" w:hAnsi="Arial Narrow"/>
          <w:b/>
          <w:bCs/>
          <w:snapToGrid w:val="0"/>
          <w:sz w:val="20"/>
          <w:szCs w:val="20"/>
          <w:lang w:eastAsia="en-US"/>
        </w:rPr>
      </w:pPr>
      <w:r w:rsidRPr="005D05BB">
        <w:rPr>
          <w:rFonts w:ascii="Arial Narrow" w:hAnsi="Arial Narrow"/>
          <w:b/>
          <w:bCs/>
          <w:snapToGrid w:val="0"/>
          <w:sz w:val="20"/>
          <w:szCs w:val="20"/>
          <w:lang w:eastAsia="en-US"/>
        </w:rPr>
        <w:lastRenderedPageBreak/>
        <w:t>Table 4: Key features of the included evidence</w:t>
      </w:r>
    </w:p>
    <w:tbl>
      <w:tblPr>
        <w:tblStyle w:val="TableGrid"/>
        <w:tblW w:w="5000" w:type="pct"/>
        <w:tblCellMar>
          <w:left w:w="28" w:type="dxa"/>
          <w:right w:w="28" w:type="dxa"/>
        </w:tblCellMar>
        <w:tblLook w:val="04A0" w:firstRow="1" w:lastRow="0" w:firstColumn="1" w:lastColumn="0" w:noHBand="0" w:noVBand="1"/>
        <w:tblCaption w:val="Table 4: Key features of the included evidence"/>
      </w:tblPr>
      <w:tblGrid>
        <w:gridCol w:w="845"/>
        <w:gridCol w:w="426"/>
        <w:gridCol w:w="2126"/>
        <w:gridCol w:w="426"/>
        <w:gridCol w:w="1701"/>
        <w:gridCol w:w="992"/>
        <w:gridCol w:w="2501"/>
      </w:tblGrid>
      <w:tr w:rsidR="00E32002" w:rsidRPr="005D05BB" w14:paraId="57EE9FB4" w14:textId="77777777" w:rsidTr="001A2685">
        <w:trPr>
          <w:tblHeader/>
        </w:trPr>
        <w:tc>
          <w:tcPr>
            <w:tcW w:w="469" w:type="pct"/>
          </w:tcPr>
          <w:p w14:paraId="2D772F13" w14:textId="77777777" w:rsidR="00E32002" w:rsidRPr="005D05BB" w:rsidRDefault="00E32002" w:rsidP="00BB6698">
            <w:pPr>
              <w:keepNext/>
              <w:keepLines/>
              <w:widowControl w:val="0"/>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Trial</w:t>
            </w:r>
          </w:p>
        </w:tc>
        <w:tc>
          <w:tcPr>
            <w:tcW w:w="236" w:type="pct"/>
            <w:vAlign w:val="center"/>
          </w:tcPr>
          <w:p w14:paraId="5055BA0D"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N</w:t>
            </w:r>
          </w:p>
        </w:tc>
        <w:tc>
          <w:tcPr>
            <w:tcW w:w="1179" w:type="pct"/>
            <w:vAlign w:val="center"/>
          </w:tcPr>
          <w:p w14:paraId="03CF6FE0"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Design/duration</w:t>
            </w:r>
          </w:p>
        </w:tc>
        <w:tc>
          <w:tcPr>
            <w:tcW w:w="236" w:type="pct"/>
            <w:vAlign w:val="center"/>
          </w:tcPr>
          <w:p w14:paraId="48038E1C"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Bias</w:t>
            </w:r>
          </w:p>
        </w:tc>
        <w:tc>
          <w:tcPr>
            <w:tcW w:w="943" w:type="pct"/>
            <w:vAlign w:val="center"/>
          </w:tcPr>
          <w:p w14:paraId="4B6FA8AE"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Treatment arms</w:t>
            </w:r>
          </w:p>
        </w:tc>
        <w:tc>
          <w:tcPr>
            <w:tcW w:w="550" w:type="pct"/>
            <w:vAlign w:val="center"/>
          </w:tcPr>
          <w:p w14:paraId="15A6F341"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Population</w:t>
            </w:r>
          </w:p>
        </w:tc>
        <w:tc>
          <w:tcPr>
            <w:tcW w:w="1387" w:type="pct"/>
            <w:vAlign w:val="center"/>
          </w:tcPr>
          <w:p w14:paraId="40CEC880" w14:textId="77777777" w:rsidR="00E32002" w:rsidRPr="005D05BB" w:rsidRDefault="00E32002" w:rsidP="00BB6698">
            <w:pPr>
              <w:keepNext/>
              <w:keepLines/>
              <w:widowControl w:val="0"/>
              <w:jc w:val="center"/>
              <w:rPr>
                <w:rFonts w:ascii="Arial Narrow" w:hAnsi="Arial Narrow"/>
                <w:b/>
                <w:bCs/>
                <w:snapToGrid w:val="0"/>
                <w:sz w:val="20"/>
                <w:szCs w:val="20"/>
                <w:lang w:eastAsia="en-US"/>
              </w:rPr>
            </w:pPr>
            <w:r w:rsidRPr="005D05BB">
              <w:rPr>
                <w:rFonts w:ascii="Arial Narrow" w:hAnsi="Arial Narrow"/>
                <w:b/>
                <w:bCs/>
                <w:snapToGrid w:val="0"/>
                <w:sz w:val="20"/>
                <w:szCs w:val="20"/>
                <w:lang w:eastAsia="en-US"/>
              </w:rPr>
              <w:t>Key efficacy outcomes</w:t>
            </w:r>
          </w:p>
        </w:tc>
      </w:tr>
      <w:tr w:rsidR="00E32002" w:rsidRPr="005D05BB" w14:paraId="3B466875" w14:textId="77777777" w:rsidTr="00A33E85">
        <w:tc>
          <w:tcPr>
            <w:tcW w:w="5000" w:type="pct"/>
            <w:gridSpan w:val="7"/>
          </w:tcPr>
          <w:p w14:paraId="7871A7FC" w14:textId="77777777" w:rsidR="00E32002" w:rsidRPr="005D05BB" w:rsidRDefault="00E32002" w:rsidP="00BB6698">
            <w:pPr>
              <w:keepNext/>
              <w:keepLines/>
              <w:widowControl w:val="0"/>
              <w:rPr>
                <w:rFonts w:ascii="Arial Narrow" w:hAnsi="Arial Narrow"/>
                <w:snapToGrid w:val="0"/>
                <w:sz w:val="20"/>
                <w:szCs w:val="20"/>
                <w:lang w:eastAsia="en-US"/>
              </w:rPr>
            </w:pPr>
            <w:r w:rsidRPr="005D05BB">
              <w:rPr>
                <w:rFonts w:ascii="Arial Narrow" w:hAnsi="Arial Narrow"/>
                <w:snapToGrid w:val="0"/>
                <w:sz w:val="20"/>
                <w:szCs w:val="20"/>
                <w:lang w:eastAsia="en-US"/>
              </w:rPr>
              <w:t>IFX SC 12</w:t>
            </w:r>
            <w:r w:rsidR="000B0C55" w:rsidRPr="005D05BB">
              <w:rPr>
                <w:rFonts w:ascii="Arial Narrow" w:hAnsi="Arial Narrow"/>
                <w:snapToGrid w:val="0"/>
                <w:sz w:val="20"/>
                <w:szCs w:val="20"/>
                <w:lang w:eastAsia="en-US"/>
              </w:rPr>
              <w:t>0 mg</w:t>
            </w:r>
            <w:r w:rsidRPr="005D05BB">
              <w:rPr>
                <w:rFonts w:ascii="Arial Narrow" w:hAnsi="Arial Narrow"/>
                <w:snapToGrid w:val="0"/>
                <w:sz w:val="20"/>
                <w:szCs w:val="20"/>
                <w:lang w:eastAsia="en-US"/>
              </w:rPr>
              <w:t xml:space="preserve"> vs IFX IV </w:t>
            </w:r>
            <w:r w:rsidR="000B0C55" w:rsidRPr="005D05BB">
              <w:rPr>
                <w:rFonts w:ascii="Arial Narrow" w:hAnsi="Arial Narrow"/>
                <w:snapToGrid w:val="0"/>
                <w:sz w:val="20"/>
                <w:szCs w:val="20"/>
                <w:lang w:eastAsia="en-US"/>
              </w:rPr>
              <w:t>3 mg/kg</w:t>
            </w:r>
          </w:p>
        </w:tc>
      </w:tr>
      <w:tr w:rsidR="00E32002" w:rsidRPr="005D05BB" w14:paraId="50A98F8C" w14:textId="77777777" w:rsidTr="00A33E85">
        <w:tc>
          <w:tcPr>
            <w:tcW w:w="469" w:type="pct"/>
            <w:vAlign w:val="center"/>
          </w:tcPr>
          <w:p w14:paraId="1722185D"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Study 3.5</w:t>
            </w:r>
            <w:r w:rsidR="00144389">
              <w:rPr>
                <w:rFonts w:ascii="Arial Narrow" w:hAnsi="Arial Narrow"/>
                <w:snapToGrid w:val="0"/>
                <w:sz w:val="20"/>
                <w:szCs w:val="20"/>
                <w:lang w:eastAsia="en-US"/>
              </w:rPr>
              <w:t xml:space="preserve"> Part 2</w:t>
            </w:r>
            <w:r w:rsidR="00144389" w:rsidRPr="00144389">
              <w:rPr>
                <w:rFonts w:ascii="Arial Narrow" w:hAnsi="Arial Narrow"/>
                <w:snapToGrid w:val="0"/>
                <w:sz w:val="20"/>
                <w:szCs w:val="20"/>
                <w:vertAlign w:val="superscript"/>
                <w:lang w:eastAsia="en-US"/>
              </w:rPr>
              <w:t>a</w:t>
            </w:r>
          </w:p>
        </w:tc>
        <w:tc>
          <w:tcPr>
            <w:tcW w:w="236" w:type="pct"/>
            <w:vAlign w:val="center"/>
          </w:tcPr>
          <w:p w14:paraId="120D62AF" w14:textId="77777777" w:rsidR="00E32002" w:rsidRPr="005D05BB" w:rsidRDefault="00E32002" w:rsidP="00BB6698">
            <w:pPr>
              <w:keepNext/>
              <w:keepLines/>
              <w:widowControl w:val="0"/>
              <w:jc w:val="center"/>
              <w:rPr>
                <w:rFonts w:ascii="Arial Narrow" w:hAnsi="Arial Narrow"/>
                <w:snapToGrid w:val="0"/>
                <w:sz w:val="20"/>
                <w:szCs w:val="20"/>
                <w:lang w:eastAsia="en-US"/>
              </w:rPr>
            </w:pPr>
            <w:r w:rsidRPr="005D05BB">
              <w:rPr>
                <w:rFonts w:ascii="Arial Narrow" w:hAnsi="Arial Narrow"/>
                <w:snapToGrid w:val="0"/>
                <w:sz w:val="20"/>
                <w:szCs w:val="20"/>
                <w:lang w:eastAsia="en-US"/>
              </w:rPr>
              <w:t>218</w:t>
            </w:r>
          </w:p>
        </w:tc>
        <w:tc>
          <w:tcPr>
            <w:tcW w:w="1179" w:type="pct"/>
            <w:vAlign w:val="center"/>
          </w:tcPr>
          <w:p w14:paraId="268F7E36" w14:textId="77777777" w:rsidR="00E32002" w:rsidRPr="005D05BB" w:rsidRDefault="00E32002" w:rsidP="00144389">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R, MC, DB 30wk</w:t>
            </w:r>
            <w:r w:rsidR="00144389">
              <w:rPr>
                <w:rFonts w:asciiTheme="minorHAnsi" w:hAnsiTheme="minorHAnsi" w:cstheme="minorHAnsi"/>
                <w:snapToGrid w:val="0"/>
                <w:sz w:val="20"/>
                <w:szCs w:val="20"/>
                <w:vertAlign w:val="superscript"/>
                <w:lang w:eastAsia="en-US"/>
              </w:rPr>
              <w:t>b</w:t>
            </w:r>
            <w:r w:rsidRPr="005D05BB">
              <w:rPr>
                <w:rFonts w:ascii="Arial Narrow" w:hAnsi="Arial Narrow" w:cs="Calibri"/>
                <w:snapToGrid w:val="0"/>
                <w:sz w:val="20"/>
                <w:szCs w:val="20"/>
                <w:lang w:eastAsia="en-US"/>
              </w:rPr>
              <w:t xml:space="preserve"> / OL extension SC switch in IV arm Wk 30</w:t>
            </w:r>
          </w:p>
        </w:tc>
        <w:tc>
          <w:tcPr>
            <w:tcW w:w="236" w:type="pct"/>
            <w:vAlign w:val="center"/>
          </w:tcPr>
          <w:p w14:paraId="69E99EA7"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Low</w:t>
            </w:r>
          </w:p>
        </w:tc>
        <w:tc>
          <w:tcPr>
            <w:tcW w:w="943" w:type="pct"/>
            <w:vAlign w:val="center"/>
          </w:tcPr>
          <w:p w14:paraId="42785FFC"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SC 12</w:t>
            </w:r>
            <w:r w:rsidR="000B0C55" w:rsidRPr="005D05BB">
              <w:rPr>
                <w:rFonts w:ascii="Arial Narrow" w:hAnsi="Arial Narrow"/>
                <w:snapToGrid w:val="0"/>
                <w:sz w:val="20"/>
                <w:szCs w:val="20"/>
                <w:lang w:eastAsia="en-US"/>
              </w:rPr>
              <w:t>0 mg</w:t>
            </w:r>
            <w:r w:rsidR="00144389">
              <w:rPr>
                <w:rFonts w:cs="Calibri"/>
                <w:snapToGrid w:val="0"/>
                <w:sz w:val="20"/>
                <w:szCs w:val="20"/>
                <w:vertAlign w:val="superscript"/>
                <w:lang w:eastAsia="en-US"/>
              </w:rPr>
              <w:t>c</w:t>
            </w:r>
          </w:p>
          <w:p w14:paraId="1F070EEE" w14:textId="77777777" w:rsidR="00E32002" w:rsidRPr="005D05BB" w:rsidRDefault="00E32002" w:rsidP="00144389">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 xml:space="preserve">IV </w:t>
            </w:r>
            <w:r w:rsidR="000B0C55" w:rsidRPr="005D05BB">
              <w:rPr>
                <w:rFonts w:ascii="Arial Narrow" w:hAnsi="Arial Narrow"/>
                <w:snapToGrid w:val="0"/>
                <w:sz w:val="20"/>
                <w:szCs w:val="20"/>
                <w:lang w:eastAsia="en-US"/>
              </w:rPr>
              <w:t>3 mg/kg</w:t>
            </w:r>
            <w:r w:rsidR="00144389">
              <w:rPr>
                <w:rFonts w:cs="Calibri"/>
                <w:snapToGrid w:val="0"/>
                <w:sz w:val="20"/>
                <w:szCs w:val="20"/>
                <w:vertAlign w:val="superscript"/>
                <w:lang w:eastAsia="en-US"/>
              </w:rPr>
              <w:t>d</w:t>
            </w:r>
          </w:p>
        </w:tc>
        <w:tc>
          <w:tcPr>
            <w:tcW w:w="550" w:type="pct"/>
            <w:vAlign w:val="center"/>
          </w:tcPr>
          <w:p w14:paraId="6CD485C4"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Active RA</w:t>
            </w:r>
          </w:p>
        </w:tc>
        <w:tc>
          <w:tcPr>
            <w:tcW w:w="1387" w:type="pct"/>
            <w:vAlign w:val="center"/>
          </w:tcPr>
          <w:p w14:paraId="301CB115"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1°: DAS28 (CRP) (Wk 22)</w:t>
            </w:r>
          </w:p>
          <w:p w14:paraId="57C2364A"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2°: ACR20/50/70, CDAI, SDAI</w:t>
            </w:r>
          </w:p>
        </w:tc>
      </w:tr>
      <w:tr w:rsidR="00E32002" w:rsidRPr="005D05BB" w14:paraId="2F61BDED" w14:textId="77777777" w:rsidTr="00A33E85">
        <w:tc>
          <w:tcPr>
            <w:tcW w:w="5000" w:type="pct"/>
            <w:gridSpan w:val="7"/>
          </w:tcPr>
          <w:p w14:paraId="13F4BF76" w14:textId="77777777" w:rsidR="00E32002" w:rsidRPr="005D05BB" w:rsidRDefault="00E32002" w:rsidP="00BB6698">
            <w:pPr>
              <w:keepNext/>
              <w:keepLines/>
              <w:widowControl w:val="0"/>
              <w:rPr>
                <w:rFonts w:ascii="Arial Narrow" w:hAnsi="Arial Narrow"/>
                <w:snapToGrid w:val="0"/>
                <w:sz w:val="20"/>
                <w:szCs w:val="20"/>
                <w:lang w:eastAsia="en-US"/>
              </w:rPr>
            </w:pPr>
            <w:r w:rsidRPr="005D05BB">
              <w:rPr>
                <w:rFonts w:ascii="Arial Narrow" w:hAnsi="Arial Narrow"/>
                <w:snapToGrid w:val="0"/>
                <w:sz w:val="20"/>
                <w:szCs w:val="20"/>
                <w:lang w:eastAsia="en-US"/>
              </w:rPr>
              <w:t>IFX SC 120/24</w:t>
            </w:r>
            <w:r w:rsidR="000B0C55" w:rsidRPr="005D05BB">
              <w:rPr>
                <w:rFonts w:ascii="Arial Narrow" w:hAnsi="Arial Narrow"/>
                <w:snapToGrid w:val="0"/>
                <w:sz w:val="20"/>
                <w:szCs w:val="20"/>
                <w:lang w:eastAsia="en-US"/>
              </w:rPr>
              <w:t>0 mg</w:t>
            </w:r>
            <w:r w:rsidRPr="005D05BB">
              <w:rPr>
                <w:rFonts w:ascii="Arial Narrow" w:hAnsi="Arial Narrow"/>
                <w:snapToGrid w:val="0"/>
                <w:sz w:val="20"/>
                <w:szCs w:val="20"/>
                <w:lang w:eastAsia="en-US"/>
              </w:rPr>
              <w:t xml:space="preserve"> vs IFX IV </w:t>
            </w:r>
            <w:r w:rsidR="000B0C55" w:rsidRPr="005D05BB">
              <w:rPr>
                <w:rFonts w:ascii="Arial Narrow" w:hAnsi="Arial Narrow"/>
                <w:snapToGrid w:val="0"/>
                <w:sz w:val="20"/>
                <w:szCs w:val="20"/>
                <w:lang w:eastAsia="en-US"/>
              </w:rPr>
              <w:t>5 mg/kg</w:t>
            </w:r>
          </w:p>
        </w:tc>
      </w:tr>
      <w:tr w:rsidR="00E32002" w:rsidRPr="005D05BB" w14:paraId="43E554C2" w14:textId="77777777" w:rsidTr="00A33E85">
        <w:tc>
          <w:tcPr>
            <w:tcW w:w="469" w:type="pct"/>
            <w:vAlign w:val="center"/>
          </w:tcPr>
          <w:p w14:paraId="53BFFF71" w14:textId="77777777" w:rsidR="00E32002" w:rsidRPr="005D05BB" w:rsidRDefault="00E32002" w:rsidP="00144389">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Study 1.6 Part 2</w:t>
            </w:r>
            <w:r w:rsidR="00144389" w:rsidRPr="00144389">
              <w:rPr>
                <w:rFonts w:ascii="Arial Narrow" w:hAnsi="Arial Narrow"/>
                <w:snapToGrid w:val="0"/>
                <w:sz w:val="20"/>
                <w:szCs w:val="20"/>
                <w:vertAlign w:val="superscript"/>
                <w:lang w:eastAsia="en-US"/>
              </w:rPr>
              <w:t>a</w:t>
            </w:r>
          </w:p>
        </w:tc>
        <w:tc>
          <w:tcPr>
            <w:tcW w:w="236" w:type="pct"/>
            <w:vAlign w:val="center"/>
          </w:tcPr>
          <w:p w14:paraId="07B783CC" w14:textId="77777777" w:rsidR="00E32002" w:rsidRPr="005D05BB" w:rsidRDefault="00E32002" w:rsidP="00BB6698">
            <w:pPr>
              <w:keepNext/>
              <w:keepLines/>
              <w:widowControl w:val="0"/>
              <w:jc w:val="center"/>
              <w:rPr>
                <w:rFonts w:ascii="Arial Narrow" w:hAnsi="Arial Narrow"/>
                <w:snapToGrid w:val="0"/>
                <w:sz w:val="20"/>
                <w:szCs w:val="20"/>
                <w:lang w:eastAsia="en-US"/>
              </w:rPr>
            </w:pPr>
            <w:r w:rsidRPr="005D05BB">
              <w:rPr>
                <w:rFonts w:ascii="Arial Narrow" w:hAnsi="Arial Narrow"/>
                <w:snapToGrid w:val="0"/>
                <w:sz w:val="20"/>
                <w:szCs w:val="20"/>
                <w:lang w:eastAsia="en-US"/>
              </w:rPr>
              <w:t>130</w:t>
            </w:r>
          </w:p>
        </w:tc>
        <w:tc>
          <w:tcPr>
            <w:tcW w:w="1179" w:type="pct"/>
            <w:vAlign w:val="center"/>
          </w:tcPr>
          <w:p w14:paraId="2647D23F" w14:textId="77777777" w:rsidR="00E32002" w:rsidRPr="005D05BB" w:rsidRDefault="00E32002" w:rsidP="00144389">
            <w:pPr>
              <w:keepNext/>
              <w:keepLines/>
              <w:widowControl w:val="0"/>
              <w:jc w:val="left"/>
              <w:rPr>
                <w:rFonts w:ascii="Arial Narrow" w:hAnsi="Arial Narrow" w:cs="Calibri"/>
                <w:snapToGrid w:val="0"/>
                <w:sz w:val="20"/>
                <w:szCs w:val="20"/>
                <w:lang w:eastAsia="en-US"/>
              </w:rPr>
            </w:pPr>
            <w:r w:rsidRPr="005D05BB">
              <w:rPr>
                <w:rFonts w:ascii="Arial Narrow" w:hAnsi="Arial Narrow"/>
                <w:snapToGrid w:val="0"/>
                <w:sz w:val="20"/>
                <w:szCs w:val="20"/>
                <w:lang w:eastAsia="en-US"/>
              </w:rPr>
              <w:t>R, MC, OL 30wk</w:t>
            </w:r>
            <w:r w:rsidR="00144389">
              <w:rPr>
                <w:rFonts w:cs="Calibri"/>
                <w:snapToGrid w:val="0"/>
                <w:sz w:val="20"/>
                <w:szCs w:val="20"/>
                <w:vertAlign w:val="superscript"/>
                <w:lang w:eastAsia="en-US"/>
              </w:rPr>
              <w:t>e</w:t>
            </w:r>
            <w:r w:rsidRPr="005D05BB">
              <w:rPr>
                <w:rFonts w:ascii="Arial Narrow" w:hAnsi="Arial Narrow" w:cs="Calibri"/>
                <w:snapToGrid w:val="0"/>
                <w:sz w:val="20"/>
                <w:szCs w:val="20"/>
                <w:lang w:eastAsia="en-US"/>
              </w:rPr>
              <w:t xml:space="preserve"> / OL extension SC switch in IV arm Wk 30</w:t>
            </w:r>
          </w:p>
        </w:tc>
        <w:tc>
          <w:tcPr>
            <w:tcW w:w="236" w:type="pct"/>
            <w:vAlign w:val="center"/>
          </w:tcPr>
          <w:p w14:paraId="2C598A03"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Low</w:t>
            </w:r>
          </w:p>
        </w:tc>
        <w:tc>
          <w:tcPr>
            <w:tcW w:w="943" w:type="pct"/>
            <w:vAlign w:val="center"/>
          </w:tcPr>
          <w:p w14:paraId="021067BD"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SC 12</w:t>
            </w:r>
            <w:r w:rsidR="000B0C55" w:rsidRPr="005D05BB">
              <w:rPr>
                <w:rFonts w:ascii="Arial Narrow" w:hAnsi="Arial Narrow"/>
                <w:snapToGrid w:val="0"/>
                <w:sz w:val="20"/>
                <w:szCs w:val="20"/>
                <w:lang w:eastAsia="en-US"/>
              </w:rPr>
              <w:t>0 mg</w:t>
            </w:r>
            <w:r w:rsidRPr="005D05BB">
              <w:rPr>
                <w:rFonts w:ascii="Arial Narrow" w:hAnsi="Arial Narrow"/>
                <w:snapToGrid w:val="0"/>
                <w:sz w:val="20"/>
                <w:szCs w:val="20"/>
                <w:lang w:eastAsia="en-US"/>
              </w:rPr>
              <w:t xml:space="preserve"> (&lt;8</w:t>
            </w:r>
            <w:r w:rsidR="000B0C55" w:rsidRPr="005D05BB">
              <w:rPr>
                <w:rFonts w:ascii="Arial Narrow" w:hAnsi="Arial Narrow"/>
                <w:snapToGrid w:val="0"/>
                <w:sz w:val="20"/>
                <w:szCs w:val="20"/>
                <w:lang w:eastAsia="en-US"/>
              </w:rPr>
              <w:t>0 kg</w:t>
            </w:r>
            <w:r w:rsidRPr="005D05BB">
              <w:rPr>
                <w:rFonts w:ascii="Arial Narrow" w:hAnsi="Arial Narrow"/>
                <w:snapToGrid w:val="0"/>
                <w:sz w:val="20"/>
                <w:szCs w:val="20"/>
                <w:lang w:eastAsia="en-US"/>
              </w:rPr>
              <w:t>) or 24</w:t>
            </w:r>
            <w:r w:rsidR="000B0C55" w:rsidRPr="005D05BB">
              <w:rPr>
                <w:rFonts w:ascii="Arial Narrow" w:hAnsi="Arial Narrow"/>
                <w:snapToGrid w:val="0"/>
                <w:sz w:val="20"/>
                <w:szCs w:val="20"/>
                <w:lang w:eastAsia="en-US"/>
              </w:rPr>
              <w:t>0 mg</w:t>
            </w:r>
            <w:r w:rsidRPr="005D05BB">
              <w:rPr>
                <w:rFonts w:ascii="Arial Narrow" w:hAnsi="Arial Narrow"/>
                <w:snapToGrid w:val="0"/>
                <w:sz w:val="20"/>
                <w:szCs w:val="20"/>
                <w:lang w:eastAsia="en-US"/>
              </w:rPr>
              <w:t xml:space="preserve"> (≥8</w:t>
            </w:r>
            <w:r w:rsidR="000B0C55" w:rsidRPr="005D05BB">
              <w:rPr>
                <w:rFonts w:ascii="Arial Narrow" w:hAnsi="Arial Narrow"/>
                <w:snapToGrid w:val="0"/>
                <w:sz w:val="20"/>
                <w:szCs w:val="20"/>
                <w:lang w:eastAsia="en-US"/>
              </w:rPr>
              <w:t>0 kg</w:t>
            </w:r>
            <w:r w:rsidRPr="005D05BB">
              <w:rPr>
                <w:rFonts w:ascii="Arial Narrow" w:hAnsi="Arial Narrow"/>
                <w:snapToGrid w:val="0"/>
                <w:sz w:val="20"/>
                <w:szCs w:val="20"/>
                <w:vertAlign w:val="superscript"/>
                <w:lang w:eastAsia="en-US"/>
              </w:rPr>
              <w:t xml:space="preserve"> </w:t>
            </w:r>
            <w:r w:rsidR="00144389">
              <w:rPr>
                <w:rFonts w:ascii="Arial Narrow" w:hAnsi="Arial Narrow"/>
                <w:snapToGrid w:val="0"/>
                <w:sz w:val="20"/>
                <w:szCs w:val="20"/>
                <w:vertAlign w:val="superscript"/>
                <w:lang w:eastAsia="en-US"/>
              </w:rPr>
              <w:t>f</w:t>
            </w:r>
          </w:p>
          <w:p w14:paraId="4A687E8C" w14:textId="77777777" w:rsidR="00E32002" w:rsidRPr="005D05BB" w:rsidRDefault="00E32002" w:rsidP="00144389">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 xml:space="preserve">IV </w:t>
            </w:r>
            <w:r w:rsidR="000B0C55" w:rsidRPr="005D05BB">
              <w:rPr>
                <w:rFonts w:ascii="Arial Narrow" w:hAnsi="Arial Narrow"/>
                <w:snapToGrid w:val="0"/>
                <w:sz w:val="20"/>
                <w:szCs w:val="20"/>
                <w:lang w:eastAsia="en-US"/>
              </w:rPr>
              <w:t>5 mg/kg</w:t>
            </w:r>
            <w:r w:rsidR="00144389">
              <w:rPr>
                <w:rFonts w:cs="Calibri"/>
                <w:snapToGrid w:val="0"/>
                <w:sz w:val="20"/>
                <w:szCs w:val="20"/>
                <w:vertAlign w:val="superscript"/>
                <w:lang w:eastAsia="en-US"/>
              </w:rPr>
              <w:t>g</w:t>
            </w:r>
          </w:p>
        </w:tc>
        <w:tc>
          <w:tcPr>
            <w:tcW w:w="550" w:type="pct"/>
            <w:vAlign w:val="center"/>
          </w:tcPr>
          <w:p w14:paraId="25CBA63E"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Active CD or UC</w:t>
            </w:r>
          </w:p>
        </w:tc>
        <w:tc>
          <w:tcPr>
            <w:tcW w:w="1387" w:type="pct"/>
            <w:vAlign w:val="center"/>
          </w:tcPr>
          <w:p w14:paraId="10B559CA"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1°: PK Ctrough (Wk 22)</w:t>
            </w:r>
          </w:p>
          <w:p w14:paraId="184255E1" w14:textId="77777777" w:rsidR="00E32002" w:rsidRPr="005D05BB" w:rsidRDefault="00E32002" w:rsidP="00BB6698">
            <w:pPr>
              <w:keepNext/>
              <w:keepLines/>
              <w:widowControl w:val="0"/>
              <w:jc w:val="left"/>
              <w:rPr>
                <w:rFonts w:ascii="Arial Narrow" w:hAnsi="Arial Narrow"/>
                <w:snapToGrid w:val="0"/>
                <w:sz w:val="20"/>
                <w:szCs w:val="20"/>
                <w:lang w:eastAsia="en-US"/>
              </w:rPr>
            </w:pPr>
            <w:r w:rsidRPr="005D05BB">
              <w:rPr>
                <w:rFonts w:ascii="Arial Narrow" w:hAnsi="Arial Narrow"/>
                <w:snapToGrid w:val="0"/>
                <w:sz w:val="20"/>
                <w:szCs w:val="20"/>
                <w:lang w:eastAsia="en-US"/>
              </w:rPr>
              <w:t>2°: CDAI70/100 (CD) and MSS (UC)</w:t>
            </w:r>
          </w:p>
        </w:tc>
      </w:tr>
    </w:tbl>
    <w:p w14:paraId="4FF15CE9" w14:textId="77777777" w:rsidR="00E32002" w:rsidRPr="005D05BB" w:rsidRDefault="00E32002" w:rsidP="00BB6698">
      <w:pPr>
        <w:keepNext/>
        <w:keepLines/>
        <w:widowControl w:val="0"/>
        <w:tabs>
          <w:tab w:val="left" w:pos="142"/>
        </w:tabs>
        <w:rPr>
          <w:rFonts w:ascii="Arial Narrow" w:hAnsi="Arial Narrow"/>
          <w:snapToGrid w:val="0"/>
          <w:sz w:val="18"/>
          <w:szCs w:val="18"/>
          <w:lang w:eastAsia="en-US"/>
        </w:rPr>
      </w:pPr>
      <w:r w:rsidRPr="005D05BB">
        <w:rPr>
          <w:rFonts w:ascii="Arial Narrow" w:hAnsi="Arial Narrow"/>
          <w:snapToGrid w:val="0"/>
          <w:sz w:val="18"/>
          <w:szCs w:val="18"/>
          <w:lang w:eastAsia="en-US"/>
        </w:rPr>
        <w:t>Abbreviations: Ctrough=trough concentration; CD=Crohn’s disease; CDAI=Crohn’s Disease Activity Index Assessment; DAS28 (CRP)=Disease Activity Score 28 joint counts (C-reactive protein); DB=double blind; IFX=infliximab; IV=intravenous infusion; MC=multicentre; MSS=Mayo Scoring System; OL=open label; PBO=placebo; PK=pharmacokinetic; R=randomised; RA=rheumatoid arthritis; SC=subcutaneous injection; UC=ulcerative colitis; wk=week;</w:t>
      </w:r>
    </w:p>
    <w:p w14:paraId="79862697" w14:textId="77777777" w:rsidR="00E32002" w:rsidRPr="005D05BB" w:rsidRDefault="00144389" w:rsidP="00BB6698">
      <w:pPr>
        <w:keepNext/>
        <w:keepLines/>
        <w:widowControl w:val="0"/>
        <w:tabs>
          <w:tab w:val="left" w:pos="142"/>
        </w:tabs>
        <w:rPr>
          <w:rFonts w:ascii="Arial Narrow" w:hAnsi="Arial Narrow"/>
          <w:snapToGrid w:val="0"/>
          <w:sz w:val="18"/>
          <w:szCs w:val="18"/>
          <w:lang w:eastAsia="en-US"/>
        </w:rPr>
      </w:pPr>
      <w:r w:rsidRPr="00144389">
        <w:rPr>
          <w:rFonts w:ascii="Arial Narrow" w:hAnsi="Arial Narrow"/>
          <w:snapToGrid w:val="0"/>
          <w:sz w:val="18"/>
          <w:szCs w:val="18"/>
          <w:vertAlign w:val="superscript"/>
          <w:lang w:eastAsia="en-US"/>
        </w:rPr>
        <w:t>a</w:t>
      </w:r>
      <w:r w:rsidR="00E32002" w:rsidRPr="005D05BB">
        <w:rPr>
          <w:rFonts w:ascii="Arial Narrow" w:hAnsi="Arial Narrow"/>
          <w:snapToGrid w:val="0"/>
          <w:sz w:val="18"/>
          <w:szCs w:val="18"/>
          <w:lang w:eastAsia="en-US"/>
        </w:rPr>
        <w:tab/>
        <w:t>Part 2 was designed to demonstrate non-inferiority of IFX SC vs IV in terms of efficacy (Study 3.5) and PK (Study 1.6)</w:t>
      </w:r>
    </w:p>
    <w:p w14:paraId="2A8367CB" w14:textId="77777777" w:rsidR="00E32002" w:rsidRPr="005D05BB" w:rsidRDefault="00144389" w:rsidP="00BB6698">
      <w:pPr>
        <w:keepNext/>
        <w:keepLines/>
        <w:widowControl w:val="0"/>
        <w:tabs>
          <w:tab w:val="left" w:pos="142"/>
        </w:tabs>
        <w:ind w:left="135" w:hanging="135"/>
        <w:rPr>
          <w:rFonts w:ascii="Arial Narrow" w:hAnsi="Arial Narrow"/>
          <w:snapToGrid w:val="0"/>
          <w:sz w:val="18"/>
          <w:szCs w:val="18"/>
          <w:lang w:eastAsia="en-US"/>
        </w:rPr>
      </w:pPr>
      <w:r w:rsidRPr="00144389">
        <w:rPr>
          <w:rFonts w:cs="Calibri"/>
          <w:snapToGrid w:val="0"/>
          <w:sz w:val="18"/>
          <w:szCs w:val="18"/>
          <w:vertAlign w:val="superscript"/>
          <w:lang w:eastAsia="en-US"/>
        </w:rPr>
        <w:t>b</w:t>
      </w:r>
      <w:r w:rsidR="00E32002" w:rsidRPr="005D05BB">
        <w:rPr>
          <w:rFonts w:ascii="Arial Narrow" w:hAnsi="Arial Narrow"/>
          <w:snapToGrid w:val="0"/>
          <w:sz w:val="18"/>
          <w:szCs w:val="18"/>
          <w:vertAlign w:val="superscript"/>
          <w:lang w:eastAsia="en-US"/>
        </w:rPr>
        <w:tab/>
      </w:r>
      <w:r w:rsidR="00E32002" w:rsidRPr="005D05BB">
        <w:rPr>
          <w:rFonts w:ascii="Arial Narrow" w:hAnsi="Arial Narrow"/>
          <w:snapToGrid w:val="0"/>
          <w:sz w:val="18"/>
          <w:szCs w:val="18"/>
          <w:lang w:eastAsia="en-US"/>
        </w:rPr>
        <w:t>Treatment period include dose loading phase (Wks 0 to 6) and maintenance phase (Wks 6 to 54)</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During dose loading, all patients received IFX IV at Wks 0 and 2</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Patients were randomised to either IFX SC or IV at Wk 6</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A double-dummy design was used to maintain blinding during the maintenance phase up to Wk 30</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IFX IV arm switched to IFX SC via pre-filled syringe at Wk 30</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All patients received open label SC during the extended maintenance phase (Wks 30 to 54).</w:t>
      </w:r>
    </w:p>
    <w:p w14:paraId="0E3190D2" w14:textId="77777777" w:rsidR="00DD3230" w:rsidRPr="005D05BB" w:rsidRDefault="00144389" w:rsidP="00BB6698">
      <w:pPr>
        <w:keepNext/>
        <w:keepLines/>
        <w:widowControl w:val="0"/>
        <w:tabs>
          <w:tab w:val="left" w:pos="142"/>
        </w:tabs>
        <w:ind w:left="135" w:hanging="135"/>
        <w:rPr>
          <w:rFonts w:ascii="Arial Narrow" w:hAnsi="Arial Narrow" w:cs="Calibri"/>
          <w:snapToGrid w:val="0"/>
          <w:sz w:val="18"/>
          <w:szCs w:val="18"/>
          <w:lang w:eastAsia="en-US"/>
        </w:rPr>
      </w:pPr>
      <w:r w:rsidRPr="00144389">
        <w:rPr>
          <w:rFonts w:cs="Calibri"/>
          <w:snapToGrid w:val="0"/>
          <w:sz w:val="18"/>
          <w:szCs w:val="18"/>
          <w:vertAlign w:val="superscript"/>
          <w:lang w:eastAsia="en-US"/>
        </w:rPr>
        <w:t>c</w:t>
      </w:r>
      <w:r w:rsidR="00E32002" w:rsidRPr="005D05BB">
        <w:rPr>
          <w:rFonts w:cs="Calibri"/>
          <w:snapToGrid w:val="0"/>
          <w:sz w:val="18"/>
          <w:szCs w:val="18"/>
          <w:lang w:eastAsia="en-US"/>
        </w:rPr>
        <w:tab/>
      </w:r>
      <w:r w:rsidR="00E32002" w:rsidRPr="005D05BB">
        <w:rPr>
          <w:rFonts w:ascii="Arial Narrow" w:hAnsi="Arial Narrow"/>
          <w:snapToGrid w:val="0"/>
          <w:sz w:val="18"/>
          <w:szCs w:val="18"/>
          <w:lang w:eastAsia="en-US"/>
        </w:rPr>
        <w:t xml:space="preserve">During the maintenance phase, </w:t>
      </w:r>
      <w:r w:rsidR="00E32002" w:rsidRPr="005D05BB">
        <w:rPr>
          <w:rFonts w:ascii="Arial Narrow" w:hAnsi="Arial Narrow" w:cs="Calibri"/>
          <w:snapToGrid w:val="0"/>
          <w:sz w:val="18"/>
          <w:szCs w:val="18"/>
          <w:lang w:eastAsia="en-US"/>
        </w:rPr>
        <w:t>patients in the SC treatment arm were administered IFX SC at Wk 6 and every 2 weeks up to Wk 54 with PBO IV at Wk 6, 14 and 22.</w:t>
      </w:r>
    </w:p>
    <w:p w14:paraId="1E8D7300" w14:textId="77777777" w:rsidR="00E32002" w:rsidRPr="005D05BB" w:rsidRDefault="00144389" w:rsidP="00BB6698">
      <w:pPr>
        <w:keepNext/>
        <w:keepLines/>
        <w:widowControl w:val="0"/>
        <w:tabs>
          <w:tab w:val="left" w:pos="142"/>
        </w:tabs>
        <w:ind w:left="135" w:hanging="135"/>
        <w:rPr>
          <w:rFonts w:ascii="Arial Narrow" w:hAnsi="Arial Narrow"/>
          <w:snapToGrid w:val="0"/>
          <w:sz w:val="18"/>
          <w:szCs w:val="18"/>
          <w:lang w:eastAsia="en-US"/>
        </w:rPr>
      </w:pPr>
      <w:r w:rsidRPr="00144389">
        <w:rPr>
          <w:rFonts w:cs="Calibri"/>
          <w:snapToGrid w:val="0"/>
          <w:sz w:val="18"/>
          <w:szCs w:val="18"/>
          <w:vertAlign w:val="superscript"/>
          <w:lang w:eastAsia="en-US"/>
        </w:rPr>
        <w:t>d</w:t>
      </w:r>
      <w:r w:rsidR="00E32002" w:rsidRPr="005D05BB">
        <w:rPr>
          <w:rFonts w:ascii="Arial Narrow" w:hAnsi="Arial Narrow"/>
          <w:snapToGrid w:val="0"/>
          <w:sz w:val="18"/>
          <w:szCs w:val="18"/>
          <w:lang w:eastAsia="en-US"/>
        </w:rPr>
        <w:tab/>
        <w:t>Patients in IV treatment arm were administered 3 doses of IV 3 mg/kg at Week 6 and every 8 weeks thereafter up to Wk 22 (Wks 14 and 22) with PBO.SC at Wk 6 and every 2 weeks thereafter up to Wk 28.</w:t>
      </w:r>
    </w:p>
    <w:p w14:paraId="33818F02" w14:textId="77777777" w:rsidR="00E32002" w:rsidRPr="005D05BB" w:rsidRDefault="00144389" w:rsidP="00BB6698">
      <w:pPr>
        <w:keepNext/>
        <w:keepLines/>
        <w:widowControl w:val="0"/>
        <w:tabs>
          <w:tab w:val="left" w:pos="142"/>
        </w:tabs>
        <w:ind w:left="135" w:hanging="135"/>
        <w:rPr>
          <w:rFonts w:ascii="Arial Narrow" w:hAnsi="Arial Narrow"/>
          <w:snapToGrid w:val="0"/>
          <w:sz w:val="18"/>
          <w:szCs w:val="18"/>
          <w:lang w:eastAsia="en-US"/>
        </w:rPr>
      </w:pPr>
      <w:r w:rsidRPr="00144389">
        <w:rPr>
          <w:rFonts w:cs="Calibri"/>
          <w:snapToGrid w:val="0"/>
          <w:sz w:val="18"/>
          <w:szCs w:val="18"/>
          <w:vertAlign w:val="superscript"/>
          <w:lang w:eastAsia="en-US"/>
        </w:rPr>
        <w:t>e</w:t>
      </w:r>
      <w:r w:rsidR="00E32002" w:rsidRPr="005D05BB">
        <w:rPr>
          <w:rFonts w:ascii="Arial Narrow" w:hAnsi="Arial Narrow"/>
          <w:snapToGrid w:val="0"/>
          <w:sz w:val="18"/>
          <w:szCs w:val="18"/>
          <w:lang w:eastAsia="en-US"/>
        </w:rPr>
        <w:tab/>
        <w:t>Treatment period include Wks 0 to 6 dose loading phase and Wks 6 to 54 maintenance phase</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During dose loading, all patients received IFX IV at Wks 0 and 2</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Patients were randomised to either IFX SC or IV at Wk 6</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IFX IV arm was then switched to SC based on body weight at Wk 30</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All patients received open label SC during the extended maintenance phase (Wks 30 to 54).</w:t>
      </w:r>
    </w:p>
    <w:p w14:paraId="0C58088F" w14:textId="77777777" w:rsidR="00E32002" w:rsidRPr="005D05BB" w:rsidRDefault="00144389" w:rsidP="00BB6698">
      <w:pPr>
        <w:keepNext/>
        <w:keepLines/>
        <w:widowControl w:val="0"/>
        <w:tabs>
          <w:tab w:val="left" w:pos="142"/>
        </w:tabs>
        <w:ind w:left="135" w:hanging="135"/>
        <w:rPr>
          <w:rFonts w:ascii="Arial Narrow" w:hAnsi="Arial Narrow"/>
          <w:snapToGrid w:val="0"/>
          <w:sz w:val="18"/>
          <w:szCs w:val="18"/>
          <w:lang w:eastAsia="en-US"/>
        </w:rPr>
      </w:pPr>
      <w:r w:rsidRPr="00144389">
        <w:rPr>
          <w:rFonts w:ascii="Arial Narrow" w:hAnsi="Arial Narrow" w:cs="Calibri"/>
          <w:snapToGrid w:val="0"/>
          <w:sz w:val="18"/>
          <w:szCs w:val="18"/>
          <w:vertAlign w:val="superscript"/>
          <w:lang w:eastAsia="en-US"/>
        </w:rPr>
        <w:t>f</w:t>
      </w:r>
      <w:r w:rsidR="00E32002" w:rsidRPr="005D05BB">
        <w:rPr>
          <w:rFonts w:ascii="Arial Narrow" w:hAnsi="Arial Narrow"/>
          <w:snapToGrid w:val="0"/>
          <w:sz w:val="18"/>
          <w:szCs w:val="18"/>
          <w:lang w:eastAsia="en-US"/>
        </w:rPr>
        <w:tab/>
        <w:t xml:space="preserve">During the maintenance phase, </w:t>
      </w:r>
      <w:r w:rsidR="00E32002" w:rsidRPr="005D05BB">
        <w:rPr>
          <w:rFonts w:ascii="Arial Narrow" w:hAnsi="Arial Narrow" w:cs="Calibri"/>
          <w:snapToGrid w:val="0"/>
          <w:sz w:val="18"/>
          <w:szCs w:val="18"/>
          <w:lang w:eastAsia="en-US"/>
        </w:rPr>
        <w:t>patients in the SC treatment arm were administered IFX SC at Wk 6 based on body weight and every 2 weeks up to Wk 54</w:t>
      </w:r>
      <w:r w:rsidR="005D05BB">
        <w:rPr>
          <w:rFonts w:ascii="Arial Narrow" w:hAnsi="Arial Narrow" w:cs="Calibri"/>
          <w:snapToGrid w:val="0"/>
          <w:sz w:val="18"/>
          <w:szCs w:val="18"/>
          <w:lang w:eastAsia="en-US"/>
        </w:rPr>
        <w:t xml:space="preserve">. </w:t>
      </w:r>
      <w:r w:rsidR="00E32002" w:rsidRPr="005D05BB">
        <w:rPr>
          <w:rFonts w:ascii="Arial Narrow" w:hAnsi="Arial Narrow"/>
          <w:snapToGrid w:val="0"/>
          <w:sz w:val="18"/>
          <w:szCs w:val="18"/>
          <w:lang w:eastAsia="en-US"/>
        </w:rPr>
        <w:t>From Wk 30, patients (weight &lt;8</w:t>
      </w:r>
      <w:r w:rsidR="000B0C55" w:rsidRPr="005D05BB">
        <w:rPr>
          <w:rFonts w:ascii="Arial Narrow" w:hAnsi="Arial Narrow"/>
          <w:snapToGrid w:val="0"/>
          <w:sz w:val="18"/>
          <w:szCs w:val="18"/>
          <w:lang w:eastAsia="en-US"/>
        </w:rPr>
        <w:t>0 kg</w:t>
      </w:r>
      <w:r w:rsidR="00E32002" w:rsidRPr="005D05BB">
        <w:rPr>
          <w:rFonts w:ascii="Arial Narrow" w:hAnsi="Arial Narrow"/>
          <w:snapToGrid w:val="0"/>
          <w:sz w:val="18"/>
          <w:szCs w:val="18"/>
          <w:lang w:eastAsia="en-US"/>
        </w:rPr>
        <w:t>) receiving SC 12</w:t>
      </w:r>
      <w:r w:rsidR="000B0C55" w:rsidRPr="005D05BB">
        <w:rPr>
          <w:rFonts w:ascii="Arial Narrow" w:hAnsi="Arial Narrow"/>
          <w:snapToGrid w:val="0"/>
          <w:sz w:val="18"/>
          <w:szCs w:val="18"/>
          <w:lang w:eastAsia="en-US"/>
        </w:rPr>
        <w:t>0 mg</w:t>
      </w:r>
      <w:r w:rsidR="00E32002" w:rsidRPr="005D05BB">
        <w:rPr>
          <w:rFonts w:ascii="Arial Narrow" w:hAnsi="Arial Narrow"/>
          <w:snapToGrid w:val="0"/>
          <w:sz w:val="18"/>
          <w:szCs w:val="18"/>
          <w:lang w:eastAsia="en-US"/>
        </w:rPr>
        <w:t xml:space="preserve"> every 2 weeks, dose escalation were allowed to SC 24</w:t>
      </w:r>
      <w:r w:rsidR="000B0C55" w:rsidRPr="005D05BB">
        <w:rPr>
          <w:rFonts w:ascii="Arial Narrow" w:hAnsi="Arial Narrow"/>
          <w:snapToGrid w:val="0"/>
          <w:sz w:val="18"/>
          <w:szCs w:val="18"/>
          <w:lang w:eastAsia="en-US"/>
        </w:rPr>
        <w:t>0 mg</w:t>
      </w:r>
      <w:r w:rsidR="00E32002" w:rsidRPr="005D05BB">
        <w:rPr>
          <w:rFonts w:ascii="Arial Narrow" w:hAnsi="Arial Narrow"/>
          <w:snapToGrid w:val="0"/>
          <w:sz w:val="18"/>
          <w:szCs w:val="18"/>
          <w:lang w:eastAsia="en-US"/>
        </w:rPr>
        <w:t xml:space="preserve"> every 2 weeks if the patient initially respond but lost response at Wk 30, 38, 46 and 54</w:t>
      </w:r>
      <w:r w:rsidR="005D05BB">
        <w:rPr>
          <w:rFonts w:ascii="Arial Narrow" w:hAnsi="Arial Narrow"/>
          <w:snapToGrid w:val="0"/>
          <w:sz w:val="18"/>
          <w:szCs w:val="18"/>
          <w:lang w:eastAsia="en-US"/>
        </w:rPr>
        <w:t xml:space="preserve">. </w:t>
      </w:r>
      <w:r w:rsidR="00E32002" w:rsidRPr="005D05BB">
        <w:rPr>
          <w:rFonts w:ascii="Arial Narrow" w:hAnsi="Arial Narrow"/>
          <w:snapToGrid w:val="0"/>
          <w:sz w:val="18"/>
          <w:szCs w:val="18"/>
          <w:lang w:eastAsia="en-US"/>
        </w:rPr>
        <w:t>Dose escalation was not allowed for patients receiving SC 24</w:t>
      </w:r>
      <w:r w:rsidR="000B0C55" w:rsidRPr="005D05BB">
        <w:rPr>
          <w:rFonts w:ascii="Arial Narrow" w:hAnsi="Arial Narrow"/>
          <w:snapToGrid w:val="0"/>
          <w:sz w:val="18"/>
          <w:szCs w:val="18"/>
          <w:lang w:eastAsia="en-US"/>
        </w:rPr>
        <w:t>0 mg</w:t>
      </w:r>
      <w:r w:rsidR="00E32002" w:rsidRPr="005D05BB">
        <w:rPr>
          <w:rFonts w:ascii="Arial Narrow" w:hAnsi="Arial Narrow"/>
          <w:snapToGrid w:val="0"/>
          <w:sz w:val="18"/>
          <w:szCs w:val="18"/>
          <w:lang w:eastAsia="en-US"/>
        </w:rPr>
        <w:t xml:space="preserve"> every 2 weeks.</w:t>
      </w:r>
    </w:p>
    <w:p w14:paraId="284D1EB5" w14:textId="77777777" w:rsidR="00E32002" w:rsidRPr="005D05BB" w:rsidRDefault="00144389" w:rsidP="00BB6698">
      <w:pPr>
        <w:keepNext/>
        <w:keepLines/>
        <w:widowControl w:val="0"/>
        <w:tabs>
          <w:tab w:val="left" w:pos="142"/>
        </w:tabs>
        <w:ind w:left="135" w:hanging="135"/>
        <w:rPr>
          <w:rFonts w:ascii="Arial Narrow" w:hAnsi="Arial Narrow"/>
          <w:snapToGrid w:val="0"/>
          <w:sz w:val="18"/>
          <w:szCs w:val="18"/>
          <w:lang w:eastAsia="en-US"/>
        </w:rPr>
      </w:pPr>
      <w:r w:rsidRPr="00144389">
        <w:rPr>
          <w:rFonts w:cs="Calibri"/>
          <w:snapToGrid w:val="0"/>
          <w:sz w:val="18"/>
          <w:szCs w:val="18"/>
          <w:vertAlign w:val="superscript"/>
          <w:lang w:eastAsia="en-US"/>
        </w:rPr>
        <w:t>g</w:t>
      </w:r>
      <w:r w:rsidR="00E32002" w:rsidRPr="005D05BB">
        <w:rPr>
          <w:rFonts w:ascii="Arial Narrow" w:hAnsi="Arial Narrow" w:cs="Calibri"/>
          <w:snapToGrid w:val="0"/>
          <w:sz w:val="18"/>
          <w:szCs w:val="18"/>
          <w:vertAlign w:val="superscript"/>
          <w:lang w:eastAsia="en-US"/>
        </w:rPr>
        <w:tab/>
      </w:r>
      <w:r w:rsidR="00E32002" w:rsidRPr="005D05BB">
        <w:rPr>
          <w:rFonts w:ascii="Arial Narrow" w:hAnsi="Arial Narrow" w:cs="Calibri"/>
          <w:snapToGrid w:val="0"/>
          <w:sz w:val="18"/>
          <w:szCs w:val="18"/>
          <w:lang w:eastAsia="en-US"/>
        </w:rPr>
        <w:t xml:space="preserve">Patients in IV treatment arm were administered 3 doses of IV </w:t>
      </w:r>
      <w:r w:rsidR="000B0C55" w:rsidRPr="005D05BB">
        <w:rPr>
          <w:rFonts w:ascii="Arial Narrow" w:hAnsi="Arial Narrow" w:cs="Calibri"/>
          <w:snapToGrid w:val="0"/>
          <w:sz w:val="18"/>
          <w:szCs w:val="18"/>
          <w:lang w:eastAsia="en-US"/>
        </w:rPr>
        <w:t>5 mg/kg</w:t>
      </w:r>
      <w:r w:rsidR="00E32002" w:rsidRPr="005D05BB">
        <w:rPr>
          <w:rFonts w:ascii="Arial Narrow" w:hAnsi="Arial Narrow" w:cs="Calibri"/>
          <w:snapToGrid w:val="0"/>
          <w:sz w:val="18"/>
          <w:szCs w:val="18"/>
          <w:lang w:eastAsia="en-US"/>
        </w:rPr>
        <w:t xml:space="preserve"> at Wk 6 and every 8 weeks thereafter up to Wk 22 (Wks 14 and 22), then switched to IFX SC at Wk 30 with doses based on body weight, and further doses of SC treatment every 2 weeks up to Wk 54.</w:t>
      </w:r>
    </w:p>
    <w:p w14:paraId="319FC78B" w14:textId="77777777" w:rsidR="00E32002" w:rsidRPr="005D05BB" w:rsidRDefault="00E32002" w:rsidP="00BB6698">
      <w:pPr>
        <w:keepNext/>
        <w:keepLines/>
        <w:widowControl w:val="0"/>
        <w:tabs>
          <w:tab w:val="left" w:pos="142"/>
        </w:tabs>
        <w:rPr>
          <w:rFonts w:ascii="Arial Narrow" w:hAnsi="Arial Narrow"/>
          <w:snapToGrid w:val="0"/>
          <w:sz w:val="18"/>
          <w:szCs w:val="18"/>
          <w:lang w:eastAsia="en-US"/>
        </w:rPr>
      </w:pPr>
      <w:r w:rsidRPr="005D05BB">
        <w:rPr>
          <w:rFonts w:ascii="Arial Narrow" w:hAnsi="Arial Narrow"/>
          <w:snapToGrid w:val="0"/>
          <w:sz w:val="18"/>
          <w:szCs w:val="18"/>
          <w:lang w:eastAsia="en-US"/>
        </w:rPr>
        <w:t>Source: constructed during the evaluation</w:t>
      </w:r>
    </w:p>
    <w:p w14:paraId="59B6E567" w14:textId="77777777" w:rsidR="00E32002" w:rsidRPr="005D05BB" w:rsidRDefault="00E32002" w:rsidP="00E32002">
      <w:pPr>
        <w:pStyle w:val="3-BodyText"/>
        <w:numPr>
          <w:ilvl w:val="0"/>
          <w:numId w:val="0"/>
        </w:numPr>
        <w:ind w:left="720"/>
      </w:pPr>
    </w:p>
    <w:p w14:paraId="588B8C50" w14:textId="77777777" w:rsidR="00E32002" w:rsidRPr="005D05BB" w:rsidRDefault="00E32002" w:rsidP="00E32002">
      <w:pPr>
        <w:pStyle w:val="3-BodyText"/>
      </w:pPr>
      <w:r w:rsidRPr="005D05BB">
        <w:t>Both trials were multicentre randomised parallel group trials comparing IFX SC to IFX IV for maintenance therapy between Week 6 and Week 30; and included extended maintenance phases from Week 30 to Week 54 where all patients on IFX IV switched to IFX SC</w:t>
      </w:r>
      <w:r w:rsidR="005D05BB">
        <w:t xml:space="preserve">. </w:t>
      </w:r>
      <w:r w:rsidRPr="005D05BB">
        <w:t>Specifically:</w:t>
      </w:r>
    </w:p>
    <w:p w14:paraId="7C92C87A" w14:textId="77777777" w:rsidR="00E32002" w:rsidRPr="005D05BB" w:rsidRDefault="00E32002" w:rsidP="00D432E3">
      <w:pPr>
        <w:numPr>
          <w:ilvl w:val="0"/>
          <w:numId w:val="6"/>
        </w:numPr>
        <w:spacing w:after="120"/>
        <w:ind w:left="1134" w:hanging="425"/>
      </w:pPr>
      <w:r w:rsidRPr="005D05BB">
        <w:t>Study 3.5 Part 2 was double-blind double-dummy trial in patients with RA, designed to demonstrate non-inferiority in terms of change (decrease) in DAS28 (CRP) at Week 22, using a pre-specified non-inferiority margin of -0.6 for the 97.5% one-sided confidence interval of the difference</w:t>
      </w:r>
      <w:r w:rsidRPr="005D05BB">
        <w:rPr>
          <w:i/>
        </w:rPr>
        <w:t>.</w:t>
      </w:r>
    </w:p>
    <w:p w14:paraId="2621F459" w14:textId="77777777" w:rsidR="00E32002" w:rsidRPr="005D05BB" w:rsidRDefault="00E32002" w:rsidP="00D432E3">
      <w:pPr>
        <w:numPr>
          <w:ilvl w:val="0"/>
          <w:numId w:val="6"/>
        </w:numPr>
        <w:spacing w:after="120"/>
        <w:ind w:left="1134" w:hanging="425"/>
      </w:pPr>
      <w:r w:rsidRPr="005D05BB">
        <w:t>Study 1.6 Part 2 was open label in patients with CD or UC, designed to demonstrate non-inferiority in terms of the geometric mean ratio in C</w:t>
      </w:r>
      <w:r w:rsidR="009932D1">
        <w:t>-</w:t>
      </w:r>
      <w:r w:rsidRPr="005D05BB">
        <w:t>trough at Week 22, using a pre-specified non-inferiority margin of 80% for the 95% one-sided confidence interval.</w:t>
      </w:r>
    </w:p>
    <w:p w14:paraId="7FA7AFE7" w14:textId="77777777" w:rsidR="00E32002" w:rsidRPr="005D05BB" w:rsidRDefault="007A3561" w:rsidP="00E32002">
      <w:pPr>
        <w:pStyle w:val="3-BodyText"/>
      </w:pPr>
      <w:bookmarkStart w:id="16" w:name="_Hlk50390934"/>
      <w:r w:rsidRPr="005D05BB">
        <w:t>All patients received IFX IV (Weeks 0 and 2), and were randomised to either IFX SC or IV at Week 6</w:t>
      </w:r>
      <w:r w:rsidR="005D05BB">
        <w:t xml:space="preserve">. </w:t>
      </w:r>
      <w:r w:rsidR="00E32002" w:rsidRPr="005D05BB">
        <w:t>Doses in the trials were consistent with the TGA approved/proposed doses, with the exception of the IFX SC arm in Study 1.6 Part 2</w:t>
      </w:r>
      <w:r w:rsidR="005D05BB">
        <w:t xml:space="preserve">. </w:t>
      </w:r>
      <w:r w:rsidR="00E32002" w:rsidRPr="005D05BB">
        <w:t>Patients &lt;8</w:t>
      </w:r>
      <w:r w:rsidR="000B0C55" w:rsidRPr="005D05BB">
        <w:t>0 kg</w:t>
      </w:r>
      <w:r w:rsidR="00E32002" w:rsidRPr="005D05BB">
        <w:t xml:space="preserve"> </w:t>
      </w:r>
      <w:r w:rsidR="00E32002" w:rsidRPr="005D05BB">
        <w:lastRenderedPageBreak/>
        <w:t>received IFX SC 12</w:t>
      </w:r>
      <w:r w:rsidR="000B0C55" w:rsidRPr="005D05BB">
        <w:t>0 mg</w:t>
      </w:r>
      <w:r w:rsidR="00E32002" w:rsidRPr="005D05BB">
        <w:t xml:space="preserve"> Q2W and patients </w:t>
      </w:r>
      <w:r w:rsidR="00E32002" w:rsidRPr="005D05BB">
        <w:rPr>
          <w:rFonts w:cstheme="minorHAnsi"/>
        </w:rPr>
        <w:t>≥</w:t>
      </w:r>
      <w:r w:rsidR="00E32002" w:rsidRPr="005D05BB">
        <w:t>8</w:t>
      </w:r>
      <w:r w:rsidR="000B0C55" w:rsidRPr="005D05BB">
        <w:t>0 kg</w:t>
      </w:r>
      <w:r w:rsidR="00E32002" w:rsidRPr="005D05BB">
        <w:t xml:space="preserve"> received IFX SC 24</w:t>
      </w:r>
      <w:r w:rsidR="000B0C55" w:rsidRPr="005D05BB">
        <w:t>0 mg</w:t>
      </w:r>
      <w:r w:rsidR="00E32002" w:rsidRPr="005D05BB">
        <w:t xml:space="preserve"> Q2W; dose escalation to 24</w:t>
      </w:r>
      <w:r w:rsidR="000B0C55" w:rsidRPr="005D05BB">
        <w:t>0 mg</w:t>
      </w:r>
      <w:r w:rsidR="00E32002" w:rsidRPr="005D05BB">
        <w:t xml:space="preserve"> Q2W was permitted after Week 30</w:t>
      </w:r>
      <w:r w:rsidR="005D05BB">
        <w:t xml:space="preserve">. </w:t>
      </w:r>
      <w:r w:rsidR="00E32002" w:rsidRPr="005D05BB">
        <w:t>The weight-based dosing of IFX SC in Study 1.6 Part 2 may potentially overstate the treatment effect for the proposed fixed 12</w:t>
      </w:r>
      <w:r w:rsidR="000B0C55" w:rsidRPr="005D05BB">
        <w:t>0 mg</w:t>
      </w:r>
      <w:r w:rsidR="00E32002" w:rsidRPr="005D05BB">
        <w:t xml:space="preserve"> dose in the draft PI, but this may be more relevant for pharmacokinetic outcomes rather than the clinical outcomes given supportive evidence indicating that 12</w:t>
      </w:r>
      <w:r w:rsidR="000B0C55" w:rsidRPr="005D05BB">
        <w:t>0 mg</w:t>
      </w:r>
      <w:r w:rsidR="00E32002" w:rsidRPr="005D05BB">
        <w:t xml:space="preserve"> is equally effective for all weights.</w:t>
      </w:r>
    </w:p>
    <w:bookmarkEnd w:id="16"/>
    <w:p w14:paraId="5F142C40" w14:textId="77777777" w:rsidR="00E32002" w:rsidRPr="005D05BB" w:rsidRDefault="00E32002" w:rsidP="00E32002">
      <w:pPr>
        <w:pStyle w:val="3-BodyText"/>
      </w:pPr>
      <w:r w:rsidRPr="005D05BB">
        <w:t xml:space="preserve">The overall risk of bias in the trials was considered low </w:t>
      </w:r>
      <w:bookmarkStart w:id="17" w:name="_Hlk50391027"/>
      <w:r w:rsidRPr="005D05BB">
        <w:t>for the primary outcomes, but Study 1.6 Part 2 was a small open label pharmacokinetic trial and was not powered to test for differences in clinical outcomes</w:t>
      </w:r>
      <w:r w:rsidR="005D05BB">
        <w:t xml:space="preserve">. </w:t>
      </w:r>
      <w:r w:rsidRPr="005D05BB">
        <w:t>More pat</w:t>
      </w:r>
      <w:r w:rsidR="0003084F" w:rsidRPr="005D05BB">
        <w:t>i</w:t>
      </w:r>
      <w:r w:rsidRPr="005D05BB">
        <w:t>ents discontinued on IFX IV (23.1%) compared to IFX SC (16.7%) in Study 1.6 Part 2.</w:t>
      </w:r>
      <w:bookmarkEnd w:id="17"/>
    </w:p>
    <w:p w14:paraId="23F26C7E" w14:textId="77777777" w:rsidR="00E32002" w:rsidRPr="005D05BB" w:rsidRDefault="00E32002" w:rsidP="00E32002">
      <w:pPr>
        <w:pStyle w:val="3-BodyText"/>
      </w:pPr>
      <w:r w:rsidRPr="005D05BB">
        <w:t>The submission stated the trial populations were broadly generali</w:t>
      </w:r>
      <w:r w:rsidR="009C2276" w:rsidRPr="005D05BB">
        <w:t>s</w:t>
      </w:r>
      <w:r w:rsidRPr="005D05BB">
        <w:t>able to the PBS population and consistent with other trials considered by the PBAC</w:t>
      </w:r>
      <w:r w:rsidR="005D05BB">
        <w:t xml:space="preserve">. </w:t>
      </w:r>
      <w:r w:rsidRPr="005D05BB">
        <w:rPr>
          <w:iCs/>
        </w:rPr>
        <w:t xml:space="preserve">Overall, baseline characteristics indicated that patients in both trials may have had less severe disease than the PBS eligibility criteria, particularly for RA in Study 3.5 Part 2 demonstrated by lower </w:t>
      </w:r>
      <w:r w:rsidRPr="005D05BB">
        <w:t>CRP levels and fewer number of swollen joints</w:t>
      </w:r>
      <w:r w:rsidR="005D05BB">
        <w:t xml:space="preserve">. </w:t>
      </w:r>
      <w:r w:rsidRPr="005D05BB">
        <w:t xml:space="preserve">In addition, both trials excluded patients aged </w:t>
      </w:r>
      <w:r w:rsidRPr="005D05BB">
        <w:rPr>
          <w:rFonts w:cs="Calibri"/>
        </w:rPr>
        <w:t>≥</w:t>
      </w:r>
      <w:r w:rsidRPr="005D05BB">
        <w:t xml:space="preserve">75 years, </w:t>
      </w:r>
      <w:r w:rsidR="00C22B86" w:rsidRPr="005D05BB">
        <w:t xml:space="preserve">those </w:t>
      </w:r>
      <w:r w:rsidRPr="005D05BB">
        <w:t>with BMI ≥35</w:t>
      </w:r>
      <w:r w:rsidR="00EC61E5" w:rsidRPr="005D05BB">
        <w:t xml:space="preserve"> </w:t>
      </w:r>
      <w:r w:rsidRPr="005D05BB">
        <w:t>kg/m</w:t>
      </w:r>
      <w:r w:rsidRPr="005D05BB">
        <w:rPr>
          <w:vertAlign w:val="superscript"/>
        </w:rPr>
        <w:t>2</w:t>
      </w:r>
      <w:r w:rsidRPr="005D05BB">
        <w:t xml:space="preserve"> and who previously received bD</w:t>
      </w:r>
      <w:r w:rsidR="00F95372">
        <w:t>M</w:t>
      </w:r>
      <w:r w:rsidRPr="005D05BB">
        <w:t>Ds.</w:t>
      </w:r>
    </w:p>
    <w:p w14:paraId="2638DE10" w14:textId="77777777" w:rsidR="00E32002" w:rsidRPr="005D05BB" w:rsidRDefault="00E32002" w:rsidP="00E32002">
      <w:pPr>
        <w:pStyle w:val="4-SubsectionHeading"/>
      </w:pPr>
      <w:bookmarkStart w:id="18" w:name="_Toc22897641"/>
      <w:bookmarkStart w:id="19" w:name="_Toc50709844"/>
      <w:r w:rsidRPr="005D05BB">
        <w:t>Comparative effectiveness</w:t>
      </w:r>
      <w:bookmarkEnd w:id="18"/>
      <w:bookmarkEnd w:id="19"/>
    </w:p>
    <w:p w14:paraId="6EABDFCE" w14:textId="77777777" w:rsidR="00E32002" w:rsidRPr="005D05BB" w:rsidRDefault="00E32002" w:rsidP="00E32002">
      <w:pPr>
        <w:pStyle w:val="3-BodyText"/>
      </w:pPr>
      <w:r w:rsidRPr="005D05BB">
        <w:t>Under the requested PBS restriction for RA and IBD (CD and UC), continued treatment is dependent on demonstrating and maintaining response to therapy, assessed after a minimum of 12 weeks following initiation (and every 24 weeks ongoing thereafter).</w:t>
      </w:r>
    </w:p>
    <w:p w14:paraId="52B5D36D" w14:textId="77777777" w:rsidR="00E32002" w:rsidRPr="005D05BB" w:rsidRDefault="00E32002" w:rsidP="00D432E3">
      <w:pPr>
        <w:numPr>
          <w:ilvl w:val="0"/>
          <w:numId w:val="6"/>
        </w:numPr>
        <w:spacing w:after="120"/>
        <w:ind w:left="1134" w:hanging="425"/>
      </w:pPr>
      <w:r w:rsidRPr="005D05BB">
        <w:t>For</w:t>
      </w:r>
      <w:r w:rsidRPr="005D05BB">
        <w:rPr>
          <w:snapToGrid w:val="0"/>
        </w:rPr>
        <w:t xml:space="preserve"> RA, t</w:t>
      </w:r>
      <w:r w:rsidRPr="005D05BB">
        <w:t>he PBS response criteria are similar to the American College of Rheumatology (ACR) 50% and 20% response criteria</w:t>
      </w:r>
      <w:r w:rsidR="005D05BB">
        <w:t xml:space="preserve">. </w:t>
      </w:r>
      <w:r w:rsidRPr="005D05BB">
        <w:t xml:space="preserve">The PBAC had previously accepted both trial outcomes as patient relevant outcomes, with a preference for ACR50 (paragraph 6.12, baricitinib </w:t>
      </w:r>
      <w:r w:rsidR="00BB7FA0">
        <w:t>Public Summary Document (</w:t>
      </w:r>
      <w:r w:rsidRPr="005D05BB">
        <w:t>PSD</w:t>
      </w:r>
      <w:r w:rsidR="00BB7FA0">
        <w:t>)</w:t>
      </w:r>
      <w:r w:rsidRPr="005D05BB">
        <w:t xml:space="preserve"> July 2017 PBAC meeting).</w:t>
      </w:r>
    </w:p>
    <w:p w14:paraId="247CE486" w14:textId="77777777" w:rsidR="00E32002" w:rsidRPr="005D05BB" w:rsidRDefault="00E32002" w:rsidP="00D432E3">
      <w:pPr>
        <w:numPr>
          <w:ilvl w:val="0"/>
          <w:numId w:val="6"/>
        </w:numPr>
        <w:spacing w:after="120"/>
        <w:ind w:left="1134" w:hanging="425"/>
      </w:pPr>
      <w:r w:rsidRPr="005D05BB">
        <w:t>For CD and UC, the PBS response criteria is similar to ‘clinical remission’ on Crohn’s disease activity index (CDAI) and ‘clinical response’ on partial Mayo score respectively</w:t>
      </w:r>
      <w:r w:rsidR="005D05BB">
        <w:t xml:space="preserve">. </w:t>
      </w:r>
      <w:r w:rsidRPr="005D05BB">
        <w:t>The PBAC had previously accepted both outcomes as patient relevant outcomes in CD and UC (p4, infliximab (</w:t>
      </w:r>
      <w:r w:rsidR="00377E25" w:rsidRPr="005D05BB">
        <w:t>Remicade</w:t>
      </w:r>
      <w:r w:rsidRPr="005D05BB">
        <w:t>) PSD March 2007 PBAC meeting and p6, infliximab (</w:t>
      </w:r>
      <w:r w:rsidR="00377E25" w:rsidRPr="005D05BB">
        <w:t>Remicade</w:t>
      </w:r>
      <w:r w:rsidRPr="005D05BB">
        <w:t>) PSD March 2014 PBAC meeting).</w:t>
      </w:r>
    </w:p>
    <w:p w14:paraId="6657C00B" w14:textId="77777777" w:rsidR="00E32002" w:rsidRPr="005D05BB" w:rsidRDefault="00E32002" w:rsidP="00E32002">
      <w:pPr>
        <w:pStyle w:val="3-BodyText"/>
        <w:numPr>
          <w:ilvl w:val="0"/>
          <w:numId w:val="0"/>
        </w:numPr>
        <w:ind w:left="720"/>
        <w:rPr>
          <w:iCs/>
        </w:rPr>
      </w:pPr>
      <w:r w:rsidRPr="005D05BB">
        <w:rPr>
          <w:iCs/>
        </w:rPr>
        <w:t xml:space="preserve">For initial treatment, </w:t>
      </w:r>
      <w:r w:rsidRPr="005D05BB">
        <w:t>patient response is assessed after a minimum of 12 weeks of therapy (including loading dose) and no later than 4 weeks after completion of initial therapy (i.e. 18 weeks to 22 weeks depending on the condition).</w:t>
      </w:r>
    </w:p>
    <w:p w14:paraId="4F6F5E41" w14:textId="77777777" w:rsidR="00E32002" w:rsidRPr="005D05BB" w:rsidRDefault="00E32002" w:rsidP="00E32002">
      <w:pPr>
        <w:pStyle w:val="3-BodyText"/>
      </w:pPr>
      <w:r w:rsidRPr="005D05BB">
        <w:t>Patient relevant outcomes were reported as secondary outcomes in the trials: ACR (20/50/70) response in Study 3.5 Part 2; and clinical response and clinical remission on CDAI and partial Mayo score in Study 1.6 Part 2</w:t>
      </w:r>
      <w:r w:rsidR="005D05BB">
        <w:t xml:space="preserve">. </w:t>
      </w:r>
      <w:r w:rsidRPr="005D05BB">
        <w:t xml:space="preserve">The submission argued despite the trials being designed to demonstrate non-inferiority on the primary outcomes, </w:t>
      </w:r>
      <w:r w:rsidRPr="005D05BB">
        <w:lastRenderedPageBreak/>
        <w:t>treatment superiority can be demonstrated using secondary outcomes by statistical inference if the lower bound of the non-inferiority margin does not contain zero.</w:t>
      </w:r>
    </w:p>
    <w:p w14:paraId="7E7FD1E7" w14:textId="77777777" w:rsidR="00E32002" w:rsidRPr="005D05BB" w:rsidRDefault="00E32002" w:rsidP="007C7917">
      <w:pPr>
        <w:pStyle w:val="3-BodyText"/>
      </w:pPr>
      <w:r w:rsidRPr="005D05BB">
        <w:t>The PBAC ha</w:t>
      </w:r>
      <w:r w:rsidR="009932D1">
        <w:t>s</w:t>
      </w:r>
      <w:r w:rsidRPr="005D05BB">
        <w:t xml:space="preserve"> previously rejected this type of argument because “the selection of 0% as a threshold for superiority allowed any marginal statistically significant improvement … to be judged as superiority, in the absence of demonstrating this was a clinically meaningful difference” (paragraph 6.13, baricitinib PSD July 2017 PBAC meeting)</w:t>
      </w:r>
      <w:r w:rsidR="005D05BB">
        <w:t xml:space="preserve">. </w:t>
      </w:r>
      <w:r w:rsidRPr="005D05BB">
        <w:t>More importantly, this type of interpretation is not appropriate in this case because it ignores the risk of spurious statistical significance given the trials were not powered on secondary outcomes and did not adjust for multiplicity</w:t>
      </w:r>
      <w:r w:rsidR="005D05BB">
        <w:t xml:space="preserve">. </w:t>
      </w:r>
      <w:r w:rsidR="00323C59" w:rsidRPr="005D05BB">
        <w:t xml:space="preserve">The Sponsor maintained in the PSCR </w:t>
      </w:r>
      <w:r w:rsidR="007C7917" w:rsidRPr="005D05BB">
        <w:t>that treatment superiority can be demonstrated in non-inferiority trials and this interpretation can be conducted without a need for a statistical penalty for multiple testing</w:t>
      </w:r>
      <w:r w:rsidR="005D05BB">
        <w:t xml:space="preserve">. </w:t>
      </w:r>
      <w:r w:rsidR="007C7917" w:rsidRPr="005D05BB">
        <w:t>While it may be argued that a well powered non-inferiority trial to demonstrate non-inferiority on the primary outcome may also show treatment superiority on the primary outcome, the submission’s claim of superior effectiveness in RA and in UC were based on secondary effectiveness outcomes, which were not powered to demonstrate non-inferiority,</w:t>
      </w:r>
      <w:r w:rsidR="00F364EA" w:rsidRPr="005D05BB">
        <w:t xml:space="preserve"> or</w:t>
      </w:r>
      <w:r w:rsidR="007C7917" w:rsidRPr="005D05BB">
        <w:t xml:space="preserve"> superiority</w:t>
      </w:r>
      <w:r w:rsidR="005D05BB">
        <w:t xml:space="preserve">. </w:t>
      </w:r>
      <w:r w:rsidR="007C7917" w:rsidRPr="005D05BB">
        <w:t>The primary outcomes to demonstrate non-inferiority was DAS28 (CRP) in Study 3.5 Part 2 for RA and a pharmacokinetics outcome in Study 1.6 Part 2, both assessed at Week 22 in the trials.</w:t>
      </w:r>
    </w:p>
    <w:p w14:paraId="08A49983" w14:textId="77777777" w:rsidR="00E32002" w:rsidRPr="005D05BB" w:rsidRDefault="00E32002" w:rsidP="00E32002">
      <w:pPr>
        <w:spacing w:after="240"/>
        <w:rPr>
          <w:u w:val="single"/>
        </w:rPr>
      </w:pPr>
      <w:r w:rsidRPr="005D05BB">
        <w:rPr>
          <w:u w:val="single"/>
        </w:rPr>
        <w:t>Comparative effectiveness of IFX SC versus IFX IV for RA</w:t>
      </w:r>
    </w:p>
    <w:p w14:paraId="2DA1DD2E" w14:textId="77777777" w:rsidR="00E32002" w:rsidRPr="005D05BB" w:rsidRDefault="00E32002" w:rsidP="00E32002">
      <w:pPr>
        <w:pStyle w:val="3-BodyText"/>
      </w:pPr>
      <w:r w:rsidRPr="005D05BB">
        <w:t>Table 5 summarises trial results from Study 3.5 Part 2.</w:t>
      </w:r>
    </w:p>
    <w:p w14:paraId="35AEF618" w14:textId="77777777" w:rsidR="00E32002" w:rsidRPr="005D05BB" w:rsidRDefault="00E32002" w:rsidP="00E32002">
      <w:pPr>
        <w:keepNext/>
        <w:rPr>
          <w:rFonts w:ascii="Arial Narrow" w:hAnsi="Arial Narrow"/>
          <w:b/>
          <w:sz w:val="20"/>
          <w:szCs w:val="20"/>
        </w:rPr>
      </w:pPr>
      <w:r w:rsidRPr="005D05BB">
        <w:rPr>
          <w:rFonts w:ascii="Arial Narrow" w:hAnsi="Arial Narrow"/>
          <w:b/>
          <w:sz w:val="20"/>
          <w:szCs w:val="20"/>
        </w:rPr>
        <w:lastRenderedPageBreak/>
        <w:t>Table 5: Results of DAS28 and ACR response for IFX SC vs IFX IV from Study 3.5 Part 2</w:t>
      </w:r>
    </w:p>
    <w:tbl>
      <w:tblPr>
        <w:tblStyle w:val="TableGrid"/>
        <w:tblW w:w="5000" w:type="pct"/>
        <w:tblCellMar>
          <w:left w:w="28" w:type="dxa"/>
          <w:right w:w="28" w:type="dxa"/>
        </w:tblCellMar>
        <w:tblLook w:val="04A0" w:firstRow="1" w:lastRow="0" w:firstColumn="1" w:lastColumn="0" w:noHBand="0" w:noVBand="1"/>
        <w:tblCaption w:val="Table 5: Results of DAS28 and ACR response for IFX SC vs IFX IV from Study 3.5 Part 2"/>
      </w:tblPr>
      <w:tblGrid>
        <w:gridCol w:w="3398"/>
        <w:gridCol w:w="1134"/>
        <w:gridCol w:w="1134"/>
        <w:gridCol w:w="1701"/>
        <w:gridCol w:w="1650"/>
      </w:tblGrid>
      <w:tr w:rsidR="00E32002" w:rsidRPr="005D05BB" w14:paraId="2B68BFAC" w14:textId="77777777" w:rsidTr="001A2685">
        <w:trPr>
          <w:tblHeader/>
        </w:trPr>
        <w:tc>
          <w:tcPr>
            <w:tcW w:w="1884" w:type="pct"/>
            <w:vAlign w:val="center"/>
          </w:tcPr>
          <w:p w14:paraId="1423BC08" w14:textId="77777777" w:rsidR="00E32002" w:rsidRPr="005D05BB" w:rsidRDefault="00E32002" w:rsidP="008F456C">
            <w:pPr>
              <w:keepNext/>
              <w:jc w:val="left"/>
              <w:rPr>
                <w:rFonts w:ascii="Arial Narrow" w:hAnsi="Arial Narrow"/>
                <w:b/>
                <w:sz w:val="20"/>
                <w:szCs w:val="20"/>
              </w:rPr>
            </w:pPr>
            <w:r w:rsidRPr="005D05BB">
              <w:rPr>
                <w:rFonts w:ascii="Arial Narrow" w:hAnsi="Arial Narrow"/>
                <w:b/>
                <w:sz w:val="20"/>
                <w:szCs w:val="20"/>
              </w:rPr>
              <w:t>Outcome</w:t>
            </w:r>
          </w:p>
        </w:tc>
        <w:tc>
          <w:tcPr>
            <w:tcW w:w="629" w:type="pct"/>
            <w:vAlign w:val="center"/>
          </w:tcPr>
          <w:p w14:paraId="39F1330F"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IFX SC</w:t>
            </w:r>
          </w:p>
          <w:p w14:paraId="75408A1B"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N=165</w:t>
            </w:r>
          </w:p>
        </w:tc>
        <w:tc>
          <w:tcPr>
            <w:tcW w:w="629" w:type="pct"/>
            <w:vAlign w:val="center"/>
          </w:tcPr>
          <w:p w14:paraId="47FF2ED6"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IFX IV</w:t>
            </w:r>
          </w:p>
          <w:p w14:paraId="23B4997E"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N=174</w:t>
            </w:r>
          </w:p>
        </w:tc>
        <w:tc>
          <w:tcPr>
            <w:tcW w:w="1859" w:type="pct"/>
            <w:gridSpan w:val="2"/>
            <w:vAlign w:val="center"/>
          </w:tcPr>
          <w:p w14:paraId="627130C4"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Difference (95%CI)</w:t>
            </w:r>
          </w:p>
        </w:tc>
      </w:tr>
      <w:tr w:rsidR="00E32002" w:rsidRPr="005D05BB" w14:paraId="70C7DFD2" w14:textId="77777777" w:rsidTr="00A33E85">
        <w:tc>
          <w:tcPr>
            <w:tcW w:w="1884" w:type="pct"/>
            <w:tcBorders>
              <w:top w:val="nil"/>
              <w:bottom w:val="nil"/>
            </w:tcBorders>
            <w:vAlign w:val="center"/>
          </w:tcPr>
          <w:p w14:paraId="6C8DF59C" w14:textId="77777777" w:rsidR="00E32002" w:rsidRPr="005D05BB" w:rsidRDefault="00E32002" w:rsidP="008F456C">
            <w:pPr>
              <w:keepNext/>
              <w:rPr>
                <w:rFonts w:ascii="Arial Narrow" w:hAnsi="Arial Narrow"/>
                <w:sz w:val="20"/>
                <w:szCs w:val="20"/>
              </w:rPr>
            </w:pPr>
            <w:r w:rsidRPr="005D05BB">
              <w:rPr>
                <w:rFonts w:ascii="Arial Narrow" w:hAnsi="Arial Narrow"/>
                <w:b/>
                <w:sz w:val="20"/>
                <w:szCs w:val="20"/>
              </w:rPr>
              <w:t>Change from baseline DAS28 (CRP)</w:t>
            </w:r>
          </w:p>
        </w:tc>
        <w:tc>
          <w:tcPr>
            <w:tcW w:w="629" w:type="pct"/>
            <w:tcBorders>
              <w:bottom w:val="nil"/>
            </w:tcBorders>
            <w:vAlign w:val="center"/>
          </w:tcPr>
          <w:p w14:paraId="1D14507E" w14:textId="77777777" w:rsidR="00E32002" w:rsidRPr="005D05BB" w:rsidRDefault="00E32002" w:rsidP="008F456C">
            <w:pPr>
              <w:keepNext/>
              <w:jc w:val="center"/>
              <w:rPr>
                <w:rFonts w:ascii="Arial Narrow" w:hAnsi="Arial Narrow"/>
                <w:sz w:val="20"/>
                <w:szCs w:val="20"/>
              </w:rPr>
            </w:pPr>
          </w:p>
        </w:tc>
        <w:tc>
          <w:tcPr>
            <w:tcW w:w="629" w:type="pct"/>
            <w:tcBorders>
              <w:bottom w:val="nil"/>
            </w:tcBorders>
            <w:vAlign w:val="center"/>
          </w:tcPr>
          <w:p w14:paraId="2F60BE20" w14:textId="77777777" w:rsidR="00E32002" w:rsidRPr="005D05BB" w:rsidRDefault="00E32002" w:rsidP="008F456C">
            <w:pPr>
              <w:keepNext/>
              <w:jc w:val="center"/>
              <w:rPr>
                <w:rFonts w:ascii="Arial Narrow" w:hAnsi="Arial Narrow"/>
                <w:sz w:val="20"/>
                <w:szCs w:val="20"/>
              </w:rPr>
            </w:pPr>
          </w:p>
        </w:tc>
        <w:tc>
          <w:tcPr>
            <w:tcW w:w="1859" w:type="pct"/>
            <w:gridSpan w:val="2"/>
            <w:tcBorders>
              <w:bottom w:val="nil"/>
            </w:tcBorders>
            <w:vAlign w:val="center"/>
          </w:tcPr>
          <w:p w14:paraId="2D6AAEFD" w14:textId="77777777" w:rsidR="00E32002" w:rsidRPr="005D05BB" w:rsidRDefault="00E32002" w:rsidP="008F456C">
            <w:pPr>
              <w:keepNext/>
              <w:jc w:val="center"/>
              <w:rPr>
                <w:rFonts w:ascii="Arial Narrow" w:hAnsi="Arial Narrow"/>
                <w:sz w:val="20"/>
                <w:szCs w:val="20"/>
              </w:rPr>
            </w:pPr>
          </w:p>
        </w:tc>
      </w:tr>
      <w:tr w:rsidR="00E32002" w:rsidRPr="005D05BB" w14:paraId="4830BE20" w14:textId="77777777" w:rsidTr="00A33E85">
        <w:tc>
          <w:tcPr>
            <w:tcW w:w="1884" w:type="pct"/>
            <w:tcBorders>
              <w:top w:val="nil"/>
              <w:bottom w:val="nil"/>
            </w:tcBorders>
            <w:vAlign w:val="center"/>
          </w:tcPr>
          <w:p w14:paraId="3EE2792B" w14:textId="77777777" w:rsidR="00E32002" w:rsidRPr="005D05BB" w:rsidRDefault="00E32002" w:rsidP="004D757E">
            <w:pPr>
              <w:keepNext/>
              <w:ind w:left="112"/>
              <w:rPr>
                <w:rFonts w:ascii="Arial Narrow" w:hAnsi="Arial Narrow"/>
                <w:sz w:val="20"/>
                <w:szCs w:val="20"/>
              </w:rPr>
            </w:pPr>
            <w:r w:rsidRPr="005D05BB">
              <w:rPr>
                <w:rFonts w:ascii="Arial Narrow" w:hAnsi="Arial Narrow"/>
                <w:sz w:val="20"/>
                <w:szCs w:val="20"/>
              </w:rPr>
              <w:t>LS mean change (decrease) (SE) at Wk 22</w:t>
            </w:r>
            <w:r w:rsidR="004D757E" w:rsidRPr="004D757E">
              <w:rPr>
                <w:rFonts w:ascii="Arial Narrow" w:hAnsi="Arial Narrow"/>
                <w:sz w:val="20"/>
                <w:szCs w:val="20"/>
                <w:vertAlign w:val="superscript"/>
              </w:rPr>
              <w:t>a</w:t>
            </w:r>
          </w:p>
        </w:tc>
        <w:tc>
          <w:tcPr>
            <w:tcW w:w="629" w:type="pct"/>
            <w:tcBorders>
              <w:top w:val="nil"/>
              <w:bottom w:val="nil"/>
            </w:tcBorders>
            <w:vAlign w:val="center"/>
          </w:tcPr>
          <w:p w14:paraId="114F4675"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2.21 (0.22)</w:t>
            </w:r>
          </w:p>
        </w:tc>
        <w:tc>
          <w:tcPr>
            <w:tcW w:w="629" w:type="pct"/>
            <w:tcBorders>
              <w:top w:val="nil"/>
              <w:bottom w:val="nil"/>
            </w:tcBorders>
            <w:vAlign w:val="center"/>
          </w:tcPr>
          <w:p w14:paraId="294EB632"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1.94 (0.21)</w:t>
            </w:r>
          </w:p>
        </w:tc>
        <w:tc>
          <w:tcPr>
            <w:tcW w:w="1859" w:type="pct"/>
            <w:gridSpan w:val="2"/>
            <w:tcBorders>
              <w:top w:val="nil"/>
              <w:bottom w:val="nil"/>
            </w:tcBorders>
            <w:vAlign w:val="center"/>
          </w:tcPr>
          <w:p w14:paraId="4BB05EC6"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0.27 (0.02, 0.52)</w:t>
            </w:r>
          </w:p>
        </w:tc>
      </w:tr>
      <w:tr w:rsidR="00E32002" w:rsidRPr="005D05BB" w14:paraId="7F568E54" w14:textId="77777777" w:rsidTr="00A33E85">
        <w:tc>
          <w:tcPr>
            <w:tcW w:w="1884" w:type="pct"/>
            <w:tcBorders>
              <w:top w:val="nil"/>
              <w:bottom w:val="nil"/>
            </w:tcBorders>
            <w:vAlign w:val="center"/>
          </w:tcPr>
          <w:p w14:paraId="10FAB68E" w14:textId="77777777" w:rsidR="00E32002" w:rsidRPr="005D05BB" w:rsidRDefault="00E32002" w:rsidP="008F456C">
            <w:pPr>
              <w:keepNext/>
              <w:ind w:left="112"/>
              <w:rPr>
                <w:rFonts w:ascii="Arial Narrow" w:hAnsi="Arial Narrow"/>
                <w:i/>
                <w:sz w:val="20"/>
                <w:szCs w:val="20"/>
              </w:rPr>
            </w:pPr>
            <w:r w:rsidRPr="005D05BB">
              <w:rPr>
                <w:rFonts w:ascii="Arial Narrow" w:hAnsi="Arial Narrow"/>
                <w:i/>
                <w:sz w:val="20"/>
                <w:szCs w:val="20"/>
              </w:rPr>
              <w:t>Mean change (SD) Wk 22</w:t>
            </w:r>
          </w:p>
        </w:tc>
        <w:tc>
          <w:tcPr>
            <w:tcW w:w="629" w:type="pct"/>
            <w:tcBorders>
              <w:top w:val="nil"/>
              <w:bottom w:val="nil"/>
            </w:tcBorders>
            <w:vAlign w:val="center"/>
          </w:tcPr>
          <w:p w14:paraId="7D3A32C2" w14:textId="77777777" w:rsidR="00E32002" w:rsidRPr="005D05BB" w:rsidRDefault="00E32002" w:rsidP="008F456C">
            <w:pPr>
              <w:keepNext/>
              <w:jc w:val="center"/>
              <w:rPr>
                <w:rFonts w:ascii="Arial Narrow" w:hAnsi="Arial Narrow"/>
                <w:i/>
                <w:sz w:val="20"/>
                <w:szCs w:val="20"/>
              </w:rPr>
            </w:pPr>
            <w:r w:rsidRPr="005D05BB">
              <w:rPr>
                <w:rFonts w:ascii="Arial Narrow" w:hAnsi="Arial Narrow"/>
                <w:i/>
                <w:sz w:val="20"/>
                <w:szCs w:val="20"/>
              </w:rPr>
              <w:t>-2.66 (1.26)</w:t>
            </w:r>
          </w:p>
        </w:tc>
        <w:tc>
          <w:tcPr>
            <w:tcW w:w="629" w:type="pct"/>
            <w:tcBorders>
              <w:top w:val="nil"/>
              <w:bottom w:val="nil"/>
            </w:tcBorders>
            <w:vAlign w:val="center"/>
          </w:tcPr>
          <w:p w14:paraId="3CBA4020" w14:textId="77777777" w:rsidR="00E32002" w:rsidRPr="005D05BB" w:rsidRDefault="00E32002" w:rsidP="008F456C">
            <w:pPr>
              <w:keepNext/>
              <w:jc w:val="center"/>
              <w:rPr>
                <w:rFonts w:ascii="Arial Narrow" w:hAnsi="Arial Narrow"/>
                <w:i/>
                <w:sz w:val="20"/>
                <w:szCs w:val="20"/>
              </w:rPr>
            </w:pPr>
            <w:r w:rsidRPr="005D05BB">
              <w:rPr>
                <w:rFonts w:ascii="Arial Narrow" w:hAnsi="Arial Narrow"/>
                <w:i/>
                <w:sz w:val="20"/>
                <w:szCs w:val="20"/>
              </w:rPr>
              <w:t>-2.39 (1.27)</w:t>
            </w:r>
          </w:p>
        </w:tc>
        <w:tc>
          <w:tcPr>
            <w:tcW w:w="1859" w:type="pct"/>
            <w:gridSpan w:val="2"/>
            <w:tcBorders>
              <w:top w:val="nil"/>
              <w:bottom w:val="nil"/>
            </w:tcBorders>
            <w:vAlign w:val="center"/>
          </w:tcPr>
          <w:p w14:paraId="503AEB02" w14:textId="77777777" w:rsidR="00E32002" w:rsidRPr="005D05BB" w:rsidRDefault="00E32002" w:rsidP="008F456C">
            <w:pPr>
              <w:keepNext/>
              <w:jc w:val="center"/>
              <w:rPr>
                <w:rFonts w:ascii="Arial Narrow" w:hAnsi="Arial Narrow"/>
                <w:i/>
                <w:sz w:val="20"/>
                <w:szCs w:val="20"/>
              </w:rPr>
            </w:pPr>
            <w:r w:rsidRPr="005D05BB">
              <w:rPr>
                <w:rFonts w:ascii="Arial Narrow" w:hAnsi="Arial Narrow"/>
                <w:i/>
                <w:sz w:val="20"/>
                <w:szCs w:val="20"/>
              </w:rPr>
              <w:t>-0.27 (-0.55, 0.00)</w:t>
            </w:r>
          </w:p>
        </w:tc>
      </w:tr>
      <w:tr w:rsidR="00E32002" w:rsidRPr="005D05BB" w14:paraId="7E22FC7F" w14:textId="77777777" w:rsidTr="00A33E85">
        <w:tc>
          <w:tcPr>
            <w:tcW w:w="1884" w:type="pct"/>
            <w:tcBorders>
              <w:top w:val="nil"/>
              <w:bottom w:val="nil"/>
            </w:tcBorders>
          </w:tcPr>
          <w:p w14:paraId="369F2E38"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Mean change (SD) Wk 30</w:t>
            </w:r>
          </w:p>
        </w:tc>
        <w:tc>
          <w:tcPr>
            <w:tcW w:w="629" w:type="pct"/>
            <w:tcBorders>
              <w:top w:val="nil"/>
              <w:bottom w:val="nil"/>
            </w:tcBorders>
            <w:vAlign w:val="center"/>
          </w:tcPr>
          <w:p w14:paraId="13BCDE02"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-2.99 (1.31)</w:t>
            </w:r>
          </w:p>
        </w:tc>
        <w:tc>
          <w:tcPr>
            <w:tcW w:w="629" w:type="pct"/>
            <w:tcBorders>
              <w:top w:val="nil"/>
              <w:bottom w:val="nil"/>
            </w:tcBorders>
            <w:vAlign w:val="center"/>
          </w:tcPr>
          <w:p w14:paraId="4F9DA707"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-2.34 (1.27)</w:t>
            </w:r>
          </w:p>
        </w:tc>
        <w:tc>
          <w:tcPr>
            <w:tcW w:w="1859" w:type="pct"/>
            <w:gridSpan w:val="2"/>
            <w:tcBorders>
              <w:top w:val="nil"/>
              <w:bottom w:val="nil"/>
            </w:tcBorders>
            <w:vAlign w:val="center"/>
          </w:tcPr>
          <w:p w14:paraId="6E1D8923" w14:textId="77777777" w:rsidR="00E32002" w:rsidRPr="004D757E" w:rsidRDefault="00E32002" w:rsidP="008F456C">
            <w:pPr>
              <w:keepNext/>
              <w:jc w:val="center"/>
              <w:rPr>
                <w:rFonts w:ascii="Arial Narrow" w:hAnsi="Arial Narrow"/>
                <w:b/>
                <w:sz w:val="20"/>
                <w:szCs w:val="20"/>
              </w:rPr>
            </w:pPr>
            <w:r w:rsidRPr="004D757E">
              <w:rPr>
                <w:rFonts w:ascii="Arial Narrow" w:hAnsi="Arial Narrow"/>
                <w:b/>
                <w:sz w:val="20"/>
                <w:szCs w:val="20"/>
              </w:rPr>
              <w:t>-0.64 (-0.93, -0.36)</w:t>
            </w:r>
          </w:p>
        </w:tc>
      </w:tr>
      <w:tr w:rsidR="00E32002" w:rsidRPr="005D05BB" w14:paraId="33219A08" w14:textId="77777777" w:rsidTr="00A33E85">
        <w:tc>
          <w:tcPr>
            <w:tcW w:w="1884" w:type="pct"/>
            <w:tcBorders>
              <w:top w:val="nil"/>
              <w:bottom w:val="nil"/>
            </w:tcBorders>
          </w:tcPr>
          <w:p w14:paraId="1F3D8CD9" w14:textId="77777777" w:rsidR="00E32002" w:rsidRPr="005D05BB" w:rsidRDefault="00E32002" w:rsidP="004D757E">
            <w:pPr>
              <w:keepNext/>
              <w:ind w:left="112"/>
              <w:rPr>
                <w:rFonts w:ascii="Arial Narrow" w:hAnsi="Arial Narrow"/>
                <w:sz w:val="20"/>
                <w:szCs w:val="20"/>
              </w:rPr>
            </w:pPr>
            <w:r w:rsidRPr="005D05BB">
              <w:rPr>
                <w:rFonts w:ascii="Arial Narrow" w:hAnsi="Arial Narrow"/>
                <w:sz w:val="20"/>
                <w:szCs w:val="20"/>
              </w:rPr>
              <w:t>n (%) remission (&lt;2.6)</w:t>
            </w:r>
            <w:r w:rsidR="004D757E">
              <w:rPr>
                <w:rFonts w:cs="Calibri"/>
                <w:sz w:val="20"/>
                <w:szCs w:val="20"/>
                <w:vertAlign w:val="superscript"/>
              </w:rPr>
              <w:t>b</w:t>
            </w:r>
            <w:r w:rsidRPr="005D05BB">
              <w:rPr>
                <w:rFonts w:ascii="Arial Narrow" w:hAnsi="Arial Narrow"/>
                <w:sz w:val="20"/>
                <w:szCs w:val="20"/>
              </w:rPr>
              <w:t xml:space="preserve"> Wk 30</w:t>
            </w:r>
          </w:p>
        </w:tc>
        <w:tc>
          <w:tcPr>
            <w:tcW w:w="629" w:type="pct"/>
            <w:tcBorders>
              <w:top w:val="nil"/>
              <w:bottom w:val="nil"/>
            </w:tcBorders>
            <w:vAlign w:val="center"/>
          </w:tcPr>
          <w:p w14:paraId="17512C4A"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61 (37.0)</w:t>
            </w:r>
          </w:p>
        </w:tc>
        <w:tc>
          <w:tcPr>
            <w:tcW w:w="629" w:type="pct"/>
            <w:tcBorders>
              <w:top w:val="nil"/>
              <w:bottom w:val="nil"/>
            </w:tcBorders>
            <w:vAlign w:val="center"/>
          </w:tcPr>
          <w:p w14:paraId="201CC2F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38 (21.8)</w:t>
            </w:r>
          </w:p>
        </w:tc>
        <w:tc>
          <w:tcPr>
            <w:tcW w:w="1859" w:type="pct"/>
            <w:gridSpan w:val="2"/>
            <w:tcBorders>
              <w:top w:val="nil"/>
              <w:bottom w:val="nil"/>
            </w:tcBorders>
            <w:vAlign w:val="center"/>
          </w:tcPr>
          <w:p w14:paraId="0A712EEB" w14:textId="77777777" w:rsidR="00E32002" w:rsidRPr="004D757E" w:rsidRDefault="00E32002" w:rsidP="008F456C">
            <w:pPr>
              <w:keepNext/>
              <w:jc w:val="center"/>
              <w:rPr>
                <w:rFonts w:ascii="Arial Narrow" w:hAnsi="Arial Narrow"/>
                <w:b/>
                <w:sz w:val="20"/>
                <w:szCs w:val="20"/>
              </w:rPr>
            </w:pPr>
            <w:r w:rsidRPr="004D757E">
              <w:rPr>
                <w:rFonts w:ascii="Arial Narrow" w:hAnsi="Arial Narrow"/>
                <w:b/>
                <w:sz w:val="20"/>
                <w:szCs w:val="20"/>
              </w:rPr>
              <w:t>15.2% (0.06, 0.25)</w:t>
            </w:r>
          </w:p>
        </w:tc>
      </w:tr>
      <w:tr w:rsidR="00E32002" w:rsidRPr="005D05BB" w14:paraId="15C1716A" w14:textId="77777777" w:rsidTr="00A33E85">
        <w:tc>
          <w:tcPr>
            <w:tcW w:w="1884" w:type="pct"/>
            <w:tcBorders>
              <w:top w:val="nil"/>
            </w:tcBorders>
            <w:vAlign w:val="center"/>
          </w:tcPr>
          <w:p w14:paraId="2B1EE246" w14:textId="77777777" w:rsidR="00E32002" w:rsidRPr="005D05BB" w:rsidRDefault="00E32002" w:rsidP="004D757E">
            <w:pPr>
              <w:keepNext/>
              <w:ind w:left="112"/>
              <w:rPr>
                <w:rFonts w:ascii="Arial Narrow" w:hAnsi="Arial Narrow"/>
                <w:sz w:val="20"/>
                <w:szCs w:val="20"/>
              </w:rPr>
            </w:pPr>
            <w:r w:rsidRPr="005D05BB">
              <w:rPr>
                <w:rFonts w:ascii="Arial Narrow" w:hAnsi="Arial Narrow"/>
                <w:sz w:val="20"/>
                <w:szCs w:val="20"/>
              </w:rPr>
              <w:t>n (%) remission + low disease activity (≥2.6 to &lt;3.2)</w:t>
            </w:r>
            <w:r w:rsidR="004D757E">
              <w:rPr>
                <w:rFonts w:cs="Calibri"/>
                <w:sz w:val="20"/>
                <w:szCs w:val="20"/>
                <w:vertAlign w:val="superscript"/>
              </w:rPr>
              <w:t>b</w:t>
            </w:r>
            <w:r w:rsidRPr="005D05BB">
              <w:rPr>
                <w:rFonts w:ascii="Arial Narrow" w:hAnsi="Arial Narrow"/>
                <w:sz w:val="20"/>
                <w:szCs w:val="20"/>
              </w:rPr>
              <w:t xml:space="preserve"> Wk 30</w:t>
            </w:r>
          </w:p>
        </w:tc>
        <w:tc>
          <w:tcPr>
            <w:tcW w:w="629" w:type="pct"/>
            <w:tcBorders>
              <w:top w:val="nil"/>
            </w:tcBorders>
            <w:vAlign w:val="center"/>
          </w:tcPr>
          <w:p w14:paraId="5ADB6833"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88 (53.3)</w:t>
            </w:r>
          </w:p>
        </w:tc>
        <w:tc>
          <w:tcPr>
            <w:tcW w:w="629" w:type="pct"/>
            <w:tcBorders>
              <w:top w:val="nil"/>
            </w:tcBorders>
            <w:vAlign w:val="center"/>
          </w:tcPr>
          <w:p w14:paraId="2E396563"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67 (38.5)</w:t>
            </w:r>
          </w:p>
        </w:tc>
        <w:tc>
          <w:tcPr>
            <w:tcW w:w="1859" w:type="pct"/>
            <w:gridSpan w:val="2"/>
            <w:tcBorders>
              <w:top w:val="nil"/>
            </w:tcBorders>
            <w:vAlign w:val="center"/>
          </w:tcPr>
          <w:p w14:paraId="6AF36047" w14:textId="77777777" w:rsidR="00E32002" w:rsidRPr="004D757E" w:rsidRDefault="00E32002" w:rsidP="008F456C">
            <w:pPr>
              <w:keepNext/>
              <w:jc w:val="center"/>
              <w:rPr>
                <w:rFonts w:ascii="Arial Narrow" w:hAnsi="Arial Narrow"/>
                <w:b/>
                <w:sz w:val="20"/>
                <w:szCs w:val="20"/>
              </w:rPr>
            </w:pPr>
            <w:r w:rsidRPr="004D757E">
              <w:rPr>
                <w:rFonts w:ascii="Arial Narrow" w:hAnsi="Arial Narrow"/>
                <w:b/>
                <w:sz w:val="20"/>
                <w:szCs w:val="20"/>
              </w:rPr>
              <w:t>14.8% (0.04, 0.25)</w:t>
            </w:r>
          </w:p>
        </w:tc>
      </w:tr>
      <w:tr w:rsidR="00E32002" w:rsidRPr="005D05BB" w14:paraId="78575298" w14:textId="77777777" w:rsidTr="00A33E85">
        <w:tc>
          <w:tcPr>
            <w:tcW w:w="1884" w:type="pct"/>
            <w:tcBorders>
              <w:bottom w:val="nil"/>
            </w:tcBorders>
          </w:tcPr>
          <w:p w14:paraId="3928BF75" w14:textId="77777777" w:rsidR="00E32002" w:rsidRPr="005D05BB" w:rsidRDefault="00E32002" w:rsidP="008F456C">
            <w:pPr>
              <w:keepNext/>
              <w:rPr>
                <w:rFonts w:ascii="Arial Narrow" w:hAnsi="Arial Narrow"/>
                <w:b/>
                <w:sz w:val="20"/>
                <w:szCs w:val="20"/>
              </w:rPr>
            </w:pPr>
            <w:r w:rsidRPr="005D05BB">
              <w:rPr>
                <w:rFonts w:ascii="Arial Narrow" w:hAnsi="Arial Narrow"/>
                <w:b/>
                <w:sz w:val="20"/>
                <w:szCs w:val="20"/>
              </w:rPr>
              <w:t>Change from baseline DAS28 (ESR)</w:t>
            </w:r>
          </w:p>
        </w:tc>
        <w:tc>
          <w:tcPr>
            <w:tcW w:w="629" w:type="pct"/>
            <w:tcBorders>
              <w:bottom w:val="nil"/>
            </w:tcBorders>
            <w:vAlign w:val="center"/>
          </w:tcPr>
          <w:p w14:paraId="6B45BE13" w14:textId="77777777" w:rsidR="00E32002" w:rsidRPr="005D05BB" w:rsidRDefault="00E32002" w:rsidP="008F456C">
            <w:pPr>
              <w:keepNext/>
              <w:jc w:val="center"/>
              <w:rPr>
                <w:rFonts w:ascii="Arial Narrow" w:hAnsi="Arial Narrow"/>
                <w:sz w:val="20"/>
                <w:szCs w:val="20"/>
              </w:rPr>
            </w:pPr>
          </w:p>
        </w:tc>
        <w:tc>
          <w:tcPr>
            <w:tcW w:w="629" w:type="pct"/>
            <w:tcBorders>
              <w:bottom w:val="nil"/>
            </w:tcBorders>
            <w:vAlign w:val="center"/>
          </w:tcPr>
          <w:p w14:paraId="6D99BF2F" w14:textId="77777777" w:rsidR="00E32002" w:rsidRPr="005D05BB" w:rsidRDefault="00E32002" w:rsidP="008F456C">
            <w:pPr>
              <w:keepNext/>
              <w:jc w:val="center"/>
              <w:rPr>
                <w:rFonts w:ascii="Arial Narrow" w:hAnsi="Arial Narrow"/>
                <w:sz w:val="20"/>
                <w:szCs w:val="20"/>
              </w:rPr>
            </w:pPr>
          </w:p>
        </w:tc>
        <w:tc>
          <w:tcPr>
            <w:tcW w:w="1859" w:type="pct"/>
            <w:gridSpan w:val="2"/>
            <w:tcBorders>
              <w:bottom w:val="nil"/>
            </w:tcBorders>
            <w:vAlign w:val="center"/>
          </w:tcPr>
          <w:p w14:paraId="3E4857A6" w14:textId="77777777" w:rsidR="00E32002" w:rsidRPr="005D05BB" w:rsidRDefault="00E32002" w:rsidP="008F456C">
            <w:pPr>
              <w:keepNext/>
              <w:jc w:val="center"/>
              <w:rPr>
                <w:rFonts w:ascii="Arial Narrow" w:hAnsi="Arial Narrow"/>
                <w:sz w:val="20"/>
                <w:szCs w:val="20"/>
              </w:rPr>
            </w:pPr>
          </w:p>
        </w:tc>
      </w:tr>
      <w:tr w:rsidR="00E32002" w:rsidRPr="005D05BB" w14:paraId="0F4E1171" w14:textId="77777777" w:rsidTr="00A33E85">
        <w:tc>
          <w:tcPr>
            <w:tcW w:w="1884" w:type="pct"/>
            <w:tcBorders>
              <w:top w:val="nil"/>
              <w:bottom w:val="nil"/>
            </w:tcBorders>
            <w:vAlign w:val="center"/>
          </w:tcPr>
          <w:p w14:paraId="49088283"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Mean change (SD) Wk 22</w:t>
            </w:r>
          </w:p>
        </w:tc>
        <w:tc>
          <w:tcPr>
            <w:tcW w:w="629" w:type="pct"/>
            <w:tcBorders>
              <w:top w:val="nil"/>
              <w:bottom w:val="nil"/>
            </w:tcBorders>
            <w:vAlign w:val="center"/>
          </w:tcPr>
          <w:p w14:paraId="6683A7A4"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-2.72 (1.28)</w:t>
            </w:r>
          </w:p>
        </w:tc>
        <w:tc>
          <w:tcPr>
            <w:tcW w:w="629" w:type="pct"/>
            <w:tcBorders>
              <w:top w:val="nil"/>
              <w:bottom w:val="nil"/>
            </w:tcBorders>
            <w:vAlign w:val="center"/>
          </w:tcPr>
          <w:p w14:paraId="63C3266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-2.49 (1.34)</w:t>
            </w:r>
          </w:p>
        </w:tc>
        <w:tc>
          <w:tcPr>
            <w:tcW w:w="1859" w:type="pct"/>
            <w:gridSpan w:val="2"/>
            <w:tcBorders>
              <w:top w:val="nil"/>
              <w:bottom w:val="nil"/>
            </w:tcBorders>
            <w:vAlign w:val="center"/>
          </w:tcPr>
          <w:p w14:paraId="50A61A5C"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-0.23 (-0.51, 0.05)</w:t>
            </w:r>
          </w:p>
        </w:tc>
      </w:tr>
      <w:tr w:rsidR="00E32002" w:rsidRPr="005D05BB" w14:paraId="6A6D83CD" w14:textId="77777777" w:rsidTr="00A33E85">
        <w:tc>
          <w:tcPr>
            <w:tcW w:w="1884" w:type="pct"/>
            <w:tcBorders>
              <w:top w:val="nil"/>
              <w:bottom w:val="nil"/>
            </w:tcBorders>
          </w:tcPr>
          <w:p w14:paraId="40FFE39C"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Mean change (SD) Wk 30</w:t>
            </w:r>
          </w:p>
        </w:tc>
        <w:tc>
          <w:tcPr>
            <w:tcW w:w="629" w:type="pct"/>
            <w:tcBorders>
              <w:top w:val="nil"/>
              <w:bottom w:val="nil"/>
            </w:tcBorders>
            <w:vAlign w:val="center"/>
          </w:tcPr>
          <w:p w14:paraId="33CB9D0E"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-3.05 (1.36)</w:t>
            </w:r>
          </w:p>
        </w:tc>
        <w:tc>
          <w:tcPr>
            <w:tcW w:w="629" w:type="pct"/>
            <w:tcBorders>
              <w:top w:val="nil"/>
              <w:bottom w:val="nil"/>
            </w:tcBorders>
            <w:vAlign w:val="center"/>
          </w:tcPr>
          <w:p w14:paraId="25550392"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-2.44 (1.39)</w:t>
            </w:r>
          </w:p>
        </w:tc>
        <w:tc>
          <w:tcPr>
            <w:tcW w:w="1859" w:type="pct"/>
            <w:gridSpan w:val="2"/>
            <w:tcBorders>
              <w:top w:val="nil"/>
              <w:bottom w:val="nil"/>
            </w:tcBorders>
            <w:vAlign w:val="center"/>
          </w:tcPr>
          <w:p w14:paraId="4976B794"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-0.60 (-0.90, -0.30)</w:t>
            </w:r>
          </w:p>
        </w:tc>
      </w:tr>
      <w:tr w:rsidR="00E32002" w:rsidRPr="005D05BB" w14:paraId="7765E100" w14:textId="77777777" w:rsidTr="00A33E85">
        <w:tc>
          <w:tcPr>
            <w:tcW w:w="1884" w:type="pct"/>
            <w:tcBorders>
              <w:top w:val="nil"/>
              <w:bottom w:val="nil"/>
            </w:tcBorders>
          </w:tcPr>
          <w:p w14:paraId="066643EA" w14:textId="77777777" w:rsidR="00E32002" w:rsidRPr="005D05BB" w:rsidRDefault="00E32002" w:rsidP="004D757E">
            <w:pPr>
              <w:keepNext/>
              <w:ind w:left="112"/>
              <w:rPr>
                <w:rFonts w:ascii="Arial Narrow" w:hAnsi="Arial Narrow"/>
                <w:sz w:val="20"/>
                <w:szCs w:val="20"/>
              </w:rPr>
            </w:pPr>
            <w:r w:rsidRPr="005D05BB">
              <w:rPr>
                <w:rFonts w:ascii="Arial Narrow" w:hAnsi="Arial Narrow"/>
                <w:sz w:val="20"/>
                <w:szCs w:val="20"/>
              </w:rPr>
              <w:t>n (%) remission (&lt;2.6)</w:t>
            </w:r>
            <w:r w:rsidR="004D757E">
              <w:rPr>
                <w:rFonts w:cs="Calibri"/>
                <w:sz w:val="20"/>
                <w:szCs w:val="20"/>
                <w:vertAlign w:val="superscript"/>
              </w:rPr>
              <w:t>b</w:t>
            </w:r>
            <w:r w:rsidRPr="005D05BB">
              <w:rPr>
                <w:rFonts w:ascii="Arial Narrow" w:hAnsi="Arial Narrow"/>
                <w:sz w:val="20"/>
                <w:szCs w:val="20"/>
              </w:rPr>
              <w:t xml:space="preserve"> Wk 30</w:t>
            </w:r>
          </w:p>
        </w:tc>
        <w:tc>
          <w:tcPr>
            <w:tcW w:w="629" w:type="pct"/>
            <w:tcBorders>
              <w:top w:val="nil"/>
              <w:bottom w:val="nil"/>
            </w:tcBorders>
            <w:vAlign w:val="center"/>
          </w:tcPr>
          <w:p w14:paraId="1C4825D3"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29 (17.6)</w:t>
            </w:r>
          </w:p>
        </w:tc>
        <w:tc>
          <w:tcPr>
            <w:tcW w:w="629" w:type="pct"/>
            <w:tcBorders>
              <w:top w:val="nil"/>
              <w:bottom w:val="nil"/>
            </w:tcBorders>
            <w:vAlign w:val="center"/>
          </w:tcPr>
          <w:p w14:paraId="16DFE3E0"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27 (15.5)</w:t>
            </w:r>
          </w:p>
        </w:tc>
        <w:tc>
          <w:tcPr>
            <w:tcW w:w="1859" w:type="pct"/>
            <w:gridSpan w:val="2"/>
            <w:tcBorders>
              <w:top w:val="nil"/>
              <w:bottom w:val="nil"/>
            </w:tcBorders>
            <w:vAlign w:val="center"/>
          </w:tcPr>
          <w:p w14:paraId="2635C226"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2.1% (-0.06, 0.10)</w:t>
            </w:r>
          </w:p>
        </w:tc>
      </w:tr>
      <w:tr w:rsidR="00E32002" w:rsidRPr="005D05BB" w14:paraId="4610DDC9" w14:textId="77777777" w:rsidTr="00A33E85">
        <w:tc>
          <w:tcPr>
            <w:tcW w:w="1884" w:type="pct"/>
            <w:tcBorders>
              <w:top w:val="nil"/>
            </w:tcBorders>
            <w:vAlign w:val="center"/>
          </w:tcPr>
          <w:p w14:paraId="1A75BBDB" w14:textId="77777777" w:rsidR="00E32002" w:rsidRPr="005D05BB" w:rsidRDefault="00E32002" w:rsidP="004D757E">
            <w:pPr>
              <w:keepNext/>
              <w:ind w:left="112"/>
              <w:rPr>
                <w:rFonts w:ascii="Arial Narrow" w:hAnsi="Arial Narrow"/>
                <w:sz w:val="20"/>
                <w:szCs w:val="20"/>
              </w:rPr>
            </w:pPr>
            <w:r w:rsidRPr="005D05BB">
              <w:rPr>
                <w:rFonts w:ascii="Arial Narrow" w:hAnsi="Arial Narrow"/>
                <w:sz w:val="20"/>
                <w:szCs w:val="20"/>
              </w:rPr>
              <w:t>n (%) remission + low disease activity (≥2.6 to &lt;3.2)</w:t>
            </w:r>
            <w:r w:rsidR="004D757E">
              <w:rPr>
                <w:rFonts w:cs="Calibri"/>
                <w:sz w:val="20"/>
                <w:szCs w:val="20"/>
                <w:vertAlign w:val="superscript"/>
              </w:rPr>
              <w:t>b</w:t>
            </w:r>
            <w:r w:rsidRPr="005D05BB">
              <w:rPr>
                <w:rFonts w:ascii="Arial Narrow" w:hAnsi="Arial Narrow"/>
                <w:sz w:val="20"/>
                <w:szCs w:val="20"/>
              </w:rPr>
              <w:t xml:space="preserve"> Wk 30</w:t>
            </w:r>
          </w:p>
        </w:tc>
        <w:tc>
          <w:tcPr>
            <w:tcW w:w="629" w:type="pct"/>
            <w:tcBorders>
              <w:top w:val="nil"/>
            </w:tcBorders>
            <w:vAlign w:val="center"/>
          </w:tcPr>
          <w:p w14:paraId="31B487F7"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55 (33.3)</w:t>
            </w:r>
          </w:p>
        </w:tc>
        <w:tc>
          <w:tcPr>
            <w:tcW w:w="629" w:type="pct"/>
            <w:tcBorders>
              <w:top w:val="nil"/>
            </w:tcBorders>
            <w:vAlign w:val="center"/>
          </w:tcPr>
          <w:p w14:paraId="75D0EC8A"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41 (23.6)</w:t>
            </w:r>
          </w:p>
        </w:tc>
        <w:tc>
          <w:tcPr>
            <w:tcW w:w="1859" w:type="pct"/>
            <w:gridSpan w:val="2"/>
            <w:tcBorders>
              <w:top w:val="nil"/>
            </w:tcBorders>
            <w:vAlign w:val="center"/>
          </w:tcPr>
          <w:p w14:paraId="6B0F53DB"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9.7% (0.00, 0.19)</w:t>
            </w:r>
          </w:p>
        </w:tc>
      </w:tr>
      <w:tr w:rsidR="00E32002" w:rsidRPr="005D05BB" w14:paraId="2220CE98" w14:textId="77777777" w:rsidTr="00A33E85">
        <w:tc>
          <w:tcPr>
            <w:tcW w:w="1884" w:type="pct"/>
            <w:tcBorders>
              <w:bottom w:val="nil"/>
            </w:tcBorders>
          </w:tcPr>
          <w:p w14:paraId="10195126" w14:textId="77777777" w:rsidR="00E32002" w:rsidRPr="005D05BB" w:rsidRDefault="00E32002" w:rsidP="008F456C">
            <w:pPr>
              <w:keepNext/>
              <w:rPr>
                <w:rFonts w:ascii="Arial Narrow" w:hAnsi="Arial Narrow"/>
                <w:b/>
                <w:sz w:val="20"/>
                <w:szCs w:val="20"/>
              </w:rPr>
            </w:pPr>
            <w:r w:rsidRPr="005D05BB">
              <w:rPr>
                <w:rFonts w:ascii="Arial Narrow" w:hAnsi="Arial Narrow"/>
                <w:b/>
                <w:sz w:val="20"/>
                <w:szCs w:val="20"/>
              </w:rPr>
              <w:t>ACR responses</w:t>
            </w:r>
          </w:p>
        </w:tc>
        <w:tc>
          <w:tcPr>
            <w:tcW w:w="629" w:type="pct"/>
            <w:tcBorders>
              <w:bottom w:val="nil"/>
            </w:tcBorders>
            <w:vAlign w:val="center"/>
          </w:tcPr>
          <w:p w14:paraId="364ACC36" w14:textId="77777777" w:rsidR="00E32002" w:rsidRPr="005D05BB" w:rsidRDefault="00E32002" w:rsidP="008F456C">
            <w:pPr>
              <w:keepNext/>
              <w:jc w:val="center"/>
              <w:rPr>
                <w:rFonts w:ascii="Arial Narrow" w:hAnsi="Arial Narrow"/>
                <w:sz w:val="20"/>
                <w:szCs w:val="20"/>
              </w:rPr>
            </w:pPr>
          </w:p>
        </w:tc>
        <w:tc>
          <w:tcPr>
            <w:tcW w:w="629" w:type="pct"/>
            <w:tcBorders>
              <w:bottom w:val="nil"/>
            </w:tcBorders>
            <w:vAlign w:val="center"/>
          </w:tcPr>
          <w:p w14:paraId="6E89104D" w14:textId="77777777" w:rsidR="00E32002" w:rsidRPr="005D05BB" w:rsidRDefault="00E32002" w:rsidP="008F456C">
            <w:pPr>
              <w:keepNext/>
              <w:jc w:val="center"/>
              <w:rPr>
                <w:rFonts w:ascii="Arial Narrow" w:hAnsi="Arial Narrow"/>
                <w:sz w:val="20"/>
                <w:szCs w:val="20"/>
              </w:rPr>
            </w:pPr>
          </w:p>
        </w:tc>
        <w:tc>
          <w:tcPr>
            <w:tcW w:w="943" w:type="pct"/>
            <w:vAlign w:val="center"/>
          </w:tcPr>
          <w:p w14:paraId="1B434E44"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RR (95%CI)</w:t>
            </w:r>
          </w:p>
        </w:tc>
        <w:tc>
          <w:tcPr>
            <w:tcW w:w="915" w:type="pct"/>
            <w:vAlign w:val="center"/>
          </w:tcPr>
          <w:p w14:paraId="001E3696"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RD (95%CI)</w:t>
            </w:r>
          </w:p>
        </w:tc>
      </w:tr>
      <w:tr w:rsidR="00E32002" w:rsidRPr="005D05BB" w14:paraId="7956A99B" w14:textId="77777777" w:rsidTr="00A33E85">
        <w:tc>
          <w:tcPr>
            <w:tcW w:w="1884" w:type="pct"/>
            <w:tcBorders>
              <w:bottom w:val="nil"/>
            </w:tcBorders>
          </w:tcPr>
          <w:p w14:paraId="5FA2563D" w14:textId="77777777" w:rsidR="00E32002" w:rsidRPr="005D05BB" w:rsidRDefault="00E32002" w:rsidP="008F456C">
            <w:pPr>
              <w:keepNext/>
              <w:rPr>
                <w:rFonts w:ascii="Arial Narrow" w:hAnsi="Arial Narrow"/>
                <w:b/>
                <w:sz w:val="20"/>
                <w:szCs w:val="20"/>
              </w:rPr>
            </w:pPr>
            <w:r w:rsidRPr="005D05BB">
              <w:rPr>
                <w:rFonts w:ascii="Arial Narrow" w:hAnsi="Arial Narrow"/>
                <w:b/>
                <w:sz w:val="20"/>
                <w:szCs w:val="20"/>
              </w:rPr>
              <w:t>ACR20 response</w:t>
            </w:r>
          </w:p>
        </w:tc>
        <w:tc>
          <w:tcPr>
            <w:tcW w:w="629" w:type="pct"/>
            <w:tcBorders>
              <w:bottom w:val="nil"/>
            </w:tcBorders>
            <w:vAlign w:val="center"/>
          </w:tcPr>
          <w:p w14:paraId="71D35326" w14:textId="77777777" w:rsidR="00E32002" w:rsidRPr="005D05BB" w:rsidRDefault="00E32002" w:rsidP="008F456C">
            <w:pPr>
              <w:keepNext/>
              <w:jc w:val="center"/>
              <w:rPr>
                <w:rFonts w:ascii="Arial Narrow" w:hAnsi="Arial Narrow"/>
                <w:sz w:val="20"/>
                <w:szCs w:val="20"/>
              </w:rPr>
            </w:pPr>
          </w:p>
        </w:tc>
        <w:tc>
          <w:tcPr>
            <w:tcW w:w="629" w:type="pct"/>
            <w:tcBorders>
              <w:bottom w:val="nil"/>
            </w:tcBorders>
            <w:vAlign w:val="center"/>
          </w:tcPr>
          <w:p w14:paraId="5329D5B6" w14:textId="77777777" w:rsidR="00E32002" w:rsidRPr="005D05BB" w:rsidRDefault="00E32002" w:rsidP="008F456C">
            <w:pPr>
              <w:keepNext/>
              <w:jc w:val="center"/>
              <w:rPr>
                <w:rFonts w:ascii="Arial Narrow" w:hAnsi="Arial Narrow"/>
                <w:sz w:val="20"/>
                <w:szCs w:val="20"/>
              </w:rPr>
            </w:pPr>
          </w:p>
        </w:tc>
        <w:tc>
          <w:tcPr>
            <w:tcW w:w="943" w:type="pct"/>
            <w:tcBorders>
              <w:bottom w:val="nil"/>
            </w:tcBorders>
            <w:vAlign w:val="center"/>
          </w:tcPr>
          <w:p w14:paraId="06F8792B" w14:textId="77777777" w:rsidR="00E32002" w:rsidRPr="005D05BB" w:rsidRDefault="00E32002" w:rsidP="008F456C">
            <w:pPr>
              <w:keepNext/>
              <w:jc w:val="center"/>
              <w:rPr>
                <w:rFonts w:ascii="Arial Narrow" w:hAnsi="Arial Narrow"/>
                <w:sz w:val="20"/>
                <w:szCs w:val="20"/>
              </w:rPr>
            </w:pPr>
          </w:p>
        </w:tc>
        <w:tc>
          <w:tcPr>
            <w:tcW w:w="915" w:type="pct"/>
            <w:tcBorders>
              <w:bottom w:val="nil"/>
            </w:tcBorders>
            <w:vAlign w:val="center"/>
          </w:tcPr>
          <w:p w14:paraId="054D1621" w14:textId="77777777" w:rsidR="00E32002" w:rsidRPr="005D05BB" w:rsidRDefault="00E32002" w:rsidP="008F456C">
            <w:pPr>
              <w:keepNext/>
              <w:jc w:val="center"/>
              <w:rPr>
                <w:rFonts w:ascii="Arial Narrow" w:hAnsi="Arial Narrow"/>
                <w:sz w:val="20"/>
                <w:szCs w:val="20"/>
              </w:rPr>
            </w:pPr>
          </w:p>
        </w:tc>
      </w:tr>
      <w:tr w:rsidR="00E32002" w:rsidRPr="005D05BB" w14:paraId="17923B89" w14:textId="77777777" w:rsidTr="00A33E85">
        <w:tc>
          <w:tcPr>
            <w:tcW w:w="1884" w:type="pct"/>
            <w:tcBorders>
              <w:top w:val="nil"/>
              <w:bottom w:val="nil"/>
            </w:tcBorders>
          </w:tcPr>
          <w:p w14:paraId="0CB5934D"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22</w:t>
            </w:r>
          </w:p>
        </w:tc>
        <w:tc>
          <w:tcPr>
            <w:tcW w:w="629" w:type="pct"/>
            <w:tcBorders>
              <w:top w:val="nil"/>
              <w:bottom w:val="nil"/>
            </w:tcBorders>
            <w:shd w:val="clear" w:color="auto" w:fill="auto"/>
            <w:vAlign w:val="center"/>
          </w:tcPr>
          <w:p w14:paraId="2CE0AB58"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139 (84.2)</w:t>
            </w:r>
          </w:p>
        </w:tc>
        <w:tc>
          <w:tcPr>
            <w:tcW w:w="629" w:type="pct"/>
            <w:tcBorders>
              <w:top w:val="nil"/>
              <w:bottom w:val="nil"/>
            </w:tcBorders>
            <w:shd w:val="clear" w:color="auto" w:fill="auto"/>
            <w:vAlign w:val="center"/>
          </w:tcPr>
          <w:p w14:paraId="421A158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137 (78.7)</w:t>
            </w:r>
          </w:p>
        </w:tc>
        <w:tc>
          <w:tcPr>
            <w:tcW w:w="943" w:type="pct"/>
            <w:tcBorders>
              <w:top w:val="nil"/>
              <w:bottom w:val="nil"/>
            </w:tcBorders>
            <w:vAlign w:val="center"/>
          </w:tcPr>
          <w:p w14:paraId="7DB9A01B"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1.07 (0.97, 1.18)</w:t>
            </w:r>
          </w:p>
        </w:tc>
        <w:tc>
          <w:tcPr>
            <w:tcW w:w="915" w:type="pct"/>
            <w:tcBorders>
              <w:top w:val="nil"/>
              <w:bottom w:val="nil"/>
            </w:tcBorders>
            <w:vAlign w:val="center"/>
          </w:tcPr>
          <w:p w14:paraId="55401C80"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0.055 (-0.03, 0.14)</w:t>
            </w:r>
          </w:p>
        </w:tc>
      </w:tr>
      <w:tr w:rsidR="00E32002" w:rsidRPr="005D05BB" w14:paraId="709EC370" w14:textId="77777777" w:rsidTr="00A33E85">
        <w:tc>
          <w:tcPr>
            <w:tcW w:w="1884" w:type="pct"/>
            <w:tcBorders>
              <w:top w:val="nil"/>
            </w:tcBorders>
          </w:tcPr>
          <w:p w14:paraId="6002B2DC"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30</w:t>
            </w:r>
          </w:p>
        </w:tc>
        <w:tc>
          <w:tcPr>
            <w:tcW w:w="629" w:type="pct"/>
            <w:tcBorders>
              <w:top w:val="nil"/>
            </w:tcBorders>
            <w:shd w:val="clear" w:color="auto" w:fill="auto"/>
            <w:vAlign w:val="center"/>
          </w:tcPr>
          <w:p w14:paraId="629495AF"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142 (86.1)</w:t>
            </w:r>
          </w:p>
        </w:tc>
        <w:tc>
          <w:tcPr>
            <w:tcW w:w="629" w:type="pct"/>
            <w:tcBorders>
              <w:top w:val="nil"/>
            </w:tcBorders>
            <w:shd w:val="clear" w:color="auto" w:fill="auto"/>
            <w:vAlign w:val="center"/>
          </w:tcPr>
          <w:p w14:paraId="793F4CC3"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133 (76.4)</w:t>
            </w:r>
          </w:p>
        </w:tc>
        <w:tc>
          <w:tcPr>
            <w:tcW w:w="943" w:type="pct"/>
            <w:tcBorders>
              <w:top w:val="nil"/>
            </w:tcBorders>
            <w:vAlign w:val="center"/>
          </w:tcPr>
          <w:p w14:paraId="0C70CE27"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1.13 (1.02, 1.25)</w:t>
            </w:r>
          </w:p>
        </w:tc>
        <w:tc>
          <w:tcPr>
            <w:tcW w:w="915" w:type="pct"/>
            <w:tcBorders>
              <w:top w:val="nil"/>
            </w:tcBorders>
            <w:vAlign w:val="center"/>
          </w:tcPr>
          <w:p w14:paraId="5EA164A4"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0.096 (0.01, 0.18)</w:t>
            </w:r>
          </w:p>
        </w:tc>
      </w:tr>
      <w:tr w:rsidR="00E32002" w:rsidRPr="005D05BB" w14:paraId="6AE2F762" w14:textId="77777777" w:rsidTr="00A33E85">
        <w:tc>
          <w:tcPr>
            <w:tcW w:w="1884" w:type="pct"/>
            <w:tcBorders>
              <w:bottom w:val="nil"/>
            </w:tcBorders>
          </w:tcPr>
          <w:p w14:paraId="15BC940E" w14:textId="77777777" w:rsidR="00E32002" w:rsidRPr="005D05BB" w:rsidRDefault="00E32002" w:rsidP="008F456C">
            <w:pPr>
              <w:keepNext/>
              <w:rPr>
                <w:rFonts w:ascii="Arial Narrow" w:hAnsi="Arial Narrow"/>
                <w:b/>
                <w:sz w:val="20"/>
                <w:szCs w:val="20"/>
              </w:rPr>
            </w:pPr>
            <w:r w:rsidRPr="005D05BB">
              <w:rPr>
                <w:rFonts w:ascii="Arial Narrow" w:hAnsi="Arial Narrow"/>
                <w:b/>
                <w:sz w:val="20"/>
                <w:szCs w:val="20"/>
              </w:rPr>
              <w:t>ACR 50 response</w:t>
            </w:r>
          </w:p>
        </w:tc>
        <w:tc>
          <w:tcPr>
            <w:tcW w:w="629" w:type="pct"/>
            <w:tcBorders>
              <w:bottom w:val="nil"/>
            </w:tcBorders>
            <w:shd w:val="clear" w:color="auto" w:fill="auto"/>
            <w:vAlign w:val="center"/>
          </w:tcPr>
          <w:p w14:paraId="7E889401" w14:textId="77777777" w:rsidR="00E32002" w:rsidRPr="005D05BB" w:rsidRDefault="00E32002" w:rsidP="008F456C">
            <w:pPr>
              <w:keepNext/>
              <w:jc w:val="center"/>
              <w:rPr>
                <w:rFonts w:ascii="Arial Narrow" w:hAnsi="Arial Narrow"/>
                <w:sz w:val="20"/>
                <w:szCs w:val="20"/>
              </w:rPr>
            </w:pPr>
          </w:p>
        </w:tc>
        <w:tc>
          <w:tcPr>
            <w:tcW w:w="629" w:type="pct"/>
            <w:tcBorders>
              <w:bottom w:val="nil"/>
            </w:tcBorders>
            <w:shd w:val="clear" w:color="auto" w:fill="auto"/>
            <w:vAlign w:val="center"/>
          </w:tcPr>
          <w:p w14:paraId="58A2F009" w14:textId="77777777" w:rsidR="00E32002" w:rsidRPr="005D05BB" w:rsidRDefault="00E32002" w:rsidP="008F456C">
            <w:pPr>
              <w:keepNext/>
              <w:jc w:val="center"/>
              <w:rPr>
                <w:rFonts w:ascii="Arial Narrow" w:hAnsi="Arial Narrow"/>
                <w:sz w:val="20"/>
                <w:szCs w:val="20"/>
              </w:rPr>
            </w:pPr>
          </w:p>
        </w:tc>
        <w:tc>
          <w:tcPr>
            <w:tcW w:w="943" w:type="pct"/>
            <w:tcBorders>
              <w:bottom w:val="nil"/>
            </w:tcBorders>
            <w:vAlign w:val="center"/>
          </w:tcPr>
          <w:p w14:paraId="7DDF64E7" w14:textId="77777777" w:rsidR="00E32002" w:rsidRPr="005D05BB" w:rsidRDefault="00E32002" w:rsidP="008F456C">
            <w:pPr>
              <w:keepNext/>
              <w:jc w:val="center"/>
              <w:rPr>
                <w:rFonts w:ascii="Arial Narrow" w:hAnsi="Arial Narrow"/>
                <w:sz w:val="20"/>
                <w:szCs w:val="20"/>
              </w:rPr>
            </w:pPr>
          </w:p>
        </w:tc>
        <w:tc>
          <w:tcPr>
            <w:tcW w:w="915" w:type="pct"/>
            <w:tcBorders>
              <w:bottom w:val="nil"/>
            </w:tcBorders>
            <w:vAlign w:val="center"/>
          </w:tcPr>
          <w:p w14:paraId="7E2EF7BD" w14:textId="77777777" w:rsidR="00E32002" w:rsidRPr="005D05BB" w:rsidRDefault="00E32002" w:rsidP="008F456C">
            <w:pPr>
              <w:keepNext/>
              <w:jc w:val="center"/>
              <w:rPr>
                <w:rFonts w:ascii="Arial Narrow" w:hAnsi="Arial Narrow"/>
                <w:sz w:val="20"/>
                <w:szCs w:val="20"/>
              </w:rPr>
            </w:pPr>
          </w:p>
        </w:tc>
      </w:tr>
      <w:tr w:rsidR="00E32002" w:rsidRPr="005D05BB" w14:paraId="79C9DEC3" w14:textId="77777777" w:rsidTr="00A33E85">
        <w:tc>
          <w:tcPr>
            <w:tcW w:w="1884" w:type="pct"/>
            <w:tcBorders>
              <w:top w:val="nil"/>
              <w:bottom w:val="nil"/>
            </w:tcBorders>
          </w:tcPr>
          <w:p w14:paraId="20394FD5"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22</w:t>
            </w:r>
          </w:p>
        </w:tc>
        <w:tc>
          <w:tcPr>
            <w:tcW w:w="629" w:type="pct"/>
            <w:tcBorders>
              <w:top w:val="nil"/>
              <w:bottom w:val="nil"/>
            </w:tcBorders>
            <w:shd w:val="clear" w:color="auto" w:fill="auto"/>
            <w:vAlign w:val="center"/>
          </w:tcPr>
          <w:p w14:paraId="51B86124"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85 (51.5)</w:t>
            </w:r>
          </w:p>
        </w:tc>
        <w:tc>
          <w:tcPr>
            <w:tcW w:w="629" w:type="pct"/>
            <w:tcBorders>
              <w:top w:val="nil"/>
              <w:bottom w:val="nil"/>
            </w:tcBorders>
            <w:shd w:val="clear" w:color="auto" w:fill="auto"/>
            <w:vAlign w:val="center"/>
          </w:tcPr>
          <w:p w14:paraId="297375DA"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90 (51.7)</w:t>
            </w:r>
          </w:p>
        </w:tc>
        <w:tc>
          <w:tcPr>
            <w:tcW w:w="943" w:type="pct"/>
            <w:tcBorders>
              <w:top w:val="nil"/>
              <w:bottom w:val="nil"/>
            </w:tcBorders>
            <w:vAlign w:val="center"/>
          </w:tcPr>
          <w:p w14:paraId="4D7CE285"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1.00 (0.81, 1.22)</w:t>
            </w:r>
          </w:p>
        </w:tc>
        <w:tc>
          <w:tcPr>
            <w:tcW w:w="915" w:type="pct"/>
            <w:tcBorders>
              <w:top w:val="nil"/>
              <w:bottom w:val="nil"/>
            </w:tcBorders>
            <w:vAlign w:val="center"/>
          </w:tcPr>
          <w:p w14:paraId="4B0AD63E"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-0.002 (-0.11, 0.10)</w:t>
            </w:r>
          </w:p>
        </w:tc>
      </w:tr>
      <w:tr w:rsidR="00E32002" w:rsidRPr="005D05BB" w14:paraId="48245AA7" w14:textId="77777777" w:rsidTr="00A33E85">
        <w:tc>
          <w:tcPr>
            <w:tcW w:w="1884" w:type="pct"/>
            <w:tcBorders>
              <w:top w:val="nil"/>
            </w:tcBorders>
          </w:tcPr>
          <w:p w14:paraId="5073E1AA"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30</w:t>
            </w:r>
          </w:p>
        </w:tc>
        <w:tc>
          <w:tcPr>
            <w:tcW w:w="629" w:type="pct"/>
            <w:tcBorders>
              <w:top w:val="nil"/>
            </w:tcBorders>
            <w:shd w:val="clear" w:color="auto" w:fill="auto"/>
            <w:vAlign w:val="center"/>
          </w:tcPr>
          <w:p w14:paraId="08A5164C"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106 (64.2)</w:t>
            </w:r>
          </w:p>
        </w:tc>
        <w:tc>
          <w:tcPr>
            <w:tcW w:w="629" w:type="pct"/>
            <w:tcBorders>
              <w:top w:val="nil"/>
            </w:tcBorders>
            <w:shd w:val="clear" w:color="auto" w:fill="auto"/>
            <w:vAlign w:val="center"/>
          </w:tcPr>
          <w:p w14:paraId="4055056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87 (50.0)</w:t>
            </w:r>
          </w:p>
        </w:tc>
        <w:tc>
          <w:tcPr>
            <w:tcW w:w="943" w:type="pct"/>
            <w:tcBorders>
              <w:top w:val="nil"/>
            </w:tcBorders>
            <w:vAlign w:val="center"/>
          </w:tcPr>
          <w:p w14:paraId="18BDF9B2"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1.29 (1.07, 1.55)</w:t>
            </w:r>
          </w:p>
        </w:tc>
        <w:tc>
          <w:tcPr>
            <w:tcW w:w="915" w:type="pct"/>
            <w:tcBorders>
              <w:top w:val="nil"/>
            </w:tcBorders>
            <w:vAlign w:val="center"/>
          </w:tcPr>
          <w:p w14:paraId="4B20E600"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0.14 (0.04, 0.25)</w:t>
            </w:r>
          </w:p>
        </w:tc>
      </w:tr>
      <w:tr w:rsidR="00E32002" w:rsidRPr="005D05BB" w14:paraId="742EC10E" w14:textId="77777777" w:rsidTr="00A33E85">
        <w:tc>
          <w:tcPr>
            <w:tcW w:w="1884" w:type="pct"/>
            <w:tcBorders>
              <w:bottom w:val="nil"/>
            </w:tcBorders>
          </w:tcPr>
          <w:p w14:paraId="35B68B8A" w14:textId="77777777" w:rsidR="00E32002" w:rsidRPr="005D05BB" w:rsidRDefault="00E32002" w:rsidP="008F456C">
            <w:pPr>
              <w:keepNext/>
              <w:rPr>
                <w:rFonts w:ascii="Arial Narrow" w:hAnsi="Arial Narrow"/>
                <w:b/>
                <w:sz w:val="20"/>
                <w:szCs w:val="20"/>
              </w:rPr>
            </w:pPr>
            <w:r w:rsidRPr="005D05BB">
              <w:rPr>
                <w:rFonts w:ascii="Arial Narrow" w:hAnsi="Arial Narrow"/>
                <w:b/>
                <w:sz w:val="20"/>
                <w:szCs w:val="20"/>
              </w:rPr>
              <w:t>ACR70 response</w:t>
            </w:r>
          </w:p>
        </w:tc>
        <w:tc>
          <w:tcPr>
            <w:tcW w:w="629" w:type="pct"/>
            <w:tcBorders>
              <w:bottom w:val="nil"/>
            </w:tcBorders>
            <w:shd w:val="clear" w:color="auto" w:fill="auto"/>
            <w:vAlign w:val="center"/>
          </w:tcPr>
          <w:p w14:paraId="371402ED" w14:textId="77777777" w:rsidR="00E32002" w:rsidRPr="005D05BB" w:rsidRDefault="00E32002" w:rsidP="008F456C">
            <w:pPr>
              <w:keepNext/>
              <w:jc w:val="center"/>
              <w:rPr>
                <w:rFonts w:ascii="Arial Narrow" w:hAnsi="Arial Narrow"/>
                <w:sz w:val="20"/>
                <w:szCs w:val="20"/>
              </w:rPr>
            </w:pPr>
          </w:p>
        </w:tc>
        <w:tc>
          <w:tcPr>
            <w:tcW w:w="629" w:type="pct"/>
            <w:tcBorders>
              <w:bottom w:val="nil"/>
            </w:tcBorders>
            <w:shd w:val="clear" w:color="auto" w:fill="auto"/>
            <w:vAlign w:val="center"/>
          </w:tcPr>
          <w:p w14:paraId="15C1171E" w14:textId="77777777" w:rsidR="00E32002" w:rsidRPr="005D05BB" w:rsidRDefault="00E32002" w:rsidP="008F456C">
            <w:pPr>
              <w:keepNext/>
              <w:jc w:val="center"/>
              <w:rPr>
                <w:rFonts w:ascii="Arial Narrow" w:hAnsi="Arial Narrow"/>
                <w:sz w:val="20"/>
                <w:szCs w:val="20"/>
              </w:rPr>
            </w:pPr>
          </w:p>
        </w:tc>
        <w:tc>
          <w:tcPr>
            <w:tcW w:w="943" w:type="pct"/>
            <w:tcBorders>
              <w:bottom w:val="nil"/>
            </w:tcBorders>
            <w:vAlign w:val="center"/>
          </w:tcPr>
          <w:p w14:paraId="2BA08549" w14:textId="77777777" w:rsidR="00E32002" w:rsidRPr="005D05BB" w:rsidRDefault="00E32002" w:rsidP="008F456C">
            <w:pPr>
              <w:keepNext/>
              <w:jc w:val="center"/>
              <w:rPr>
                <w:rFonts w:ascii="Arial Narrow" w:hAnsi="Arial Narrow"/>
                <w:sz w:val="20"/>
                <w:szCs w:val="20"/>
              </w:rPr>
            </w:pPr>
          </w:p>
        </w:tc>
        <w:tc>
          <w:tcPr>
            <w:tcW w:w="915" w:type="pct"/>
            <w:tcBorders>
              <w:bottom w:val="nil"/>
            </w:tcBorders>
            <w:vAlign w:val="center"/>
          </w:tcPr>
          <w:p w14:paraId="4825FB84" w14:textId="77777777" w:rsidR="00E32002" w:rsidRPr="005D05BB" w:rsidRDefault="00E32002" w:rsidP="008F456C">
            <w:pPr>
              <w:keepNext/>
              <w:jc w:val="center"/>
              <w:rPr>
                <w:rFonts w:ascii="Arial Narrow" w:hAnsi="Arial Narrow"/>
                <w:sz w:val="20"/>
                <w:szCs w:val="20"/>
              </w:rPr>
            </w:pPr>
          </w:p>
        </w:tc>
      </w:tr>
      <w:tr w:rsidR="00E32002" w:rsidRPr="005D05BB" w14:paraId="547BBBA2" w14:textId="77777777" w:rsidTr="00A33E85">
        <w:tc>
          <w:tcPr>
            <w:tcW w:w="1884" w:type="pct"/>
            <w:tcBorders>
              <w:top w:val="nil"/>
              <w:bottom w:val="nil"/>
            </w:tcBorders>
          </w:tcPr>
          <w:p w14:paraId="40B12894"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22</w:t>
            </w:r>
          </w:p>
        </w:tc>
        <w:tc>
          <w:tcPr>
            <w:tcW w:w="629" w:type="pct"/>
            <w:tcBorders>
              <w:top w:val="nil"/>
              <w:bottom w:val="nil"/>
            </w:tcBorders>
            <w:shd w:val="clear" w:color="auto" w:fill="auto"/>
            <w:vAlign w:val="center"/>
          </w:tcPr>
          <w:p w14:paraId="676E7E38"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46 (27.9)</w:t>
            </w:r>
          </w:p>
        </w:tc>
        <w:tc>
          <w:tcPr>
            <w:tcW w:w="629" w:type="pct"/>
            <w:tcBorders>
              <w:top w:val="nil"/>
              <w:bottom w:val="nil"/>
            </w:tcBorders>
            <w:shd w:val="clear" w:color="auto" w:fill="auto"/>
            <w:vAlign w:val="center"/>
          </w:tcPr>
          <w:p w14:paraId="14ED1CF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49 (28.2)</w:t>
            </w:r>
          </w:p>
        </w:tc>
        <w:tc>
          <w:tcPr>
            <w:tcW w:w="943" w:type="pct"/>
            <w:tcBorders>
              <w:top w:val="nil"/>
              <w:bottom w:val="nil"/>
            </w:tcBorders>
            <w:vAlign w:val="center"/>
          </w:tcPr>
          <w:p w14:paraId="677DC5F0"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0.99 (0.70, 1.39)</w:t>
            </w:r>
          </w:p>
        </w:tc>
        <w:tc>
          <w:tcPr>
            <w:tcW w:w="915" w:type="pct"/>
            <w:tcBorders>
              <w:top w:val="nil"/>
              <w:bottom w:val="nil"/>
            </w:tcBorders>
            <w:vAlign w:val="center"/>
          </w:tcPr>
          <w:p w14:paraId="5F1F7296"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-0.003 (-0.10, 0.09)</w:t>
            </w:r>
          </w:p>
        </w:tc>
      </w:tr>
      <w:tr w:rsidR="00E32002" w:rsidRPr="005D05BB" w14:paraId="45CBA8FC" w14:textId="77777777" w:rsidTr="00A33E85">
        <w:tc>
          <w:tcPr>
            <w:tcW w:w="1884" w:type="pct"/>
            <w:tcBorders>
              <w:top w:val="nil"/>
            </w:tcBorders>
          </w:tcPr>
          <w:p w14:paraId="29DA1935" w14:textId="77777777" w:rsidR="00E32002" w:rsidRPr="005D05BB" w:rsidRDefault="00E32002" w:rsidP="008F456C">
            <w:pPr>
              <w:keepNext/>
              <w:ind w:left="112"/>
              <w:rPr>
                <w:rFonts w:ascii="Arial Narrow" w:hAnsi="Arial Narrow"/>
                <w:sz w:val="20"/>
                <w:szCs w:val="20"/>
              </w:rPr>
            </w:pPr>
            <w:r w:rsidRPr="005D05BB">
              <w:rPr>
                <w:rFonts w:ascii="Arial Narrow" w:hAnsi="Arial Narrow"/>
                <w:sz w:val="20"/>
                <w:szCs w:val="20"/>
              </w:rPr>
              <w:t>n (%) Wk 30</w:t>
            </w:r>
          </w:p>
        </w:tc>
        <w:tc>
          <w:tcPr>
            <w:tcW w:w="629" w:type="pct"/>
            <w:tcBorders>
              <w:top w:val="nil"/>
            </w:tcBorders>
            <w:shd w:val="clear" w:color="auto" w:fill="auto"/>
            <w:vAlign w:val="center"/>
          </w:tcPr>
          <w:p w14:paraId="2F05DA8D"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68 (41.2)</w:t>
            </w:r>
          </w:p>
        </w:tc>
        <w:tc>
          <w:tcPr>
            <w:tcW w:w="629" w:type="pct"/>
            <w:tcBorders>
              <w:top w:val="nil"/>
            </w:tcBorders>
            <w:shd w:val="clear" w:color="auto" w:fill="auto"/>
            <w:vAlign w:val="center"/>
          </w:tcPr>
          <w:p w14:paraId="0E9E13F7" w14:textId="77777777" w:rsidR="00E32002" w:rsidRPr="005D05BB" w:rsidRDefault="00E32002" w:rsidP="008F456C">
            <w:pPr>
              <w:keepNext/>
              <w:jc w:val="center"/>
              <w:rPr>
                <w:rFonts w:ascii="Arial Narrow" w:hAnsi="Arial Narrow"/>
                <w:sz w:val="20"/>
                <w:szCs w:val="20"/>
              </w:rPr>
            </w:pPr>
            <w:r w:rsidRPr="005D05BB">
              <w:rPr>
                <w:rFonts w:ascii="Arial Narrow" w:hAnsi="Arial Narrow"/>
                <w:sz w:val="20"/>
                <w:szCs w:val="20"/>
              </w:rPr>
              <w:t>47 (27.0)</w:t>
            </w:r>
          </w:p>
        </w:tc>
        <w:tc>
          <w:tcPr>
            <w:tcW w:w="943" w:type="pct"/>
            <w:tcBorders>
              <w:top w:val="nil"/>
            </w:tcBorders>
            <w:vAlign w:val="center"/>
          </w:tcPr>
          <w:p w14:paraId="61709BCF"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1.53 (1.13, 2.07)</w:t>
            </w:r>
          </w:p>
        </w:tc>
        <w:tc>
          <w:tcPr>
            <w:tcW w:w="915" w:type="pct"/>
            <w:tcBorders>
              <w:top w:val="nil"/>
            </w:tcBorders>
            <w:vAlign w:val="center"/>
          </w:tcPr>
          <w:p w14:paraId="38162D11" w14:textId="77777777" w:rsidR="00E32002" w:rsidRPr="005D05BB" w:rsidRDefault="00E32002" w:rsidP="008F456C">
            <w:pPr>
              <w:keepNext/>
              <w:jc w:val="center"/>
              <w:rPr>
                <w:rFonts w:ascii="Arial Narrow" w:hAnsi="Arial Narrow"/>
                <w:b/>
                <w:sz w:val="20"/>
                <w:szCs w:val="20"/>
              </w:rPr>
            </w:pPr>
            <w:r w:rsidRPr="005D05BB">
              <w:rPr>
                <w:rFonts w:ascii="Arial Narrow" w:hAnsi="Arial Narrow"/>
                <w:b/>
                <w:sz w:val="20"/>
                <w:szCs w:val="20"/>
              </w:rPr>
              <w:t>0.14 (0.04, 0.24)</w:t>
            </w:r>
          </w:p>
        </w:tc>
      </w:tr>
    </w:tbl>
    <w:p w14:paraId="311EB426" w14:textId="77777777" w:rsidR="00E32002" w:rsidRPr="005D05BB" w:rsidRDefault="00E32002" w:rsidP="00E32002">
      <w:pPr>
        <w:rPr>
          <w:rFonts w:ascii="Arial Narrow" w:hAnsi="Arial Narrow"/>
          <w:sz w:val="18"/>
          <w:szCs w:val="18"/>
        </w:rPr>
      </w:pPr>
      <w:r w:rsidRPr="005D05BB">
        <w:rPr>
          <w:rFonts w:ascii="Arial Narrow" w:hAnsi="Arial Narrow"/>
          <w:sz w:val="18"/>
          <w:szCs w:val="18"/>
        </w:rPr>
        <w:t>Abbreviations: ACR20/50/70=American College of Rheumatology 20%/50%/70% response; CRP=C-reactive protein; DAS28=Disease Activity Score using 28 joint counts; ESR=erythrocyte sedimentation rate; IFX=infliximab; IV=intravenous; RA=rheumatoid arthritis; SC=subcutaneous; wk=week;</w:t>
      </w:r>
    </w:p>
    <w:p w14:paraId="01F1DF2A" w14:textId="77777777" w:rsidR="00E32002" w:rsidRPr="005D05BB" w:rsidRDefault="004D757E" w:rsidP="00E32002">
      <w:pPr>
        <w:tabs>
          <w:tab w:val="left" w:pos="142"/>
        </w:tabs>
        <w:ind w:left="140" w:hanging="140"/>
        <w:rPr>
          <w:rFonts w:ascii="Arial Narrow" w:hAnsi="Arial Narrow"/>
          <w:sz w:val="18"/>
          <w:szCs w:val="18"/>
        </w:rPr>
      </w:pPr>
      <w:r w:rsidRPr="004D757E">
        <w:rPr>
          <w:rFonts w:ascii="Arial Narrow" w:hAnsi="Arial Narrow"/>
          <w:sz w:val="18"/>
          <w:szCs w:val="18"/>
          <w:vertAlign w:val="superscript"/>
        </w:rPr>
        <w:t>a</w:t>
      </w:r>
      <w:r w:rsidR="00E32002" w:rsidRPr="005D05BB">
        <w:rPr>
          <w:rFonts w:ascii="Arial Narrow" w:hAnsi="Arial Narrow"/>
          <w:sz w:val="18"/>
          <w:szCs w:val="18"/>
        </w:rPr>
        <w:tab/>
        <w:t>Primary efficacy outcome defined as decrease from baseline and calculated as (DAS28 [CRP] at baseline – DAS28 [CRP] at Week 22)</w:t>
      </w:r>
      <w:r w:rsidR="005D05BB">
        <w:rPr>
          <w:rFonts w:ascii="Arial Narrow" w:hAnsi="Arial Narrow"/>
          <w:sz w:val="18"/>
          <w:szCs w:val="18"/>
        </w:rPr>
        <w:t xml:space="preserve">. </w:t>
      </w:r>
      <w:r w:rsidR="00E32002" w:rsidRPr="005D05BB">
        <w:rPr>
          <w:rFonts w:ascii="Arial Narrow" w:hAnsi="Arial Narrow"/>
          <w:sz w:val="18"/>
          <w:szCs w:val="18"/>
        </w:rPr>
        <w:t>An ANCOVA comparing the change (decrease) from baseline of DAS28 (CRP) at Week 22 between the two treatment arms, SC and IV, was conducted considering the treatment as fixed effect and country, Week 2 serum CRP concentration (≤0.6 mg/dL versus &gt;0.6 mg/dL), and Week 6 body weight (≤100 kg versus &gt;100 kg) as covariates</w:t>
      </w:r>
      <w:r w:rsidR="005D05BB">
        <w:rPr>
          <w:rFonts w:ascii="Arial Narrow" w:hAnsi="Arial Narrow"/>
          <w:sz w:val="18"/>
          <w:szCs w:val="18"/>
        </w:rPr>
        <w:t xml:space="preserve">. </w:t>
      </w:r>
      <w:r w:rsidR="00E32002" w:rsidRPr="005D05BB">
        <w:rPr>
          <w:rFonts w:ascii="Arial Narrow" w:hAnsi="Arial Narrow"/>
          <w:sz w:val="18"/>
          <w:szCs w:val="18"/>
        </w:rPr>
        <w:t>The LS means, SEs, estimate of treatment difference, and 95%CI from the ANCOVA is shown.</w:t>
      </w:r>
    </w:p>
    <w:p w14:paraId="370AFB11" w14:textId="77777777" w:rsidR="00E32002" w:rsidRPr="005D05BB" w:rsidRDefault="004D757E" w:rsidP="00E32002">
      <w:pPr>
        <w:tabs>
          <w:tab w:val="left" w:pos="142"/>
        </w:tabs>
        <w:ind w:left="140" w:hanging="140"/>
        <w:rPr>
          <w:rFonts w:ascii="Arial Narrow" w:hAnsi="Arial Narrow"/>
          <w:sz w:val="18"/>
          <w:szCs w:val="18"/>
        </w:rPr>
      </w:pPr>
      <w:r w:rsidRPr="004D757E">
        <w:rPr>
          <w:rFonts w:cs="Calibri"/>
          <w:sz w:val="18"/>
          <w:szCs w:val="18"/>
          <w:vertAlign w:val="superscript"/>
        </w:rPr>
        <w:t>b</w:t>
      </w:r>
      <w:r w:rsidR="00E32002" w:rsidRPr="005D05BB">
        <w:rPr>
          <w:rFonts w:ascii="Arial Narrow" w:hAnsi="Arial Narrow"/>
          <w:sz w:val="18"/>
          <w:szCs w:val="18"/>
        </w:rPr>
        <w:tab/>
        <w:t>The submission conducted post-hoc analyses using the proportion of patients with DAS28 (CRP) and DAS28 (ESR) remission (defined as a score &lt;2.6), low disease activity (≥2.6 to &lt;3.2) and remission plus low disease activity (Efficacy population; LOCF analysis).</w:t>
      </w:r>
    </w:p>
    <w:p w14:paraId="3B4E867B" w14:textId="77777777" w:rsidR="00E32002" w:rsidRPr="005D05BB" w:rsidRDefault="00E32002" w:rsidP="00E32002">
      <w:pPr>
        <w:tabs>
          <w:tab w:val="left" w:pos="142"/>
        </w:tabs>
        <w:rPr>
          <w:rFonts w:ascii="Arial Narrow" w:hAnsi="Arial Narrow"/>
          <w:sz w:val="18"/>
          <w:szCs w:val="18"/>
        </w:rPr>
      </w:pPr>
      <w:r w:rsidRPr="005D05BB">
        <w:rPr>
          <w:rFonts w:ascii="Arial Narrow" w:hAnsi="Arial Narrow"/>
          <w:sz w:val="18"/>
          <w:szCs w:val="18"/>
        </w:rPr>
        <w:t>Source: Tables 2.23 to 2.26, pp84-88 of the submission and Study 3.5 Part 2 CSR – ctp1335-body.</w:t>
      </w:r>
    </w:p>
    <w:p w14:paraId="4E89FC37" w14:textId="77777777" w:rsidR="00E32002" w:rsidRPr="005D05BB" w:rsidRDefault="00E32002" w:rsidP="00E32002">
      <w:pPr>
        <w:pStyle w:val="3-BodyText"/>
        <w:numPr>
          <w:ilvl w:val="0"/>
          <w:numId w:val="0"/>
        </w:numPr>
        <w:ind w:left="720" w:hanging="720"/>
        <w:rPr>
          <w:iCs/>
        </w:rPr>
      </w:pPr>
    </w:p>
    <w:p w14:paraId="1E9DBA86" w14:textId="77777777" w:rsidR="00E32002" w:rsidRPr="005D05BB" w:rsidRDefault="00E32002" w:rsidP="008062C7">
      <w:pPr>
        <w:pStyle w:val="3-BodyText"/>
      </w:pPr>
      <w:r w:rsidRPr="005D05BB">
        <w:t>The trial met the pre-specified non-inferiority margin for DAS28 (CRP) at Week 22</w:t>
      </w:r>
      <w:r w:rsidR="00FF70E1" w:rsidRPr="005D05BB">
        <w:t xml:space="preserve"> (</w:t>
      </w:r>
      <w:r w:rsidR="00993E4F" w:rsidRPr="005D05BB">
        <w:t>i.e.</w:t>
      </w:r>
      <w:r w:rsidR="00FF70E1" w:rsidRPr="005D05BB">
        <w:t xml:space="preserve">, </w:t>
      </w:r>
      <w:r w:rsidR="008A792C" w:rsidRPr="005D05BB">
        <w:rPr>
          <w:iCs/>
        </w:rPr>
        <w:t>lower limit of the two-sided 95% CI of 0.02</w:t>
      </w:r>
      <w:r w:rsidR="00FF70E1" w:rsidRPr="005D05BB">
        <w:t xml:space="preserve"> is within </w:t>
      </w:r>
      <w:r w:rsidR="00FF70E1" w:rsidRPr="005D05BB">
        <w:noBreakHyphen/>
        <w:t>0.6)</w:t>
      </w:r>
      <w:r w:rsidRPr="005D05BB">
        <w:t xml:space="preserve"> and results at Week 30 statistically favoured IFX SC</w:t>
      </w:r>
      <w:r w:rsidR="005D05BB">
        <w:t xml:space="preserve">. </w:t>
      </w:r>
      <w:r w:rsidRPr="005D05BB">
        <w:t>The difference in DAS28</w:t>
      </w:r>
      <w:r w:rsidR="00FF70E1" w:rsidRPr="005D05BB">
        <w:t xml:space="preserve"> </w:t>
      </w:r>
      <w:r w:rsidRPr="005D05BB">
        <w:t>(CRP) at Week 30</w:t>
      </w:r>
      <w:r w:rsidR="00FF70E1" w:rsidRPr="005D05BB">
        <w:t xml:space="preserve"> (-0.64)</w:t>
      </w:r>
      <w:r w:rsidRPr="005D05BB">
        <w:t xml:space="preserve"> was less than minimum clinically important difference</w:t>
      </w:r>
      <w:r w:rsidR="00FF70E1" w:rsidRPr="005D05BB">
        <w:t xml:space="preserve"> (MCID)</w:t>
      </w:r>
      <w:r w:rsidRPr="005D05BB">
        <w:t xml:space="preserve"> of -1.0 previously accepted by the PBAC (paragraph 6.22, infliximab (</w:t>
      </w:r>
      <w:r w:rsidR="00377E25" w:rsidRPr="005D05BB">
        <w:t>Inflectra</w:t>
      </w:r>
      <w:r w:rsidRPr="005D05BB">
        <w:t>) PSD July 2015 PBAC meeting)</w:t>
      </w:r>
      <w:r w:rsidR="005D05BB">
        <w:t xml:space="preserve">. </w:t>
      </w:r>
      <w:r w:rsidR="008062C7" w:rsidRPr="005D05BB">
        <w:t>The PSCR argued</w:t>
      </w:r>
      <w:r w:rsidR="0080265B" w:rsidRPr="005D05BB">
        <w:t xml:space="preserve"> </w:t>
      </w:r>
      <w:r w:rsidR="008062C7" w:rsidRPr="005D05BB">
        <w:t xml:space="preserve">that the result of the primary outcome DAS28 (CRP) in the RA trial of </w:t>
      </w:r>
      <w:r w:rsidR="008062C7" w:rsidRPr="005D05BB">
        <w:noBreakHyphen/>
        <w:t>0.64 (95% CI -0.93, -0.36; p&lt;0.0001) showed a moderate clinically important change</w:t>
      </w:r>
      <w:r w:rsidR="00933BF8" w:rsidRPr="005D05BB">
        <w:t>,</w:t>
      </w:r>
      <w:r w:rsidR="008062C7" w:rsidRPr="005D05BB">
        <w:t xml:space="preserve"> given the point estimate -0.64 was greater than the MCID of -0.6, (Fransen and van Riel 2009)</w:t>
      </w:r>
      <w:r w:rsidR="005D05BB">
        <w:t xml:space="preserve">. </w:t>
      </w:r>
      <w:r w:rsidR="005A6DA2" w:rsidRPr="005D05BB">
        <w:t xml:space="preserve">The ESC noted that </w:t>
      </w:r>
      <w:r w:rsidR="008062C7" w:rsidRPr="005D05BB">
        <w:t>the difference of -0.64 was less than the above mentioned MCID of -1.0 previously accepted by the PBAC, and the mean difference also may not be clinically important given the 95% CI limits of the difference were smaller than the clinically important change of approximately -1.0 for DAS28 (CRP).</w:t>
      </w:r>
      <w:r w:rsidR="00933BF8" w:rsidRPr="005D05BB">
        <w:t xml:space="preserve"> Figure 1 shows the </w:t>
      </w:r>
      <w:r w:rsidR="00933BF8" w:rsidRPr="005D05BB">
        <w:lastRenderedPageBreak/>
        <w:t>mean DAS28 (CRP) score over time, as presented in the submission, demonstrating that while there is a difference between IFX SC and IFX IV at Week 30, the 2 groups are aligned at time points before and after Week 30.</w:t>
      </w:r>
    </w:p>
    <w:p w14:paraId="240979C7" w14:textId="77777777" w:rsidR="00933BF8" w:rsidRPr="005D05BB" w:rsidRDefault="00F25DBD" w:rsidP="000F7DFF">
      <w:pPr>
        <w:pStyle w:val="3-BodyText"/>
        <w:numPr>
          <w:ilvl w:val="0"/>
          <w:numId w:val="0"/>
        </w:numPr>
        <w:spacing w:after="0"/>
        <w:rPr>
          <w:rFonts w:ascii="Arial Narrow" w:hAnsi="Arial Narrow"/>
          <w:b/>
          <w:sz w:val="20"/>
          <w:szCs w:val="20"/>
        </w:rPr>
      </w:pPr>
      <w:r w:rsidRPr="005D05BB">
        <w:rPr>
          <w:rFonts w:ascii="Arial Narrow" w:hAnsi="Arial Narrow"/>
          <w:b/>
          <w:sz w:val="20"/>
          <w:szCs w:val="20"/>
        </w:rPr>
        <w:t>Figure 1: Change in DAS28 (CRP) scores for patients with RA in Study 3.5 Part 2</w:t>
      </w:r>
    </w:p>
    <w:p w14:paraId="1A918BA1" w14:textId="77777777" w:rsidR="00F25DBD" w:rsidRPr="005D05BB" w:rsidRDefault="00F25DBD" w:rsidP="00F25DBD">
      <w:pPr>
        <w:pStyle w:val="3-BodyText"/>
        <w:numPr>
          <w:ilvl w:val="0"/>
          <w:numId w:val="0"/>
        </w:numPr>
        <w:spacing w:after="0"/>
        <w:rPr>
          <w:rFonts w:ascii="Arial Narrow" w:hAnsi="Arial Narrow"/>
          <w:b/>
          <w:sz w:val="20"/>
          <w:szCs w:val="20"/>
        </w:rPr>
      </w:pPr>
      <w:r w:rsidRPr="005D05BB">
        <w:rPr>
          <w:rFonts w:ascii="Arial Narrow" w:hAnsi="Arial Narrow"/>
          <w:b/>
          <w:noProof/>
          <w:sz w:val="20"/>
          <w:szCs w:val="20"/>
        </w:rPr>
        <w:drawing>
          <wp:inline distT="0" distB="0" distL="0" distR="0" wp14:anchorId="12A78EE3" wp14:editId="41214912">
            <wp:extent cx="4895850" cy="3028950"/>
            <wp:effectExtent l="19050" t="19050" r="19050" b="19050"/>
            <wp:docPr id="11" name="Picture 10" title="Figure 1: Change in DAS28 (CRP) scores for patients with RA in Study 3.5 Part 2">
              <a:extLst xmlns:a="http://schemas.openxmlformats.org/drawingml/2006/main">
                <a:ext uri="{FF2B5EF4-FFF2-40B4-BE49-F238E27FC236}">
                  <a16:creationId xmlns:a16="http://schemas.microsoft.com/office/drawing/2014/main" id="{09C01830-501C-4CD2-930D-B00D923B5B21}"/>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9C01830-501C-4CD2-930D-B00D923B5B21}"/>
                        </a:ext>
                      </a:extLst>
                    </pic:cNvPr>
                    <pic:cNvPicPr/>
                  </pic:nvPicPr>
                  <pic:blipFill>
                    <a:blip r:embed="rId8"/>
                    <a:stretch>
                      <a:fillRect/>
                    </a:stretch>
                  </pic:blipFill>
                  <pic:spPr>
                    <a:xfrm>
                      <a:off x="0" y="0"/>
                      <a:ext cx="4895850" cy="3028950"/>
                    </a:xfrm>
                    <a:prstGeom prst="rect">
                      <a:avLst/>
                    </a:prstGeom>
                    <a:ln>
                      <a:solidFill>
                        <a:schemeClr val="tx1"/>
                      </a:solidFill>
                    </a:ln>
                  </pic:spPr>
                </pic:pic>
              </a:graphicData>
            </a:graphic>
          </wp:inline>
        </w:drawing>
      </w:r>
    </w:p>
    <w:p w14:paraId="5CA66C23" w14:textId="77777777" w:rsidR="00F25DBD" w:rsidRPr="005D05BB" w:rsidRDefault="00F25DBD" w:rsidP="00F25DBD">
      <w:pPr>
        <w:pStyle w:val="3-BodyText"/>
        <w:numPr>
          <w:ilvl w:val="0"/>
          <w:numId w:val="0"/>
        </w:numPr>
        <w:rPr>
          <w:rFonts w:ascii="Arial Narrow" w:hAnsi="Arial Narrow"/>
          <w:sz w:val="18"/>
          <w:szCs w:val="18"/>
        </w:rPr>
      </w:pPr>
      <w:r w:rsidRPr="005D05BB">
        <w:rPr>
          <w:rFonts w:ascii="Arial Narrow" w:hAnsi="Arial Narrow"/>
          <w:sz w:val="18"/>
          <w:szCs w:val="18"/>
        </w:rPr>
        <w:t>Source: F</w:t>
      </w:r>
      <w:r w:rsidR="00D87E68" w:rsidRPr="005D05BB">
        <w:rPr>
          <w:rFonts w:ascii="Arial Narrow" w:hAnsi="Arial Narrow"/>
          <w:sz w:val="18"/>
          <w:szCs w:val="18"/>
        </w:rPr>
        <w:t>igure 2.5</w:t>
      </w:r>
      <w:r w:rsidRPr="005D05BB">
        <w:rPr>
          <w:rFonts w:ascii="Arial Narrow" w:hAnsi="Arial Narrow"/>
          <w:sz w:val="18"/>
          <w:szCs w:val="18"/>
        </w:rPr>
        <w:t xml:space="preserve">, </w:t>
      </w:r>
      <w:r w:rsidR="00D87E68" w:rsidRPr="005D05BB">
        <w:rPr>
          <w:rFonts w:ascii="Arial Narrow" w:hAnsi="Arial Narrow"/>
          <w:sz w:val="18"/>
          <w:szCs w:val="18"/>
        </w:rPr>
        <w:t>p86</w:t>
      </w:r>
      <w:r w:rsidRPr="005D05BB">
        <w:rPr>
          <w:rFonts w:ascii="Arial Narrow" w:hAnsi="Arial Narrow"/>
          <w:sz w:val="18"/>
          <w:szCs w:val="18"/>
        </w:rPr>
        <w:t xml:space="preserve"> of the submission.</w:t>
      </w:r>
    </w:p>
    <w:p w14:paraId="778F73F2" w14:textId="77777777" w:rsidR="00F25DBD" w:rsidRPr="005D05BB" w:rsidRDefault="00F25DBD" w:rsidP="00F25DBD">
      <w:pPr>
        <w:pStyle w:val="3-BodyText"/>
        <w:numPr>
          <w:ilvl w:val="0"/>
          <w:numId w:val="0"/>
        </w:numPr>
        <w:spacing w:after="0"/>
        <w:rPr>
          <w:rFonts w:ascii="Arial Narrow" w:hAnsi="Arial Narrow"/>
          <w:i/>
          <w:sz w:val="18"/>
          <w:szCs w:val="18"/>
        </w:rPr>
      </w:pPr>
    </w:p>
    <w:p w14:paraId="55600712" w14:textId="77777777" w:rsidR="00E32002" w:rsidRPr="005D05BB" w:rsidRDefault="00E32002" w:rsidP="00E32002">
      <w:pPr>
        <w:pStyle w:val="3-BodyText"/>
      </w:pPr>
      <w:r w:rsidRPr="005D05BB">
        <w:t>A similar trend was observed for ACR (20/50/70) response, with no difference observed at Week 22 but results at Week 30 statistically favouring IF</w:t>
      </w:r>
      <w:r w:rsidR="007701C2" w:rsidRPr="005D05BB">
        <w:t>X</w:t>
      </w:r>
      <w:r w:rsidRPr="005D05BB">
        <w:t xml:space="preserve"> SC</w:t>
      </w:r>
      <w:r w:rsidR="005D05BB">
        <w:t xml:space="preserve">. </w:t>
      </w:r>
      <w:r w:rsidRPr="005D05BB">
        <w:rPr>
          <w:iCs/>
        </w:rPr>
        <w:t xml:space="preserve">As described above, interpretation of these secondary outcomes is problematic and there is no </w:t>
      </w:r>
      <w:r w:rsidR="00FF70E1" w:rsidRPr="005D05BB">
        <w:rPr>
          <w:iCs/>
        </w:rPr>
        <w:t>MCID</w:t>
      </w:r>
      <w:r w:rsidRPr="005D05BB">
        <w:rPr>
          <w:iCs/>
        </w:rPr>
        <w:t xml:space="preserve"> because each outcome by definition </w:t>
      </w:r>
      <w:r w:rsidR="000909C0">
        <w:rPr>
          <w:iCs/>
        </w:rPr>
        <w:t>represents</w:t>
      </w:r>
      <w:r w:rsidR="000909C0" w:rsidRPr="005D05BB">
        <w:rPr>
          <w:iCs/>
        </w:rPr>
        <w:t xml:space="preserve"> </w:t>
      </w:r>
      <w:r w:rsidRPr="005D05BB">
        <w:rPr>
          <w:iCs/>
        </w:rPr>
        <w:t>a different level of response</w:t>
      </w:r>
      <w:r w:rsidR="005D05BB">
        <w:rPr>
          <w:iCs/>
        </w:rPr>
        <w:t xml:space="preserve">. </w:t>
      </w:r>
    </w:p>
    <w:p w14:paraId="5FFC16A1" w14:textId="77777777" w:rsidR="00E32002" w:rsidRPr="005D05BB" w:rsidRDefault="00E32002" w:rsidP="00E32002">
      <w:pPr>
        <w:spacing w:after="240"/>
        <w:rPr>
          <w:u w:val="single"/>
        </w:rPr>
      </w:pPr>
      <w:r w:rsidRPr="005D05BB">
        <w:rPr>
          <w:u w:val="single"/>
        </w:rPr>
        <w:t>Comparative effectiveness of IFX SC versus IFX IV for CD and UC</w:t>
      </w:r>
    </w:p>
    <w:p w14:paraId="64FCF734" w14:textId="77777777" w:rsidR="00E32002" w:rsidRPr="005D05BB" w:rsidRDefault="00E32002" w:rsidP="00E32002">
      <w:pPr>
        <w:pStyle w:val="3-BodyText"/>
      </w:pPr>
      <w:r w:rsidRPr="005D05BB">
        <w:t>Table 6 summarises efficacy results from Study 1.6 Part 2.</w:t>
      </w:r>
    </w:p>
    <w:p w14:paraId="57A46220" w14:textId="77777777" w:rsidR="00E32002" w:rsidRPr="005D05BB" w:rsidRDefault="00E32002" w:rsidP="00BB6698">
      <w:pPr>
        <w:keepNext/>
        <w:keepLines/>
        <w:rPr>
          <w:rFonts w:ascii="Arial Narrow" w:hAnsi="Arial Narrow"/>
          <w:b/>
          <w:sz w:val="20"/>
          <w:szCs w:val="20"/>
        </w:rPr>
      </w:pPr>
      <w:r w:rsidRPr="005D05BB">
        <w:rPr>
          <w:rFonts w:ascii="Arial Narrow" w:hAnsi="Arial Narrow"/>
          <w:b/>
          <w:sz w:val="20"/>
          <w:szCs w:val="20"/>
        </w:rPr>
        <w:lastRenderedPageBreak/>
        <w:t>Table 6: Results of clinical response and clinical remission for CD (in terms of CDAI) and UC (in terms of total and partial Mayo) for IFX SC vs IFX IV from Study 1.6 Part 2.</w:t>
      </w:r>
    </w:p>
    <w:tbl>
      <w:tblPr>
        <w:tblStyle w:val="TableGrid"/>
        <w:tblW w:w="5000" w:type="pct"/>
        <w:tblCellMar>
          <w:left w:w="28" w:type="dxa"/>
          <w:right w:w="28" w:type="dxa"/>
        </w:tblCellMar>
        <w:tblLook w:val="04A0" w:firstRow="1" w:lastRow="0" w:firstColumn="1" w:lastColumn="0" w:noHBand="0" w:noVBand="1"/>
        <w:tblCaption w:val="Table 6: Results of clinical response and clinical remission for CD (in terms of CDAI) and UC (in terms of total and partial Mayo) for IFX SC vs IFX IV from Study 1.6 Part 2."/>
      </w:tblPr>
      <w:tblGrid>
        <w:gridCol w:w="2831"/>
        <w:gridCol w:w="1417"/>
        <w:gridCol w:w="1417"/>
        <w:gridCol w:w="1720"/>
        <w:gridCol w:w="1632"/>
      </w:tblGrid>
      <w:tr w:rsidR="00E32002" w:rsidRPr="005D05BB" w14:paraId="6B675673" w14:textId="77777777" w:rsidTr="001A2685">
        <w:trPr>
          <w:tblHeader/>
        </w:trPr>
        <w:tc>
          <w:tcPr>
            <w:tcW w:w="1569" w:type="pct"/>
          </w:tcPr>
          <w:p w14:paraId="58555677" w14:textId="77777777" w:rsidR="00E32002" w:rsidRPr="005D05BB" w:rsidRDefault="00E32002" w:rsidP="00BB6698">
            <w:pPr>
              <w:keepNext/>
              <w:keepLines/>
              <w:rPr>
                <w:rFonts w:ascii="Arial Narrow" w:hAnsi="Arial Narrow"/>
                <w:b/>
                <w:sz w:val="20"/>
                <w:szCs w:val="20"/>
              </w:rPr>
            </w:pPr>
            <w:r w:rsidRPr="005D05BB">
              <w:rPr>
                <w:rFonts w:ascii="Arial Narrow" w:hAnsi="Arial Narrow"/>
                <w:b/>
                <w:sz w:val="20"/>
                <w:szCs w:val="20"/>
              </w:rPr>
              <w:t>Outcome</w:t>
            </w:r>
          </w:p>
        </w:tc>
        <w:tc>
          <w:tcPr>
            <w:tcW w:w="786" w:type="pct"/>
            <w:vAlign w:val="center"/>
          </w:tcPr>
          <w:p w14:paraId="5CE30233" w14:textId="77777777" w:rsidR="00E32002" w:rsidRPr="005D05BB" w:rsidRDefault="00E32002" w:rsidP="005C1FF3">
            <w:pPr>
              <w:keepNext/>
              <w:keepLines/>
              <w:jc w:val="center"/>
              <w:rPr>
                <w:rFonts w:ascii="Arial Narrow" w:hAnsi="Arial Narrow"/>
                <w:b/>
                <w:sz w:val="20"/>
                <w:szCs w:val="20"/>
              </w:rPr>
            </w:pPr>
            <w:r w:rsidRPr="005D05BB">
              <w:rPr>
                <w:rFonts w:ascii="Arial Narrow" w:hAnsi="Arial Narrow"/>
                <w:b/>
                <w:sz w:val="20"/>
                <w:szCs w:val="20"/>
              </w:rPr>
              <w:t>IFX SC</w:t>
            </w:r>
            <w:r w:rsidR="005C1FF3" w:rsidRPr="005C1FF3">
              <w:rPr>
                <w:rFonts w:ascii="Arial Narrow" w:hAnsi="Arial Narrow"/>
                <w:b/>
                <w:sz w:val="20"/>
                <w:szCs w:val="20"/>
                <w:vertAlign w:val="superscript"/>
              </w:rPr>
              <w:t>a</w:t>
            </w:r>
          </w:p>
        </w:tc>
        <w:tc>
          <w:tcPr>
            <w:tcW w:w="786" w:type="pct"/>
            <w:vAlign w:val="center"/>
          </w:tcPr>
          <w:p w14:paraId="0BD838BF"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IFX IV</w:t>
            </w:r>
          </w:p>
        </w:tc>
        <w:tc>
          <w:tcPr>
            <w:tcW w:w="954" w:type="pct"/>
            <w:vAlign w:val="center"/>
          </w:tcPr>
          <w:p w14:paraId="01059F2E"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RR (95%CI)</w:t>
            </w:r>
          </w:p>
        </w:tc>
        <w:tc>
          <w:tcPr>
            <w:tcW w:w="905" w:type="pct"/>
          </w:tcPr>
          <w:p w14:paraId="4FB84622"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RD (95%CI)</w:t>
            </w:r>
          </w:p>
        </w:tc>
      </w:tr>
      <w:tr w:rsidR="00E32002" w:rsidRPr="005D05BB" w14:paraId="2CC77616" w14:textId="77777777" w:rsidTr="00A33E85">
        <w:tc>
          <w:tcPr>
            <w:tcW w:w="1569" w:type="pct"/>
          </w:tcPr>
          <w:p w14:paraId="766C65BF" w14:textId="77777777" w:rsidR="00E32002" w:rsidRPr="005D05BB" w:rsidRDefault="00E32002" w:rsidP="00BB6698">
            <w:pPr>
              <w:keepNext/>
              <w:keepLines/>
              <w:rPr>
                <w:rFonts w:ascii="Arial Narrow" w:hAnsi="Arial Narrow"/>
                <w:b/>
                <w:sz w:val="20"/>
                <w:szCs w:val="20"/>
              </w:rPr>
            </w:pPr>
            <w:r w:rsidRPr="005D05BB">
              <w:rPr>
                <w:rFonts w:ascii="Arial Narrow" w:hAnsi="Arial Narrow"/>
                <w:b/>
                <w:sz w:val="20"/>
                <w:szCs w:val="20"/>
              </w:rPr>
              <w:t>CD efficacy population</w:t>
            </w:r>
          </w:p>
        </w:tc>
        <w:tc>
          <w:tcPr>
            <w:tcW w:w="786" w:type="pct"/>
            <w:vAlign w:val="center"/>
          </w:tcPr>
          <w:p w14:paraId="378846D9"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N=28</w:t>
            </w:r>
          </w:p>
        </w:tc>
        <w:tc>
          <w:tcPr>
            <w:tcW w:w="786" w:type="pct"/>
            <w:vAlign w:val="center"/>
          </w:tcPr>
          <w:p w14:paraId="0212D36B"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N=25</w:t>
            </w:r>
          </w:p>
        </w:tc>
        <w:tc>
          <w:tcPr>
            <w:tcW w:w="1859" w:type="pct"/>
            <w:gridSpan w:val="2"/>
            <w:vAlign w:val="center"/>
          </w:tcPr>
          <w:p w14:paraId="27456885" w14:textId="77777777" w:rsidR="00E32002" w:rsidRPr="005D05BB" w:rsidRDefault="00E32002" w:rsidP="00BB6698">
            <w:pPr>
              <w:keepNext/>
              <w:keepLines/>
              <w:jc w:val="center"/>
              <w:rPr>
                <w:rFonts w:ascii="Arial Narrow" w:hAnsi="Arial Narrow"/>
                <w:b/>
                <w:sz w:val="20"/>
                <w:szCs w:val="20"/>
              </w:rPr>
            </w:pPr>
          </w:p>
        </w:tc>
      </w:tr>
      <w:tr w:rsidR="00E32002" w:rsidRPr="005D05BB" w14:paraId="77A5A2AD" w14:textId="77777777" w:rsidTr="00A33E85">
        <w:tc>
          <w:tcPr>
            <w:tcW w:w="1569" w:type="pct"/>
            <w:tcBorders>
              <w:bottom w:val="nil"/>
            </w:tcBorders>
          </w:tcPr>
          <w:p w14:paraId="7B09E435"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CDAI-70 response</w:t>
            </w:r>
            <w:r w:rsidR="005C1FF3">
              <w:rPr>
                <w:rFonts w:cs="Calibri"/>
                <w:b/>
                <w:sz w:val="20"/>
                <w:szCs w:val="20"/>
                <w:vertAlign w:val="superscript"/>
              </w:rPr>
              <w:t>b</w:t>
            </w:r>
          </w:p>
        </w:tc>
        <w:tc>
          <w:tcPr>
            <w:tcW w:w="786" w:type="pct"/>
            <w:tcBorders>
              <w:bottom w:val="nil"/>
            </w:tcBorders>
            <w:vAlign w:val="center"/>
          </w:tcPr>
          <w:p w14:paraId="4584CAA0"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125E4241"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45208131"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tcPr>
          <w:p w14:paraId="0B091CE1" w14:textId="77777777" w:rsidR="00E32002" w:rsidRPr="005D05BB" w:rsidRDefault="00E32002" w:rsidP="00BB6698">
            <w:pPr>
              <w:keepNext/>
              <w:keepLines/>
              <w:jc w:val="center"/>
              <w:rPr>
                <w:rFonts w:ascii="Arial Narrow" w:hAnsi="Arial Narrow"/>
                <w:sz w:val="20"/>
                <w:szCs w:val="20"/>
              </w:rPr>
            </w:pPr>
          </w:p>
        </w:tc>
      </w:tr>
      <w:tr w:rsidR="00E32002" w:rsidRPr="005D05BB" w14:paraId="5F762B9E" w14:textId="77777777" w:rsidTr="00A33E85">
        <w:tc>
          <w:tcPr>
            <w:tcW w:w="1569" w:type="pct"/>
            <w:tcBorders>
              <w:top w:val="nil"/>
              <w:bottom w:val="nil"/>
            </w:tcBorders>
          </w:tcPr>
          <w:p w14:paraId="285EB6DE"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22</w:t>
            </w:r>
          </w:p>
        </w:tc>
        <w:tc>
          <w:tcPr>
            <w:tcW w:w="786" w:type="pct"/>
            <w:tcBorders>
              <w:top w:val="nil"/>
              <w:bottom w:val="nil"/>
            </w:tcBorders>
            <w:vAlign w:val="center"/>
          </w:tcPr>
          <w:p w14:paraId="549A2B67"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22 (78.6)</w:t>
            </w:r>
          </w:p>
        </w:tc>
        <w:tc>
          <w:tcPr>
            <w:tcW w:w="786" w:type="pct"/>
            <w:tcBorders>
              <w:top w:val="nil"/>
              <w:bottom w:val="nil"/>
            </w:tcBorders>
            <w:vAlign w:val="center"/>
          </w:tcPr>
          <w:p w14:paraId="397FF692"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21 (84.0)</w:t>
            </w:r>
          </w:p>
        </w:tc>
        <w:tc>
          <w:tcPr>
            <w:tcW w:w="954" w:type="pct"/>
            <w:tcBorders>
              <w:top w:val="nil"/>
              <w:bottom w:val="nil"/>
            </w:tcBorders>
            <w:vAlign w:val="center"/>
          </w:tcPr>
          <w:p w14:paraId="7D2304F2"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0.94 (0.72, 1.21)</w:t>
            </w:r>
          </w:p>
        </w:tc>
        <w:tc>
          <w:tcPr>
            <w:tcW w:w="905" w:type="pct"/>
            <w:tcBorders>
              <w:top w:val="nil"/>
              <w:bottom w:val="nil"/>
            </w:tcBorders>
            <w:vAlign w:val="center"/>
          </w:tcPr>
          <w:p w14:paraId="4381A3D0"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-0.05 (-0.26, 0.15)</w:t>
            </w:r>
          </w:p>
        </w:tc>
      </w:tr>
      <w:tr w:rsidR="00E32002" w:rsidRPr="005D05BB" w14:paraId="52CD7BB4" w14:textId="77777777" w:rsidTr="00A33E85">
        <w:tc>
          <w:tcPr>
            <w:tcW w:w="1569" w:type="pct"/>
            <w:tcBorders>
              <w:top w:val="nil"/>
            </w:tcBorders>
          </w:tcPr>
          <w:p w14:paraId="53742A0F"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30</w:t>
            </w:r>
          </w:p>
        </w:tc>
        <w:tc>
          <w:tcPr>
            <w:tcW w:w="786" w:type="pct"/>
            <w:tcBorders>
              <w:top w:val="nil"/>
            </w:tcBorders>
            <w:vAlign w:val="center"/>
          </w:tcPr>
          <w:p w14:paraId="2A7E5D3D"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19 (67.9)</w:t>
            </w:r>
          </w:p>
        </w:tc>
        <w:tc>
          <w:tcPr>
            <w:tcW w:w="786" w:type="pct"/>
            <w:tcBorders>
              <w:top w:val="nil"/>
            </w:tcBorders>
            <w:vAlign w:val="center"/>
          </w:tcPr>
          <w:p w14:paraId="4CCBB431"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17 (68.0)</w:t>
            </w:r>
          </w:p>
        </w:tc>
        <w:tc>
          <w:tcPr>
            <w:tcW w:w="954" w:type="pct"/>
            <w:tcBorders>
              <w:top w:val="nil"/>
            </w:tcBorders>
            <w:vAlign w:val="center"/>
          </w:tcPr>
          <w:p w14:paraId="3DCC9D22"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1.00 (0.69, 1.44)</w:t>
            </w:r>
          </w:p>
        </w:tc>
        <w:tc>
          <w:tcPr>
            <w:tcW w:w="905" w:type="pct"/>
            <w:tcBorders>
              <w:top w:val="nil"/>
            </w:tcBorders>
            <w:vAlign w:val="center"/>
          </w:tcPr>
          <w:p w14:paraId="6DB4F951"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-0.00 (-0.25, 0.25)</w:t>
            </w:r>
          </w:p>
        </w:tc>
      </w:tr>
      <w:tr w:rsidR="00E32002" w:rsidRPr="005D05BB" w14:paraId="18AB4755" w14:textId="77777777" w:rsidTr="00A33E85">
        <w:tc>
          <w:tcPr>
            <w:tcW w:w="1569" w:type="pct"/>
            <w:tcBorders>
              <w:bottom w:val="nil"/>
            </w:tcBorders>
          </w:tcPr>
          <w:p w14:paraId="300F9C28"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CDAI-100 response</w:t>
            </w:r>
            <w:r w:rsidR="005C1FF3">
              <w:rPr>
                <w:rFonts w:cs="Calibri"/>
                <w:b/>
                <w:sz w:val="20"/>
                <w:szCs w:val="20"/>
                <w:vertAlign w:val="superscript"/>
              </w:rPr>
              <w:t>c</w:t>
            </w:r>
          </w:p>
        </w:tc>
        <w:tc>
          <w:tcPr>
            <w:tcW w:w="786" w:type="pct"/>
            <w:tcBorders>
              <w:bottom w:val="nil"/>
            </w:tcBorders>
            <w:vAlign w:val="center"/>
          </w:tcPr>
          <w:p w14:paraId="61E6765B"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61577A5E"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73FE44E8"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vAlign w:val="center"/>
          </w:tcPr>
          <w:p w14:paraId="7CA67389" w14:textId="77777777" w:rsidR="00E32002" w:rsidRPr="005D05BB" w:rsidRDefault="00E32002" w:rsidP="00BB6698">
            <w:pPr>
              <w:keepNext/>
              <w:keepLines/>
              <w:jc w:val="center"/>
              <w:rPr>
                <w:rFonts w:ascii="Arial Narrow" w:hAnsi="Arial Narrow"/>
                <w:sz w:val="20"/>
                <w:szCs w:val="20"/>
              </w:rPr>
            </w:pPr>
          </w:p>
        </w:tc>
      </w:tr>
      <w:tr w:rsidR="00E32002" w:rsidRPr="005D05BB" w14:paraId="7636C1B6" w14:textId="77777777" w:rsidTr="00A33E85">
        <w:tc>
          <w:tcPr>
            <w:tcW w:w="1569" w:type="pct"/>
            <w:tcBorders>
              <w:top w:val="nil"/>
              <w:bottom w:val="nil"/>
            </w:tcBorders>
          </w:tcPr>
          <w:p w14:paraId="7DDC4564"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22</w:t>
            </w:r>
          </w:p>
        </w:tc>
        <w:tc>
          <w:tcPr>
            <w:tcW w:w="786" w:type="pct"/>
            <w:tcBorders>
              <w:top w:val="nil"/>
              <w:bottom w:val="nil"/>
            </w:tcBorders>
            <w:vAlign w:val="center"/>
          </w:tcPr>
          <w:p w14:paraId="065F1268"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21 (75.0)</w:t>
            </w:r>
          </w:p>
        </w:tc>
        <w:tc>
          <w:tcPr>
            <w:tcW w:w="786" w:type="pct"/>
            <w:tcBorders>
              <w:top w:val="nil"/>
              <w:bottom w:val="nil"/>
            </w:tcBorders>
            <w:vAlign w:val="center"/>
          </w:tcPr>
          <w:p w14:paraId="0851C3AD"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20 (80.0)</w:t>
            </w:r>
          </w:p>
        </w:tc>
        <w:tc>
          <w:tcPr>
            <w:tcW w:w="954" w:type="pct"/>
            <w:tcBorders>
              <w:top w:val="nil"/>
              <w:bottom w:val="nil"/>
            </w:tcBorders>
            <w:vAlign w:val="center"/>
          </w:tcPr>
          <w:p w14:paraId="43CC778C"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0.94 (0.70, 1.25)</w:t>
            </w:r>
          </w:p>
        </w:tc>
        <w:tc>
          <w:tcPr>
            <w:tcW w:w="905" w:type="pct"/>
            <w:tcBorders>
              <w:top w:val="nil"/>
              <w:bottom w:val="nil"/>
            </w:tcBorders>
            <w:vAlign w:val="center"/>
          </w:tcPr>
          <w:p w14:paraId="16131C70"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-0.05 (-0.27, 0.17)</w:t>
            </w:r>
          </w:p>
        </w:tc>
      </w:tr>
      <w:tr w:rsidR="00E32002" w:rsidRPr="005D05BB" w14:paraId="6EE26062" w14:textId="77777777" w:rsidTr="00A33E85">
        <w:tc>
          <w:tcPr>
            <w:tcW w:w="1569" w:type="pct"/>
            <w:tcBorders>
              <w:top w:val="nil"/>
            </w:tcBorders>
          </w:tcPr>
          <w:p w14:paraId="2DB258D5"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30</w:t>
            </w:r>
          </w:p>
        </w:tc>
        <w:tc>
          <w:tcPr>
            <w:tcW w:w="786" w:type="pct"/>
            <w:tcBorders>
              <w:top w:val="nil"/>
            </w:tcBorders>
            <w:vAlign w:val="center"/>
          </w:tcPr>
          <w:p w14:paraId="2E06A4A5"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19 (67.9)</w:t>
            </w:r>
          </w:p>
        </w:tc>
        <w:tc>
          <w:tcPr>
            <w:tcW w:w="786" w:type="pct"/>
            <w:tcBorders>
              <w:top w:val="nil"/>
            </w:tcBorders>
            <w:vAlign w:val="center"/>
          </w:tcPr>
          <w:p w14:paraId="4FE7096F"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16 (64.0)</w:t>
            </w:r>
          </w:p>
        </w:tc>
        <w:tc>
          <w:tcPr>
            <w:tcW w:w="954" w:type="pct"/>
            <w:tcBorders>
              <w:top w:val="nil"/>
            </w:tcBorders>
            <w:vAlign w:val="center"/>
          </w:tcPr>
          <w:p w14:paraId="6D61C9B4"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1.06 (0.72, 1.56)</w:t>
            </w:r>
          </w:p>
        </w:tc>
        <w:tc>
          <w:tcPr>
            <w:tcW w:w="905" w:type="pct"/>
            <w:tcBorders>
              <w:top w:val="nil"/>
            </w:tcBorders>
            <w:vAlign w:val="center"/>
          </w:tcPr>
          <w:p w14:paraId="5B83EB2F"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0.04 (-0.22, 0.29)</w:t>
            </w:r>
          </w:p>
        </w:tc>
      </w:tr>
      <w:tr w:rsidR="00E32002" w:rsidRPr="005D05BB" w14:paraId="5B0703BB" w14:textId="77777777" w:rsidTr="00A33E85">
        <w:tc>
          <w:tcPr>
            <w:tcW w:w="1569" w:type="pct"/>
            <w:tcBorders>
              <w:bottom w:val="nil"/>
            </w:tcBorders>
          </w:tcPr>
          <w:p w14:paraId="7D988888"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CDAI remission</w:t>
            </w:r>
            <w:r w:rsidR="005C1FF3">
              <w:rPr>
                <w:rFonts w:ascii="Arial Narrow" w:hAnsi="Arial Narrow"/>
                <w:b/>
                <w:sz w:val="20"/>
                <w:szCs w:val="20"/>
                <w:vertAlign w:val="superscript"/>
              </w:rPr>
              <w:t>d</w:t>
            </w:r>
          </w:p>
        </w:tc>
        <w:tc>
          <w:tcPr>
            <w:tcW w:w="786" w:type="pct"/>
            <w:tcBorders>
              <w:bottom w:val="nil"/>
            </w:tcBorders>
            <w:vAlign w:val="center"/>
          </w:tcPr>
          <w:p w14:paraId="5FBAD033"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1CD22C0A"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45F04A9B"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vAlign w:val="center"/>
          </w:tcPr>
          <w:p w14:paraId="2E6B0762" w14:textId="77777777" w:rsidR="00E32002" w:rsidRPr="005D05BB" w:rsidRDefault="00E32002" w:rsidP="00BB6698">
            <w:pPr>
              <w:keepNext/>
              <w:keepLines/>
              <w:jc w:val="center"/>
              <w:rPr>
                <w:rFonts w:ascii="Arial Narrow" w:hAnsi="Arial Narrow"/>
                <w:sz w:val="20"/>
                <w:szCs w:val="20"/>
              </w:rPr>
            </w:pPr>
          </w:p>
        </w:tc>
      </w:tr>
      <w:tr w:rsidR="00E32002" w:rsidRPr="005D05BB" w14:paraId="320ABE99" w14:textId="77777777" w:rsidTr="00A33E85">
        <w:tc>
          <w:tcPr>
            <w:tcW w:w="1569" w:type="pct"/>
            <w:tcBorders>
              <w:top w:val="nil"/>
              <w:bottom w:val="nil"/>
            </w:tcBorders>
          </w:tcPr>
          <w:p w14:paraId="37270190"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22</w:t>
            </w:r>
          </w:p>
        </w:tc>
        <w:tc>
          <w:tcPr>
            <w:tcW w:w="786" w:type="pct"/>
            <w:tcBorders>
              <w:top w:val="nil"/>
              <w:bottom w:val="nil"/>
            </w:tcBorders>
            <w:vAlign w:val="center"/>
          </w:tcPr>
          <w:p w14:paraId="6E73C8FA"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17 (60.7)</w:t>
            </w:r>
          </w:p>
        </w:tc>
        <w:tc>
          <w:tcPr>
            <w:tcW w:w="786" w:type="pct"/>
            <w:tcBorders>
              <w:top w:val="nil"/>
              <w:bottom w:val="nil"/>
            </w:tcBorders>
            <w:vAlign w:val="center"/>
          </w:tcPr>
          <w:p w14:paraId="6AF20C97"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15 (60.0)</w:t>
            </w:r>
          </w:p>
        </w:tc>
        <w:tc>
          <w:tcPr>
            <w:tcW w:w="954" w:type="pct"/>
            <w:tcBorders>
              <w:top w:val="nil"/>
              <w:bottom w:val="nil"/>
            </w:tcBorders>
            <w:vAlign w:val="center"/>
          </w:tcPr>
          <w:p w14:paraId="62D9DABD"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1.01 (0.65, 1.57)</w:t>
            </w:r>
          </w:p>
        </w:tc>
        <w:tc>
          <w:tcPr>
            <w:tcW w:w="905" w:type="pct"/>
            <w:tcBorders>
              <w:top w:val="nil"/>
              <w:bottom w:val="nil"/>
            </w:tcBorders>
            <w:vAlign w:val="center"/>
          </w:tcPr>
          <w:p w14:paraId="5AA9756D"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0.01 (-0.26, 0.27)</w:t>
            </w:r>
          </w:p>
        </w:tc>
      </w:tr>
      <w:tr w:rsidR="00E32002" w:rsidRPr="005D05BB" w14:paraId="06BB2074" w14:textId="77777777" w:rsidTr="00A33E85">
        <w:tc>
          <w:tcPr>
            <w:tcW w:w="1569" w:type="pct"/>
            <w:tcBorders>
              <w:top w:val="nil"/>
            </w:tcBorders>
          </w:tcPr>
          <w:p w14:paraId="613ED1EA"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Wk 30</w:t>
            </w:r>
          </w:p>
        </w:tc>
        <w:tc>
          <w:tcPr>
            <w:tcW w:w="786" w:type="pct"/>
            <w:tcBorders>
              <w:top w:val="nil"/>
            </w:tcBorders>
            <w:vAlign w:val="center"/>
          </w:tcPr>
          <w:p w14:paraId="4207F226"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18 (64.3)</w:t>
            </w:r>
          </w:p>
        </w:tc>
        <w:tc>
          <w:tcPr>
            <w:tcW w:w="786" w:type="pct"/>
            <w:tcBorders>
              <w:top w:val="nil"/>
            </w:tcBorders>
            <w:vAlign w:val="center"/>
          </w:tcPr>
          <w:p w14:paraId="45E1641C"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color w:val="161516"/>
                <w:w w:val="105"/>
                <w:sz w:val="20"/>
                <w:szCs w:val="20"/>
              </w:rPr>
              <w:t>14 (56.0)</w:t>
            </w:r>
          </w:p>
        </w:tc>
        <w:tc>
          <w:tcPr>
            <w:tcW w:w="954" w:type="pct"/>
            <w:tcBorders>
              <w:top w:val="nil"/>
            </w:tcBorders>
            <w:vAlign w:val="center"/>
          </w:tcPr>
          <w:p w14:paraId="72CA6ADF"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1.15 (0.74, 1.79)</w:t>
            </w:r>
          </w:p>
        </w:tc>
        <w:tc>
          <w:tcPr>
            <w:tcW w:w="905" w:type="pct"/>
            <w:tcBorders>
              <w:top w:val="nil"/>
            </w:tcBorders>
            <w:vAlign w:val="center"/>
          </w:tcPr>
          <w:p w14:paraId="5A72F202"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0.08 (-0.18, 0.35)</w:t>
            </w:r>
          </w:p>
        </w:tc>
      </w:tr>
      <w:tr w:rsidR="00E32002" w:rsidRPr="005D05BB" w14:paraId="00F22F6A" w14:textId="77777777" w:rsidTr="00A33E85">
        <w:tc>
          <w:tcPr>
            <w:tcW w:w="1569" w:type="pct"/>
          </w:tcPr>
          <w:p w14:paraId="53D8C0EE" w14:textId="77777777" w:rsidR="00E32002" w:rsidRPr="005D05BB" w:rsidRDefault="00E32002" w:rsidP="00BB6698">
            <w:pPr>
              <w:keepNext/>
              <w:keepLines/>
              <w:rPr>
                <w:rFonts w:ascii="Arial Narrow" w:hAnsi="Arial Narrow"/>
                <w:b/>
                <w:sz w:val="20"/>
                <w:szCs w:val="20"/>
              </w:rPr>
            </w:pPr>
            <w:r w:rsidRPr="005D05BB">
              <w:rPr>
                <w:rFonts w:ascii="Arial Narrow" w:hAnsi="Arial Narrow"/>
                <w:b/>
                <w:sz w:val="20"/>
                <w:szCs w:val="20"/>
              </w:rPr>
              <w:t>UC efficacy population</w:t>
            </w:r>
          </w:p>
        </w:tc>
        <w:tc>
          <w:tcPr>
            <w:tcW w:w="786" w:type="pct"/>
            <w:vAlign w:val="center"/>
          </w:tcPr>
          <w:p w14:paraId="3D6E4C8B"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N=38</w:t>
            </w:r>
          </w:p>
        </w:tc>
        <w:tc>
          <w:tcPr>
            <w:tcW w:w="786" w:type="pct"/>
            <w:vAlign w:val="center"/>
          </w:tcPr>
          <w:p w14:paraId="4B7B416B"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N=39</w:t>
            </w:r>
          </w:p>
        </w:tc>
        <w:tc>
          <w:tcPr>
            <w:tcW w:w="1859" w:type="pct"/>
            <w:gridSpan w:val="2"/>
            <w:vAlign w:val="center"/>
          </w:tcPr>
          <w:p w14:paraId="5289864E" w14:textId="77777777" w:rsidR="00E32002" w:rsidRPr="005D05BB" w:rsidRDefault="00E32002" w:rsidP="00BB6698">
            <w:pPr>
              <w:keepNext/>
              <w:keepLines/>
              <w:jc w:val="center"/>
              <w:rPr>
                <w:rFonts w:ascii="Arial Narrow" w:hAnsi="Arial Narrow"/>
                <w:b/>
                <w:sz w:val="20"/>
                <w:szCs w:val="20"/>
              </w:rPr>
            </w:pPr>
          </w:p>
        </w:tc>
      </w:tr>
      <w:tr w:rsidR="00E32002" w:rsidRPr="005D05BB" w14:paraId="54A31176" w14:textId="77777777" w:rsidTr="00A33E85">
        <w:tc>
          <w:tcPr>
            <w:tcW w:w="1569" w:type="pct"/>
            <w:tcBorders>
              <w:bottom w:val="nil"/>
            </w:tcBorders>
          </w:tcPr>
          <w:p w14:paraId="66119726"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Total Mayo Wk 22</w:t>
            </w:r>
            <w:r w:rsidR="005C1FF3">
              <w:rPr>
                <w:rFonts w:ascii="Arial Narrow" w:hAnsi="Arial Narrow"/>
                <w:b/>
                <w:sz w:val="20"/>
                <w:szCs w:val="20"/>
                <w:vertAlign w:val="superscript"/>
              </w:rPr>
              <w:t>e</w:t>
            </w:r>
          </w:p>
        </w:tc>
        <w:tc>
          <w:tcPr>
            <w:tcW w:w="786" w:type="pct"/>
            <w:tcBorders>
              <w:bottom w:val="nil"/>
            </w:tcBorders>
            <w:vAlign w:val="center"/>
          </w:tcPr>
          <w:p w14:paraId="4BE07C00"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7E01E037"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2903A47A"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vAlign w:val="center"/>
          </w:tcPr>
          <w:p w14:paraId="0BC9B7F6" w14:textId="77777777" w:rsidR="00E32002" w:rsidRPr="005D05BB" w:rsidRDefault="00E32002" w:rsidP="00BB6698">
            <w:pPr>
              <w:keepNext/>
              <w:keepLines/>
              <w:jc w:val="center"/>
              <w:rPr>
                <w:rFonts w:ascii="Arial Narrow" w:hAnsi="Arial Narrow"/>
                <w:sz w:val="20"/>
                <w:szCs w:val="20"/>
              </w:rPr>
            </w:pPr>
          </w:p>
        </w:tc>
      </w:tr>
      <w:tr w:rsidR="00E32002" w:rsidRPr="005D05BB" w14:paraId="3FAAFC00" w14:textId="77777777" w:rsidTr="00A33E85">
        <w:tc>
          <w:tcPr>
            <w:tcW w:w="1569" w:type="pct"/>
            <w:tcBorders>
              <w:top w:val="nil"/>
              <w:bottom w:val="nil"/>
            </w:tcBorders>
          </w:tcPr>
          <w:p w14:paraId="0EE1C572"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response</w:t>
            </w:r>
          </w:p>
        </w:tc>
        <w:tc>
          <w:tcPr>
            <w:tcW w:w="786" w:type="pct"/>
            <w:tcBorders>
              <w:top w:val="nil"/>
              <w:bottom w:val="nil"/>
            </w:tcBorders>
            <w:vAlign w:val="center"/>
          </w:tcPr>
          <w:p w14:paraId="06605745"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30 (78.9)</w:t>
            </w:r>
          </w:p>
        </w:tc>
        <w:tc>
          <w:tcPr>
            <w:tcW w:w="786" w:type="pct"/>
            <w:tcBorders>
              <w:top w:val="nil"/>
              <w:bottom w:val="nil"/>
            </w:tcBorders>
            <w:vAlign w:val="center"/>
          </w:tcPr>
          <w:p w14:paraId="3900B607"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21 (53.8)</w:t>
            </w:r>
          </w:p>
        </w:tc>
        <w:tc>
          <w:tcPr>
            <w:tcW w:w="954" w:type="pct"/>
            <w:tcBorders>
              <w:top w:val="nil"/>
              <w:bottom w:val="nil"/>
            </w:tcBorders>
            <w:vAlign w:val="center"/>
          </w:tcPr>
          <w:p w14:paraId="6B53FAB7"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1.47 (1.05, 2.04)</w:t>
            </w:r>
          </w:p>
        </w:tc>
        <w:tc>
          <w:tcPr>
            <w:tcW w:w="905" w:type="pct"/>
            <w:tcBorders>
              <w:top w:val="nil"/>
              <w:bottom w:val="nil"/>
            </w:tcBorders>
          </w:tcPr>
          <w:p w14:paraId="0FC625F6"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0.25 (0.05, 0.45)</w:t>
            </w:r>
          </w:p>
        </w:tc>
      </w:tr>
      <w:tr w:rsidR="00E32002" w:rsidRPr="005D05BB" w14:paraId="69EB2A4A" w14:textId="77777777" w:rsidTr="00A33E85">
        <w:tc>
          <w:tcPr>
            <w:tcW w:w="1569" w:type="pct"/>
            <w:tcBorders>
              <w:top w:val="nil"/>
            </w:tcBorders>
          </w:tcPr>
          <w:p w14:paraId="1D92573B"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remission</w:t>
            </w:r>
          </w:p>
        </w:tc>
        <w:tc>
          <w:tcPr>
            <w:tcW w:w="786" w:type="pct"/>
            <w:tcBorders>
              <w:top w:val="nil"/>
            </w:tcBorders>
            <w:vAlign w:val="center"/>
          </w:tcPr>
          <w:p w14:paraId="12293400"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20 (52.6)</w:t>
            </w:r>
          </w:p>
        </w:tc>
        <w:tc>
          <w:tcPr>
            <w:tcW w:w="786" w:type="pct"/>
            <w:tcBorders>
              <w:top w:val="nil"/>
            </w:tcBorders>
            <w:vAlign w:val="center"/>
          </w:tcPr>
          <w:p w14:paraId="51BC9501"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10 (25.6)</w:t>
            </w:r>
          </w:p>
        </w:tc>
        <w:tc>
          <w:tcPr>
            <w:tcW w:w="954" w:type="pct"/>
            <w:tcBorders>
              <w:top w:val="nil"/>
            </w:tcBorders>
            <w:vAlign w:val="center"/>
          </w:tcPr>
          <w:p w14:paraId="4AAD1942"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2.05 (1.11, 3.79)</w:t>
            </w:r>
          </w:p>
        </w:tc>
        <w:tc>
          <w:tcPr>
            <w:tcW w:w="905" w:type="pct"/>
            <w:tcBorders>
              <w:top w:val="nil"/>
            </w:tcBorders>
          </w:tcPr>
          <w:p w14:paraId="6DAEE745"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0.27 (0.06, 0.47)</w:t>
            </w:r>
          </w:p>
        </w:tc>
      </w:tr>
      <w:tr w:rsidR="00E32002" w:rsidRPr="005D05BB" w14:paraId="088C42E0" w14:textId="77777777" w:rsidTr="00A33E85">
        <w:tc>
          <w:tcPr>
            <w:tcW w:w="1569" w:type="pct"/>
            <w:tcBorders>
              <w:bottom w:val="nil"/>
            </w:tcBorders>
          </w:tcPr>
          <w:p w14:paraId="7DC24C32"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Partial Mayo Wk 22</w:t>
            </w:r>
            <w:r w:rsidR="005C1FF3">
              <w:rPr>
                <w:rFonts w:ascii="Arial Narrow" w:hAnsi="Arial Narrow"/>
                <w:b/>
                <w:sz w:val="20"/>
                <w:szCs w:val="20"/>
                <w:vertAlign w:val="superscript"/>
              </w:rPr>
              <w:t>f</w:t>
            </w:r>
          </w:p>
        </w:tc>
        <w:tc>
          <w:tcPr>
            <w:tcW w:w="786" w:type="pct"/>
            <w:tcBorders>
              <w:bottom w:val="nil"/>
            </w:tcBorders>
            <w:vAlign w:val="center"/>
          </w:tcPr>
          <w:p w14:paraId="21F208E9"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5D4C981A"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5E7405E5"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tcPr>
          <w:p w14:paraId="241303FA" w14:textId="77777777" w:rsidR="00E32002" w:rsidRPr="005D05BB" w:rsidRDefault="00E32002" w:rsidP="00BB6698">
            <w:pPr>
              <w:keepNext/>
              <w:keepLines/>
              <w:jc w:val="center"/>
              <w:rPr>
                <w:rFonts w:ascii="Arial Narrow" w:hAnsi="Arial Narrow"/>
                <w:sz w:val="20"/>
                <w:szCs w:val="20"/>
              </w:rPr>
            </w:pPr>
          </w:p>
        </w:tc>
      </w:tr>
      <w:tr w:rsidR="00E32002" w:rsidRPr="005D05BB" w14:paraId="0BC2EBEA" w14:textId="77777777" w:rsidTr="00A33E85">
        <w:tc>
          <w:tcPr>
            <w:tcW w:w="1569" w:type="pct"/>
            <w:tcBorders>
              <w:top w:val="nil"/>
              <w:bottom w:val="nil"/>
            </w:tcBorders>
          </w:tcPr>
          <w:p w14:paraId="07EE2F92"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response</w:t>
            </w:r>
          </w:p>
        </w:tc>
        <w:tc>
          <w:tcPr>
            <w:tcW w:w="786" w:type="pct"/>
            <w:tcBorders>
              <w:top w:val="nil"/>
              <w:bottom w:val="nil"/>
            </w:tcBorders>
            <w:vAlign w:val="center"/>
          </w:tcPr>
          <w:p w14:paraId="57A39D40"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32 (84.2)</w:t>
            </w:r>
          </w:p>
        </w:tc>
        <w:tc>
          <w:tcPr>
            <w:tcW w:w="786" w:type="pct"/>
            <w:tcBorders>
              <w:top w:val="nil"/>
              <w:bottom w:val="nil"/>
            </w:tcBorders>
            <w:vAlign w:val="center"/>
          </w:tcPr>
          <w:p w14:paraId="3AD47658"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30 (76.9)</w:t>
            </w:r>
          </w:p>
        </w:tc>
        <w:tc>
          <w:tcPr>
            <w:tcW w:w="954" w:type="pct"/>
            <w:tcBorders>
              <w:top w:val="nil"/>
              <w:bottom w:val="nil"/>
            </w:tcBorders>
            <w:vAlign w:val="center"/>
          </w:tcPr>
          <w:p w14:paraId="03CCDC7F"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1.09 (0.87, 1.36)</w:t>
            </w:r>
          </w:p>
        </w:tc>
        <w:tc>
          <w:tcPr>
            <w:tcW w:w="905" w:type="pct"/>
            <w:tcBorders>
              <w:top w:val="nil"/>
              <w:bottom w:val="nil"/>
            </w:tcBorders>
          </w:tcPr>
          <w:p w14:paraId="6533B566"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0.07 (-0.10, 0.25)</w:t>
            </w:r>
          </w:p>
        </w:tc>
      </w:tr>
      <w:tr w:rsidR="00E32002" w:rsidRPr="005D05BB" w14:paraId="7EAAAA22" w14:textId="77777777" w:rsidTr="00A33E85">
        <w:tc>
          <w:tcPr>
            <w:tcW w:w="1569" w:type="pct"/>
            <w:tcBorders>
              <w:top w:val="nil"/>
            </w:tcBorders>
          </w:tcPr>
          <w:p w14:paraId="4FE12C06"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remission</w:t>
            </w:r>
          </w:p>
        </w:tc>
        <w:tc>
          <w:tcPr>
            <w:tcW w:w="786" w:type="pct"/>
            <w:tcBorders>
              <w:top w:val="nil"/>
            </w:tcBorders>
            <w:vAlign w:val="center"/>
          </w:tcPr>
          <w:p w14:paraId="0C62CEFB"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23 (60.5)</w:t>
            </w:r>
          </w:p>
        </w:tc>
        <w:tc>
          <w:tcPr>
            <w:tcW w:w="786" w:type="pct"/>
            <w:tcBorders>
              <w:top w:val="nil"/>
            </w:tcBorders>
            <w:vAlign w:val="center"/>
          </w:tcPr>
          <w:p w14:paraId="45AB1CC5"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15 (38.5)</w:t>
            </w:r>
          </w:p>
        </w:tc>
        <w:tc>
          <w:tcPr>
            <w:tcW w:w="954" w:type="pct"/>
            <w:tcBorders>
              <w:top w:val="nil"/>
            </w:tcBorders>
            <w:vAlign w:val="center"/>
          </w:tcPr>
          <w:p w14:paraId="507B8423"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1.57 (0.98, 2.52)</w:t>
            </w:r>
          </w:p>
        </w:tc>
        <w:tc>
          <w:tcPr>
            <w:tcW w:w="905" w:type="pct"/>
            <w:tcBorders>
              <w:top w:val="nil"/>
            </w:tcBorders>
          </w:tcPr>
          <w:p w14:paraId="2D891300" w14:textId="77777777" w:rsidR="00E32002" w:rsidRPr="005D05BB" w:rsidRDefault="00E32002" w:rsidP="00BB6698">
            <w:pPr>
              <w:keepNext/>
              <w:keepLines/>
              <w:jc w:val="center"/>
              <w:rPr>
                <w:rFonts w:ascii="Arial Narrow" w:hAnsi="Arial Narrow"/>
                <w:b/>
                <w:sz w:val="20"/>
                <w:szCs w:val="20"/>
              </w:rPr>
            </w:pPr>
            <w:r w:rsidRPr="005D05BB">
              <w:rPr>
                <w:rFonts w:ascii="Arial Narrow" w:hAnsi="Arial Narrow"/>
                <w:b/>
                <w:sz w:val="20"/>
                <w:szCs w:val="20"/>
              </w:rPr>
              <w:t>0.22 (0.00, 0.44)</w:t>
            </w:r>
          </w:p>
        </w:tc>
      </w:tr>
      <w:tr w:rsidR="00E32002" w:rsidRPr="005D05BB" w14:paraId="273F4604" w14:textId="77777777" w:rsidTr="00A33E85">
        <w:tc>
          <w:tcPr>
            <w:tcW w:w="1569" w:type="pct"/>
            <w:tcBorders>
              <w:bottom w:val="nil"/>
            </w:tcBorders>
          </w:tcPr>
          <w:p w14:paraId="744DD0F6" w14:textId="77777777" w:rsidR="00E32002" w:rsidRPr="005D05BB" w:rsidRDefault="00E32002" w:rsidP="005C1FF3">
            <w:pPr>
              <w:keepNext/>
              <w:keepLines/>
              <w:rPr>
                <w:rFonts w:ascii="Arial Narrow" w:hAnsi="Arial Narrow"/>
                <w:b/>
                <w:sz w:val="20"/>
                <w:szCs w:val="20"/>
              </w:rPr>
            </w:pPr>
            <w:r w:rsidRPr="005D05BB">
              <w:rPr>
                <w:rFonts w:ascii="Arial Narrow" w:hAnsi="Arial Narrow"/>
                <w:b/>
                <w:sz w:val="20"/>
                <w:szCs w:val="20"/>
              </w:rPr>
              <w:t>Partial Mayo Wk 30</w:t>
            </w:r>
            <w:r w:rsidR="005C1FF3">
              <w:rPr>
                <w:rFonts w:ascii="Arial Narrow" w:hAnsi="Arial Narrow"/>
                <w:b/>
                <w:sz w:val="20"/>
                <w:szCs w:val="20"/>
                <w:vertAlign w:val="superscript"/>
              </w:rPr>
              <w:t>f</w:t>
            </w:r>
          </w:p>
        </w:tc>
        <w:tc>
          <w:tcPr>
            <w:tcW w:w="786" w:type="pct"/>
            <w:tcBorders>
              <w:bottom w:val="nil"/>
            </w:tcBorders>
            <w:vAlign w:val="center"/>
          </w:tcPr>
          <w:p w14:paraId="68565BE2" w14:textId="77777777" w:rsidR="00E32002" w:rsidRPr="005D05BB" w:rsidRDefault="00E32002" w:rsidP="00BB6698">
            <w:pPr>
              <w:keepNext/>
              <w:keepLines/>
              <w:jc w:val="center"/>
              <w:rPr>
                <w:rFonts w:ascii="Arial Narrow" w:hAnsi="Arial Narrow"/>
                <w:sz w:val="20"/>
                <w:szCs w:val="20"/>
              </w:rPr>
            </w:pPr>
          </w:p>
        </w:tc>
        <w:tc>
          <w:tcPr>
            <w:tcW w:w="786" w:type="pct"/>
            <w:tcBorders>
              <w:bottom w:val="nil"/>
            </w:tcBorders>
            <w:vAlign w:val="center"/>
          </w:tcPr>
          <w:p w14:paraId="540FEA4E" w14:textId="77777777" w:rsidR="00E32002" w:rsidRPr="005D05BB" w:rsidRDefault="00E32002" w:rsidP="00BB6698">
            <w:pPr>
              <w:keepNext/>
              <w:keepLines/>
              <w:jc w:val="center"/>
              <w:rPr>
                <w:rFonts w:ascii="Arial Narrow" w:hAnsi="Arial Narrow"/>
                <w:sz w:val="20"/>
                <w:szCs w:val="20"/>
              </w:rPr>
            </w:pPr>
          </w:p>
        </w:tc>
        <w:tc>
          <w:tcPr>
            <w:tcW w:w="954" w:type="pct"/>
            <w:tcBorders>
              <w:bottom w:val="nil"/>
            </w:tcBorders>
            <w:vAlign w:val="center"/>
          </w:tcPr>
          <w:p w14:paraId="019CA02F" w14:textId="77777777" w:rsidR="00E32002" w:rsidRPr="005D05BB" w:rsidRDefault="00E32002" w:rsidP="00BB6698">
            <w:pPr>
              <w:keepNext/>
              <w:keepLines/>
              <w:jc w:val="center"/>
              <w:rPr>
                <w:rFonts w:ascii="Arial Narrow" w:hAnsi="Arial Narrow"/>
                <w:sz w:val="20"/>
                <w:szCs w:val="20"/>
              </w:rPr>
            </w:pPr>
          </w:p>
        </w:tc>
        <w:tc>
          <w:tcPr>
            <w:tcW w:w="905" w:type="pct"/>
            <w:tcBorders>
              <w:bottom w:val="nil"/>
            </w:tcBorders>
          </w:tcPr>
          <w:p w14:paraId="70B9E97D" w14:textId="77777777" w:rsidR="00E32002" w:rsidRPr="005D05BB" w:rsidRDefault="00E32002" w:rsidP="00BB6698">
            <w:pPr>
              <w:keepNext/>
              <w:keepLines/>
              <w:jc w:val="center"/>
              <w:rPr>
                <w:rFonts w:ascii="Arial Narrow" w:hAnsi="Arial Narrow"/>
                <w:sz w:val="20"/>
                <w:szCs w:val="20"/>
              </w:rPr>
            </w:pPr>
          </w:p>
        </w:tc>
      </w:tr>
      <w:tr w:rsidR="00E32002" w:rsidRPr="005D05BB" w14:paraId="2CD1D057" w14:textId="77777777" w:rsidTr="00A33E85">
        <w:tc>
          <w:tcPr>
            <w:tcW w:w="1569" w:type="pct"/>
            <w:tcBorders>
              <w:top w:val="nil"/>
              <w:bottom w:val="nil"/>
            </w:tcBorders>
          </w:tcPr>
          <w:p w14:paraId="416DD228"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response</w:t>
            </w:r>
          </w:p>
        </w:tc>
        <w:tc>
          <w:tcPr>
            <w:tcW w:w="786" w:type="pct"/>
            <w:tcBorders>
              <w:top w:val="nil"/>
              <w:bottom w:val="nil"/>
            </w:tcBorders>
            <w:vAlign w:val="center"/>
          </w:tcPr>
          <w:p w14:paraId="2D24260B"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33 (86.8)</w:t>
            </w:r>
          </w:p>
        </w:tc>
        <w:tc>
          <w:tcPr>
            <w:tcW w:w="786" w:type="pct"/>
            <w:tcBorders>
              <w:top w:val="nil"/>
              <w:bottom w:val="nil"/>
            </w:tcBorders>
            <w:vAlign w:val="center"/>
          </w:tcPr>
          <w:p w14:paraId="5ED441D8"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29 (74.4)</w:t>
            </w:r>
          </w:p>
        </w:tc>
        <w:tc>
          <w:tcPr>
            <w:tcW w:w="954" w:type="pct"/>
            <w:tcBorders>
              <w:top w:val="nil"/>
              <w:bottom w:val="nil"/>
            </w:tcBorders>
            <w:vAlign w:val="center"/>
          </w:tcPr>
          <w:p w14:paraId="0FEEF11C"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1.17 (0.94, 1.46)</w:t>
            </w:r>
          </w:p>
        </w:tc>
        <w:tc>
          <w:tcPr>
            <w:tcW w:w="905" w:type="pct"/>
            <w:tcBorders>
              <w:top w:val="nil"/>
              <w:bottom w:val="nil"/>
            </w:tcBorders>
          </w:tcPr>
          <w:p w14:paraId="5CA47964"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0.12 (-0.05, 0.30)</w:t>
            </w:r>
          </w:p>
        </w:tc>
      </w:tr>
      <w:tr w:rsidR="00E32002" w:rsidRPr="005D05BB" w14:paraId="7F519A2C" w14:textId="77777777" w:rsidTr="00A33E85">
        <w:tc>
          <w:tcPr>
            <w:tcW w:w="1569" w:type="pct"/>
            <w:tcBorders>
              <w:top w:val="nil"/>
            </w:tcBorders>
          </w:tcPr>
          <w:p w14:paraId="08325960" w14:textId="77777777" w:rsidR="00E32002" w:rsidRPr="005D05BB" w:rsidRDefault="00E32002" w:rsidP="00BB6698">
            <w:pPr>
              <w:keepNext/>
              <w:keepLines/>
              <w:ind w:left="112"/>
              <w:rPr>
                <w:rFonts w:ascii="Arial Narrow" w:hAnsi="Arial Narrow"/>
                <w:sz w:val="20"/>
                <w:szCs w:val="20"/>
              </w:rPr>
            </w:pPr>
            <w:r w:rsidRPr="005D05BB">
              <w:rPr>
                <w:rFonts w:ascii="Arial Narrow" w:hAnsi="Arial Narrow"/>
                <w:sz w:val="20"/>
                <w:szCs w:val="20"/>
              </w:rPr>
              <w:t>n (%) remission</w:t>
            </w:r>
          </w:p>
        </w:tc>
        <w:tc>
          <w:tcPr>
            <w:tcW w:w="786" w:type="pct"/>
            <w:tcBorders>
              <w:top w:val="nil"/>
            </w:tcBorders>
            <w:vAlign w:val="center"/>
          </w:tcPr>
          <w:p w14:paraId="0E9B5B18"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26 (68.4)</w:t>
            </w:r>
          </w:p>
        </w:tc>
        <w:tc>
          <w:tcPr>
            <w:tcW w:w="786" w:type="pct"/>
            <w:tcBorders>
              <w:top w:val="nil"/>
            </w:tcBorders>
            <w:vAlign w:val="center"/>
          </w:tcPr>
          <w:p w14:paraId="7902696D"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21 (53.8)</w:t>
            </w:r>
          </w:p>
        </w:tc>
        <w:tc>
          <w:tcPr>
            <w:tcW w:w="954" w:type="pct"/>
            <w:tcBorders>
              <w:top w:val="nil"/>
            </w:tcBorders>
            <w:vAlign w:val="center"/>
          </w:tcPr>
          <w:p w14:paraId="6C938643"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1.27 (0.88, 1.83)</w:t>
            </w:r>
          </w:p>
        </w:tc>
        <w:tc>
          <w:tcPr>
            <w:tcW w:w="905" w:type="pct"/>
            <w:tcBorders>
              <w:top w:val="nil"/>
            </w:tcBorders>
          </w:tcPr>
          <w:p w14:paraId="7292A85B" w14:textId="77777777" w:rsidR="00E32002" w:rsidRPr="005D05BB" w:rsidRDefault="00E32002" w:rsidP="00BB6698">
            <w:pPr>
              <w:keepNext/>
              <w:keepLines/>
              <w:jc w:val="center"/>
              <w:rPr>
                <w:rFonts w:ascii="Arial Narrow" w:hAnsi="Arial Narrow"/>
                <w:sz w:val="20"/>
                <w:szCs w:val="20"/>
              </w:rPr>
            </w:pPr>
            <w:r w:rsidRPr="005D05BB">
              <w:rPr>
                <w:rFonts w:ascii="Arial Narrow" w:hAnsi="Arial Narrow"/>
                <w:sz w:val="20"/>
                <w:szCs w:val="20"/>
              </w:rPr>
              <w:t>0.15 (-0.07, 0.36)</w:t>
            </w:r>
          </w:p>
        </w:tc>
      </w:tr>
    </w:tbl>
    <w:p w14:paraId="78949892" w14:textId="77777777" w:rsidR="00E32002" w:rsidRPr="005D05BB" w:rsidRDefault="00E32002" w:rsidP="00BB6698">
      <w:pPr>
        <w:keepNext/>
        <w:keepLines/>
        <w:rPr>
          <w:rFonts w:ascii="Arial Narrow" w:hAnsi="Arial Narrow"/>
          <w:sz w:val="18"/>
          <w:szCs w:val="18"/>
        </w:rPr>
      </w:pPr>
      <w:r w:rsidRPr="005D05BB">
        <w:rPr>
          <w:rFonts w:ascii="Arial Narrow" w:hAnsi="Arial Narrow"/>
          <w:sz w:val="18"/>
          <w:szCs w:val="18"/>
        </w:rPr>
        <w:t>Abbreviations: CD=Crohn’s disease; CDAI=Crohn’s disease activity index; IFX=infliximab; IV=intravenous; SC=subcutaneous; UC=ulcerative colitis; wk=week;</w:t>
      </w:r>
    </w:p>
    <w:p w14:paraId="77AE0C5A" w14:textId="77777777" w:rsidR="00E32002" w:rsidRPr="005D05BB" w:rsidRDefault="005C1FF3" w:rsidP="00BB6698">
      <w:pPr>
        <w:keepNext/>
        <w:keepLines/>
        <w:tabs>
          <w:tab w:val="left" w:pos="142"/>
        </w:tabs>
        <w:rPr>
          <w:rFonts w:ascii="Arial Narrow" w:hAnsi="Arial Narrow"/>
          <w:sz w:val="18"/>
          <w:szCs w:val="18"/>
        </w:rPr>
      </w:pPr>
      <w:r w:rsidRPr="005C1FF3">
        <w:rPr>
          <w:rFonts w:ascii="Arial Narrow" w:hAnsi="Arial Narrow"/>
          <w:sz w:val="18"/>
          <w:szCs w:val="18"/>
          <w:vertAlign w:val="superscript"/>
        </w:rPr>
        <w:t>a</w:t>
      </w:r>
      <w:r w:rsidR="00E32002" w:rsidRPr="005D05BB">
        <w:rPr>
          <w:rFonts w:ascii="Arial Narrow" w:hAnsi="Arial Narrow"/>
          <w:sz w:val="18"/>
          <w:szCs w:val="18"/>
        </w:rPr>
        <w:tab/>
        <w:t>IFX SC treatment arm dosed based on body weight 12</w:t>
      </w:r>
      <w:r w:rsidR="000B0C55" w:rsidRPr="005D05BB">
        <w:rPr>
          <w:rFonts w:ascii="Arial Narrow" w:hAnsi="Arial Narrow"/>
          <w:sz w:val="18"/>
          <w:szCs w:val="18"/>
        </w:rPr>
        <w:t>0 mg</w:t>
      </w:r>
      <w:r w:rsidR="00E32002" w:rsidRPr="005D05BB">
        <w:rPr>
          <w:rFonts w:ascii="Arial Narrow" w:hAnsi="Arial Narrow"/>
          <w:sz w:val="18"/>
          <w:szCs w:val="18"/>
        </w:rPr>
        <w:t xml:space="preserve"> (&lt;8</w:t>
      </w:r>
      <w:r w:rsidR="000B0C55" w:rsidRPr="005D05BB">
        <w:rPr>
          <w:rFonts w:ascii="Arial Narrow" w:hAnsi="Arial Narrow"/>
          <w:sz w:val="18"/>
          <w:szCs w:val="18"/>
        </w:rPr>
        <w:t>0 kg</w:t>
      </w:r>
      <w:r w:rsidR="00E32002" w:rsidRPr="005D05BB">
        <w:rPr>
          <w:rFonts w:ascii="Arial Narrow" w:hAnsi="Arial Narrow"/>
          <w:sz w:val="18"/>
          <w:szCs w:val="18"/>
        </w:rPr>
        <w:t>) and 24</w:t>
      </w:r>
      <w:r w:rsidR="000B0C55" w:rsidRPr="005D05BB">
        <w:rPr>
          <w:rFonts w:ascii="Arial Narrow" w:hAnsi="Arial Narrow"/>
          <w:sz w:val="18"/>
          <w:szCs w:val="18"/>
        </w:rPr>
        <w:t>0 mg</w:t>
      </w:r>
      <w:r w:rsidR="00E32002" w:rsidRPr="005D05BB">
        <w:rPr>
          <w:rFonts w:ascii="Arial Narrow" w:hAnsi="Arial Narrow"/>
          <w:sz w:val="18"/>
          <w:szCs w:val="18"/>
        </w:rPr>
        <w:t xml:space="preserve"> (≥8</w:t>
      </w:r>
      <w:r w:rsidR="000B0C55" w:rsidRPr="005D05BB">
        <w:rPr>
          <w:rFonts w:ascii="Arial Narrow" w:hAnsi="Arial Narrow"/>
          <w:sz w:val="18"/>
          <w:szCs w:val="18"/>
        </w:rPr>
        <w:t>0 kg</w:t>
      </w:r>
      <w:r w:rsidR="00E32002" w:rsidRPr="005D05BB">
        <w:rPr>
          <w:rFonts w:ascii="Arial Narrow" w:hAnsi="Arial Narrow"/>
          <w:sz w:val="18"/>
          <w:szCs w:val="18"/>
        </w:rPr>
        <w:t>) at Week 6.</w:t>
      </w:r>
    </w:p>
    <w:p w14:paraId="6B1CC783" w14:textId="77777777" w:rsidR="00E32002" w:rsidRPr="005D05BB" w:rsidRDefault="005C1FF3" w:rsidP="00BB6698">
      <w:pPr>
        <w:keepNext/>
        <w:keepLines/>
        <w:tabs>
          <w:tab w:val="left" w:pos="142"/>
        </w:tabs>
        <w:ind w:left="140" w:hanging="140"/>
        <w:rPr>
          <w:rFonts w:ascii="Arial Narrow" w:hAnsi="Arial Narrow"/>
          <w:sz w:val="18"/>
          <w:szCs w:val="18"/>
        </w:rPr>
      </w:pPr>
      <w:r w:rsidRPr="005C1FF3">
        <w:rPr>
          <w:rFonts w:cs="Calibri"/>
          <w:sz w:val="18"/>
          <w:szCs w:val="18"/>
          <w:vertAlign w:val="superscript"/>
        </w:rPr>
        <w:t>b</w:t>
      </w:r>
      <w:r w:rsidR="00E32002" w:rsidRPr="005D05BB">
        <w:rPr>
          <w:rFonts w:ascii="Arial Narrow" w:hAnsi="Arial Narrow"/>
          <w:sz w:val="18"/>
          <w:szCs w:val="18"/>
        </w:rPr>
        <w:tab/>
        <w:t>CDAl-70 response defined as a decrease in CDAI score of 70 points or more from the baseline value</w:t>
      </w:r>
      <w:r w:rsidR="005D05BB">
        <w:rPr>
          <w:rFonts w:ascii="Arial Narrow" w:hAnsi="Arial Narrow"/>
          <w:sz w:val="18"/>
          <w:szCs w:val="18"/>
        </w:rPr>
        <w:t xml:space="preserve">. </w:t>
      </w:r>
      <w:r w:rsidR="00E32002" w:rsidRPr="005D05BB">
        <w:rPr>
          <w:rFonts w:ascii="Arial Narrow" w:hAnsi="Arial Narrow"/>
          <w:sz w:val="18"/>
          <w:szCs w:val="18"/>
        </w:rPr>
        <w:t>Baseline value was considered to be the last non-missing value before the first administration.</w:t>
      </w:r>
    </w:p>
    <w:p w14:paraId="4A1EDF4E" w14:textId="77777777" w:rsidR="00E32002" w:rsidRPr="005D05BB" w:rsidRDefault="005C1FF3" w:rsidP="00BB6698">
      <w:pPr>
        <w:keepNext/>
        <w:keepLines/>
        <w:tabs>
          <w:tab w:val="left" w:pos="142"/>
        </w:tabs>
        <w:ind w:left="140" w:hanging="140"/>
        <w:rPr>
          <w:rFonts w:ascii="Arial Narrow" w:hAnsi="Arial Narrow"/>
          <w:sz w:val="18"/>
          <w:szCs w:val="18"/>
        </w:rPr>
      </w:pPr>
      <w:r w:rsidRPr="005C1FF3">
        <w:rPr>
          <w:rFonts w:cs="Calibri"/>
          <w:sz w:val="18"/>
          <w:szCs w:val="18"/>
          <w:vertAlign w:val="superscript"/>
        </w:rPr>
        <w:t>c</w:t>
      </w:r>
      <w:r w:rsidR="00E32002" w:rsidRPr="005D05BB">
        <w:rPr>
          <w:rFonts w:ascii="Arial Narrow" w:hAnsi="Arial Narrow"/>
          <w:sz w:val="18"/>
          <w:szCs w:val="18"/>
        </w:rPr>
        <w:tab/>
        <w:t>CDAI-100 response defined as a decrease in CDAl score of 100 points or more from the baseline value</w:t>
      </w:r>
      <w:r w:rsidR="005D05BB">
        <w:rPr>
          <w:rFonts w:ascii="Arial Narrow" w:hAnsi="Arial Narrow"/>
          <w:sz w:val="18"/>
          <w:szCs w:val="18"/>
        </w:rPr>
        <w:t xml:space="preserve">. </w:t>
      </w:r>
      <w:r w:rsidR="00E32002" w:rsidRPr="005D05BB">
        <w:rPr>
          <w:rFonts w:ascii="Arial Narrow" w:hAnsi="Arial Narrow"/>
          <w:sz w:val="18"/>
          <w:szCs w:val="18"/>
        </w:rPr>
        <w:t>Baseline value was considered to be the last non-missing value before the first administration</w:t>
      </w:r>
    </w:p>
    <w:p w14:paraId="1D6990C6" w14:textId="77777777" w:rsidR="00E32002" w:rsidRPr="005D05BB" w:rsidRDefault="005C1FF3" w:rsidP="00BB6698">
      <w:pPr>
        <w:keepNext/>
        <w:keepLines/>
        <w:tabs>
          <w:tab w:val="left" w:pos="142"/>
        </w:tabs>
        <w:rPr>
          <w:rFonts w:ascii="Arial Narrow" w:hAnsi="Arial Narrow"/>
          <w:sz w:val="18"/>
          <w:szCs w:val="18"/>
        </w:rPr>
      </w:pPr>
      <w:r w:rsidRPr="005C1FF3">
        <w:rPr>
          <w:rFonts w:cs="Calibri"/>
          <w:sz w:val="18"/>
          <w:szCs w:val="18"/>
          <w:vertAlign w:val="superscript"/>
        </w:rPr>
        <w:t>d</w:t>
      </w:r>
      <w:r w:rsidR="00E32002" w:rsidRPr="005D05BB">
        <w:rPr>
          <w:rFonts w:cs="Calibri"/>
          <w:sz w:val="18"/>
          <w:szCs w:val="18"/>
        </w:rPr>
        <w:tab/>
      </w:r>
      <w:r w:rsidR="00E32002" w:rsidRPr="005D05BB">
        <w:rPr>
          <w:rFonts w:ascii="Arial Narrow" w:hAnsi="Arial Narrow"/>
          <w:sz w:val="18"/>
          <w:szCs w:val="18"/>
        </w:rPr>
        <w:t>Clinical remission was defined as an absolute CDAl score of less than 150 points.</w:t>
      </w:r>
    </w:p>
    <w:p w14:paraId="75E3C2CF" w14:textId="77777777" w:rsidR="00E32002" w:rsidRPr="005D05BB" w:rsidRDefault="005C1FF3" w:rsidP="00BB6698">
      <w:pPr>
        <w:keepNext/>
        <w:keepLines/>
        <w:tabs>
          <w:tab w:val="left" w:pos="142"/>
        </w:tabs>
        <w:ind w:left="140" w:hanging="140"/>
        <w:rPr>
          <w:rFonts w:ascii="Arial Narrow" w:hAnsi="Arial Narrow"/>
          <w:sz w:val="18"/>
          <w:szCs w:val="18"/>
        </w:rPr>
      </w:pPr>
      <w:r w:rsidRPr="005C1FF3">
        <w:rPr>
          <w:rFonts w:ascii="Arial Narrow" w:hAnsi="Arial Narrow"/>
          <w:sz w:val="18"/>
          <w:szCs w:val="18"/>
          <w:vertAlign w:val="superscript"/>
        </w:rPr>
        <w:t>e</w:t>
      </w:r>
      <w:r w:rsidR="00E32002" w:rsidRPr="005D05BB">
        <w:rPr>
          <w:rFonts w:ascii="Arial Narrow" w:hAnsi="Arial Narrow"/>
          <w:sz w:val="18"/>
          <w:szCs w:val="18"/>
        </w:rPr>
        <w:tab/>
        <w:t>Clinical response according to total Mayo score was defined as a decrease from baseline in total Mayo score ≥3 points and ≥30%, and decrease from baseline in the sub-score for rectal bleeding of ≥1 point or absolute sub-score for rectal bleeding of 0 or 1</w:t>
      </w:r>
      <w:r w:rsidR="005D05BB">
        <w:rPr>
          <w:rFonts w:ascii="Arial Narrow" w:hAnsi="Arial Narrow"/>
          <w:sz w:val="18"/>
          <w:szCs w:val="18"/>
        </w:rPr>
        <w:t xml:space="preserve">. </w:t>
      </w:r>
      <w:r w:rsidR="00E32002" w:rsidRPr="005D05BB">
        <w:rPr>
          <w:rFonts w:ascii="Arial Narrow" w:hAnsi="Arial Narrow"/>
          <w:sz w:val="18"/>
          <w:szCs w:val="18"/>
        </w:rPr>
        <w:t xml:space="preserve">Clinical remission according to total Mayo score was defined as a total Mayo score of &lt;2 points with no individual sub-score exceeding 1 point. </w:t>
      </w:r>
    </w:p>
    <w:p w14:paraId="3DB578F5" w14:textId="77777777" w:rsidR="00E32002" w:rsidRPr="005D05BB" w:rsidRDefault="005C1FF3" w:rsidP="00BB6698">
      <w:pPr>
        <w:keepNext/>
        <w:keepLines/>
        <w:tabs>
          <w:tab w:val="left" w:pos="142"/>
        </w:tabs>
        <w:ind w:left="140" w:hanging="140"/>
        <w:rPr>
          <w:rFonts w:ascii="Arial Narrow" w:hAnsi="Arial Narrow"/>
          <w:sz w:val="18"/>
          <w:szCs w:val="18"/>
        </w:rPr>
      </w:pPr>
      <w:r w:rsidRPr="005C1FF3">
        <w:rPr>
          <w:rFonts w:ascii="Arial Narrow" w:hAnsi="Arial Narrow"/>
          <w:sz w:val="18"/>
          <w:szCs w:val="18"/>
          <w:vertAlign w:val="superscript"/>
        </w:rPr>
        <w:t>f</w:t>
      </w:r>
      <w:r w:rsidR="00E32002" w:rsidRPr="005D05BB">
        <w:rPr>
          <w:rFonts w:ascii="Arial Narrow" w:hAnsi="Arial Narrow"/>
          <w:sz w:val="18"/>
          <w:szCs w:val="18"/>
        </w:rPr>
        <w:tab/>
        <w:t>Clinical response according to partial Mayo score was defined a decrease from baseline in partial Mayo score a≥2 points, and decrease from baseline in the sub-score for rectal bleeding of ≥1 point, or an absolute sub-score for rectal bleeding of 0 or 1</w:t>
      </w:r>
      <w:r w:rsidR="005D05BB">
        <w:rPr>
          <w:rFonts w:ascii="Arial Narrow" w:hAnsi="Arial Narrow"/>
          <w:sz w:val="18"/>
          <w:szCs w:val="18"/>
        </w:rPr>
        <w:t xml:space="preserve">. </w:t>
      </w:r>
      <w:r w:rsidR="00E32002" w:rsidRPr="005D05BB">
        <w:rPr>
          <w:rFonts w:ascii="Arial Narrow" w:hAnsi="Arial Narrow"/>
          <w:sz w:val="18"/>
          <w:szCs w:val="18"/>
        </w:rPr>
        <w:t>Clinical remission according to partial Mayo score was defined as a partial Mayo of 1 point or lower.</w:t>
      </w:r>
    </w:p>
    <w:p w14:paraId="75EE2F49" w14:textId="77777777" w:rsidR="00E32002" w:rsidRPr="005D05BB" w:rsidRDefault="00E32002" w:rsidP="00BB6698">
      <w:pPr>
        <w:keepNext/>
        <w:keepLines/>
        <w:tabs>
          <w:tab w:val="left" w:pos="142"/>
        </w:tabs>
        <w:rPr>
          <w:rFonts w:ascii="Arial Narrow" w:hAnsi="Arial Narrow"/>
          <w:sz w:val="18"/>
          <w:szCs w:val="18"/>
        </w:rPr>
      </w:pPr>
      <w:r w:rsidRPr="005D05BB">
        <w:rPr>
          <w:rFonts w:ascii="Arial Narrow" w:hAnsi="Arial Narrow"/>
          <w:sz w:val="18"/>
          <w:szCs w:val="18"/>
        </w:rPr>
        <w:t>Source: Tables 2.31 to 2.33, pp98-101 of the submission and Study 1.6 Part 2 CSR – Week 54</w:t>
      </w:r>
    </w:p>
    <w:p w14:paraId="4D98ED05" w14:textId="77777777" w:rsidR="00E32002" w:rsidRPr="005D05BB" w:rsidRDefault="00E32002" w:rsidP="00E32002">
      <w:pPr>
        <w:pStyle w:val="3-BodyText"/>
        <w:numPr>
          <w:ilvl w:val="0"/>
          <w:numId w:val="0"/>
        </w:numPr>
        <w:ind w:left="720"/>
      </w:pPr>
    </w:p>
    <w:p w14:paraId="7EC9A910" w14:textId="77777777" w:rsidR="00E32002" w:rsidRPr="005D05BB" w:rsidRDefault="00E32002" w:rsidP="00E32002">
      <w:pPr>
        <w:pStyle w:val="3-BodyText"/>
      </w:pPr>
      <w:r w:rsidRPr="005D05BB">
        <w:t>Trial results showed no difference between IFX SC (120/24</w:t>
      </w:r>
      <w:r w:rsidR="000B0C55" w:rsidRPr="005D05BB">
        <w:t>0 mg</w:t>
      </w:r>
      <w:r w:rsidRPr="005D05BB">
        <w:t>) and IFX IV for clinical response and clinical remission outcomes on CDAI in the CD population, and no difference for the clinical response and clinical remission outcomes on partial Mayo score in the UC population</w:t>
      </w:r>
      <w:r w:rsidR="005D05BB">
        <w:t xml:space="preserve">. </w:t>
      </w:r>
      <w:r w:rsidRPr="005D05BB">
        <w:t>In contrast, results for clinical response and clinical remission outcomes on total Mayo score in the UC population favoured IFX SC (120/24</w:t>
      </w:r>
      <w:r w:rsidR="000B0C55" w:rsidRPr="005D05BB">
        <w:t>0 mg</w:t>
      </w:r>
      <w:r w:rsidRPr="005D05BB">
        <w:t>) over IFX IV.</w:t>
      </w:r>
      <w:r w:rsidR="00877567" w:rsidRPr="005D05BB">
        <w:t xml:space="preserve"> The submission did not propose non-inferiority margins or MCIDs for the relevant outcomes of clinical response and clinical remission (on CDAI for CD and Mayo scores for UC), given non-inferiority in the trial was demonstrated on PK outcome (C</w:t>
      </w:r>
      <w:r w:rsidR="00217980">
        <w:t>-</w:t>
      </w:r>
      <w:r w:rsidR="00877567" w:rsidRPr="005D05BB">
        <w:t>trough) (paragraph 6.17) and none has been defined for these outcomes by the PBAC.</w:t>
      </w:r>
    </w:p>
    <w:p w14:paraId="1967B942" w14:textId="77777777" w:rsidR="00E32002" w:rsidRPr="005D05BB" w:rsidRDefault="00E32002" w:rsidP="003953A4">
      <w:pPr>
        <w:pStyle w:val="3-BodyText"/>
      </w:pPr>
      <w:r w:rsidRPr="005D05BB">
        <w:rPr>
          <w:iCs/>
        </w:rPr>
        <w:lastRenderedPageBreak/>
        <w:t>As described above, interpretation of these secondary outcomes from this small open label pharmacokinetic trial is problematic</w:t>
      </w:r>
      <w:r w:rsidR="005D05BB">
        <w:rPr>
          <w:iCs/>
        </w:rPr>
        <w:t xml:space="preserve">. </w:t>
      </w:r>
      <w:r w:rsidRPr="005D05BB">
        <w:rPr>
          <w:iCs/>
        </w:rPr>
        <w:t>The</w:t>
      </w:r>
      <w:r w:rsidRPr="005D05BB">
        <w:t xml:space="preserve"> difference observed for outcomes using total Mayo score may be explained by the higher proportion of patients discontinuing or with a missing endoscopy subscore at Week 22 in the IFX IV arm compared to IFX SC arm (28.2% vs 10.5%), given patients were coded as non-responders if they discontinued prior to a study visit or missed endoscopy subscore at a visit</w:t>
      </w:r>
      <w:r w:rsidR="005D05BB">
        <w:t xml:space="preserve">. </w:t>
      </w:r>
      <w:r w:rsidR="003953A4" w:rsidRPr="005D05BB">
        <w:t>T</w:t>
      </w:r>
      <w:r w:rsidR="006C1FC2" w:rsidRPr="005D05BB">
        <w:t>he TGA evaluator</w:t>
      </w:r>
      <w:r w:rsidR="003953A4" w:rsidRPr="005D05BB">
        <w:t xml:space="preserve"> considered that</w:t>
      </w:r>
      <w:r w:rsidR="006C1FC2" w:rsidRPr="005D05BB">
        <w:t xml:space="preserve"> Study 1.6 Part 2 was a small trial and not formally powered for non-inferiority or equivalence of efficacy.</w:t>
      </w:r>
    </w:p>
    <w:p w14:paraId="3B3AE8ED" w14:textId="77777777" w:rsidR="00E32002" w:rsidRPr="005D05BB" w:rsidRDefault="00E32002" w:rsidP="00E32002">
      <w:pPr>
        <w:pStyle w:val="3-BodyText"/>
      </w:pPr>
      <w:r w:rsidRPr="005D05BB">
        <w:t>During the maintenance phase (Week 6 to Week 30), the mean pre-dose serum levels was higher for IFX SC (120/24</w:t>
      </w:r>
      <w:r w:rsidR="000B0C55" w:rsidRPr="005D05BB">
        <w:t>0 mg</w:t>
      </w:r>
      <w:r w:rsidRPr="005D05BB">
        <w:t>) compared to IFX IV</w:t>
      </w:r>
      <w:r w:rsidR="005D05BB">
        <w:t xml:space="preserve">. </w:t>
      </w:r>
      <w:r w:rsidR="006C1FC2" w:rsidRPr="005D05BB">
        <w:t>The ratio of the geometric LS means (SC/IV) of Ctrough at Week 22 was 1154.17</w:t>
      </w:r>
      <w:r w:rsidR="00261190" w:rsidRPr="005D05BB">
        <w:t>%</w:t>
      </w:r>
      <w:r w:rsidR="006C1FC2" w:rsidRPr="005D05BB">
        <w:t xml:space="preserve"> (90%CI: 786.37, 1694.00)</w:t>
      </w:r>
      <w:r w:rsidR="005D05BB">
        <w:t xml:space="preserve">. </w:t>
      </w:r>
      <w:r w:rsidRPr="005D05BB">
        <w:rPr>
          <w:iCs/>
        </w:rPr>
        <w:t>The trial met the pre-specified non-inferiority margin for t</w:t>
      </w:r>
      <w:r w:rsidRPr="005D05BB">
        <w:t>he ratio of the geometric mean ratio in Ctrough at Week 22</w:t>
      </w:r>
      <w:r w:rsidR="006C1FC2" w:rsidRPr="005D05BB">
        <w:t>,</w:t>
      </w:r>
      <w:r w:rsidRPr="005D05BB">
        <w:t xml:space="preserve"> </w:t>
      </w:r>
      <w:r w:rsidR="00FF12D5" w:rsidRPr="005D05BB">
        <w:t>with the lower bound 90%CI being above the pre-defined non-inferiority margin of 80%</w:t>
      </w:r>
      <w:r w:rsidR="005D05BB">
        <w:t xml:space="preserve">. </w:t>
      </w:r>
      <w:r w:rsidRPr="005D05BB">
        <w:rPr>
          <w:iCs/>
        </w:rPr>
        <w:t>As noted above, the dose of IFX IV in the trial was higher than the proposed dose for some patients (i.e. &gt;8</w:t>
      </w:r>
      <w:r w:rsidR="000B0C55" w:rsidRPr="005D05BB">
        <w:rPr>
          <w:iCs/>
        </w:rPr>
        <w:t>0 kg</w:t>
      </w:r>
      <w:r w:rsidRPr="005D05BB">
        <w:rPr>
          <w:iCs/>
        </w:rPr>
        <w:t>), which likely affects serum levels.</w:t>
      </w:r>
    </w:p>
    <w:p w14:paraId="5E069EAB" w14:textId="77777777" w:rsidR="00E32002" w:rsidRPr="005D05BB" w:rsidRDefault="00E32002" w:rsidP="00E32002">
      <w:pPr>
        <w:pStyle w:val="4-SubsectionHeading"/>
      </w:pPr>
      <w:bookmarkStart w:id="20" w:name="_Toc22897642"/>
      <w:bookmarkStart w:id="21" w:name="_Toc48572765"/>
      <w:bookmarkStart w:id="22" w:name="_Toc50709845"/>
      <w:r w:rsidRPr="005D05BB">
        <w:t>Comparative harms</w:t>
      </w:r>
      <w:bookmarkEnd w:id="20"/>
      <w:bookmarkEnd w:id="21"/>
      <w:bookmarkEnd w:id="22"/>
    </w:p>
    <w:p w14:paraId="3F01E668" w14:textId="77777777" w:rsidR="00E32002" w:rsidRPr="005D05BB" w:rsidRDefault="00E32002" w:rsidP="00E32002">
      <w:pPr>
        <w:pStyle w:val="3-BodyText"/>
      </w:pPr>
      <w:r w:rsidRPr="005D05BB">
        <w:t xml:space="preserve">In Study 3.5 Part 2, the incidence of any </w:t>
      </w:r>
      <w:r w:rsidR="000443AD" w:rsidRPr="005D05BB">
        <w:t>adverse events (</w:t>
      </w:r>
      <w:r w:rsidRPr="005D05BB">
        <w:t>AEs</w:t>
      </w:r>
      <w:r w:rsidR="000443AD" w:rsidRPr="005D05BB">
        <w:t>)</w:t>
      </w:r>
      <w:r w:rsidRPr="005D05BB">
        <w:t xml:space="preserve"> and drug-related AEs were comparable between IFX SC and IFX IV to Week 30</w:t>
      </w:r>
      <w:r w:rsidR="005D05BB">
        <w:t xml:space="preserve">. </w:t>
      </w:r>
      <w:r w:rsidRPr="005D05BB">
        <w:t>Patients treated with IFX IV were more likely to experience a drug-related AEs leading to discontinuation (RD: -0.04, 95%CI: -0.08, -0.02) and an infusion-related reaction (RD: -0.03, 95%CI: -0.07, -0.01)</w:t>
      </w:r>
      <w:r w:rsidR="005D05BB">
        <w:t xml:space="preserve">. </w:t>
      </w:r>
      <w:r w:rsidRPr="005D05BB">
        <w:t>Patients treated with IFX SC were more likely to experience injection site reactions</w:t>
      </w:r>
      <w:r w:rsidR="00B36D0C">
        <w:t xml:space="preserve"> although the difference was small</w:t>
      </w:r>
      <w:r w:rsidRPr="005D05BB">
        <w:t xml:space="preserve"> (RD: 0.04, 95%CI: 0.00, 0.09).</w:t>
      </w:r>
    </w:p>
    <w:p w14:paraId="46F0E6EB" w14:textId="77777777" w:rsidR="00E32002" w:rsidRPr="005D05BB" w:rsidRDefault="00E32002" w:rsidP="00E32002">
      <w:pPr>
        <w:pStyle w:val="3-BodyText"/>
      </w:pPr>
      <w:r w:rsidRPr="005D05BB">
        <w:t xml:space="preserve">In Study 1.6 Part 2, the incidence of AEs </w:t>
      </w:r>
      <w:r w:rsidR="000443AD" w:rsidRPr="005D05BB">
        <w:t>was</w:t>
      </w:r>
      <w:r w:rsidRPr="005D05BB">
        <w:t xml:space="preserve"> generally comparable between IFX SC and IFX IV to Week 30, but patients treated with IFX SC were more likely to experience injection site reactions (RD: 0.14, 95%CI: 0.04, 0.24).</w:t>
      </w:r>
    </w:p>
    <w:p w14:paraId="22D7959F" w14:textId="77777777" w:rsidR="00E32002" w:rsidRPr="005D05BB" w:rsidRDefault="00E32002" w:rsidP="00E83711">
      <w:pPr>
        <w:pStyle w:val="3-BodyText"/>
        <w:rPr>
          <w:iCs/>
        </w:rPr>
      </w:pPr>
      <w:r w:rsidRPr="005D05BB">
        <w:rPr>
          <w:iCs/>
        </w:rPr>
        <w:t xml:space="preserve">The most commonly reported AEs across the trials were injection site reactions and infections and infestations. </w:t>
      </w:r>
      <w:bookmarkStart w:id="23" w:name="_Hlk51057565"/>
      <w:r w:rsidRPr="005D05BB">
        <w:rPr>
          <w:iCs/>
        </w:rPr>
        <w:t xml:space="preserve">Overall, the safety of IFX SC </w:t>
      </w:r>
      <w:r w:rsidR="00261190" w:rsidRPr="005D05BB">
        <w:rPr>
          <w:iCs/>
        </w:rPr>
        <w:t xml:space="preserve">in the trials </w:t>
      </w:r>
      <w:r w:rsidRPr="005D05BB">
        <w:rPr>
          <w:iCs/>
        </w:rPr>
        <w:t>was generally similar to the known risks of treatment with IFX IV</w:t>
      </w:r>
      <w:r w:rsidR="00261190" w:rsidRPr="005D05BB">
        <w:rPr>
          <w:iCs/>
        </w:rPr>
        <w:t xml:space="preserve"> but the</w:t>
      </w:r>
      <w:r w:rsidR="0057695A" w:rsidRPr="005D05BB">
        <w:rPr>
          <w:iCs/>
        </w:rPr>
        <w:t xml:space="preserve"> ESC noted that the</w:t>
      </w:r>
      <w:r w:rsidR="00261190" w:rsidRPr="005D05BB">
        <w:rPr>
          <w:iCs/>
        </w:rPr>
        <w:t xml:space="preserve"> TGA Clinical Evaluation </w:t>
      </w:r>
      <w:r w:rsidR="00E83711" w:rsidRPr="005D05BB">
        <w:rPr>
          <w:iCs/>
        </w:rPr>
        <w:t>raised concerns over prolonged exposure to higher trough IFX concentrations</w:t>
      </w:r>
      <w:r w:rsidR="00261190" w:rsidRPr="005D05BB">
        <w:rPr>
          <w:iCs/>
        </w:rPr>
        <w:t xml:space="preserve"> (</w:t>
      </w:r>
      <w:r w:rsidR="008E6ACB" w:rsidRPr="005D05BB">
        <w:rPr>
          <w:iCs/>
        </w:rPr>
        <w:t>paragraph 2.6</w:t>
      </w:r>
      <w:r w:rsidR="00261190" w:rsidRPr="005D05BB">
        <w:rPr>
          <w:iCs/>
        </w:rPr>
        <w:t>)</w:t>
      </w:r>
      <w:bookmarkEnd w:id="23"/>
      <w:r w:rsidR="005D05BB">
        <w:rPr>
          <w:iCs/>
        </w:rPr>
        <w:t xml:space="preserve">. </w:t>
      </w:r>
      <w:r w:rsidR="00AF25D4" w:rsidRPr="005D05BB">
        <w:rPr>
          <w:iCs/>
        </w:rPr>
        <w:t>The ESC considered that the effect of this on the relative safety of IFX SC was uncertain.</w:t>
      </w:r>
    </w:p>
    <w:p w14:paraId="4393BCD8" w14:textId="77777777" w:rsidR="00E32002" w:rsidRPr="005D05BB" w:rsidRDefault="00E32002" w:rsidP="00E32002">
      <w:pPr>
        <w:pStyle w:val="4-SubsectionHeading"/>
      </w:pPr>
      <w:bookmarkStart w:id="24" w:name="_Toc22897643"/>
      <w:bookmarkStart w:id="25" w:name="_Toc50709846"/>
      <w:r w:rsidRPr="005D05BB">
        <w:t>Benefits/harms</w:t>
      </w:r>
      <w:bookmarkEnd w:id="24"/>
      <w:bookmarkEnd w:id="25"/>
    </w:p>
    <w:p w14:paraId="15C07A45" w14:textId="77777777" w:rsidR="00E32002" w:rsidRPr="005D05BB" w:rsidRDefault="00E32002" w:rsidP="00E32002">
      <w:pPr>
        <w:pStyle w:val="3-BodyText"/>
      </w:pPr>
      <w:r w:rsidRPr="005D05BB">
        <w:t>There were no expected clinically meaningful differences between the IFX SC and IFX IV in efficacy and safety when used for the treatment of RA, CD and UC in the PBS population</w:t>
      </w:r>
      <w:r w:rsidR="005D05BB">
        <w:t xml:space="preserve">. </w:t>
      </w:r>
      <w:r w:rsidRPr="005D05BB">
        <w:t xml:space="preserve">Patients </w:t>
      </w:r>
      <w:r w:rsidR="00B36D0C">
        <w:t>who</w:t>
      </w:r>
      <w:r w:rsidR="00B36D0C" w:rsidRPr="005D05BB">
        <w:t xml:space="preserve"> </w:t>
      </w:r>
      <w:r w:rsidRPr="005D05BB">
        <w:t>switch from IFX IV to IFX SC will avoid the risk of infusion</w:t>
      </w:r>
      <w:r w:rsidR="008B56E8" w:rsidRPr="005D05BB">
        <w:t>-</w:t>
      </w:r>
      <w:r w:rsidRPr="005D05BB">
        <w:t xml:space="preserve">related reactions but </w:t>
      </w:r>
      <w:r w:rsidR="00B36D0C">
        <w:t>are</w:t>
      </w:r>
      <w:r w:rsidR="00B36D0C" w:rsidRPr="005D05BB">
        <w:t xml:space="preserve"> </w:t>
      </w:r>
      <w:r w:rsidRPr="005D05BB">
        <w:t>at risk of experiencing injection site reactions.</w:t>
      </w:r>
    </w:p>
    <w:p w14:paraId="141F6DB4" w14:textId="77777777" w:rsidR="00E32002" w:rsidRPr="005D05BB" w:rsidRDefault="00E32002" w:rsidP="00E32002">
      <w:pPr>
        <w:pStyle w:val="4-SubsectionHeading"/>
      </w:pPr>
      <w:bookmarkStart w:id="26" w:name="_Toc22897644"/>
      <w:bookmarkStart w:id="27" w:name="_Toc50709847"/>
      <w:r w:rsidRPr="005D05BB">
        <w:lastRenderedPageBreak/>
        <w:t>Clinical claim</w:t>
      </w:r>
      <w:bookmarkEnd w:id="26"/>
      <w:bookmarkEnd w:id="27"/>
    </w:p>
    <w:p w14:paraId="14C0548E" w14:textId="77777777" w:rsidR="00E32002" w:rsidRPr="005D05BB" w:rsidRDefault="00E32002" w:rsidP="00E32002">
      <w:pPr>
        <w:pStyle w:val="3-BodyText"/>
      </w:pPr>
      <w:r w:rsidRPr="005D05BB">
        <w:t>At the recommended doses for maintenance treatment (i.e. ≥6 weeks after initial treatment with IFX IV), the submission described IFX SC compared to IFX IV as having:</w:t>
      </w:r>
    </w:p>
    <w:p w14:paraId="31788DF9"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rPr>
        <w:t>Superior effectiveness and superior safety in RA;</w:t>
      </w:r>
    </w:p>
    <w:p w14:paraId="78EB60BF"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rPr>
        <w:t>Superior effectiveness and non-inferior safety in UC;</w:t>
      </w:r>
    </w:p>
    <w:p w14:paraId="78EB70AD"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rPr>
        <w:t>Non-inferior effectiveness and non-inferior safety in CD;</w:t>
      </w:r>
    </w:p>
    <w:p w14:paraId="7B4E8F43" w14:textId="77777777" w:rsidR="00E32002" w:rsidRPr="005D05BB" w:rsidRDefault="00E32002" w:rsidP="00D432E3">
      <w:pPr>
        <w:numPr>
          <w:ilvl w:val="0"/>
          <w:numId w:val="6"/>
        </w:numPr>
        <w:spacing w:after="120"/>
        <w:ind w:left="1134" w:hanging="425"/>
        <w:rPr>
          <w:rFonts w:asciiTheme="minorHAnsi" w:hAnsiTheme="minorHAnsi"/>
          <w:snapToGrid w:val="0"/>
        </w:rPr>
      </w:pPr>
      <w:r w:rsidRPr="005D05BB">
        <w:rPr>
          <w:rFonts w:asciiTheme="minorHAnsi" w:hAnsiTheme="minorHAnsi"/>
          <w:snapToGrid w:val="0"/>
        </w:rPr>
        <w:t>Extrapolated non-inferior effectiveness and extrapolated non-inferior safety in RFCD, AS, PsA and CPP.</w:t>
      </w:r>
    </w:p>
    <w:p w14:paraId="0FDAE545" w14:textId="77777777" w:rsidR="00E32002" w:rsidRPr="005D05BB" w:rsidRDefault="00E32002" w:rsidP="00E32002">
      <w:pPr>
        <w:pStyle w:val="3-BodyText"/>
        <w:rPr>
          <w:snapToGrid/>
        </w:rPr>
      </w:pPr>
      <w:r w:rsidRPr="005D05BB">
        <w:rPr>
          <w:snapToGrid/>
        </w:rPr>
        <w:t>The</w:t>
      </w:r>
      <w:r w:rsidR="009002A1" w:rsidRPr="005D05BB">
        <w:rPr>
          <w:snapToGrid/>
        </w:rPr>
        <w:t xml:space="preserve"> ESC agreed with the evaluation that the</w:t>
      </w:r>
      <w:r w:rsidRPr="005D05BB">
        <w:rPr>
          <w:snapToGrid/>
        </w:rPr>
        <w:t xml:space="preserve"> claim of superior effectiveness in RA and UC was not adequately supported:</w:t>
      </w:r>
    </w:p>
    <w:p w14:paraId="5B9A3925" w14:textId="77777777" w:rsidR="00E32002" w:rsidRPr="005D05BB" w:rsidRDefault="00E32002" w:rsidP="00D432E3">
      <w:pPr>
        <w:numPr>
          <w:ilvl w:val="0"/>
          <w:numId w:val="6"/>
        </w:numPr>
        <w:spacing w:after="120"/>
        <w:ind w:left="1134" w:hanging="425"/>
      </w:pPr>
      <w:r w:rsidRPr="005D05BB">
        <w:t xml:space="preserve">For RA, the claim was based </w:t>
      </w:r>
      <w:r w:rsidR="00CD059E" w:rsidRPr="005D05BB">
        <w:t xml:space="preserve">on </w:t>
      </w:r>
      <w:r w:rsidRPr="005D05BB">
        <w:t>differences in outcomes</w:t>
      </w:r>
      <w:r w:rsidR="00B36D0C">
        <w:t>,</w:t>
      </w:r>
      <w:r w:rsidRPr="005D05BB">
        <w:t xml:space="preserve"> including ACR response</w:t>
      </w:r>
      <w:r w:rsidR="00B36D0C">
        <w:t>,</w:t>
      </w:r>
      <w:r w:rsidRPr="005D05BB">
        <w:t xml:space="preserve"> favouring IFX SC at Week 30</w:t>
      </w:r>
      <w:r w:rsidR="005D05BB">
        <w:t xml:space="preserve">. </w:t>
      </w:r>
      <w:r w:rsidRPr="005D05BB">
        <w:t xml:space="preserve">Results at Week 22, which better reflect the </w:t>
      </w:r>
      <w:r w:rsidR="00993E4F" w:rsidRPr="005D05BB">
        <w:t>time point</w:t>
      </w:r>
      <w:r w:rsidRPr="005D05BB">
        <w:t xml:space="preserve"> when initial response is assessed on the PBS, showed no difference </w:t>
      </w:r>
      <w:r w:rsidRPr="005D05BB">
        <w:rPr>
          <w:rFonts w:asciiTheme="minorHAnsi" w:hAnsiTheme="minorHAnsi"/>
          <w:snapToGrid w:val="0"/>
        </w:rPr>
        <w:t>between</w:t>
      </w:r>
      <w:r w:rsidRPr="005D05BB">
        <w:t xml:space="preserve"> IFX</w:t>
      </w:r>
      <w:r w:rsidR="00CD059E" w:rsidRPr="005D05BB">
        <w:t xml:space="preserve"> SC</w:t>
      </w:r>
      <w:r w:rsidRPr="005D05BB">
        <w:t xml:space="preserve"> and IFX IV</w:t>
      </w:r>
      <w:r w:rsidR="005D05BB">
        <w:t xml:space="preserve">. </w:t>
      </w:r>
      <w:r w:rsidRPr="005D05BB">
        <w:rPr>
          <w:iCs/>
        </w:rPr>
        <w:t xml:space="preserve">Interpretation of these secondary outcomes is also problematic as the trial did not adjust for multiplicity and </w:t>
      </w:r>
      <w:r w:rsidRPr="005D05BB">
        <w:t xml:space="preserve">the submission did not demonstrate that the differences observed were clinically meaningful. </w:t>
      </w:r>
      <w:r w:rsidRPr="005D05BB">
        <w:rPr>
          <w:iCs/>
        </w:rPr>
        <w:t>T</w:t>
      </w:r>
      <w:r w:rsidRPr="005D05BB">
        <w:t>he TGA Clinical Evaluation Report (Round 2) concluded that the small differences in outcomes between IFX SC and IFX IV were unlikely to be clinically meaningful</w:t>
      </w:r>
      <w:r w:rsidR="005D05BB">
        <w:t xml:space="preserve">. </w:t>
      </w:r>
      <w:r w:rsidR="00E202D6" w:rsidRPr="005D05BB">
        <w:t>The PSCR argued that assessment at Week 30 represents the most complete durable data, and that the PBAC had previously accepted comparative effectiveness for RA at Week 30 (paragraph 6.21, infliximab PSD, July 2015).</w:t>
      </w:r>
    </w:p>
    <w:p w14:paraId="468F194E" w14:textId="77777777" w:rsidR="00E32002" w:rsidRPr="005D05BB" w:rsidRDefault="00E32002" w:rsidP="00D432E3">
      <w:pPr>
        <w:numPr>
          <w:ilvl w:val="0"/>
          <w:numId w:val="6"/>
        </w:numPr>
        <w:spacing w:after="120"/>
        <w:ind w:left="1134" w:hanging="425"/>
      </w:pPr>
      <w:r w:rsidRPr="005D05BB">
        <w:t xml:space="preserve">For UC, </w:t>
      </w:r>
      <w:r w:rsidR="002C3F54" w:rsidRPr="005D05BB">
        <w:t>the claim was based on differences favouring IFX SC in terms of clinical response and remission using total Mayo score at Week 22</w:t>
      </w:r>
      <w:r w:rsidR="005D05BB">
        <w:t xml:space="preserve">. </w:t>
      </w:r>
      <w:r w:rsidR="002C3F54" w:rsidRPr="005D05BB">
        <w:t>Interpretation of these outcomes is problematic because the small open-label pharmacokinetic trial was not powered to test for differences in efficacy outcomes</w:t>
      </w:r>
      <w:r w:rsidR="005D05BB">
        <w:t xml:space="preserve">. </w:t>
      </w:r>
      <w:r w:rsidR="002C3F54" w:rsidRPr="005D05BB">
        <w:t xml:space="preserve">The observed difference may be </w:t>
      </w:r>
      <w:r w:rsidR="00B36D0C">
        <w:t>impacted by</w:t>
      </w:r>
      <w:r w:rsidR="002C3F54" w:rsidRPr="005D05BB">
        <w:t xml:space="preserve"> more patients in the IFX IV arm discontinuing treatment or with missing endoscopy subscores at Week 22, which were coded as treatment failures in the analysis</w:t>
      </w:r>
      <w:r w:rsidR="005D05BB">
        <w:t xml:space="preserve">. </w:t>
      </w:r>
      <w:r w:rsidR="002C3F54" w:rsidRPr="005D05BB">
        <w:t>Clinical response or remission using partial Mayo score, which better reflects the response criteria on the PBS, showed no differences between IFX SC and IFX IV at Week 22.</w:t>
      </w:r>
    </w:p>
    <w:p w14:paraId="7ACAAF82" w14:textId="77777777" w:rsidR="00E32002" w:rsidRPr="005D05BB" w:rsidRDefault="007E24A4" w:rsidP="00754D31">
      <w:pPr>
        <w:pStyle w:val="3-BodyText"/>
        <w:numPr>
          <w:ilvl w:val="0"/>
          <w:numId w:val="0"/>
        </w:numPr>
        <w:ind w:left="720"/>
        <w:rPr>
          <w:snapToGrid/>
        </w:rPr>
      </w:pPr>
      <w:r w:rsidRPr="005D05BB">
        <w:rPr>
          <w:snapToGrid/>
        </w:rPr>
        <w:t>On balance,</w:t>
      </w:r>
      <w:r w:rsidR="009002A1" w:rsidRPr="005D05BB">
        <w:rPr>
          <w:snapToGrid/>
        </w:rPr>
        <w:t xml:space="preserve"> the ESC agreed with the evaluation that</w:t>
      </w:r>
      <w:r w:rsidRPr="005D05BB">
        <w:rPr>
          <w:snapToGrid/>
        </w:rPr>
        <w:t xml:space="preserve"> it may be more reasonable to describe IFX SC and IFX IV as having non-inferior efficacy in RA and UC [and CD].</w:t>
      </w:r>
    </w:p>
    <w:p w14:paraId="4CBBF6D3" w14:textId="77777777" w:rsidR="00E32002" w:rsidRPr="005D05BB" w:rsidRDefault="00C70E62" w:rsidP="0024525A">
      <w:pPr>
        <w:pStyle w:val="3-BodyText"/>
        <w:rPr>
          <w:snapToGrid/>
        </w:rPr>
      </w:pPr>
      <w:r w:rsidRPr="005D05BB">
        <w:t>The ESC agreed with the evaluation that t</w:t>
      </w:r>
      <w:r w:rsidR="00754D31" w:rsidRPr="005D05BB">
        <w:t xml:space="preserve">he </w:t>
      </w:r>
      <w:r w:rsidR="00754D31" w:rsidRPr="005D05BB">
        <w:rPr>
          <w:snapToGrid/>
        </w:rPr>
        <w:t>claim of superior safety in RA was not adequately supported</w:t>
      </w:r>
      <w:r w:rsidR="005D05BB">
        <w:rPr>
          <w:snapToGrid/>
        </w:rPr>
        <w:t xml:space="preserve">. </w:t>
      </w:r>
      <w:r w:rsidR="00754D31" w:rsidRPr="005D05BB">
        <w:rPr>
          <w:snapToGrid/>
        </w:rPr>
        <w:t xml:space="preserve">The claim was based on </w:t>
      </w:r>
      <w:r w:rsidR="00B36D0C">
        <w:rPr>
          <w:snapToGrid/>
        </w:rPr>
        <w:t>fewer</w:t>
      </w:r>
      <w:r w:rsidR="00B36D0C" w:rsidRPr="005D05BB">
        <w:rPr>
          <w:snapToGrid/>
        </w:rPr>
        <w:t xml:space="preserve"> </w:t>
      </w:r>
      <w:r w:rsidR="00754D31" w:rsidRPr="005D05BB">
        <w:rPr>
          <w:snapToGrid/>
        </w:rPr>
        <w:t>discontinuations due to drug-related AEs for IFX SC compared to IFX IV</w:t>
      </w:r>
      <w:r w:rsidR="0085170F" w:rsidRPr="005D05BB">
        <w:rPr>
          <w:snapToGrid/>
        </w:rPr>
        <w:t>;</w:t>
      </w:r>
      <w:r w:rsidR="00754D31" w:rsidRPr="005D05BB">
        <w:rPr>
          <w:snapToGrid/>
        </w:rPr>
        <w:t xml:space="preserve"> however, these included infection and positional vertigo</w:t>
      </w:r>
      <w:r w:rsidR="0085170F" w:rsidRPr="005D05BB">
        <w:rPr>
          <w:snapToGrid/>
        </w:rPr>
        <w:t>,</w:t>
      </w:r>
      <w:r w:rsidR="00754D31" w:rsidRPr="005D05BB">
        <w:rPr>
          <w:snapToGrid/>
        </w:rPr>
        <w:t xml:space="preserve"> which would not be considered to be dose route specific (CHMP </w:t>
      </w:r>
      <w:r w:rsidR="00754D31" w:rsidRPr="005D05BB">
        <w:rPr>
          <w:snapToGrid/>
        </w:rPr>
        <w:lastRenderedPageBreak/>
        <w:t>document for Remsima SC</w:t>
      </w:r>
      <w:r w:rsidR="00754D31" w:rsidRPr="005D05BB">
        <w:rPr>
          <w:rStyle w:val="FootnoteReference"/>
          <w:snapToGrid/>
        </w:rPr>
        <w:footnoteReference w:id="2"/>
      </w:r>
      <w:r w:rsidR="00754D31" w:rsidRPr="005D05BB">
        <w:rPr>
          <w:snapToGrid/>
        </w:rPr>
        <w:t>)</w:t>
      </w:r>
      <w:r w:rsidR="005D05BB">
        <w:rPr>
          <w:snapToGrid/>
        </w:rPr>
        <w:t xml:space="preserve">. </w:t>
      </w:r>
      <w:r w:rsidR="00754D31" w:rsidRPr="005D05BB">
        <w:rPr>
          <w:snapToGrid/>
        </w:rPr>
        <w:t xml:space="preserve">The ESC also </w:t>
      </w:r>
      <w:r w:rsidR="00782FC1">
        <w:rPr>
          <w:snapToGrid/>
        </w:rPr>
        <w:t>noted</w:t>
      </w:r>
      <w:r w:rsidR="00782FC1" w:rsidRPr="005D05BB">
        <w:rPr>
          <w:snapToGrid/>
        </w:rPr>
        <w:t xml:space="preserve"> </w:t>
      </w:r>
      <w:r w:rsidR="00925759" w:rsidRPr="005D05BB">
        <w:rPr>
          <w:snapToGrid/>
        </w:rPr>
        <w:t xml:space="preserve">that </w:t>
      </w:r>
      <w:r w:rsidR="00754D31" w:rsidRPr="005D05BB">
        <w:rPr>
          <w:snapToGrid/>
        </w:rPr>
        <w:t>data available from this</w:t>
      </w:r>
      <w:r w:rsidR="00754D31" w:rsidRPr="005D05BB">
        <w:t xml:space="preserve"> document showed there were more discontinuations in the SC arms </w:t>
      </w:r>
      <w:r w:rsidR="00B90F3C" w:rsidRPr="005D05BB">
        <w:t xml:space="preserve">in part 1 of this study </w:t>
      </w:r>
      <w:r w:rsidR="00754D31" w:rsidRPr="005D05BB">
        <w:t xml:space="preserve">(including 120 mg dose); </w:t>
      </w:r>
      <w:r w:rsidR="00B90F3C" w:rsidRPr="005D05BB">
        <w:t xml:space="preserve">no </w:t>
      </w:r>
      <w:r w:rsidR="00754D31" w:rsidRPr="005D05BB">
        <w:t xml:space="preserve">data </w:t>
      </w:r>
      <w:r w:rsidR="00B90F3C" w:rsidRPr="005D05BB">
        <w:t xml:space="preserve">from part 1 </w:t>
      </w:r>
      <w:r w:rsidR="00754D31" w:rsidRPr="005D05BB">
        <w:t xml:space="preserve">were presented </w:t>
      </w:r>
      <w:r w:rsidR="00B90F3C" w:rsidRPr="005D05BB">
        <w:t>in</w:t>
      </w:r>
      <w:r w:rsidR="0085170F" w:rsidRPr="005D05BB">
        <w:t xml:space="preserve"> the </w:t>
      </w:r>
      <w:r w:rsidR="00754D31" w:rsidRPr="005D05BB">
        <w:t>submission</w:t>
      </w:r>
      <w:r w:rsidR="005D05BB">
        <w:rPr>
          <w:snapToGrid/>
        </w:rPr>
        <w:t xml:space="preserve">. </w:t>
      </w:r>
      <w:r w:rsidR="0085170F" w:rsidRPr="005D05BB">
        <w:rPr>
          <w:snapToGrid/>
        </w:rPr>
        <w:t>T</w:t>
      </w:r>
      <w:r w:rsidR="00754D31" w:rsidRPr="005D05BB">
        <w:rPr>
          <w:snapToGrid/>
        </w:rPr>
        <w:t>here was an increased risk of injection site reactions with IFX SC and the incidence of any AEs were similar in one of the trials</w:t>
      </w:r>
      <w:r w:rsidR="005D05BB">
        <w:rPr>
          <w:snapToGrid/>
        </w:rPr>
        <w:t xml:space="preserve">. </w:t>
      </w:r>
      <w:r w:rsidR="00754D31" w:rsidRPr="005D05BB">
        <w:rPr>
          <w:snapToGrid/>
        </w:rPr>
        <w:t>On balance,</w:t>
      </w:r>
      <w:r w:rsidRPr="005D05BB">
        <w:rPr>
          <w:snapToGrid/>
        </w:rPr>
        <w:t xml:space="preserve"> the ESC agreed with the evaluation that</w:t>
      </w:r>
      <w:r w:rsidR="00754D31" w:rsidRPr="005D05BB">
        <w:rPr>
          <w:snapToGrid/>
        </w:rPr>
        <w:t xml:space="preserve"> it may be more reasonable to describe IFX SC and IFX IV as having similar or non-inferior safety profiles in RA [and UC and CD].</w:t>
      </w:r>
    </w:p>
    <w:p w14:paraId="61F8EC5E" w14:textId="77777777" w:rsidR="00CB0954" w:rsidRPr="005D05BB" w:rsidRDefault="009034D2" w:rsidP="006241E7">
      <w:pPr>
        <w:pStyle w:val="3-BodyText"/>
        <w:rPr>
          <w:snapToGrid/>
        </w:rPr>
      </w:pPr>
      <w:r w:rsidRPr="005D05BB">
        <w:rPr>
          <w:szCs w:val="20"/>
          <w:lang w:eastAsia="en-US"/>
        </w:rPr>
        <w:t>The PBAC considered that the claim of superior comparative effectiveness</w:t>
      </w:r>
      <w:r w:rsidR="00CB0954" w:rsidRPr="005D05BB">
        <w:rPr>
          <w:szCs w:val="20"/>
          <w:lang w:eastAsia="en-US"/>
        </w:rPr>
        <w:t xml:space="preserve"> in RA and UC </w:t>
      </w:r>
      <w:r w:rsidRPr="005D05BB">
        <w:rPr>
          <w:szCs w:val="20"/>
          <w:lang w:eastAsia="en-US"/>
        </w:rPr>
        <w:t>was not adequately supported by the data</w:t>
      </w:r>
      <w:r w:rsidR="005D05BB">
        <w:rPr>
          <w:szCs w:val="20"/>
          <w:lang w:eastAsia="en-US"/>
        </w:rPr>
        <w:t xml:space="preserve">. </w:t>
      </w:r>
      <w:r w:rsidRPr="005D05BB">
        <w:rPr>
          <w:szCs w:val="20"/>
          <w:lang w:eastAsia="en-US"/>
        </w:rPr>
        <w:t>The PBAC</w:t>
      </w:r>
      <w:r w:rsidR="006241E7" w:rsidRPr="005D05BB">
        <w:rPr>
          <w:szCs w:val="20"/>
          <w:lang w:eastAsia="en-US"/>
        </w:rPr>
        <w:t xml:space="preserve"> </w:t>
      </w:r>
      <w:r w:rsidRPr="005D05BB">
        <w:rPr>
          <w:szCs w:val="20"/>
          <w:lang w:eastAsia="en-US"/>
        </w:rPr>
        <w:t xml:space="preserve">considered that the claim of superior comparative safety </w:t>
      </w:r>
      <w:r w:rsidR="00F364EA" w:rsidRPr="005D05BB">
        <w:rPr>
          <w:szCs w:val="20"/>
          <w:lang w:eastAsia="en-US"/>
        </w:rPr>
        <w:t xml:space="preserve">in RA </w:t>
      </w:r>
      <w:r w:rsidRPr="005D05BB">
        <w:rPr>
          <w:szCs w:val="20"/>
          <w:lang w:eastAsia="en-US"/>
        </w:rPr>
        <w:t>was</w:t>
      </w:r>
      <w:r w:rsidR="006241E7" w:rsidRPr="005D05BB">
        <w:rPr>
          <w:szCs w:val="20"/>
          <w:lang w:eastAsia="en-US"/>
        </w:rPr>
        <w:t xml:space="preserve"> also</w:t>
      </w:r>
      <w:r w:rsidRPr="005D05BB">
        <w:rPr>
          <w:szCs w:val="20"/>
          <w:lang w:eastAsia="en-US"/>
        </w:rPr>
        <w:t xml:space="preserve"> not adequately supported by the data</w:t>
      </w:r>
      <w:r w:rsidR="005D05BB">
        <w:rPr>
          <w:szCs w:val="20"/>
          <w:lang w:eastAsia="en-US"/>
        </w:rPr>
        <w:t xml:space="preserve">. </w:t>
      </w:r>
      <w:r w:rsidR="00CB0954" w:rsidRPr="005D05BB">
        <w:rPr>
          <w:szCs w:val="20"/>
          <w:lang w:eastAsia="en-US"/>
        </w:rPr>
        <w:t xml:space="preserve">The PBAC </w:t>
      </w:r>
      <w:r w:rsidR="006241E7" w:rsidRPr="005D05BB">
        <w:rPr>
          <w:szCs w:val="20"/>
          <w:lang w:eastAsia="en-US"/>
        </w:rPr>
        <w:t xml:space="preserve">agreed with the ESC </w:t>
      </w:r>
      <w:r w:rsidR="00CB0954" w:rsidRPr="005D05BB">
        <w:rPr>
          <w:szCs w:val="20"/>
          <w:lang w:eastAsia="en-US"/>
        </w:rPr>
        <w:t xml:space="preserve">that a conclusion </w:t>
      </w:r>
      <w:r w:rsidR="00155A1D" w:rsidRPr="005D05BB">
        <w:rPr>
          <w:szCs w:val="20"/>
          <w:lang w:eastAsia="en-US"/>
        </w:rPr>
        <w:t>of</w:t>
      </w:r>
      <w:r w:rsidR="00CB0954" w:rsidRPr="005D05BB">
        <w:rPr>
          <w:szCs w:val="20"/>
          <w:lang w:eastAsia="en-US"/>
        </w:rPr>
        <w:t xml:space="preserve"> non-inferior effectiveness and safety across the</w:t>
      </w:r>
      <w:r w:rsidR="006241E7" w:rsidRPr="005D05BB">
        <w:rPr>
          <w:szCs w:val="20"/>
          <w:lang w:eastAsia="en-US"/>
        </w:rPr>
        <w:t xml:space="preserve"> RA, UC and CD</w:t>
      </w:r>
      <w:r w:rsidR="00CB0954" w:rsidRPr="005D05BB">
        <w:rPr>
          <w:szCs w:val="20"/>
          <w:lang w:eastAsia="en-US"/>
        </w:rPr>
        <w:t xml:space="preserve"> indications </w:t>
      </w:r>
      <w:r w:rsidR="006241E7" w:rsidRPr="005D05BB">
        <w:rPr>
          <w:szCs w:val="20"/>
          <w:lang w:eastAsia="en-US"/>
        </w:rPr>
        <w:t>was</w:t>
      </w:r>
      <w:r w:rsidR="00CB0954" w:rsidRPr="005D05BB">
        <w:rPr>
          <w:szCs w:val="20"/>
          <w:lang w:eastAsia="en-US"/>
        </w:rPr>
        <w:t xml:space="preserve"> reasonable.</w:t>
      </w:r>
    </w:p>
    <w:p w14:paraId="2590CBAF" w14:textId="77777777" w:rsidR="00A22A4E" w:rsidRPr="00791DCA" w:rsidRDefault="00FB083D" w:rsidP="00612707">
      <w:pPr>
        <w:pStyle w:val="3-BodyText"/>
        <w:rPr>
          <w:snapToGrid/>
        </w:rPr>
      </w:pPr>
      <w:r>
        <w:rPr>
          <w:bCs/>
        </w:rPr>
        <w:t>T</w:t>
      </w:r>
      <w:r w:rsidRPr="001D6AB9">
        <w:rPr>
          <w:bCs/>
        </w:rPr>
        <w:t xml:space="preserve">he PBAC considered that non-inferiority of IFX SC to IFX IV in PsA, CPP, RFCD and AS was not adequately supported given </w:t>
      </w:r>
      <w:r w:rsidRPr="001D6AB9">
        <w:rPr>
          <w:rFonts w:ascii="Calibri" w:hAnsi="Calibri" w:cstheme="minorHAnsi"/>
          <w:snapToGrid/>
        </w:rPr>
        <w:t>there were no clinical trials assessing the efficacy of IFX SC in patients with these condit</w:t>
      </w:r>
      <w:r w:rsidR="007D1914">
        <w:rPr>
          <w:rFonts w:ascii="Calibri" w:hAnsi="Calibri" w:cstheme="minorHAnsi"/>
          <w:snapToGrid/>
        </w:rPr>
        <w:t xml:space="preserve">ions, and the higher dose of </w:t>
      </w:r>
      <w:r w:rsidRPr="001D6AB9">
        <w:rPr>
          <w:rFonts w:ascii="Calibri" w:hAnsi="Calibri" w:cstheme="minorHAnsi"/>
          <w:snapToGrid/>
        </w:rPr>
        <w:t>IFX</w:t>
      </w:r>
      <w:r w:rsidR="007D1914">
        <w:rPr>
          <w:rFonts w:ascii="Calibri" w:hAnsi="Calibri" w:cstheme="minorHAnsi"/>
          <w:snapToGrid/>
        </w:rPr>
        <w:t xml:space="preserve"> IV</w:t>
      </w:r>
      <w:r w:rsidRPr="001D6AB9">
        <w:rPr>
          <w:rFonts w:ascii="Calibri" w:hAnsi="Calibri" w:cstheme="minorHAnsi"/>
          <w:snapToGrid/>
        </w:rPr>
        <w:t xml:space="preserve"> </w:t>
      </w:r>
      <w:r>
        <w:rPr>
          <w:rFonts w:ascii="Calibri" w:hAnsi="Calibri" w:cstheme="minorHAnsi"/>
          <w:snapToGrid/>
        </w:rPr>
        <w:t>is</w:t>
      </w:r>
      <w:r w:rsidRPr="001D6AB9">
        <w:rPr>
          <w:rFonts w:ascii="Calibri" w:hAnsi="Calibri" w:cstheme="minorHAnsi"/>
          <w:snapToGrid/>
        </w:rPr>
        <w:t xml:space="preserve"> recommended for these patients.</w:t>
      </w:r>
      <w:r>
        <w:rPr>
          <w:rFonts w:ascii="Calibri" w:hAnsi="Calibri" w:cstheme="minorHAnsi"/>
          <w:snapToGrid/>
        </w:rPr>
        <w:t xml:space="preserve"> </w:t>
      </w:r>
    </w:p>
    <w:p w14:paraId="3EE2C3E1" w14:textId="77777777" w:rsidR="00E32002" w:rsidRPr="005D05BB" w:rsidRDefault="00E32002" w:rsidP="00E32002">
      <w:pPr>
        <w:pStyle w:val="4-SubsectionHeading"/>
      </w:pPr>
      <w:bookmarkStart w:id="28" w:name="_Toc22897645"/>
      <w:bookmarkStart w:id="29" w:name="_Toc50709849"/>
      <w:r w:rsidRPr="005D05BB">
        <w:t>Economic analysis</w:t>
      </w:r>
      <w:bookmarkEnd w:id="28"/>
      <w:bookmarkEnd w:id="29"/>
      <w:r w:rsidRPr="005D05BB">
        <w:t xml:space="preserve"> </w:t>
      </w:r>
    </w:p>
    <w:p w14:paraId="1C815745" w14:textId="77777777" w:rsidR="00E32002" w:rsidRPr="005D05BB" w:rsidRDefault="00E32002" w:rsidP="00E32002">
      <w:pPr>
        <w:pStyle w:val="3-BodyText"/>
      </w:pPr>
      <w:r w:rsidRPr="005D05BB">
        <w:t>The submission proposed the following equi-effective doses for maintenance therapy (after two doses of IFX IV):</w:t>
      </w:r>
    </w:p>
    <w:p w14:paraId="28FDC550" w14:textId="77777777" w:rsidR="00E32002" w:rsidRPr="005D05BB" w:rsidRDefault="00E32002" w:rsidP="00D432E3">
      <w:pPr>
        <w:numPr>
          <w:ilvl w:val="0"/>
          <w:numId w:val="6"/>
        </w:numPr>
        <w:spacing w:after="120"/>
        <w:ind w:left="1418" w:hanging="425"/>
      </w:pPr>
      <w:r w:rsidRPr="005D05BB">
        <w:t>12</w:t>
      </w:r>
      <w:r w:rsidR="000B0C55" w:rsidRPr="005D05BB">
        <w:t>0 mg</w:t>
      </w:r>
      <w:r w:rsidRPr="005D05BB">
        <w:t xml:space="preserve"> IFX SC every 2 weeks (in all indications) </w:t>
      </w:r>
      <w:r w:rsidR="00D70561" w:rsidRPr="005D05BB">
        <w:rPr>
          <w:rFonts w:cs="Calibri"/>
        </w:rPr>
        <w:t>≡</w:t>
      </w:r>
    </w:p>
    <w:p w14:paraId="2A876056" w14:textId="77777777" w:rsidR="00E32002" w:rsidRPr="005D05BB" w:rsidRDefault="000B0C55" w:rsidP="00D432E3">
      <w:pPr>
        <w:numPr>
          <w:ilvl w:val="0"/>
          <w:numId w:val="6"/>
        </w:numPr>
        <w:spacing w:after="120"/>
        <w:ind w:left="1418" w:hanging="425"/>
      </w:pPr>
      <w:r w:rsidRPr="005D05BB">
        <w:t>3 mg/kg</w:t>
      </w:r>
      <w:r w:rsidR="00584EA5" w:rsidRPr="005D05BB">
        <w:t xml:space="preserve"> IFX IV every 8 weeks in RA</w:t>
      </w:r>
    </w:p>
    <w:p w14:paraId="268787A7" w14:textId="77777777" w:rsidR="00E32002" w:rsidRPr="005D05BB" w:rsidRDefault="000B0C55" w:rsidP="00D432E3">
      <w:pPr>
        <w:numPr>
          <w:ilvl w:val="0"/>
          <w:numId w:val="6"/>
        </w:numPr>
        <w:spacing w:after="120"/>
        <w:ind w:left="1418" w:hanging="425"/>
      </w:pPr>
      <w:r w:rsidRPr="005D05BB">
        <w:t>5 mg/kg</w:t>
      </w:r>
      <w:r w:rsidR="00E32002" w:rsidRPr="005D05BB">
        <w:t xml:space="preserve"> IFX IV every 8 week</w:t>
      </w:r>
      <w:r w:rsidR="00584EA5" w:rsidRPr="005D05BB">
        <w:t>s in UC, CD, CPP, PsA, and RFCD</w:t>
      </w:r>
    </w:p>
    <w:p w14:paraId="386BE54A" w14:textId="77777777" w:rsidR="00E32002" w:rsidRPr="005D05BB" w:rsidRDefault="000B0C55" w:rsidP="00D432E3">
      <w:pPr>
        <w:numPr>
          <w:ilvl w:val="0"/>
          <w:numId w:val="6"/>
        </w:numPr>
        <w:spacing w:after="120"/>
        <w:ind w:left="1418" w:hanging="425"/>
      </w:pPr>
      <w:r w:rsidRPr="005D05BB">
        <w:t>5 mg/kg</w:t>
      </w:r>
      <w:r w:rsidR="00E32002" w:rsidRPr="005D05BB">
        <w:t xml:space="preserve"> IFX IV every 6 weeks in AS</w:t>
      </w:r>
      <w:r w:rsidR="007E130C" w:rsidRPr="005D05BB">
        <w:t>.</w:t>
      </w:r>
    </w:p>
    <w:p w14:paraId="1E4816A3" w14:textId="77777777" w:rsidR="007E130C" w:rsidRPr="005D05BB" w:rsidRDefault="003A240A" w:rsidP="007E130C">
      <w:pPr>
        <w:spacing w:after="120"/>
        <w:ind w:left="720"/>
      </w:pPr>
      <w:r w:rsidRPr="005D05BB">
        <w:t>The nomination of equi-effective dosing for RA, UC and CD was based</w:t>
      </w:r>
      <w:r w:rsidR="00B7708B" w:rsidRPr="005D05BB">
        <w:t xml:space="preserve"> on </w:t>
      </w:r>
      <w:r w:rsidR="00CD059E" w:rsidRPr="005D05BB">
        <w:t xml:space="preserve">clinical </w:t>
      </w:r>
      <w:r w:rsidR="00B7708B" w:rsidRPr="005D05BB">
        <w:t>data</w:t>
      </w:r>
      <w:r w:rsidR="00CD059E" w:rsidRPr="005D05BB">
        <w:t xml:space="preserve"> from RCTs</w:t>
      </w:r>
      <w:r w:rsidR="005D05BB">
        <w:t xml:space="preserve">. </w:t>
      </w:r>
      <w:r w:rsidRPr="005D05BB">
        <w:t>Equi-effective dosing for AS, PsA, CPP and RFCD was extrapolated based on pharmacokinetic-pharmacodynamic modelling data, as no specific clinical studies were available for these indications</w:t>
      </w:r>
      <w:r w:rsidR="005D05BB">
        <w:t xml:space="preserve">. </w:t>
      </w:r>
    </w:p>
    <w:p w14:paraId="4E991B05" w14:textId="77777777" w:rsidR="00E32002" w:rsidRPr="005D05BB" w:rsidRDefault="00E32002" w:rsidP="00E32002">
      <w:pPr>
        <w:pStyle w:val="3-BodyText"/>
      </w:pPr>
      <w:r w:rsidRPr="005D05BB">
        <w:t xml:space="preserve">The submission presented a </w:t>
      </w:r>
      <w:r w:rsidR="00A60A06" w:rsidRPr="005D05BB">
        <w:t>CMA</w:t>
      </w:r>
      <w:r w:rsidRPr="005D05BB">
        <w:t xml:space="preserve"> comparing IFX SC to IFX IV over a </w:t>
      </w:r>
      <w:r w:rsidR="00C8121B" w:rsidRPr="005D05BB">
        <w:t>2-year</w:t>
      </w:r>
      <w:r w:rsidRPr="005D05BB">
        <w:t xml:space="preserve"> time horizon, based on the following inputs and assumptions:</w:t>
      </w:r>
    </w:p>
    <w:p w14:paraId="62AE644F" w14:textId="77777777" w:rsidR="00E32002" w:rsidRPr="005D05BB" w:rsidRDefault="00E32002" w:rsidP="00D432E3">
      <w:pPr>
        <w:numPr>
          <w:ilvl w:val="0"/>
          <w:numId w:val="6"/>
        </w:numPr>
        <w:spacing w:after="120"/>
        <w:ind w:left="1134" w:hanging="425"/>
        <w:rPr>
          <w:iCs/>
        </w:rPr>
      </w:pPr>
      <w:r w:rsidRPr="005D05BB">
        <w:t>The analysis included the loading doses of IFX IV in both arms</w:t>
      </w:r>
      <w:r w:rsidR="005D05BB">
        <w:t xml:space="preserve">. </w:t>
      </w:r>
      <w:r w:rsidRPr="005D05BB">
        <w:rPr>
          <w:iCs/>
        </w:rPr>
        <w:t>Th</w:t>
      </w:r>
      <w:r w:rsidR="00EA4D28" w:rsidRPr="005D05BB">
        <w:rPr>
          <w:iCs/>
        </w:rPr>
        <w:t>e ESC considered</w:t>
      </w:r>
      <w:r w:rsidR="00EA4D28" w:rsidRPr="005D05BB">
        <w:rPr>
          <w:i/>
          <w:iCs/>
        </w:rPr>
        <w:t xml:space="preserve"> </w:t>
      </w:r>
      <w:r w:rsidR="00EA4D28" w:rsidRPr="005D05BB">
        <w:rPr>
          <w:iCs/>
        </w:rPr>
        <w:t xml:space="preserve">this </w:t>
      </w:r>
      <w:r w:rsidRPr="005D05BB">
        <w:rPr>
          <w:iCs/>
        </w:rPr>
        <w:t>may not be a reasonable assumption and favours IFX SC</w:t>
      </w:r>
      <w:r w:rsidR="005D05BB">
        <w:rPr>
          <w:iCs/>
        </w:rPr>
        <w:t xml:space="preserve">. </w:t>
      </w:r>
      <w:r w:rsidRPr="005D05BB">
        <w:rPr>
          <w:iCs/>
        </w:rPr>
        <w:t>Treatment with IFX SC starts at Week 6 (or later) and patients that switch from IFX IV to IFX SC do not undergo induction therapy again with IV loading doses</w:t>
      </w:r>
      <w:r w:rsidR="005D05BB">
        <w:rPr>
          <w:iCs/>
        </w:rPr>
        <w:t xml:space="preserve">. </w:t>
      </w:r>
      <w:r w:rsidR="00EF1E9D" w:rsidRPr="005D05BB">
        <w:rPr>
          <w:iCs/>
        </w:rPr>
        <w:t xml:space="preserve">The PBAC agreed with the ESC that </w:t>
      </w:r>
      <w:r w:rsidR="004C6CB1" w:rsidRPr="005D05BB">
        <w:rPr>
          <w:iCs/>
        </w:rPr>
        <w:t xml:space="preserve">the CMA should begin from the point of starting therapy with IFX SC </w:t>
      </w:r>
      <w:r w:rsidR="004C6CB1" w:rsidRPr="005D05BB">
        <w:rPr>
          <w:iCs/>
        </w:rPr>
        <w:lastRenderedPageBreak/>
        <w:t>following the IV loading doses</w:t>
      </w:r>
      <w:r w:rsidR="005D05BB">
        <w:rPr>
          <w:iCs/>
        </w:rPr>
        <w:t xml:space="preserve">. </w:t>
      </w:r>
      <w:r w:rsidR="0049588C" w:rsidRPr="005D05BB">
        <w:rPr>
          <w:iCs/>
        </w:rPr>
        <w:t xml:space="preserve">The Sponsor accepted the </w:t>
      </w:r>
      <w:r w:rsidR="0049588C" w:rsidRPr="005D05BB">
        <w:t>2-year time horizon from Week 6</w:t>
      </w:r>
      <w:r w:rsidR="0049588C" w:rsidRPr="005D05BB">
        <w:rPr>
          <w:iCs/>
        </w:rPr>
        <w:t xml:space="preserve"> in the</w:t>
      </w:r>
      <w:r w:rsidR="00207DA2" w:rsidRPr="005D05BB">
        <w:rPr>
          <w:iCs/>
        </w:rPr>
        <w:t>ir</w:t>
      </w:r>
      <w:r w:rsidR="0049588C" w:rsidRPr="005D05BB">
        <w:rPr>
          <w:iCs/>
        </w:rPr>
        <w:t xml:space="preserve"> pre-PBAC response.</w:t>
      </w:r>
      <w:r w:rsidR="0049588C" w:rsidRPr="005D05BB">
        <w:t xml:space="preserve"> </w:t>
      </w:r>
    </w:p>
    <w:p w14:paraId="574B0E34" w14:textId="77777777" w:rsidR="00E32002" w:rsidRPr="005D05BB" w:rsidRDefault="00E32002" w:rsidP="00D432E3">
      <w:pPr>
        <w:numPr>
          <w:ilvl w:val="0"/>
          <w:numId w:val="6"/>
        </w:numPr>
        <w:spacing w:after="120"/>
        <w:ind w:left="1134" w:hanging="425"/>
        <w:rPr>
          <w:iCs/>
        </w:rPr>
      </w:pPr>
      <w:r w:rsidRPr="005D05BB">
        <w:t>The analysis included costs offsets for the administration of IFX IV, including costs to the health system (MBS item 14245, 100% rebate) and patien</w:t>
      </w:r>
      <w:r w:rsidRPr="003A6946">
        <w:t>t time costs (</w:t>
      </w:r>
      <w:r w:rsidR="00921FA1">
        <w:rPr>
          <w:noProof/>
          <w:color w:val="000000"/>
          <w:highlight w:val="black"/>
        </w:rPr>
        <w:t>''' ''''''''''''</w:t>
      </w:r>
      <w:r w:rsidRPr="003A6946">
        <w:t xml:space="preserve"> valued at the average </w:t>
      </w:r>
      <w:r w:rsidR="00C8121B" w:rsidRPr="003A6946">
        <w:t>full-time</w:t>
      </w:r>
      <w:r w:rsidRPr="003A6946">
        <w:t xml:space="preserve"> wage)</w:t>
      </w:r>
      <w:r w:rsidR="005D05BB" w:rsidRPr="003A6946">
        <w:t xml:space="preserve">. </w:t>
      </w:r>
      <w:r w:rsidR="00EA4D28" w:rsidRPr="003A6946">
        <w:t xml:space="preserve">The ESC considered </w:t>
      </w:r>
      <w:r w:rsidR="00EA4D28" w:rsidRPr="003A6946">
        <w:rPr>
          <w:iCs/>
        </w:rPr>
        <w:t>i</w:t>
      </w:r>
      <w:r w:rsidRPr="003A6946">
        <w:rPr>
          <w:iCs/>
        </w:rPr>
        <w:t>ncluding</w:t>
      </w:r>
      <w:r w:rsidRPr="005D05BB">
        <w:rPr>
          <w:iCs/>
        </w:rPr>
        <w:t xml:space="preserve"> patient time costs in the base case analysis is not reasonable, and the patient time costs have not been included in past comparisons when a SC formulation substitutes an IV formulation (e.g. abatacept SC vs abatacept IV; tocilizumab SC vs tocilizumab IV)</w:t>
      </w:r>
      <w:r w:rsidR="005D05BB">
        <w:rPr>
          <w:iCs/>
        </w:rPr>
        <w:t xml:space="preserve">. </w:t>
      </w:r>
      <w:r w:rsidR="0081587E" w:rsidRPr="005D05BB">
        <w:t>The ESC</w:t>
      </w:r>
      <w:r w:rsidR="004C6CB1" w:rsidRPr="005D05BB">
        <w:t xml:space="preserve"> and the PBAC</w:t>
      </w:r>
      <w:r w:rsidR="0081587E" w:rsidRPr="005D05BB">
        <w:t xml:space="preserve"> agreed with the evaluation that while</w:t>
      </w:r>
      <w:r w:rsidR="006F76F1" w:rsidRPr="005D05BB">
        <w:t xml:space="preserve"> supplementary analyses may be presented that include such costs</w:t>
      </w:r>
      <w:r w:rsidR="00791DCA">
        <w:t xml:space="preserve"> </w:t>
      </w:r>
      <w:r w:rsidR="004C6CB1" w:rsidRPr="005D05BB">
        <w:t>so</w:t>
      </w:r>
      <w:r w:rsidR="006F76F1" w:rsidRPr="005D05BB">
        <w:t xml:space="preserve"> the PBAC can consider “the impact of including production changes on the direction and extent of change on the base case</w:t>
      </w:r>
      <w:r w:rsidR="0081587E" w:rsidRPr="005D05BB">
        <w:t xml:space="preserve"> </w:t>
      </w:r>
      <w:r w:rsidR="006F76F1" w:rsidRPr="005D05BB">
        <w:t>”</w:t>
      </w:r>
      <w:r w:rsidR="00791DCA">
        <w:t>,</w:t>
      </w:r>
      <w:r w:rsidR="0081587E" w:rsidRPr="005D05BB">
        <w:t xml:space="preserve"> including patient time costs in the base case is </w:t>
      </w:r>
      <w:r w:rsidR="00791DCA">
        <w:t>inconsistent with</w:t>
      </w:r>
      <w:r w:rsidR="0081587E" w:rsidRPr="005D05BB">
        <w:t xml:space="preserve"> the Guidelines</w:t>
      </w:r>
      <w:r w:rsidR="005D05BB">
        <w:t xml:space="preserve">. </w:t>
      </w:r>
      <w:r w:rsidR="0049588C" w:rsidRPr="005D05BB">
        <w:t>The Sponsor accepted the exclusion of patient time costs from the CMA in the</w:t>
      </w:r>
      <w:r w:rsidR="00207DA2" w:rsidRPr="005D05BB">
        <w:t>ir</w:t>
      </w:r>
      <w:r w:rsidR="0049588C" w:rsidRPr="005D05BB">
        <w:t xml:space="preserve"> pre-PBAC response.</w:t>
      </w:r>
    </w:p>
    <w:p w14:paraId="756CC31E" w14:textId="77777777" w:rsidR="00E32002" w:rsidRPr="005D05BB" w:rsidRDefault="00E32002" w:rsidP="00D432E3">
      <w:pPr>
        <w:numPr>
          <w:ilvl w:val="0"/>
          <w:numId w:val="6"/>
        </w:numPr>
        <w:spacing w:after="120"/>
        <w:ind w:left="1134" w:hanging="425"/>
        <w:rPr>
          <w:iCs/>
        </w:rPr>
      </w:pPr>
      <w:r w:rsidRPr="005D05BB">
        <w:t xml:space="preserve">The analysis </w:t>
      </w:r>
      <w:r w:rsidRPr="005D05BB">
        <w:rPr>
          <w:iCs/>
        </w:rPr>
        <w:t xml:space="preserve">inappropriately </w:t>
      </w:r>
      <w:r w:rsidRPr="005D05BB">
        <w:t>assumed there is no administration cost for IFX SC (including no patient time costs) because all patients will self-inject</w:t>
      </w:r>
      <w:r w:rsidR="005D05BB">
        <w:t xml:space="preserve">. </w:t>
      </w:r>
      <w:r w:rsidRPr="005D05BB">
        <w:rPr>
          <w:iCs/>
        </w:rPr>
        <w:t>T</w:t>
      </w:r>
      <w:r w:rsidRPr="005D05BB">
        <w:t>his assumption is not reasonable given a proportion of patients will be unable to self-inject and require assistance</w:t>
      </w:r>
      <w:r w:rsidR="005D05BB">
        <w:t xml:space="preserve">. </w:t>
      </w:r>
      <w:r w:rsidRPr="005D05BB">
        <w:t>The PBAC had previously accepted that 10% of patients require assistance with injections involving ‘a visit to a doctor’ (paragraph 10, golimumab PSD</w:t>
      </w:r>
      <w:r w:rsidR="001D074B" w:rsidRPr="005D05BB">
        <w:t xml:space="preserve"> for RA,</w:t>
      </w:r>
      <w:r w:rsidRPr="005D05BB">
        <w:t xml:space="preserve"> March 2010)</w:t>
      </w:r>
      <w:r w:rsidR="005D05BB">
        <w:t xml:space="preserve">. </w:t>
      </w:r>
      <w:r w:rsidR="002568C2" w:rsidRPr="005D05BB">
        <w:t>T</w:t>
      </w:r>
      <w:r w:rsidR="00EE405F" w:rsidRPr="005D05BB">
        <w:t>he ESC</w:t>
      </w:r>
      <w:r w:rsidR="002568C2" w:rsidRPr="005D05BB">
        <w:t xml:space="preserve"> and the PBAC</w:t>
      </w:r>
      <w:r w:rsidR="00EE405F" w:rsidRPr="005D05BB">
        <w:t xml:space="preserve"> considered that</w:t>
      </w:r>
      <w:r w:rsidR="0088696C" w:rsidRPr="005D05BB">
        <w:t xml:space="preserve"> including allowance for GP visits is required, as not all patients in the affected population will be able to self-administer IFX SC (e.g. individuals affected by severe RA in their fingers will not be able to operate the device and would require ongoing assistance for each injection)</w:t>
      </w:r>
      <w:r w:rsidR="005D05BB">
        <w:t xml:space="preserve">. </w:t>
      </w:r>
      <w:r w:rsidR="0088696C" w:rsidRPr="005D05BB">
        <w:t>Furthermore, a proportion of patients will require assistance from a health care professional due to a change in route of administration</w:t>
      </w:r>
      <w:r w:rsidR="005D05BB">
        <w:t xml:space="preserve">. </w:t>
      </w:r>
      <w:r w:rsidR="0088696C" w:rsidRPr="005D05BB">
        <w:t xml:space="preserve">Thus, 10% of </w:t>
      </w:r>
      <w:r w:rsidR="00A01182" w:rsidRPr="00A01182">
        <w:t>patients</w:t>
      </w:r>
      <w:r w:rsidR="0088696C" w:rsidRPr="005D05BB">
        <w:t xml:space="preserve"> may require a</w:t>
      </w:r>
      <w:r w:rsidR="003E49A8" w:rsidRPr="005D05BB">
        <w:t xml:space="preserve"> GP visit over a 2-year period</w:t>
      </w:r>
      <w:r w:rsidR="0088696C" w:rsidRPr="005D05BB">
        <w:t>.</w:t>
      </w:r>
    </w:p>
    <w:p w14:paraId="68865B1E" w14:textId="77777777" w:rsidR="00E32002" w:rsidRPr="005D05BB" w:rsidRDefault="00E32002" w:rsidP="00E32002">
      <w:pPr>
        <w:pStyle w:val="3-BodyText"/>
      </w:pPr>
      <w:r w:rsidRPr="005D05BB">
        <w:t xml:space="preserve">Table 7 summarises the </w:t>
      </w:r>
      <w:r w:rsidR="00A60A06" w:rsidRPr="005D05BB">
        <w:t>CMA</w:t>
      </w:r>
      <w:r w:rsidRPr="005D05BB">
        <w:t xml:space="preserve"> presented in the submission</w:t>
      </w:r>
      <w:r w:rsidR="005D05BB">
        <w:t xml:space="preserve">. </w:t>
      </w:r>
      <w:r w:rsidRPr="005D05BB">
        <w:t>The submission estimated the average weighted cost for IFX IV over two years, taking into account the number of vials and infusions required in each indication.</w:t>
      </w:r>
      <w:r w:rsidR="007D1914">
        <w:t xml:space="preserve"> The PBAC noted the cost of </w:t>
      </w:r>
      <w:r w:rsidR="00791DCA">
        <w:t>IFX</w:t>
      </w:r>
      <w:r w:rsidR="007D1914">
        <w:t xml:space="preserve"> IV</w:t>
      </w:r>
      <w:r w:rsidR="00791DCA">
        <w:t xml:space="preserve"> was weighted across the 7 requested indications and that this would need to be revised to account listings for RA, UC and CD only.</w:t>
      </w:r>
    </w:p>
    <w:p w14:paraId="05628C9B" w14:textId="77777777" w:rsidR="00E32002" w:rsidRPr="005D05BB" w:rsidRDefault="00E32002" w:rsidP="00882830">
      <w:pPr>
        <w:keepNext/>
        <w:keepLines/>
        <w:rPr>
          <w:rStyle w:val="CommentReference"/>
          <w:bCs/>
          <w:szCs w:val="24"/>
        </w:rPr>
      </w:pPr>
      <w:r w:rsidRPr="005D05BB">
        <w:rPr>
          <w:rStyle w:val="CommentReference"/>
          <w:bCs/>
          <w:szCs w:val="24"/>
        </w:rPr>
        <w:lastRenderedPageBreak/>
        <w:t>Table 7: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3731"/>
        <w:gridCol w:w="3731"/>
      </w:tblGrid>
      <w:tr w:rsidR="00E32002" w:rsidRPr="005D05BB" w14:paraId="68A5F48B" w14:textId="77777777" w:rsidTr="00A33E85">
        <w:tc>
          <w:tcPr>
            <w:tcW w:w="862" w:type="pct"/>
          </w:tcPr>
          <w:p w14:paraId="30B8CFB4" w14:textId="77777777" w:rsidR="00E32002" w:rsidRPr="005D05BB" w:rsidRDefault="00E32002" w:rsidP="00882830">
            <w:pPr>
              <w:pStyle w:val="In-tableHeading"/>
              <w:keepLines/>
              <w:rPr>
                <w:lang w:val="en-AU"/>
              </w:rPr>
            </w:pPr>
            <w:r w:rsidRPr="005D05BB">
              <w:rPr>
                <w:lang w:val="en-AU"/>
              </w:rPr>
              <w:t>Component</w:t>
            </w:r>
          </w:p>
        </w:tc>
        <w:tc>
          <w:tcPr>
            <w:tcW w:w="2069" w:type="pct"/>
          </w:tcPr>
          <w:p w14:paraId="3D050B7A" w14:textId="77777777" w:rsidR="00E32002" w:rsidRPr="005D05BB" w:rsidRDefault="00E32002" w:rsidP="00882830">
            <w:pPr>
              <w:pStyle w:val="In-tableHeading"/>
              <w:keepLines/>
              <w:jc w:val="center"/>
              <w:rPr>
                <w:lang w:val="en-AU"/>
              </w:rPr>
            </w:pPr>
            <w:r w:rsidRPr="005D05BB">
              <w:rPr>
                <w:lang w:val="en-AU"/>
              </w:rPr>
              <w:t>IFX SC</w:t>
            </w:r>
          </w:p>
        </w:tc>
        <w:tc>
          <w:tcPr>
            <w:tcW w:w="2069" w:type="pct"/>
          </w:tcPr>
          <w:p w14:paraId="05960E0E" w14:textId="77777777" w:rsidR="00E32002" w:rsidRPr="005D05BB" w:rsidRDefault="00E32002" w:rsidP="00882830">
            <w:pPr>
              <w:pStyle w:val="In-tableHeading"/>
              <w:keepLines/>
              <w:jc w:val="center"/>
              <w:rPr>
                <w:lang w:val="en-AU"/>
              </w:rPr>
            </w:pPr>
            <w:r w:rsidRPr="005D05BB">
              <w:rPr>
                <w:lang w:val="en-AU"/>
              </w:rPr>
              <w:t>IFX IV</w:t>
            </w:r>
          </w:p>
        </w:tc>
      </w:tr>
      <w:tr w:rsidR="00E32002" w:rsidRPr="005D05BB" w14:paraId="1EB41ED2" w14:textId="77777777" w:rsidTr="00A33E85">
        <w:tc>
          <w:tcPr>
            <w:tcW w:w="862" w:type="pct"/>
          </w:tcPr>
          <w:p w14:paraId="41A360F2" w14:textId="77777777" w:rsidR="00E32002" w:rsidRPr="005D05BB" w:rsidRDefault="00E32002" w:rsidP="00882830">
            <w:pPr>
              <w:pStyle w:val="TableText0"/>
              <w:keepLines/>
            </w:pPr>
            <w:r w:rsidRPr="005D05BB">
              <w:t>PBS item, max qty.</w:t>
            </w:r>
          </w:p>
        </w:tc>
        <w:tc>
          <w:tcPr>
            <w:tcW w:w="2069" w:type="pct"/>
          </w:tcPr>
          <w:p w14:paraId="33CB05B2" w14:textId="77777777" w:rsidR="00E32002" w:rsidRPr="005D05BB" w:rsidRDefault="00E32002" w:rsidP="00882830">
            <w:pPr>
              <w:pStyle w:val="TableText0"/>
              <w:keepLines/>
            </w:pPr>
            <w:r w:rsidRPr="005D05BB">
              <w:t>2 syringes/pens for SC injection</w:t>
            </w:r>
          </w:p>
        </w:tc>
        <w:tc>
          <w:tcPr>
            <w:tcW w:w="2069" w:type="pct"/>
          </w:tcPr>
          <w:p w14:paraId="0EA65914" w14:textId="77777777" w:rsidR="00E32002" w:rsidRPr="005D05BB" w:rsidRDefault="00E32002" w:rsidP="00882830">
            <w:pPr>
              <w:pStyle w:val="TableText0"/>
              <w:keepLines/>
            </w:pPr>
            <w:r w:rsidRPr="005D05BB">
              <w:t>5 vials for IV infusion</w:t>
            </w:r>
          </w:p>
        </w:tc>
      </w:tr>
      <w:tr w:rsidR="00E32002" w:rsidRPr="005D05BB" w14:paraId="21D28EE7" w14:textId="77777777" w:rsidTr="00A33E85">
        <w:tc>
          <w:tcPr>
            <w:tcW w:w="862" w:type="pct"/>
          </w:tcPr>
          <w:p w14:paraId="7F0F2DDC" w14:textId="77777777" w:rsidR="00E32002" w:rsidRPr="005D05BB" w:rsidRDefault="00E32002" w:rsidP="00882830">
            <w:pPr>
              <w:pStyle w:val="TableText0"/>
              <w:keepLines/>
            </w:pPr>
            <w:r w:rsidRPr="005D05BB">
              <w:t>DPMQ</w:t>
            </w:r>
          </w:p>
        </w:tc>
        <w:tc>
          <w:tcPr>
            <w:tcW w:w="2069" w:type="pct"/>
          </w:tcPr>
          <w:p w14:paraId="045F4D62" w14:textId="77777777" w:rsidR="00E32002" w:rsidRPr="003A6946" w:rsidRDefault="00E32002" w:rsidP="00882830">
            <w:pPr>
              <w:pStyle w:val="TableText0"/>
              <w:keepLines/>
            </w:pPr>
            <w:r w:rsidRPr="003A6946">
              <w:t>IFX SC:</w:t>
            </w:r>
          </w:p>
          <w:p w14:paraId="572850D6" w14:textId="77777777" w:rsidR="00E32002" w:rsidRPr="003A6946" w:rsidRDefault="00E32002" w:rsidP="00882830">
            <w:pPr>
              <w:pStyle w:val="TableText0"/>
              <w:keepLines/>
              <w:numPr>
                <w:ilvl w:val="0"/>
                <w:numId w:val="7"/>
              </w:numPr>
              <w:ind w:left="253" w:hanging="183"/>
            </w:pPr>
            <w:r w:rsidRPr="003A6946">
              <w:t>Section 85: $</w:t>
            </w:r>
            <w:r w:rsidR="00921FA1">
              <w:rPr>
                <w:iCs/>
                <w:noProof/>
                <w:color w:val="000000"/>
                <w:highlight w:val="black"/>
              </w:rPr>
              <w:t>'''''''''''''''''</w:t>
            </w:r>
            <w:r w:rsidR="00B5533D" w:rsidRPr="003A6946">
              <w:rPr>
                <w:iCs/>
                <w:vertAlign w:val="superscript"/>
              </w:rPr>
              <w:t>d</w:t>
            </w:r>
          </w:p>
          <w:p w14:paraId="40B21056" w14:textId="77777777" w:rsidR="00E32002" w:rsidRPr="003A6946" w:rsidRDefault="00E32002" w:rsidP="00882830">
            <w:pPr>
              <w:pStyle w:val="TableText0"/>
              <w:keepLines/>
              <w:numPr>
                <w:ilvl w:val="0"/>
                <w:numId w:val="7"/>
              </w:numPr>
              <w:ind w:left="253" w:hanging="183"/>
            </w:pPr>
            <w:r w:rsidRPr="003A6946">
              <w:t>Section 100 (Public): $</w:t>
            </w:r>
            <w:r w:rsidR="00921FA1">
              <w:rPr>
                <w:noProof/>
                <w:color w:val="000000"/>
                <w:highlight w:val="black"/>
              </w:rPr>
              <w:t>'''''''''''''''</w:t>
            </w:r>
          </w:p>
          <w:p w14:paraId="0A2990FB" w14:textId="77777777" w:rsidR="00E32002" w:rsidRPr="003A6946" w:rsidRDefault="00E32002" w:rsidP="00882830">
            <w:pPr>
              <w:pStyle w:val="TableText0"/>
              <w:keepLines/>
              <w:numPr>
                <w:ilvl w:val="0"/>
                <w:numId w:val="7"/>
              </w:numPr>
              <w:ind w:left="253" w:hanging="183"/>
            </w:pPr>
            <w:r w:rsidRPr="003A6946">
              <w:t>Section 100 (Private): $</w:t>
            </w:r>
            <w:r w:rsidR="00921FA1">
              <w:rPr>
                <w:noProof/>
                <w:color w:val="000000"/>
                <w:highlight w:val="black"/>
              </w:rPr>
              <w:t>''''''''''''''''</w:t>
            </w:r>
          </w:p>
        </w:tc>
        <w:tc>
          <w:tcPr>
            <w:tcW w:w="2069" w:type="pct"/>
          </w:tcPr>
          <w:p w14:paraId="77ABA993" w14:textId="77777777" w:rsidR="00E32002" w:rsidRPr="005D05BB" w:rsidRDefault="00E32002" w:rsidP="00882830">
            <w:pPr>
              <w:pStyle w:val="TableText0"/>
              <w:keepLines/>
            </w:pPr>
            <w:r w:rsidRPr="005D05BB">
              <w:t>IFX IV:</w:t>
            </w:r>
          </w:p>
          <w:p w14:paraId="0F9555AE" w14:textId="77777777" w:rsidR="00E32002" w:rsidRPr="005D05BB" w:rsidRDefault="00E32002" w:rsidP="00882830">
            <w:pPr>
              <w:pStyle w:val="TableText0"/>
              <w:keepLines/>
              <w:numPr>
                <w:ilvl w:val="0"/>
                <w:numId w:val="7"/>
              </w:numPr>
              <w:ind w:left="253" w:hanging="183"/>
            </w:pPr>
            <w:r w:rsidRPr="005D05BB">
              <w:t>Section 100 (Public): $1,603.55</w:t>
            </w:r>
          </w:p>
          <w:p w14:paraId="6F04AFA0" w14:textId="77777777" w:rsidR="00E32002" w:rsidRPr="005D05BB" w:rsidRDefault="00E32002" w:rsidP="00882830">
            <w:pPr>
              <w:pStyle w:val="TableText0"/>
              <w:keepLines/>
              <w:numPr>
                <w:ilvl w:val="0"/>
                <w:numId w:val="7"/>
              </w:numPr>
              <w:ind w:left="253" w:hanging="183"/>
            </w:pPr>
            <w:r w:rsidRPr="005D05BB">
              <w:t>Section 100 (Private): $1,651.29</w:t>
            </w:r>
          </w:p>
        </w:tc>
      </w:tr>
      <w:tr w:rsidR="00E32002" w:rsidRPr="005D05BB" w14:paraId="2090D8AE" w14:textId="77777777" w:rsidTr="00A33E85">
        <w:tc>
          <w:tcPr>
            <w:tcW w:w="862" w:type="pct"/>
          </w:tcPr>
          <w:p w14:paraId="25C0FE79" w14:textId="77777777" w:rsidR="00E32002" w:rsidRPr="005D05BB" w:rsidRDefault="00E32002" w:rsidP="00882830">
            <w:pPr>
              <w:pStyle w:val="TableText0"/>
              <w:keepLines/>
            </w:pPr>
            <w:r w:rsidRPr="005D05BB">
              <w:t>AEMP</w:t>
            </w:r>
          </w:p>
        </w:tc>
        <w:tc>
          <w:tcPr>
            <w:tcW w:w="2069" w:type="pct"/>
          </w:tcPr>
          <w:p w14:paraId="77EF3787" w14:textId="77777777" w:rsidR="00E32002" w:rsidRPr="003A6946" w:rsidRDefault="00E32002" w:rsidP="00882830">
            <w:pPr>
              <w:pStyle w:val="TableText0"/>
              <w:keepLines/>
            </w:pPr>
            <w:r w:rsidRPr="003A6946">
              <w:t>IFX SC: $</w:t>
            </w:r>
            <w:r w:rsidR="00921FA1">
              <w:rPr>
                <w:noProof/>
                <w:color w:val="000000"/>
                <w:highlight w:val="black"/>
              </w:rPr>
              <w:t>'''''''''''''''</w:t>
            </w:r>
            <w:r w:rsidR="00B5533D" w:rsidRPr="003A6946">
              <w:rPr>
                <w:vertAlign w:val="superscript"/>
              </w:rPr>
              <w:t>a</w:t>
            </w:r>
            <w:r w:rsidRPr="003A6946">
              <w:t xml:space="preserve"> / SC injection</w:t>
            </w:r>
          </w:p>
          <w:p w14:paraId="2F323280" w14:textId="77777777" w:rsidR="00E32002" w:rsidRPr="003A6946" w:rsidRDefault="00E32002" w:rsidP="00882830">
            <w:pPr>
              <w:pStyle w:val="TableText0"/>
              <w:keepLines/>
            </w:pPr>
            <w:r w:rsidRPr="003A6946">
              <w:t>IFX IV: $</w:t>
            </w:r>
            <w:r w:rsidR="00921FA1">
              <w:rPr>
                <w:noProof/>
                <w:color w:val="000000"/>
                <w:highlight w:val="black"/>
              </w:rPr>
              <w:t xml:space="preserve">''''''''''''''''' </w:t>
            </w:r>
            <w:r w:rsidRPr="003A6946">
              <w:t>/ IV vial</w:t>
            </w:r>
          </w:p>
        </w:tc>
        <w:tc>
          <w:tcPr>
            <w:tcW w:w="2069" w:type="pct"/>
          </w:tcPr>
          <w:p w14:paraId="33C8271A" w14:textId="77777777" w:rsidR="00E32002" w:rsidRPr="005D05BB" w:rsidDel="00894DCB" w:rsidRDefault="00E32002" w:rsidP="00882830">
            <w:pPr>
              <w:pStyle w:val="TableText0"/>
              <w:keepLines/>
            </w:pPr>
            <w:r w:rsidRPr="005D05BB">
              <w:t>IFX IV: $320.71 / IV vial</w:t>
            </w:r>
          </w:p>
        </w:tc>
      </w:tr>
      <w:tr w:rsidR="00E32002" w:rsidRPr="005D05BB" w14:paraId="1CDDDF5B" w14:textId="77777777" w:rsidTr="00A33E85">
        <w:tc>
          <w:tcPr>
            <w:tcW w:w="862" w:type="pct"/>
          </w:tcPr>
          <w:p w14:paraId="6FD54295" w14:textId="77777777" w:rsidR="00E32002" w:rsidRPr="005D05BB" w:rsidRDefault="00E32002" w:rsidP="00882830">
            <w:pPr>
              <w:pStyle w:val="TableText0"/>
              <w:keepLines/>
            </w:pPr>
            <w:r w:rsidRPr="005D05BB">
              <w:t>Doses</w:t>
            </w:r>
          </w:p>
        </w:tc>
        <w:tc>
          <w:tcPr>
            <w:tcW w:w="2069" w:type="pct"/>
          </w:tcPr>
          <w:p w14:paraId="636830E2" w14:textId="77777777" w:rsidR="00E32002" w:rsidRPr="003A6946" w:rsidRDefault="00E32002" w:rsidP="00882830">
            <w:pPr>
              <w:pStyle w:val="TableText0"/>
              <w:keepLines/>
            </w:pPr>
            <w:r w:rsidRPr="003A6946">
              <w:t xml:space="preserve">IFX SC: 49 SC injections </w:t>
            </w:r>
          </w:p>
          <w:p w14:paraId="2F283787" w14:textId="77777777" w:rsidR="00E32002" w:rsidRPr="003A6946" w:rsidRDefault="00E32002" w:rsidP="00882830">
            <w:pPr>
              <w:pStyle w:val="TableText0"/>
              <w:keepLines/>
            </w:pPr>
            <w:r w:rsidRPr="003A6946">
              <w:t>IFX IV: 2 IV infusions</w:t>
            </w:r>
          </w:p>
        </w:tc>
        <w:tc>
          <w:tcPr>
            <w:tcW w:w="2069" w:type="pct"/>
          </w:tcPr>
          <w:p w14:paraId="34E6FF53" w14:textId="77777777" w:rsidR="00E32002" w:rsidRPr="005D05BB" w:rsidRDefault="00E32002" w:rsidP="00882830">
            <w:pPr>
              <w:pStyle w:val="TableText0"/>
              <w:keepLines/>
            </w:pPr>
            <w:r w:rsidRPr="005D05BB">
              <w:t>IFX IV: 15.44</w:t>
            </w:r>
            <w:r w:rsidR="00B5533D" w:rsidRPr="00B5533D">
              <w:rPr>
                <w:vertAlign w:val="superscript"/>
              </w:rPr>
              <w:t>b</w:t>
            </w:r>
            <w:r w:rsidRPr="005D05BB">
              <w:t xml:space="preserve"> IV infusions </w:t>
            </w:r>
          </w:p>
        </w:tc>
      </w:tr>
      <w:tr w:rsidR="00E32002" w:rsidRPr="005D05BB" w14:paraId="2ACB532F" w14:textId="77777777" w:rsidTr="00A33E85">
        <w:tc>
          <w:tcPr>
            <w:tcW w:w="862" w:type="pct"/>
          </w:tcPr>
          <w:p w14:paraId="06CE757D" w14:textId="77777777" w:rsidR="00E32002" w:rsidRPr="005D05BB" w:rsidRDefault="00E32002" w:rsidP="00882830">
            <w:pPr>
              <w:pStyle w:val="TableText0"/>
              <w:keepLines/>
            </w:pPr>
            <w:r w:rsidRPr="005D05BB">
              <w:t>Units / dose</w:t>
            </w:r>
          </w:p>
        </w:tc>
        <w:tc>
          <w:tcPr>
            <w:tcW w:w="2069" w:type="pct"/>
          </w:tcPr>
          <w:p w14:paraId="397DDE34" w14:textId="77777777" w:rsidR="00E32002" w:rsidRPr="003A6946" w:rsidRDefault="00E32002" w:rsidP="00882830">
            <w:pPr>
              <w:pStyle w:val="TableText0"/>
              <w:keepLines/>
            </w:pPr>
            <w:r w:rsidRPr="003A6946">
              <w:t>IFX SC: 1 syringe/pen</w:t>
            </w:r>
          </w:p>
          <w:p w14:paraId="2CC247A9" w14:textId="77777777" w:rsidR="00E32002" w:rsidRPr="003A6946" w:rsidRDefault="00E32002" w:rsidP="00882830">
            <w:pPr>
              <w:pStyle w:val="TableText0"/>
              <w:keepLines/>
            </w:pPr>
            <w:r w:rsidRPr="003A6946">
              <w:t>IFX IV: 4.45 vials</w:t>
            </w:r>
          </w:p>
        </w:tc>
        <w:tc>
          <w:tcPr>
            <w:tcW w:w="2069" w:type="pct"/>
          </w:tcPr>
          <w:p w14:paraId="3443DEE9" w14:textId="77777777" w:rsidR="00E32002" w:rsidRPr="005D05BB" w:rsidRDefault="00E32002" w:rsidP="00882830">
            <w:pPr>
              <w:pStyle w:val="TableText0"/>
              <w:keepLines/>
            </w:pPr>
            <w:r w:rsidRPr="005D05BB">
              <w:t>IFX IV: 4.45 vials</w:t>
            </w:r>
            <w:r w:rsidR="00B5533D" w:rsidRPr="00B5533D">
              <w:rPr>
                <w:vertAlign w:val="superscript"/>
              </w:rPr>
              <w:t>b</w:t>
            </w:r>
            <w:r w:rsidRPr="005D05BB">
              <w:t xml:space="preserve"> </w:t>
            </w:r>
          </w:p>
        </w:tc>
      </w:tr>
      <w:tr w:rsidR="00E32002" w:rsidRPr="005D05BB" w14:paraId="45ED51E6" w14:textId="77777777" w:rsidTr="00A33E85">
        <w:tc>
          <w:tcPr>
            <w:tcW w:w="862" w:type="pct"/>
          </w:tcPr>
          <w:p w14:paraId="5542F0F0" w14:textId="77777777" w:rsidR="00E32002" w:rsidRPr="005D05BB" w:rsidRDefault="00E32002" w:rsidP="00882830">
            <w:pPr>
              <w:pStyle w:val="TableText0"/>
              <w:keepLines/>
            </w:pPr>
            <w:r w:rsidRPr="005D05BB">
              <w:t>Drug cost</w:t>
            </w:r>
          </w:p>
        </w:tc>
        <w:tc>
          <w:tcPr>
            <w:tcW w:w="2069" w:type="pct"/>
          </w:tcPr>
          <w:p w14:paraId="0422103E" w14:textId="77777777" w:rsidR="00E32002" w:rsidRPr="003A6946" w:rsidRDefault="00E32002" w:rsidP="00882830">
            <w:pPr>
              <w:pStyle w:val="TableText0"/>
              <w:keepLines/>
            </w:pPr>
            <w:r w:rsidRPr="003A6946">
              <w:t>IFX SC: $</w:t>
            </w:r>
            <w:r w:rsidR="00921FA1">
              <w:rPr>
                <w:noProof/>
                <w:color w:val="000000"/>
                <w:highlight w:val="black"/>
              </w:rPr>
              <w:t>'''''''''''''''''''''''</w:t>
            </w:r>
          </w:p>
          <w:p w14:paraId="29D5C0F7" w14:textId="77777777" w:rsidR="00E32002" w:rsidRPr="003A6946" w:rsidRDefault="00E32002" w:rsidP="00882830">
            <w:pPr>
              <w:pStyle w:val="TableText0"/>
              <w:keepLines/>
            </w:pPr>
            <w:r w:rsidRPr="003A6946">
              <w:t>IFX IV: $</w:t>
            </w:r>
            <w:r w:rsidR="00921FA1">
              <w:rPr>
                <w:noProof/>
                <w:color w:val="000000"/>
                <w:highlight w:val="black"/>
              </w:rPr>
              <w:t>'''''''''''''''''''</w:t>
            </w:r>
          </w:p>
        </w:tc>
        <w:tc>
          <w:tcPr>
            <w:tcW w:w="2069" w:type="pct"/>
          </w:tcPr>
          <w:p w14:paraId="08587E2E" w14:textId="77777777" w:rsidR="00E32002" w:rsidRPr="005D05BB" w:rsidRDefault="00E32002" w:rsidP="00882830">
            <w:pPr>
              <w:pStyle w:val="TableText0"/>
              <w:keepLines/>
            </w:pPr>
            <w:r w:rsidRPr="005D05BB">
              <w:t>IFX IV: $22,046.89</w:t>
            </w:r>
            <w:r w:rsidR="00B5533D" w:rsidRPr="00B5533D">
              <w:rPr>
                <w:vertAlign w:val="superscript"/>
              </w:rPr>
              <w:t>b</w:t>
            </w:r>
          </w:p>
        </w:tc>
      </w:tr>
      <w:tr w:rsidR="00E32002" w:rsidRPr="005D05BB" w14:paraId="56F98B5E" w14:textId="77777777" w:rsidTr="00A33E85">
        <w:tc>
          <w:tcPr>
            <w:tcW w:w="862" w:type="pct"/>
          </w:tcPr>
          <w:p w14:paraId="3C6BBE52" w14:textId="77777777" w:rsidR="00E32002" w:rsidRPr="005D05BB" w:rsidRDefault="00E32002" w:rsidP="00882830">
            <w:pPr>
              <w:pStyle w:val="TableText0"/>
              <w:keepLines/>
            </w:pPr>
            <w:r w:rsidRPr="005D05BB">
              <w:t>Administration cost</w:t>
            </w:r>
          </w:p>
        </w:tc>
        <w:tc>
          <w:tcPr>
            <w:tcW w:w="2069" w:type="pct"/>
          </w:tcPr>
          <w:p w14:paraId="0C711A7F" w14:textId="77777777" w:rsidR="00E32002" w:rsidRPr="003A6946" w:rsidRDefault="00E32002" w:rsidP="00882830">
            <w:pPr>
              <w:pStyle w:val="TableText0"/>
              <w:keepLines/>
            </w:pPr>
            <w:r w:rsidRPr="003A6946">
              <w:t>IFX IV: $202.00</w:t>
            </w:r>
          </w:p>
        </w:tc>
        <w:tc>
          <w:tcPr>
            <w:tcW w:w="2069" w:type="pct"/>
          </w:tcPr>
          <w:p w14:paraId="6A123148" w14:textId="77777777" w:rsidR="00E32002" w:rsidRPr="005D05BB" w:rsidRDefault="00E32002" w:rsidP="00882830">
            <w:pPr>
              <w:pStyle w:val="TableText0"/>
              <w:keepLines/>
            </w:pPr>
            <w:r w:rsidRPr="005D05BB">
              <w:t>IFX IV: $1,559.57</w:t>
            </w:r>
            <w:r w:rsidR="00B5533D" w:rsidRPr="00B5533D">
              <w:rPr>
                <w:vertAlign w:val="superscript"/>
              </w:rPr>
              <w:t>b</w:t>
            </w:r>
          </w:p>
        </w:tc>
      </w:tr>
      <w:tr w:rsidR="00E32002" w:rsidRPr="005D05BB" w14:paraId="22F849C5" w14:textId="77777777" w:rsidTr="00A33E85">
        <w:tc>
          <w:tcPr>
            <w:tcW w:w="862" w:type="pct"/>
          </w:tcPr>
          <w:p w14:paraId="3E648AC9" w14:textId="77777777" w:rsidR="00E32002" w:rsidRPr="005D05BB" w:rsidRDefault="00E32002" w:rsidP="00882830">
            <w:pPr>
              <w:pStyle w:val="TableText0"/>
              <w:keepLines/>
            </w:pPr>
            <w:r w:rsidRPr="005D05BB">
              <w:t>Patient time</w:t>
            </w:r>
          </w:p>
        </w:tc>
        <w:tc>
          <w:tcPr>
            <w:tcW w:w="2069" w:type="pct"/>
          </w:tcPr>
          <w:p w14:paraId="322D219A" w14:textId="77777777" w:rsidR="00E32002" w:rsidRPr="003A6946" w:rsidRDefault="00E32002" w:rsidP="00882830">
            <w:pPr>
              <w:pStyle w:val="TableText0"/>
              <w:keepLines/>
            </w:pPr>
            <w:r w:rsidRPr="003A6946">
              <w:t>IFX IV: $</w:t>
            </w:r>
            <w:r w:rsidR="00921FA1">
              <w:rPr>
                <w:noProof/>
                <w:color w:val="000000"/>
                <w:highlight w:val="black"/>
              </w:rPr>
              <w:t>''''''''''''''</w:t>
            </w:r>
            <w:r w:rsidR="00B5533D" w:rsidRPr="003A6946">
              <w:rPr>
                <w:vertAlign w:val="superscript"/>
              </w:rPr>
              <w:t>c</w:t>
            </w:r>
          </w:p>
        </w:tc>
        <w:tc>
          <w:tcPr>
            <w:tcW w:w="2069" w:type="pct"/>
          </w:tcPr>
          <w:p w14:paraId="086EEFF5" w14:textId="77777777" w:rsidR="00E32002" w:rsidRPr="005D05BB" w:rsidRDefault="00E32002" w:rsidP="00882830">
            <w:pPr>
              <w:pStyle w:val="TableText0"/>
              <w:keepLines/>
            </w:pPr>
            <w:r w:rsidRPr="005D05BB">
              <w:t>IFX IV: $654.58</w:t>
            </w:r>
            <w:r w:rsidR="00B5533D" w:rsidRPr="00B5533D">
              <w:rPr>
                <w:vertAlign w:val="superscript"/>
              </w:rPr>
              <w:t>b</w:t>
            </w:r>
            <w:r w:rsidR="00B5533D">
              <w:rPr>
                <w:vertAlign w:val="superscript"/>
              </w:rPr>
              <w:t>,c</w:t>
            </w:r>
          </w:p>
        </w:tc>
      </w:tr>
      <w:tr w:rsidR="00E32002" w:rsidRPr="005D05BB" w14:paraId="41A4F5A2" w14:textId="77777777" w:rsidTr="00A33E85">
        <w:tc>
          <w:tcPr>
            <w:tcW w:w="862" w:type="pct"/>
          </w:tcPr>
          <w:p w14:paraId="2A32D426" w14:textId="77777777" w:rsidR="00E32002" w:rsidRPr="005D05BB" w:rsidRDefault="00E32002" w:rsidP="00882830">
            <w:pPr>
              <w:pStyle w:val="TableText0"/>
              <w:keepLines/>
            </w:pPr>
            <w:r w:rsidRPr="005D05BB">
              <w:t>Total cost</w:t>
            </w:r>
          </w:p>
        </w:tc>
        <w:tc>
          <w:tcPr>
            <w:tcW w:w="2069" w:type="pct"/>
          </w:tcPr>
          <w:p w14:paraId="7B017783" w14:textId="77777777" w:rsidR="00E32002" w:rsidRPr="005D05BB" w:rsidRDefault="00E32002" w:rsidP="00882830">
            <w:pPr>
              <w:pStyle w:val="TableText0"/>
              <w:keepLines/>
            </w:pPr>
            <w:r w:rsidRPr="005D05BB">
              <w:t>$24,261.04</w:t>
            </w:r>
          </w:p>
        </w:tc>
        <w:tc>
          <w:tcPr>
            <w:tcW w:w="2069" w:type="pct"/>
          </w:tcPr>
          <w:p w14:paraId="0252E843" w14:textId="77777777" w:rsidR="00E32002" w:rsidRPr="005D05BB" w:rsidRDefault="00E32002" w:rsidP="00882830">
            <w:pPr>
              <w:pStyle w:val="TableText0"/>
              <w:keepLines/>
            </w:pPr>
            <w:r w:rsidRPr="005D05BB">
              <w:t>$24,261.04</w:t>
            </w:r>
            <w:r w:rsidR="00B5533D" w:rsidRPr="00B5533D">
              <w:rPr>
                <w:vertAlign w:val="superscript"/>
              </w:rPr>
              <w:t>b</w:t>
            </w:r>
          </w:p>
        </w:tc>
      </w:tr>
    </w:tbl>
    <w:p w14:paraId="70701088" w14:textId="77777777" w:rsidR="00E32002" w:rsidRPr="005D05BB" w:rsidRDefault="00E32002" w:rsidP="00882830">
      <w:pPr>
        <w:pStyle w:val="TableFigureFooter"/>
        <w:keepNext/>
        <w:keepLines/>
      </w:pPr>
      <w:r w:rsidRPr="005D05BB">
        <w:t>Abbreviations: AEMP=Approved Ex-Manufacturer Price; DPMQ=Dispense Price Maximum Quantity; IFX=infliximab; IV=intravenous.</w:t>
      </w:r>
    </w:p>
    <w:p w14:paraId="16372998" w14:textId="77777777" w:rsidR="00E32002" w:rsidRPr="005D05BB" w:rsidRDefault="00B5533D" w:rsidP="00882830">
      <w:pPr>
        <w:pStyle w:val="TableFigureFooter"/>
        <w:keepNext/>
        <w:keepLines/>
        <w:tabs>
          <w:tab w:val="left" w:pos="142"/>
        </w:tabs>
        <w:ind w:left="135" w:hanging="135"/>
      </w:pPr>
      <w:r w:rsidRPr="00B5533D">
        <w:rPr>
          <w:vertAlign w:val="superscript"/>
        </w:rPr>
        <w:t>a</w:t>
      </w:r>
      <w:r w:rsidR="00E32002" w:rsidRPr="005D05BB">
        <w:tab/>
        <w:t>AEMP for IFX SC was calculated by dividing total drug cost for IFX SC by 49 maintenance doses (</w:t>
      </w:r>
      <w:r w:rsidR="00993E4F" w:rsidRPr="005D05BB">
        <w:t>i.e.</w:t>
      </w:r>
      <w:r w:rsidR="00E32002" w:rsidRPr="005D05BB">
        <w:t>: this calculation excludes costs of the two IV induction doses required prior to SC administration)</w:t>
      </w:r>
    </w:p>
    <w:p w14:paraId="5D436D2E" w14:textId="77777777" w:rsidR="00E32002" w:rsidRPr="005D05BB" w:rsidRDefault="00B5533D" w:rsidP="00882830">
      <w:pPr>
        <w:pStyle w:val="TableFigureFooter"/>
        <w:keepNext/>
        <w:keepLines/>
        <w:tabs>
          <w:tab w:val="left" w:pos="142"/>
        </w:tabs>
      </w:pPr>
      <w:r w:rsidRPr="00B5533D">
        <w:rPr>
          <w:vertAlign w:val="superscript"/>
        </w:rPr>
        <w:t>b</w:t>
      </w:r>
      <w:r w:rsidR="00E32002" w:rsidRPr="005D05BB">
        <w:tab/>
        <w:t>Weighted across indications</w:t>
      </w:r>
    </w:p>
    <w:p w14:paraId="7EC06A0E" w14:textId="77777777" w:rsidR="00E32002" w:rsidRPr="005D05BB" w:rsidRDefault="00B5533D" w:rsidP="00882830">
      <w:pPr>
        <w:pStyle w:val="TableFigureFooter"/>
        <w:keepNext/>
        <w:keepLines/>
        <w:tabs>
          <w:tab w:val="left" w:pos="142"/>
        </w:tabs>
      </w:pPr>
      <w:r w:rsidRPr="00B5533D">
        <w:rPr>
          <w:vertAlign w:val="superscript"/>
        </w:rPr>
        <w:t>c</w:t>
      </w:r>
      <w:r w:rsidR="00E32002" w:rsidRPr="005D05BB">
        <w:tab/>
      </w:r>
      <w:r w:rsidR="00D90EE1">
        <w:rPr>
          <w:noProof/>
          <w:color w:val="000000"/>
          <w:highlight w:val="black"/>
        </w:rPr>
        <w:t>'''''''</w:t>
      </w:r>
      <w:r w:rsidR="00E32002" w:rsidRPr="005D05BB">
        <w:t xml:space="preserve">% proportion of benefit claimed by </w:t>
      </w:r>
      <w:r w:rsidR="009D4578" w:rsidRPr="005D05BB">
        <w:t>S</w:t>
      </w:r>
      <w:r w:rsidR="00E32002" w:rsidRPr="005D05BB">
        <w:t>ponsor.</w:t>
      </w:r>
    </w:p>
    <w:p w14:paraId="36B18DF4" w14:textId="77777777" w:rsidR="00E32002" w:rsidRPr="005D05BB" w:rsidRDefault="00B5533D" w:rsidP="00882830">
      <w:pPr>
        <w:pStyle w:val="TableFigureFooter"/>
        <w:keepNext/>
        <w:keepLines/>
        <w:tabs>
          <w:tab w:val="left" w:pos="142"/>
        </w:tabs>
        <w:ind w:left="135" w:hanging="135"/>
      </w:pPr>
      <w:r w:rsidRPr="00B5533D">
        <w:rPr>
          <w:vertAlign w:val="superscript"/>
        </w:rPr>
        <w:t>d</w:t>
      </w:r>
      <w:r w:rsidR="00E32002" w:rsidRPr="005D05BB">
        <w:tab/>
        <w:t xml:space="preserve">Updated DPMQ. The submission requested a Section 85 </w:t>
      </w:r>
      <w:r w:rsidR="00E32002" w:rsidRPr="003A6946">
        <w:t>DPMQ of $</w:t>
      </w:r>
      <w:r w:rsidR="00921FA1">
        <w:rPr>
          <w:noProof/>
          <w:color w:val="000000"/>
          <w:highlight w:val="black"/>
        </w:rPr>
        <w:t>'''''''''''''''</w:t>
      </w:r>
      <w:r w:rsidR="00E32002" w:rsidRPr="003A6946">
        <w:t xml:space="preserve"> assuming a wholesale </w:t>
      </w:r>
      <w:r w:rsidR="00993E4F" w:rsidRPr="003A6946">
        <w:t>mark-up</w:t>
      </w:r>
      <w:r w:rsidR="00E32002" w:rsidRPr="003A6946">
        <w:t xml:space="preserve"> of $</w:t>
      </w:r>
      <w:r w:rsidR="00921FA1">
        <w:rPr>
          <w:noProof/>
          <w:color w:val="000000"/>
          <w:highlight w:val="black"/>
        </w:rPr>
        <w:t>''''''''''''''</w:t>
      </w:r>
      <w:r w:rsidR="00E32002" w:rsidRPr="003A6946">
        <w:t xml:space="preserve"> for AEMP &gt;$</w:t>
      </w:r>
      <w:r w:rsidR="00921FA1">
        <w:rPr>
          <w:noProof/>
          <w:color w:val="000000"/>
          <w:highlight w:val="black"/>
        </w:rPr>
        <w:t>''''''</w:t>
      </w:r>
      <w:r w:rsidR="00E32002" w:rsidRPr="003A6946">
        <w:t xml:space="preserve">0; however, the current wholesale </w:t>
      </w:r>
      <w:r w:rsidR="00993E4F" w:rsidRPr="003A6946">
        <w:t>mark-up</w:t>
      </w:r>
      <w:r w:rsidR="00E32002" w:rsidRPr="003A6946">
        <w:t xml:space="preserve"> is </w:t>
      </w:r>
      <w:r w:rsidR="00921FA1">
        <w:rPr>
          <w:noProof/>
          <w:color w:val="000000"/>
          <w:highlight w:val="black"/>
        </w:rPr>
        <w:t>''''''''''</w:t>
      </w:r>
      <w:r w:rsidR="00E32002" w:rsidRPr="003A6946">
        <w:t>% for AEMP &lt;$</w:t>
      </w:r>
      <w:r w:rsidR="00921FA1">
        <w:rPr>
          <w:noProof/>
          <w:color w:val="000000"/>
          <w:highlight w:val="black"/>
        </w:rPr>
        <w:t>'''''''''''''''</w:t>
      </w:r>
      <w:r w:rsidR="00E32002" w:rsidRPr="003A6946">
        <w:t>, corresponding to a DPMQ of $</w:t>
      </w:r>
      <w:r w:rsidR="00921FA1">
        <w:rPr>
          <w:noProof/>
          <w:color w:val="000000"/>
          <w:highlight w:val="black"/>
        </w:rPr>
        <w:t>''''''''''''''''''</w:t>
      </w:r>
      <w:r w:rsidR="00897407" w:rsidRPr="003A6946">
        <w:t>. This</w:t>
      </w:r>
      <w:r w:rsidR="00897407">
        <w:t xml:space="preserve"> was based on the mark-up applicable from 1 January 2021.</w:t>
      </w:r>
    </w:p>
    <w:p w14:paraId="549F8EA6" w14:textId="77777777" w:rsidR="00E32002" w:rsidRPr="005D05BB" w:rsidRDefault="00E32002" w:rsidP="00882830">
      <w:pPr>
        <w:pStyle w:val="TableFigureFooter"/>
        <w:keepNext/>
        <w:keepLines/>
        <w:tabs>
          <w:tab w:val="left" w:pos="142"/>
        </w:tabs>
      </w:pPr>
      <w:r w:rsidRPr="005D05BB">
        <w:tab/>
        <w:t>(</w:t>
      </w:r>
      <w:r w:rsidRPr="00D90EE1">
        <w:t>https://www.servicesaustralia.gov.au/organisations/health-professionals/services/medicare/pbs-pharmacists/about</w:t>
      </w:r>
      <w:r w:rsidRPr="005D05BB">
        <w:t>).</w:t>
      </w:r>
    </w:p>
    <w:p w14:paraId="08305B50" w14:textId="77777777" w:rsidR="00E32002" w:rsidRPr="005D05BB" w:rsidRDefault="00E32002" w:rsidP="00882830">
      <w:pPr>
        <w:pStyle w:val="TableFigureFooter"/>
        <w:keepNext/>
        <w:keepLines/>
      </w:pPr>
      <w:r w:rsidRPr="005D05BB">
        <w:t xml:space="preserve">Source: Table 3.9 and 3.10, pp133-134 of the submission. </w:t>
      </w:r>
    </w:p>
    <w:p w14:paraId="422BB9D8" w14:textId="77777777" w:rsidR="00E32002" w:rsidRPr="005D05BB" w:rsidRDefault="00207DA2" w:rsidP="009C47E5">
      <w:pPr>
        <w:pStyle w:val="3-BodyText"/>
      </w:pPr>
      <w:r w:rsidRPr="005D05BB">
        <w:t xml:space="preserve">The PBAC </w:t>
      </w:r>
      <w:r w:rsidR="0030440A" w:rsidRPr="005D05BB">
        <w:t xml:space="preserve">noted </w:t>
      </w:r>
      <w:r w:rsidRPr="005D05BB">
        <w:t xml:space="preserve">that given the IV formulation is dispensed through S100 and the SC formulation will be dispensed through S85, the more frequent administration of S85 items </w:t>
      </w:r>
      <w:r w:rsidR="0030440A" w:rsidRPr="005D05BB">
        <w:t xml:space="preserve">would </w:t>
      </w:r>
      <w:r w:rsidRPr="005D05BB">
        <w:t>drive an incremental cost to gove</w:t>
      </w:r>
      <w:r w:rsidR="00E31F36" w:rsidRPr="005D05BB">
        <w:t>rnment for IFX SC</w:t>
      </w:r>
      <w:r w:rsidR="004272CB" w:rsidRPr="005D05BB">
        <w:t xml:space="preserve"> at the requested price</w:t>
      </w:r>
      <w:r w:rsidRPr="005D05BB">
        <w:t xml:space="preserve">. </w:t>
      </w:r>
    </w:p>
    <w:p w14:paraId="22856CA3" w14:textId="77777777" w:rsidR="00263A08" w:rsidRPr="003A6946" w:rsidRDefault="00263A08" w:rsidP="00263A08">
      <w:pPr>
        <w:pStyle w:val="4-SubsectionHeading"/>
      </w:pPr>
      <w:bookmarkStart w:id="30" w:name="_Toc371170711"/>
      <w:bookmarkStart w:id="31" w:name="_Toc19612025"/>
      <w:bookmarkStart w:id="32" w:name="_Toc50709848"/>
      <w:bookmarkStart w:id="33" w:name="_Toc22897647"/>
      <w:bookmarkStart w:id="34" w:name="_Toc50709850"/>
      <w:r w:rsidRPr="005D05BB">
        <w:t>Drug cost/patient/2-year</w:t>
      </w:r>
      <w:bookmarkEnd w:id="30"/>
      <w:bookmarkEnd w:id="31"/>
      <w:r w:rsidRPr="005D05BB">
        <w:t xml:space="preserve">s for maintenance </w:t>
      </w:r>
      <w:r w:rsidRPr="003A6946">
        <w:t>treatment</w:t>
      </w:r>
      <w:bookmarkEnd w:id="32"/>
      <w:r w:rsidR="007E7C51" w:rsidRPr="003A6946">
        <w:t>: $</w:t>
      </w:r>
      <w:r w:rsidR="00921FA1">
        <w:rPr>
          <w:noProof/>
          <w:color w:val="000000"/>
          <w:highlight w:val="black"/>
        </w:rPr>
        <w:t>''''''''''''''''''</w:t>
      </w:r>
    </w:p>
    <w:p w14:paraId="73A56288" w14:textId="77777777" w:rsidR="00263A08" w:rsidRPr="005D05BB" w:rsidRDefault="007E7C51" w:rsidP="00263A08">
      <w:pPr>
        <w:pStyle w:val="3-BodyText"/>
      </w:pPr>
      <w:r w:rsidRPr="003A6946">
        <w:t>Assuming a DPMQ of $</w:t>
      </w:r>
      <w:r w:rsidR="00921FA1">
        <w:rPr>
          <w:noProof/>
          <w:color w:val="000000"/>
          <w:highlight w:val="black"/>
        </w:rPr>
        <w:t>'''''''''''''</w:t>
      </w:r>
      <w:r w:rsidR="006C7AAA" w:rsidRPr="003A6946">
        <w:t xml:space="preserve"> (AEMP of $</w:t>
      </w:r>
      <w:r w:rsidR="00921FA1">
        <w:rPr>
          <w:noProof/>
          <w:color w:val="000000"/>
          <w:highlight w:val="black"/>
        </w:rPr>
        <w:t>''''''''''''</w:t>
      </w:r>
      <w:r w:rsidR="006C7AAA" w:rsidRPr="003A6946">
        <w:t xml:space="preserve"> / SC injection) and 26 scripts required for two years of maintenance treatment with IFX SC 120 mg, exclusive of two IFX IV induction doses required prior to SC administration, the per patient</w:t>
      </w:r>
      <w:r w:rsidR="00377CC7" w:rsidRPr="003A6946">
        <w:t xml:space="preserve"> cost</w:t>
      </w:r>
      <w:r w:rsidR="006C7AAA" w:rsidRPr="003A6946">
        <w:t xml:space="preserve"> is $</w:t>
      </w:r>
      <w:r w:rsidR="00921FA1">
        <w:rPr>
          <w:noProof/>
          <w:color w:val="000000"/>
          <w:highlight w:val="black"/>
        </w:rPr>
        <w:t>'''''''''''''''''''''</w:t>
      </w:r>
      <w:r w:rsidR="005D05BB" w:rsidRPr="003A6946">
        <w:t>.</w:t>
      </w:r>
      <w:r w:rsidR="005D05BB">
        <w:t xml:space="preserve"> </w:t>
      </w:r>
      <w:r w:rsidR="006C7AAA" w:rsidRPr="005D05BB">
        <w:t>The estimated treatment cost</w:t>
      </w:r>
      <w:r w:rsidR="009B0B58" w:rsidRPr="005D05BB">
        <w:t xml:space="preserve"> is overestimated</w:t>
      </w:r>
      <w:r w:rsidR="006C7AAA" w:rsidRPr="005D05BB">
        <w:t xml:space="preserve"> because the assumptions in the </w:t>
      </w:r>
      <w:r w:rsidR="00A60A06" w:rsidRPr="005D05BB">
        <w:t>CMA</w:t>
      </w:r>
      <w:r w:rsidR="00377CC7" w:rsidRPr="005D05BB">
        <w:t xml:space="preserve"> have been adjusted</w:t>
      </w:r>
      <w:r w:rsidR="006C7AAA" w:rsidRPr="005D05BB">
        <w:t>.</w:t>
      </w:r>
    </w:p>
    <w:p w14:paraId="2AC1F9E3" w14:textId="77777777" w:rsidR="00E32002" w:rsidRPr="005D05BB" w:rsidRDefault="00E32002" w:rsidP="00E32002">
      <w:pPr>
        <w:pStyle w:val="4-SubsectionHeading"/>
      </w:pPr>
      <w:r w:rsidRPr="005D05BB">
        <w:t>Estimated PBS usage &amp; financial implications</w:t>
      </w:r>
      <w:bookmarkEnd w:id="33"/>
      <w:bookmarkEnd w:id="34"/>
    </w:p>
    <w:p w14:paraId="6E9C4451" w14:textId="77777777" w:rsidR="00E32002" w:rsidRPr="005D05BB" w:rsidRDefault="00E32002" w:rsidP="00E32002">
      <w:pPr>
        <w:pStyle w:val="ListParagraph"/>
        <w:numPr>
          <w:ilvl w:val="1"/>
          <w:numId w:val="1"/>
        </w:numPr>
        <w:spacing w:after="160"/>
      </w:pPr>
      <w:r w:rsidRPr="005D05BB">
        <w:t>This submission was not considered by DUSC</w:t>
      </w:r>
      <w:r w:rsidR="005D05BB">
        <w:t xml:space="preserve">. </w:t>
      </w:r>
      <w:r w:rsidRPr="005D05BB">
        <w:t>The submission estimated the financial implications of the proposed listing using a market share approach, assuming that IFX SC would only substitute IFX IV and there would be no impact on the rate of market growth</w:t>
      </w:r>
      <w:r w:rsidR="005D05BB">
        <w:t xml:space="preserve">. </w:t>
      </w:r>
      <w:r w:rsidRPr="005D05BB">
        <w:t>The submission stated this approach was supported by past DUSC Reports in AS and PsA, which found limited switc</w:t>
      </w:r>
      <w:r w:rsidR="00F95372">
        <w:t>hing between IFX and other bDM</w:t>
      </w:r>
      <w:r w:rsidRPr="005D05BB">
        <w:t>Ds.</w:t>
      </w:r>
    </w:p>
    <w:p w14:paraId="7BF5C2DF" w14:textId="77777777" w:rsidR="00E32002" w:rsidRPr="005D05BB" w:rsidRDefault="00E32002" w:rsidP="00E32002">
      <w:pPr>
        <w:pStyle w:val="3-BodyText"/>
      </w:pPr>
      <w:r w:rsidRPr="005D05BB">
        <w:t>Table 8 summarises the key inputs in the financial estimates.</w:t>
      </w:r>
    </w:p>
    <w:p w14:paraId="1E41D123" w14:textId="77777777" w:rsidR="00E32002" w:rsidRPr="005D05BB" w:rsidRDefault="00E32002" w:rsidP="00BB6698">
      <w:pPr>
        <w:pStyle w:val="TableFigureHeading"/>
        <w:keepLines/>
        <w:rPr>
          <w:rStyle w:val="CommentReference"/>
          <w:b/>
          <w:szCs w:val="24"/>
        </w:rPr>
      </w:pPr>
      <w:r w:rsidRPr="005D05BB">
        <w:rPr>
          <w:rStyle w:val="CommentReference"/>
          <w:b/>
          <w:szCs w:val="24"/>
        </w:rPr>
        <w:lastRenderedPageBreak/>
        <w:t>Table 8: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3919"/>
      </w:tblGrid>
      <w:tr w:rsidR="00E32002" w:rsidRPr="005D05BB" w14:paraId="54A46AE9" w14:textId="77777777" w:rsidTr="008F456C">
        <w:trPr>
          <w:tblHeader/>
        </w:trPr>
        <w:tc>
          <w:tcPr>
            <w:tcW w:w="626" w:type="pct"/>
            <w:vAlign w:val="center"/>
          </w:tcPr>
          <w:p w14:paraId="5E00E363" w14:textId="77777777" w:rsidR="00E32002" w:rsidRPr="005D05BB" w:rsidRDefault="00E32002" w:rsidP="00BB6698">
            <w:pPr>
              <w:pStyle w:val="In-tableHeading"/>
              <w:keepLines/>
              <w:widowControl w:val="0"/>
              <w:jc w:val="center"/>
              <w:rPr>
                <w:lang w:val="en-AU"/>
              </w:rPr>
            </w:pPr>
            <w:r w:rsidRPr="005D05BB">
              <w:rPr>
                <w:lang w:val="en-AU"/>
              </w:rPr>
              <w:t>Data</w:t>
            </w:r>
          </w:p>
        </w:tc>
        <w:tc>
          <w:tcPr>
            <w:tcW w:w="2201" w:type="pct"/>
            <w:vAlign w:val="center"/>
          </w:tcPr>
          <w:p w14:paraId="6320253B" w14:textId="77777777" w:rsidR="00E32002" w:rsidRPr="005D05BB" w:rsidRDefault="00E32002" w:rsidP="00BB6698">
            <w:pPr>
              <w:pStyle w:val="In-tableHeading"/>
              <w:keepLines/>
              <w:widowControl w:val="0"/>
              <w:jc w:val="center"/>
              <w:rPr>
                <w:lang w:val="en-AU"/>
              </w:rPr>
            </w:pPr>
            <w:r w:rsidRPr="005D05BB">
              <w:rPr>
                <w:lang w:val="en-AU"/>
              </w:rPr>
              <w:t>Value and Source</w:t>
            </w:r>
          </w:p>
        </w:tc>
        <w:tc>
          <w:tcPr>
            <w:tcW w:w="2173" w:type="pct"/>
            <w:vAlign w:val="center"/>
          </w:tcPr>
          <w:p w14:paraId="63412139" w14:textId="77777777" w:rsidR="00E32002" w:rsidRPr="005D05BB" w:rsidRDefault="00E32002" w:rsidP="00BB6698">
            <w:pPr>
              <w:pStyle w:val="In-tableHeading"/>
              <w:keepLines/>
              <w:widowControl w:val="0"/>
              <w:jc w:val="center"/>
              <w:rPr>
                <w:lang w:val="en-AU"/>
              </w:rPr>
            </w:pPr>
            <w:r w:rsidRPr="005D05BB">
              <w:rPr>
                <w:lang w:val="en-AU"/>
              </w:rPr>
              <w:t>Comment</w:t>
            </w:r>
          </w:p>
        </w:tc>
      </w:tr>
      <w:tr w:rsidR="00E32002" w:rsidRPr="005D05BB" w14:paraId="02BF3422" w14:textId="77777777" w:rsidTr="008F456C">
        <w:tc>
          <w:tcPr>
            <w:tcW w:w="5000" w:type="pct"/>
            <w:gridSpan w:val="3"/>
            <w:vAlign w:val="center"/>
          </w:tcPr>
          <w:p w14:paraId="42A6595E" w14:textId="77777777" w:rsidR="00E32002" w:rsidRPr="005D05BB" w:rsidRDefault="00E32002" w:rsidP="00BB6698">
            <w:pPr>
              <w:pStyle w:val="TableText0"/>
              <w:keepLines/>
              <w:widowControl w:val="0"/>
              <w:rPr>
                <w:b/>
              </w:rPr>
            </w:pPr>
            <w:r w:rsidRPr="005D05BB">
              <w:rPr>
                <w:b/>
              </w:rPr>
              <w:t>Treatment utilisation</w:t>
            </w:r>
          </w:p>
        </w:tc>
      </w:tr>
      <w:tr w:rsidR="00E32002" w:rsidRPr="005D05BB" w14:paraId="04136DDE" w14:textId="77777777" w:rsidTr="008F456C">
        <w:trPr>
          <w:trHeight w:val="432"/>
        </w:trPr>
        <w:tc>
          <w:tcPr>
            <w:tcW w:w="626" w:type="pct"/>
            <w:tcBorders>
              <w:bottom w:val="single" w:sz="4" w:space="0" w:color="auto"/>
              <w:right w:val="single" w:sz="4" w:space="0" w:color="auto"/>
            </w:tcBorders>
            <w:vAlign w:val="center"/>
          </w:tcPr>
          <w:p w14:paraId="7C3FACAD" w14:textId="77777777" w:rsidR="00E32002" w:rsidRPr="005D05BB" w:rsidRDefault="00E32002" w:rsidP="00BB6698">
            <w:pPr>
              <w:pStyle w:val="TableText0"/>
              <w:keepLines/>
              <w:widowControl w:val="0"/>
            </w:pPr>
            <w:r w:rsidRPr="005D05BB">
              <w:t>Current market size of IFX IV in</w:t>
            </w:r>
          </w:p>
          <w:p w14:paraId="31D06F1F" w14:textId="77777777" w:rsidR="00E32002" w:rsidRPr="005D05BB" w:rsidRDefault="00E32002" w:rsidP="00BB6698">
            <w:pPr>
              <w:pStyle w:val="TableText0"/>
              <w:keepLines/>
              <w:widowControl w:val="0"/>
            </w:pPr>
            <w:r w:rsidRPr="005D05BB">
              <w:t>adult patients (Year 0)</w:t>
            </w:r>
          </w:p>
        </w:tc>
        <w:tc>
          <w:tcPr>
            <w:tcW w:w="2201" w:type="pct"/>
            <w:tcBorders>
              <w:left w:val="single" w:sz="4" w:space="0" w:color="auto"/>
              <w:bottom w:val="single" w:sz="4" w:space="0" w:color="auto"/>
            </w:tcBorders>
            <w:noWrap/>
            <w:vAlign w:val="center"/>
          </w:tcPr>
          <w:tbl>
            <w:tblPr>
              <w:tblStyle w:val="TableGrid"/>
              <w:tblW w:w="3366" w:type="dxa"/>
              <w:tblLayout w:type="fixed"/>
              <w:tblCellMar>
                <w:left w:w="28" w:type="dxa"/>
                <w:right w:w="28" w:type="dxa"/>
              </w:tblCellMar>
              <w:tblLook w:val="04A0" w:firstRow="1" w:lastRow="0" w:firstColumn="1" w:lastColumn="0" w:noHBand="0" w:noVBand="1"/>
              <w:tblCaption w:val="Aggregated script volumes (Jan 2019 to Dec 2019) across indications, split into initial and continuing listings for adult patients."/>
            </w:tblPr>
            <w:tblGrid>
              <w:gridCol w:w="815"/>
              <w:gridCol w:w="2551"/>
            </w:tblGrid>
            <w:tr w:rsidR="00E32002" w:rsidRPr="005D05BB" w14:paraId="0AE5379B" w14:textId="77777777" w:rsidTr="001A2685">
              <w:trPr>
                <w:tblHeader/>
              </w:trPr>
              <w:tc>
                <w:tcPr>
                  <w:tcW w:w="815" w:type="dxa"/>
                </w:tcPr>
                <w:p w14:paraId="2443D600" w14:textId="77777777" w:rsidR="00E32002" w:rsidRPr="005D05BB" w:rsidRDefault="00E32002" w:rsidP="00BB6698">
                  <w:pPr>
                    <w:pStyle w:val="TableText0"/>
                    <w:keepLines/>
                    <w:widowControl w:val="0"/>
                    <w:rPr>
                      <w:sz w:val="18"/>
                      <w:szCs w:val="22"/>
                    </w:rPr>
                  </w:pPr>
                  <w:r w:rsidRPr="005D05BB">
                    <w:rPr>
                      <w:sz w:val="18"/>
                      <w:szCs w:val="22"/>
                    </w:rPr>
                    <w:t>Init. - HSD (Private)</w:t>
                  </w:r>
                </w:p>
              </w:tc>
              <w:tc>
                <w:tcPr>
                  <w:tcW w:w="2551" w:type="dxa"/>
                </w:tcPr>
                <w:p w14:paraId="59757A64" w14:textId="77777777" w:rsidR="00E32002" w:rsidRPr="005D05BB" w:rsidRDefault="00E32002" w:rsidP="00BB6698">
                  <w:pPr>
                    <w:pStyle w:val="TableText0"/>
                    <w:keepLines/>
                    <w:widowControl w:val="0"/>
                    <w:rPr>
                      <w:sz w:val="18"/>
                      <w:szCs w:val="22"/>
                    </w:rPr>
                  </w:pPr>
                  <w:r w:rsidRPr="005D05BB">
                    <w:rPr>
                      <w:sz w:val="18"/>
                      <w:szCs w:val="22"/>
                    </w:rPr>
                    <w:t>5753T, 9654D, 10196P, 5757B, 5754W, 5758C, 5756Y</w:t>
                  </w:r>
                </w:p>
              </w:tc>
            </w:tr>
            <w:tr w:rsidR="00E32002" w:rsidRPr="005D05BB" w14:paraId="5AE22635" w14:textId="77777777" w:rsidTr="008F456C">
              <w:tc>
                <w:tcPr>
                  <w:tcW w:w="815" w:type="dxa"/>
                </w:tcPr>
                <w:p w14:paraId="1692F0A8" w14:textId="77777777" w:rsidR="00E32002" w:rsidRPr="005D05BB" w:rsidRDefault="00E32002" w:rsidP="00BB6698">
                  <w:pPr>
                    <w:pStyle w:val="TableText0"/>
                    <w:keepLines/>
                    <w:widowControl w:val="0"/>
                    <w:rPr>
                      <w:sz w:val="18"/>
                      <w:szCs w:val="22"/>
                    </w:rPr>
                  </w:pPr>
                  <w:r w:rsidRPr="005D05BB">
                    <w:rPr>
                      <w:sz w:val="18"/>
                      <w:szCs w:val="22"/>
                    </w:rPr>
                    <w:t>Init. - HSD (Public)</w:t>
                  </w:r>
                </w:p>
              </w:tc>
              <w:tc>
                <w:tcPr>
                  <w:tcW w:w="2551" w:type="dxa"/>
                </w:tcPr>
                <w:p w14:paraId="1E270B1D" w14:textId="77777777" w:rsidR="00E32002" w:rsidRPr="005D05BB" w:rsidRDefault="00E32002" w:rsidP="00BB6698">
                  <w:pPr>
                    <w:pStyle w:val="TableText0"/>
                    <w:keepLines/>
                    <w:widowControl w:val="0"/>
                    <w:rPr>
                      <w:sz w:val="18"/>
                      <w:szCs w:val="22"/>
                    </w:rPr>
                  </w:pPr>
                  <w:r w:rsidRPr="005D05BB">
                    <w:rPr>
                      <w:sz w:val="18"/>
                      <w:szCs w:val="22"/>
                    </w:rPr>
                    <w:t>6448J, 9674E, 10184B, 6397Q, 9613Y, 9617E, 6496X</w:t>
                  </w:r>
                </w:p>
              </w:tc>
            </w:tr>
            <w:tr w:rsidR="00E32002" w:rsidRPr="005D05BB" w14:paraId="19E08444" w14:textId="77777777" w:rsidTr="008F456C">
              <w:tc>
                <w:tcPr>
                  <w:tcW w:w="815" w:type="dxa"/>
                </w:tcPr>
                <w:p w14:paraId="30E0B4D1" w14:textId="77777777" w:rsidR="00E32002" w:rsidRPr="005D05BB" w:rsidRDefault="00E32002" w:rsidP="00BB6698">
                  <w:pPr>
                    <w:pStyle w:val="TableText0"/>
                    <w:keepLines/>
                    <w:widowControl w:val="0"/>
                    <w:rPr>
                      <w:sz w:val="18"/>
                      <w:szCs w:val="22"/>
                    </w:rPr>
                  </w:pPr>
                  <w:r w:rsidRPr="005D05BB">
                    <w:rPr>
                      <w:sz w:val="18"/>
                      <w:szCs w:val="22"/>
                    </w:rPr>
                    <w:t>Cont – HSD (Private)</w:t>
                  </w:r>
                </w:p>
              </w:tc>
              <w:tc>
                <w:tcPr>
                  <w:tcW w:w="2551" w:type="dxa"/>
                </w:tcPr>
                <w:p w14:paraId="37858F8A" w14:textId="77777777" w:rsidR="00E32002" w:rsidRPr="005D05BB" w:rsidRDefault="00E32002" w:rsidP="00BB6698">
                  <w:pPr>
                    <w:pStyle w:val="TableText0"/>
                    <w:keepLines/>
                    <w:widowControl w:val="0"/>
                    <w:rPr>
                      <w:sz w:val="18"/>
                      <w:szCs w:val="22"/>
                    </w:rPr>
                  </w:pPr>
                  <w:r w:rsidRPr="005D05BB">
                    <w:rPr>
                      <w:sz w:val="18"/>
                      <w:szCs w:val="22"/>
                    </w:rPr>
                    <w:t>11488P, 11489Q, 11432Q, 11412P, 11796W, 11797X, 11483J, 11487N, 11396T, 11399Y, 11595G, 11590B, 11515C, 11498E</w:t>
                  </w:r>
                </w:p>
              </w:tc>
            </w:tr>
            <w:tr w:rsidR="00E32002" w:rsidRPr="005D05BB" w14:paraId="57D4039B" w14:textId="77777777" w:rsidTr="008F456C">
              <w:tc>
                <w:tcPr>
                  <w:tcW w:w="815" w:type="dxa"/>
                </w:tcPr>
                <w:p w14:paraId="553EE417" w14:textId="77777777" w:rsidR="00E32002" w:rsidRPr="005D05BB" w:rsidRDefault="00E32002" w:rsidP="00BB6698">
                  <w:pPr>
                    <w:pStyle w:val="TableText0"/>
                    <w:keepLines/>
                    <w:widowControl w:val="0"/>
                    <w:rPr>
                      <w:sz w:val="18"/>
                      <w:szCs w:val="22"/>
                    </w:rPr>
                  </w:pPr>
                  <w:r w:rsidRPr="005D05BB">
                    <w:rPr>
                      <w:sz w:val="18"/>
                      <w:szCs w:val="22"/>
                    </w:rPr>
                    <w:t>Cont. – HSD (Public)</w:t>
                  </w:r>
                </w:p>
              </w:tc>
              <w:tc>
                <w:tcPr>
                  <w:tcW w:w="2551" w:type="dxa"/>
                </w:tcPr>
                <w:p w14:paraId="68C139D1" w14:textId="77777777" w:rsidR="00E32002" w:rsidRPr="005D05BB" w:rsidRDefault="00E32002" w:rsidP="00BB6698">
                  <w:pPr>
                    <w:pStyle w:val="TableText0"/>
                    <w:keepLines/>
                    <w:widowControl w:val="0"/>
                    <w:rPr>
                      <w:sz w:val="18"/>
                      <w:szCs w:val="22"/>
                    </w:rPr>
                  </w:pPr>
                  <w:r w:rsidRPr="005D05BB">
                    <w:rPr>
                      <w:sz w:val="18"/>
                      <w:szCs w:val="22"/>
                    </w:rPr>
                    <w:t>11486M, 11482H, 11423F, 11424G, 11461F, 11459D, 11490R, 11481G, 11400B, 11389K, 11605T, 11606W, 11514B, 11497D</w:t>
                  </w:r>
                </w:p>
              </w:tc>
            </w:tr>
          </w:tbl>
          <w:p w14:paraId="7B9B34BC" w14:textId="77777777" w:rsidR="00E32002" w:rsidRPr="005D05BB" w:rsidRDefault="00E32002" w:rsidP="00BB6698">
            <w:pPr>
              <w:pStyle w:val="TableText0"/>
              <w:keepLines/>
              <w:widowControl w:val="0"/>
              <w:rPr>
                <w:sz w:val="18"/>
                <w:szCs w:val="22"/>
              </w:rPr>
            </w:pPr>
            <w:r w:rsidRPr="005D05BB">
              <w:t>Aggregated script volumes (Jan 2019 to Dec 2019) across indications, split into initial and continuing listings for adult patients.</w:t>
            </w:r>
          </w:p>
        </w:tc>
        <w:tc>
          <w:tcPr>
            <w:tcW w:w="2173" w:type="pct"/>
            <w:tcBorders>
              <w:bottom w:val="single" w:sz="4" w:space="0" w:color="auto"/>
            </w:tcBorders>
            <w:vAlign w:val="center"/>
          </w:tcPr>
          <w:p w14:paraId="0C4311ED" w14:textId="77777777" w:rsidR="00E32002" w:rsidRPr="005D05BB" w:rsidRDefault="00E32002" w:rsidP="00BB6698">
            <w:pPr>
              <w:pStyle w:val="TableText0"/>
              <w:keepLines/>
              <w:widowControl w:val="0"/>
            </w:pPr>
            <w:r w:rsidRPr="005D05BB">
              <w:t>A reasonable simplification of the data, noting the following caveats: (i) the item codes for initial treatment include ‘First Continuing Treatment’ in six of the seven conditions; (ii) item codes for one condition (UC) includes paediatric patients; (iii) two items codes for initial treatment were incorrectly classified (10196P is Public; 10184B is Private).</w:t>
            </w:r>
          </w:p>
        </w:tc>
      </w:tr>
      <w:tr w:rsidR="00E32002" w:rsidRPr="005D05BB" w14:paraId="10AB411B" w14:textId="77777777" w:rsidTr="008F456C">
        <w:trPr>
          <w:trHeight w:val="325"/>
        </w:trPr>
        <w:tc>
          <w:tcPr>
            <w:tcW w:w="626" w:type="pct"/>
            <w:tcBorders>
              <w:bottom w:val="single" w:sz="4" w:space="0" w:color="auto"/>
              <w:right w:val="single" w:sz="4" w:space="0" w:color="auto"/>
            </w:tcBorders>
            <w:vAlign w:val="center"/>
          </w:tcPr>
          <w:p w14:paraId="786A9D09" w14:textId="77777777" w:rsidR="00E32002" w:rsidRPr="005D05BB" w:rsidRDefault="00E32002" w:rsidP="00BB6698">
            <w:pPr>
              <w:pStyle w:val="TableText0"/>
              <w:keepLines/>
              <w:widowControl w:val="0"/>
            </w:pPr>
            <w:r w:rsidRPr="005D05BB">
              <w:t>Projected IFX market growth</w:t>
            </w:r>
          </w:p>
        </w:tc>
        <w:tc>
          <w:tcPr>
            <w:tcW w:w="2201" w:type="pct"/>
            <w:tcBorders>
              <w:left w:val="single" w:sz="4" w:space="0" w:color="auto"/>
              <w:bottom w:val="single" w:sz="4" w:space="0" w:color="auto"/>
            </w:tcBorders>
            <w:noWrap/>
            <w:vAlign w:val="center"/>
          </w:tcPr>
          <w:tbl>
            <w:tblPr>
              <w:tblStyle w:val="TableGrid"/>
              <w:tblW w:w="0" w:type="auto"/>
              <w:tblLayout w:type="fixed"/>
              <w:tblCellMar>
                <w:left w:w="28" w:type="dxa"/>
                <w:right w:w="28" w:type="dxa"/>
              </w:tblCellMar>
              <w:tblLook w:val="04A0" w:firstRow="1" w:lastRow="0" w:firstColumn="1" w:lastColumn="0" w:noHBand="0" w:noVBand="1"/>
              <w:tblCaption w:val="Projected IFX market growth"/>
            </w:tblPr>
            <w:tblGrid>
              <w:gridCol w:w="531"/>
              <w:gridCol w:w="405"/>
              <w:gridCol w:w="405"/>
              <w:gridCol w:w="405"/>
              <w:gridCol w:w="405"/>
              <w:gridCol w:w="405"/>
              <w:gridCol w:w="405"/>
              <w:gridCol w:w="405"/>
            </w:tblGrid>
            <w:tr w:rsidR="00E32002" w:rsidRPr="005D05BB" w14:paraId="0545DDD1" w14:textId="77777777" w:rsidTr="001A2685">
              <w:trPr>
                <w:tblHeader/>
              </w:trPr>
              <w:tc>
                <w:tcPr>
                  <w:tcW w:w="531" w:type="dxa"/>
                </w:tcPr>
                <w:p w14:paraId="2D1755BC" w14:textId="77777777" w:rsidR="00E32002" w:rsidRPr="005D05BB" w:rsidRDefault="00E32002" w:rsidP="00BB6698">
                  <w:pPr>
                    <w:pStyle w:val="TableText0"/>
                    <w:keepLines/>
                    <w:widowControl w:val="0"/>
                    <w:rPr>
                      <w:sz w:val="18"/>
                      <w:szCs w:val="22"/>
                    </w:rPr>
                  </w:pPr>
                </w:p>
              </w:tc>
              <w:tc>
                <w:tcPr>
                  <w:tcW w:w="405" w:type="dxa"/>
                </w:tcPr>
                <w:p w14:paraId="7340E3B0" w14:textId="77777777" w:rsidR="00E32002" w:rsidRPr="005D05BB" w:rsidRDefault="00E32002" w:rsidP="00BB6698">
                  <w:pPr>
                    <w:pStyle w:val="TableText0"/>
                    <w:keepLines/>
                    <w:widowControl w:val="0"/>
                    <w:rPr>
                      <w:sz w:val="18"/>
                      <w:szCs w:val="22"/>
                    </w:rPr>
                  </w:pPr>
                  <w:r w:rsidRPr="005D05BB">
                    <w:rPr>
                      <w:sz w:val="18"/>
                      <w:szCs w:val="22"/>
                    </w:rPr>
                    <w:t>Yr0</w:t>
                  </w:r>
                </w:p>
              </w:tc>
              <w:tc>
                <w:tcPr>
                  <w:tcW w:w="405" w:type="dxa"/>
                </w:tcPr>
                <w:p w14:paraId="1B6BC157" w14:textId="77777777" w:rsidR="00E32002" w:rsidRPr="005D05BB" w:rsidRDefault="00E32002" w:rsidP="00BB6698">
                  <w:pPr>
                    <w:pStyle w:val="TableText0"/>
                    <w:keepLines/>
                    <w:widowControl w:val="0"/>
                    <w:rPr>
                      <w:sz w:val="18"/>
                      <w:szCs w:val="22"/>
                    </w:rPr>
                  </w:pPr>
                  <w:r w:rsidRPr="005D05BB">
                    <w:rPr>
                      <w:sz w:val="18"/>
                      <w:szCs w:val="22"/>
                    </w:rPr>
                    <w:t>Yr1</w:t>
                  </w:r>
                </w:p>
              </w:tc>
              <w:tc>
                <w:tcPr>
                  <w:tcW w:w="405" w:type="dxa"/>
                </w:tcPr>
                <w:p w14:paraId="0FE4D763" w14:textId="77777777" w:rsidR="00E32002" w:rsidRPr="005D05BB" w:rsidRDefault="00E32002" w:rsidP="00BB6698">
                  <w:pPr>
                    <w:pStyle w:val="TableText0"/>
                    <w:keepLines/>
                    <w:widowControl w:val="0"/>
                    <w:rPr>
                      <w:sz w:val="18"/>
                      <w:szCs w:val="22"/>
                    </w:rPr>
                  </w:pPr>
                  <w:r w:rsidRPr="005D05BB">
                    <w:rPr>
                      <w:sz w:val="18"/>
                      <w:szCs w:val="22"/>
                    </w:rPr>
                    <w:t>Yr2</w:t>
                  </w:r>
                </w:p>
              </w:tc>
              <w:tc>
                <w:tcPr>
                  <w:tcW w:w="405" w:type="dxa"/>
                </w:tcPr>
                <w:p w14:paraId="5927ADF5" w14:textId="77777777" w:rsidR="00E32002" w:rsidRPr="005D05BB" w:rsidRDefault="00E32002" w:rsidP="00BB6698">
                  <w:pPr>
                    <w:pStyle w:val="TableText0"/>
                    <w:keepLines/>
                    <w:widowControl w:val="0"/>
                    <w:rPr>
                      <w:sz w:val="18"/>
                      <w:szCs w:val="22"/>
                    </w:rPr>
                  </w:pPr>
                  <w:r w:rsidRPr="005D05BB">
                    <w:rPr>
                      <w:sz w:val="18"/>
                      <w:szCs w:val="22"/>
                    </w:rPr>
                    <w:t>Yr3</w:t>
                  </w:r>
                </w:p>
              </w:tc>
              <w:tc>
                <w:tcPr>
                  <w:tcW w:w="405" w:type="dxa"/>
                </w:tcPr>
                <w:p w14:paraId="6249644C" w14:textId="77777777" w:rsidR="00E32002" w:rsidRPr="005D05BB" w:rsidRDefault="00E32002" w:rsidP="00BB6698">
                  <w:pPr>
                    <w:pStyle w:val="TableText0"/>
                    <w:keepLines/>
                    <w:widowControl w:val="0"/>
                    <w:rPr>
                      <w:sz w:val="18"/>
                      <w:szCs w:val="22"/>
                    </w:rPr>
                  </w:pPr>
                  <w:r w:rsidRPr="005D05BB">
                    <w:rPr>
                      <w:sz w:val="18"/>
                      <w:szCs w:val="22"/>
                    </w:rPr>
                    <w:t>Yr4</w:t>
                  </w:r>
                </w:p>
              </w:tc>
              <w:tc>
                <w:tcPr>
                  <w:tcW w:w="405" w:type="dxa"/>
                </w:tcPr>
                <w:p w14:paraId="34999EB6" w14:textId="77777777" w:rsidR="00E32002" w:rsidRPr="005D05BB" w:rsidRDefault="00E32002" w:rsidP="00BB6698">
                  <w:pPr>
                    <w:pStyle w:val="TableText0"/>
                    <w:keepLines/>
                    <w:widowControl w:val="0"/>
                    <w:rPr>
                      <w:sz w:val="18"/>
                      <w:szCs w:val="22"/>
                    </w:rPr>
                  </w:pPr>
                  <w:r w:rsidRPr="005D05BB">
                    <w:rPr>
                      <w:sz w:val="18"/>
                      <w:szCs w:val="22"/>
                    </w:rPr>
                    <w:t>Yr5</w:t>
                  </w:r>
                </w:p>
              </w:tc>
              <w:tc>
                <w:tcPr>
                  <w:tcW w:w="405" w:type="dxa"/>
                </w:tcPr>
                <w:p w14:paraId="046A8390" w14:textId="77777777" w:rsidR="00E32002" w:rsidRPr="005D05BB" w:rsidRDefault="00E32002" w:rsidP="00BB6698">
                  <w:pPr>
                    <w:pStyle w:val="TableText0"/>
                    <w:keepLines/>
                    <w:widowControl w:val="0"/>
                    <w:rPr>
                      <w:sz w:val="18"/>
                      <w:szCs w:val="22"/>
                    </w:rPr>
                  </w:pPr>
                  <w:r w:rsidRPr="005D05BB">
                    <w:rPr>
                      <w:sz w:val="18"/>
                      <w:szCs w:val="22"/>
                    </w:rPr>
                    <w:t>Yr6</w:t>
                  </w:r>
                </w:p>
              </w:tc>
            </w:tr>
            <w:tr w:rsidR="00E32002" w:rsidRPr="005D05BB" w14:paraId="1CCD39BD" w14:textId="77777777" w:rsidTr="008F456C">
              <w:trPr>
                <w:trHeight w:val="60"/>
              </w:trPr>
              <w:tc>
                <w:tcPr>
                  <w:tcW w:w="531" w:type="dxa"/>
                </w:tcPr>
                <w:p w14:paraId="645B5EBC" w14:textId="77777777" w:rsidR="00E32002" w:rsidRPr="005D05BB" w:rsidRDefault="00E32002" w:rsidP="00BB6698">
                  <w:pPr>
                    <w:pStyle w:val="TableText0"/>
                    <w:keepLines/>
                    <w:widowControl w:val="0"/>
                    <w:rPr>
                      <w:sz w:val="18"/>
                      <w:szCs w:val="22"/>
                    </w:rPr>
                  </w:pPr>
                  <w:r w:rsidRPr="005D05BB">
                    <w:rPr>
                      <w:sz w:val="18"/>
                      <w:szCs w:val="22"/>
                    </w:rPr>
                    <w:t>Init.</w:t>
                  </w:r>
                </w:p>
              </w:tc>
              <w:tc>
                <w:tcPr>
                  <w:tcW w:w="405" w:type="dxa"/>
                  <w:vMerge w:val="restart"/>
                  <w:vAlign w:val="center"/>
                </w:tcPr>
                <w:p w14:paraId="204E3AE6"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743652E8"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631787D0"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18C22862"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6B93E7B4"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242CD5C2" w14:textId="77777777" w:rsidR="00E32002" w:rsidRPr="003A6946" w:rsidRDefault="00921FA1" w:rsidP="00BB6698">
                  <w:pPr>
                    <w:pStyle w:val="TableText0"/>
                    <w:keepLines/>
                    <w:widowControl w:val="0"/>
                    <w:rPr>
                      <w:sz w:val="18"/>
                      <w:szCs w:val="22"/>
                    </w:rPr>
                  </w:pPr>
                  <w:r>
                    <w:rPr>
                      <w:noProof/>
                      <w:color w:val="000000"/>
                      <w:sz w:val="18"/>
                      <w:szCs w:val="22"/>
                      <w:highlight w:val="black"/>
                    </w:rPr>
                    <w:t>'''</w:t>
                  </w:r>
                  <w:r w:rsidR="00E32002" w:rsidRPr="003A6946">
                    <w:rPr>
                      <w:sz w:val="18"/>
                      <w:szCs w:val="22"/>
                    </w:rPr>
                    <w:t>%</w:t>
                  </w:r>
                </w:p>
              </w:tc>
              <w:tc>
                <w:tcPr>
                  <w:tcW w:w="405" w:type="dxa"/>
                  <w:vMerge w:val="restart"/>
                  <w:vAlign w:val="center"/>
                </w:tcPr>
                <w:p w14:paraId="67114692" w14:textId="77777777" w:rsidR="00E32002" w:rsidRPr="00921FA1" w:rsidRDefault="00921FA1" w:rsidP="00BB6698">
                  <w:pPr>
                    <w:pStyle w:val="TableText0"/>
                    <w:keepLines/>
                    <w:widowControl w:val="0"/>
                    <w:rPr>
                      <w:sz w:val="18"/>
                      <w:szCs w:val="22"/>
                      <w:highlight w:val="black"/>
                    </w:rPr>
                  </w:pPr>
                  <w:r>
                    <w:rPr>
                      <w:noProof/>
                      <w:color w:val="000000"/>
                      <w:sz w:val="18"/>
                      <w:szCs w:val="22"/>
                      <w:highlight w:val="black"/>
                    </w:rPr>
                    <w:t>'''''''</w:t>
                  </w:r>
                </w:p>
              </w:tc>
            </w:tr>
            <w:tr w:rsidR="00E32002" w:rsidRPr="005D05BB" w14:paraId="162A9982" w14:textId="77777777" w:rsidTr="008F456C">
              <w:trPr>
                <w:trHeight w:val="60"/>
              </w:trPr>
              <w:tc>
                <w:tcPr>
                  <w:tcW w:w="531" w:type="dxa"/>
                </w:tcPr>
                <w:p w14:paraId="082CD451" w14:textId="77777777" w:rsidR="00E32002" w:rsidRPr="005D05BB" w:rsidRDefault="00E32002" w:rsidP="00BB6698">
                  <w:pPr>
                    <w:pStyle w:val="TableText0"/>
                    <w:keepLines/>
                    <w:widowControl w:val="0"/>
                    <w:rPr>
                      <w:sz w:val="18"/>
                      <w:szCs w:val="22"/>
                    </w:rPr>
                  </w:pPr>
                  <w:r w:rsidRPr="005D05BB">
                    <w:rPr>
                      <w:sz w:val="18"/>
                      <w:szCs w:val="22"/>
                    </w:rPr>
                    <w:t>Cont.</w:t>
                  </w:r>
                </w:p>
              </w:tc>
              <w:tc>
                <w:tcPr>
                  <w:tcW w:w="405" w:type="dxa"/>
                  <w:vMerge/>
                </w:tcPr>
                <w:p w14:paraId="3AD9D3EF"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51A44D9E"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27427F6A"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3D1ED741"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6334B8F8"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78A8F28F" w14:textId="77777777" w:rsidR="00E32002" w:rsidRPr="005D05BB" w:rsidRDefault="00E32002" w:rsidP="00BB6698">
                  <w:pPr>
                    <w:pStyle w:val="TableText0"/>
                    <w:keepLines/>
                    <w:widowControl w:val="0"/>
                    <w:jc w:val="center"/>
                    <w:rPr>
                      <w:sz w:val="18"/>
                      <w:szCs w:val="22"/>
                    </w:rPr>
                  </w:pPr>
                </w:p>
              </w:tc>
              <w:tc>
                <w:tcPr>
                  <w:tcW w:w="405" w:type="dxa"/>
                  <w:vMerge/>
                  <w:vAlign w:val="center"/>
                </w:tcPr>
                <w:p w14:paraId="046E4A72" w14:textId="77777777" w:rsidR="00E32002" w:rsidRPr="005D05BB" w:rsidRDefault="00E32002" w:rsidP="00BB6698">
                  <w:pPr>
                    <w:pStyle w:val="TableText0"/>
                    <w:keepLines/>
                    <w:widowControl w:val="0"/>
                    <w:jc w:val="center"/>
                    <w:rPr>
                      <w:sz w:val="18"/>
                      <w:szCs w:val="22"/>
                    </w:rPr>
                  </w:pPr>
                </w:p>
              </w:tc>
            </w:tr>
          </w:tbl>
          <w:p w14:paraId="7B4FDC80" w14:textId="77777777" w:rsidR="00E32002" w:rsidRPr="005D05BB" w:rsidRDefault="00E32002" w:rsidP="00BB6698">
            <w:pPr>
              <w:pStyle w:val="TableText0"/>
              <w:keepLines/>
              <w:widowControl w:val="0"/>
              <w:rPr>
                <w:sz w:val="18"/>
                <w:szCs w:val="22"/>
              </w:rPr>
            </w:pPr>
          </w:p>
          <w:p w14:paraId="41CB1741" w14:textId="77777777" w:rsidR="00E32002" w:rsidRPr="005D05BB" w:rsidRDefault="00E32002" w:rsidP="00BB6698">
            <w:pPr>
              <w:pStyle w:val="TableText0"/>
              <w:keepLines/>
              <w:widowControl w:val="0"/>
              <w:rPr>
                <w:sz w:val="18"/>
                <w:szCs w:val="22"/>
              </w:rPr>
            </w:pPr>
            <w:r w:rsidRPr="005D05BB">
              <w:t>Assumption</w:t>
            </w:r>
            <w:r w:rsidR="005D05BB">
              <w:t xml:space="preserve">. </w:t>
            </w:r>
            <w:r w:rsidRPr="005D05BB">
              <w:t>Current growth (pa</w:t>
            </w:r>
            <w:r w:rsidR="009D4578" w:rsidRPr="005D05BB">
              <w:t>st 2-3 years) is ~11%, but the S</w:t>
            </w:r>
            <w:r w:rsidRPr="005D05BB">
              <w:t>ponsor expects t</w:t>
            </w:r>
            <w:r w:rsidR="00F95372">
              <w:t>his rate to decline as new bDM</w:t>
            </w:r>
            <w:r w:rsidRPr="005D05BB">
              <w:t>Ds become available.</w:t>
            </w:r>
          </w:p>
        </w:tc>
        <w:tc>
          <w:tcPr>
            <w:tcW w:w="2173" w:type="pct"/>
            <w:tcBorders>
              <w:bottom w:val="single" w:sz="4" w:space="0" w:color="auto"/>
            </w:tcBorders>
            <w:vAlign w:val="center"/>
          </w:tcPr>
          <w:p w14:paraId="27480317" w14:textId="77777777" w:rsidR="00E32002" w:rsidRPr="005D05BB" w:rsidRDefault="00E32002" w:rsidP="00BB6698">
            <w:pPr>
              <w:pStyle w:val="TableText0"/>
              <w:keepLines/>
              <w:widowControl w:val="0"/>
            </w:pPr>
            <w:r w:rsidRPr="005D05BB">
              <w:t>Uncertain assumption that potentially favours IFX SC</w:t>
            </w:r>
            <w:r w:rsidR="00442D40" w:rsidRPr="005D05BB">
              <w:t>;</w:t>
            </w:r>
            <w:r w:rsidRPr="005D05BB">
              <w:t xml:space="preserve"> figures in the submission show growth rates of 8.7% and 13.0% for 2018 and 2019</w:t>
            </w:r>
            <w:r w:rsidR="00C8121B" w:rsidRPr="005D05BB">
              <w:t xml:space="preserve"> for IFX IV,</w:t>
            </w:r>
            <w:r w:rsidRPr="005D05BB">
              <w:t xml:space="preserve"> respectively. The financial estimates are sensitive to growth rates.</w:t>
            </w:r>
          </w:p>
        </w:tc>
      </w:tr>
      <w:tr w:rsidR="00E32002" w:rsidRPr="005D05BB" w14:paraId="05BAD830" w14:textId="77777777" w:rsidTr="008F456C">
        <w:trPr>
          <w:trHeight w:val="1928"/>
        </w:trPr>
        <w:tc>
          <w:tcPr>
            <w:tcW w:w="626" w:type="pct"/>
            <w:tcBorders>
              <w:bottom w:val="single" w:sz="4" w:space="0" w:color="auto"/>
              <w:right w:val="single" w:sz="4" w:space="0" w:color="auto"/>
            </w:tcBorders>
            <w:vAlign w:val="center"/>
          </w:tcPr>
          <w:p w14:paraId="14ED61AF" w14:textId="77777777" w:rsidR="00E32002" w:rsidRPr="005D05BB" w:rsidRDefault="00E32002" w:rsidP="00BB6698">
            <w:pPr>
              <w:pStyle w:val="TableText0"/>
              <w:keepLines/>
              <w:widowControl w:val="0"/>
            </w:pPr>
            <w:r w:rsidRPr="005D05BB">
              <w:t xml:space="preserve">Market uptake of IFX SC </w:t>
            </w:r>
          </w:p>
        </w:tc>
        <w:tc>
          <w:tcPr>
            <w:tcW w:w="2201" w:type="pct"/>
            <w:tcBorders>
              <w:left w:val="single" w:sz="4" w:space="0" w:color="auto"/>
              <w:bottom w:val="single" w:sz="4" w:space="0" w:color="auto"/>
            </w:tcBorders>
            <w:noWrap/>
            <w:vAlign w:val="center"/>
          </w:tcPr>
          <w:tbl>
            <w:tblPr>
              <w:tblStyle w:val="TableGrid"/>
              <w:tblW w:w="0" w:type="auto"/>
              <w:tblLayout w:type="fixed"/>
              <w:tblCellMar>
                <w:left w:w="28" w:type="dxa"/>
                <w:right w:w="28" w:type="dxa"/>
              </w:tblCellMar>
              <w:tblLook w:val="04A0" w:firstRow="1" w:lastRow="0" w:firstColumn="1" w:lastColumn="0" w:noHBand="0" w:noVBand="1"/>
              <w:tblCaption w:val="Market uptake of IFX SC "/>
            </w:tblPr>
            <w:tblGrid>
              <w:gridCol w:w="531"/>
              <w:gridCol w:w="425"/>
              <w:gridCol w:w="425"/>
              <w:gridCol w:w="426"/>
              <w:gridCol w:w="425"/>
              <w:gridCol w:w="425"/>
              <w:gridCol w:w="426"/>
            </w:tblGrid>
            <w:tr w:rsidR="00E32002" w:rsidRPr="003A6946" w14:paraId="6C174AAF" w14:textId="77777777" w:rsidTr="001A2685">
              <w:trPr>
                <w:tblHeader/>
              </w:trPr>
              <w:tc>
                <w:tcPr>
                  <w:tcW w:w="531" w:type="dxa"/>
                </w:tcPr>
                <w:p w14:paraId="71C924E1" w14:textId="77777777" w:rsidR="00E32002" w:rsidRPr="005D05BB" w:rsidRDefault="00E32002" w:rsidP="00BB6698">
                  <w:pPr>
                    <w:pStyle w:val="TableText0"/>
                    <w:keepLines/>
                    <w:widowControl w:val="0"/>
                    <w:rPr>
                      <w:sz w:val="18"/>
                      <w:szCs w:val="22"/>
                    </w:rPr>
                  </w:pPr>
                  <w:bookmarkStart w:id="35" w:name="_GoBack" w:colFirst="0" w:colLast="7"/>
                </w:p>
              </w:tc>
              <w:tc>
                <w:tcPr>
                  <w:tcW w:w="425" w:type="dxa"/>
                </w:tcPr>
                <w:p w14:paraId="4C98AF51" w14:textId="77777777" w:rsidR="00E32002" w:rsidRPr="003A6946" w:rsidRDefault="00E32002" w:rsidP="00BB6698">
                  <w:pPr>
                    <w:pStyle w:val="TableText0"/>
                    <w:keepLines/>
                    <w:widowControl w:val="0"/>
                    <w:rPr>
                      <w:sz w:val="18"/>
                      <w:szCs w:val="22"/>
                    </w:rPr>
                  </w:pPr>
                  <w:r w:rsidRPr="003A6946">
                    <w:rPr>
                      <w:sz w:val="18"/>
                      <w:szCs w:val="22"/>
                    </w:rPr>
                    <w:t>Yr1</w:t>
                  </w:r>
                </w:p>
              </w:tc>
              <w:tc>
                <w:tcPr>
                  <w:tcW w:w="425" w:type="dxa"/>
                </w:tcPr>
                <w:p w14:paraId="188A9FB4" w14:textId="77777777" w:rsidR="00E32002" w:rsidRPr="003A6946" w:rsidRDefault="00E32002" w:rsidP="00BB6698">
                  <w:pPr>
                    <w:pStyle w:val="TableText0"/>
                    <w:keepLines/>
                    <w:widowControl w:val="0"/>
                    <w:rPr>
                      <w:sz w:val="18"/>
                      <w:szCs w:val="22"/>
                    </w:rPr>
                  </w:pPr>
                  <w:r w:rsidRPr="003A6946">
                    <w:rPr>
                      <w:sz w:val="18"/>
                      <w:szCs w:val="22"/>
                    </w:rPr>
                    <w:t>Yr2</w:t>
                  </w:r>
                </w:p>
              </w:tc>
              <w:tc>
                <w:tcPr>
                  <w:tcW w:w="426" w:type="dxa"/>
                </w:tcPr>
                <w:p w14:paraId="191D77BD" w14:textId="77777777" w:rsidR="00E32002" w:rsidRPr="003A6946" w:rsidRDefault="00E32002" w:rsidP="00BB6698">
                  <w:pPr>
                    <w:pStyle w:val="TableText0"/>
                    <w:keepLines/>
                    <w:widowControl w:val="0"/>
                    <w:rPr>
                      <w:sz w:val="18"/>
                      <w:szCs w:val="22"/>
                    </w:rPr>
                  </w:pPr>
                  <w:r w:rsidRPr="003A6946">
                    <w:rPr>
                      <w:sz w:val="18"/>
                      <w:szCs w:val="22"/>
                    </w:rPr>
                    <w:t>Yr3</w:t>
                  </w:r>
                </w:p>
              </w:tc>
              <w:tc>
                <w:tcPr>
                  <w:tcW w:w="425" w:type="dxa"/>
                </w:tcPr>
                <w:p w14:paraId="1A873BBE" w14:textId="77777777" w:rsidR="00E32002" w:rsidRPr="003A6946" w:rsidRDefault="00E32002" w:rsidP="00BB6698">
                  <w:pPr>
                    <w:pStyle w:val="TableText0"/>
                    <w:keepLines/>
                    <w:widowControl w:val="0"/>
                    <w:rPr>
                      <w:sz w:val="18"/>
                      <w:szCs w:val="22"/>
                    </w:rPr>
                  </w:pPr>
                  <w:r w:rsidRPr="003A6946">
                    <w:rPr>
                      <w:sz w:val="18"/>
                      <w:szCs w:val="22"/>
                    </w:rPr>
                    <w:t>Yr4</w:t>
                  </w:r>
                </w:p>
              </w:tc>
              <w:tc>
                <w:tcPr>
                  <w:tcW w:w="425" w:type="dxa"/>
                </w:tcPr>
                <w:p w14:paraId="510BB6B3" w14:textId="77777777" w:rsidR="00E32002" w:rsidRPr="003A6946" w:rsidRDefault="00E32002" w:rsidP="00BB6698">
                  <w:pPr>
                    <w:pStyle w:val="TableText0"/>
                    <w:keepLines/>
                    <w:widowControl w:val="0"/>
                    <w:rPr>
                      <w:sz w:val="18"/>
                      <w:szCs w:val="22"/>
                    </w:rPr>
                  </w:pPr>
                  <w:r w:rsidRPr="003A6946">
                    <w:rPr>
                      <w:sz w:val="18"/>
                      <w:szCs w:val="22"/>
                    </w:rPr>
                    <w:t>Yr5</w:t>
                  </w:r>
                </w:p>
              </w:tc>
              <w:tc>
                <w:tcPr>
                  <w:tcW w:w="426" w:type="dxa"/>
                </w:tcPr>
                <w:p w14:paraId="496CC03A" w14:textId="77777777" w:rsidR="00E32002" w:rsidRPr="003A6946" w:rsidRDefault="00E32002" w:rsidP="00BB6698">
                  <w:pPr>
                    <w:pStyle w:val="TableText0"/>
                    <w:keepLines/>
                    <w:widowControl w:val="0"/>
                    <w:rPr>
                      <w:sz w:val="18"/>
                      <w:szCs w:val="22"/>
                    </w:rPr>
                  </w:pPr>
                  <w:r w:rsidRPr="003A6946">
                    <w:rPr>
                      <w:sz w:val="18"/>
                      <w:szCs w:val="22"/>
                    </w:rPr>
                    <w:t>Yr6</w:t>
                  </w:r>
                </w:p>
              </w:tc>
            </w:tr>
            <w:tr w:rsidR="00E32002" w:rsidRPr="003A6946" w14:paraId="4766F232" w14:textId="77777777" w:rsidTr="008F456C">
              <w:trPr>
                <w:trHeight w:val="60"/>
              </w:trPr>
              <w:tc>
                <w:tcPr>
                  <w:tcW w:w="531" w:type="dxa"/>
                </w:tcPr>
                <w:p w14:paraId="5498FEB4" w14:textId="77777777" w:rsidR="00E32002" w:rsidRPr="005D05BB" w:rsidRDefault="00E32002" w:rsidP="00BB6698">
                  <w:pPr>
                    <w:pStyle w:val="TableText0"/>
                    <w:keepLines/>
                    <w:widowControl w:val="0"/>
                    <w:rPr>
                      <w:sz w:val="18"/>
                      <w:szCs w:val="22"/>
                    </w:rPr>
                  </w:pPr>
                  <w:r w:rsidRPr="005D05BB">
                    <w:rPr>
                      <w:sz w:val="18"/>
                      <w:szCs w:val="22"/>
                    </w:rPr>
                    <w:t>Init.*</w:t>
                  </w:r>
                </w:p>
              </w:tc>
              <w:tc>
                <w:tcPr>
                  <w:tcW w:w="425" w:type="dxa"/>
                  <w:vAlign w:val="center"/>
                </w:tcPr>
                <w:p w14:paraId="0C702539"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851" w:type="dxa"/>
                  <w:gridSpan w:val="2"/>
                  <w:vAlign w:val="center"/>
                </w:tcPr>
                <w:p w14:paraId="4550A96A"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1276" w:type="dxa"/>
                  <w:gridSpan w:val="3"/>
                  <w:vAlign w:val="center"/>
                </w:tcPr>
                <w:p w14:paraId="428019B4"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r>
            <w:tr w:rsidR="00E32002" w:rsidRPr="003A6946" w14:paraId="21C44668" w14:textId="77777777" w:rsidTr="008F456C">
              <w:trPr>
                <w:trHeight w:val="60"/>
              </w:trPr>
              <w:tc>
                <w:tcPr>
                  <w:tcW w:w="531" w:type="dxa"/>
                </w:tcPr>
                <w:p w14:paraId="53663FE7" w14:textId="77777777" w:rsidR="00E32002" w:rsidRPr="005D05BB" w:rsidRDefault="00E32002" w:rsidP="00BB6698">
                  <w:pPr>
                    <w:pStyle w:val="TableText0"/>
                    <w:keepLines/>
                    <w:widowControl w:val="0"/>
                    <w:rPr>
                      <w:sz w:val="18"/>
                      <w:szCs w:val="22"/>
                    </w:rPr>
                  </w:pPr>
                  <w:r w:rsidRPr="005D05BB">
                    <w:rPr>
                      <w:sz w:val="18"/>
                      <w:szCs w:val="22"/>
                    </w:rPr>
                    <w:t>Cont.</w:t>
                  </w:r>
                </w:p>
              </w:tc>
              <w:tc>
                <w:tcPr>
                  <w:tcW w:w="425" w:type="dxa"/>
                  <w:vAlign w:val="center"/>
                </w:tcPr>
                <w:p w14:paraId="14AE75A9"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425" w:type="dxa"/>
                  <w:vAlign w:val="center"/>
                </w:tcPr>
                <w:p w14:paraId="03E487B9"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426" w:type="dxa"/>
                  <w:vAlign w:val="center"/>
                </w:tcPr>
                <w:p w14:paraId="713787F1"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425" w:type="dxa"/>
                  <w:vAlign w:val="center"/>
                </w:tcPr>
                <w:p w14:paraId="7A670A2E"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425" w:type="dxa"/>
                  <w:vAlign w:val="center"/>
                </w:tcPr>
                <w:p w14:paraId="5DFE7AA0"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c>
                <w:tcPr>
                  <w:tcW w:w="426" w:type="dxa"/>
                  <w:vAlign w:val="center"/>
                </w:tcPr>
                <w:p w14:paraId="06B325F8" w14:textId="77777777" w:rsidR="00E32002" w:rsidRPr="003A6946" w:rsidRDefault="00921FA1" w:rsidP="00BB6698">
                  <w:pPr>
                    <w:pStyle w:val="TableText0"/>
                    <w:keepLines/>
                    <w:widowControl w:val="0"/>
                    <w:jc w:val="center"/>
                    <w:rPr>
                      <w:sz w:val="18"/>
                      <w:szCs w:val="22"/>
                    </w:rPr>
                  </w:pPr>
                  <w:r>
                    <w:rPr>
                      <w:noProof/>
                      <w:color w:val="000000"/>
                      <w:sz w:val="18"/>
                      <w:szCs w:val="22"/>
                      <w:highlight w:val="black"/>
                    </w:rPr>
                    <w:t>''''''</w:t>
                  </w:r>
                  <w:r w:rsidR="00E32002" w:rsidRPr="003A6946">
                    <w:rPr>
                      <w:sz w:val="18"/>
                      <w:szCs w:val="22"/>
                    </w:rPr>
                    <w:t>%</w:t>
                  </w:r>
                </w:p>
              </w:tc>
            </w:tr>
          </w:tbl>
          <w:bookmarkEnd w:id="35"/>
          <w:p w14:paraId="01CDB6D0" w14:textId="77777777" w:rsidR="00E32002" w:rsidRPr="005D05BB" w:rsidRDefault="00E32002" w:rsidP="00BB6698">
            <w:pPr>
              <w:pStyle w:val="TableText0"/>
              <w:keepLines/>
              <w:widowControl w:val="0"/>
            </w:pPr>
            <w:r w:rsidRPr="005D05BB">
              <w:rPr>
                <w:iCs/>
              </w:rPr>
              <w:t>*Initial market uptake was limited to 33.3%</w:t>
            </w:r>
            <w:r w:rsidRPr="005D05BB">
              <w:t xml:space="preserve"> </w:t>
            </w:r>
          </w:p>
          <w:p w14:paraId="4BEAF16D" w14:textId="77777777" w:rsidR="00E32002" w:rsidRPr="005D05BB" w:rsidRDefault="00E32002" w:rsidP="00BB6698">
            <w:pPr>
              <w:pStyle w:val="TableText0"/>
              <w:keepLines/>
              <w:widowControl w:val="0"/>
            </w:pPr>
          </w:p>
          <w:p w14:paraId="0F3CAE5B" w14:textId="77777777" w:rsidR="00E32002" w:rsidRPr="005D05BB" w:rsidRDefault="00E32002" w:rsidP="00BB6698">
            <w:pPr>
              <w:pStyle w:val="TableText0"/>
              <w:keepLines/>
              <w:widowControl w:val="0"/>
            </w:pPr>
            <w:r w:rsidRPr="005D05BB">
              <w:t>Assumed moderate levels of uptake given:</w:t>
            </w:r>
          </w:p>
          <w:p w14:paraId="25F995AD" w14:textId="77777777" w:rsidR="00E32002" w:rsidRPr="005D05BB" w:rsidRDefault="00E32002" w:rsidP="00D432E3">
            <w:pPr>
              <w:pStyle w:val="TableText0"/>
              <w:keepLines/>
              <w:widowControl w:val="0"/>
              <w:numPr>
                <w:ilvl w:val="0"/>
                <w:numId w:val="9"/>
              </w:numPr>
              <w:ind w:left="121" w:hanging="121"/>
            </w:pPr>
            <w:r w:rsidRPr="005D05BB">
              <w:t>Prescribers will not switch patients if concerned about compliance.</w:t>
            </w:r>
          </w:p>
          <w:p w14:paraId="72EFE5A9" w14:textId="77777777" w:rsidR="00E32002" w:rsidRPr="005D05BB" w:rsidRDefault="00E32002" w:rsidP="00D432E3">
            <w:pPr>
              <w:pStyle w:val="TableText0"/>
              <w:keepLines/>
              <w:widowControl w:val="0"/>
              <w:numPr>
                <w:ilvl w:val="0"/>
                <w:numId w:val="9"/>
              </w:numPr>
              <w:ind w:left="121" w:hanging="121"/>
            </w:pPr>
            <w:r w:rsidRPr="005D05BB">
              <w:t>Some patients prefer IV.</w:t>
            </w:r>
          </w:p>
          <w:p w14:paraId="784A8019" w14:textId="77777777" w:rsidR="00E32002" w:rsidRPr="005D05BB" w:rsidRDefault="00E32002" w:rsidP="00D432E3">
            <w:pPr>
              <w:pStyle w:val="TableText0"/>
              <w:keepLines/>
              <w:widowControl w:val="0"/>
              <w:numPr>
                <w:ilvl w:val="0"/>
                <w:numId w:val="9"/>
              </w:numPr>
              <w:ind w:left="121" w:hanging="121"/>
            </w:pPr>
            <w:r w:rsidRPr="005D05BB">
              <w:t>Some patients unable to self-inject</w:t>
            </w:r>
          </w:p>
          <w:p w14:paraId="5D213B16" w14:textId="77777777" w:rsidR="00E32002" w:rsidRPr="005D05BB" w:rsidRDefault="00E32002" w:rsidP="00D432E3">
            <w:pPr>
              <w:pStyle w:val="TableText0"/>
              <w:keepLines/>
              <w:widowControl w:val="0"/>
              <w:numPr>
                <w:ilvl w:val="0"/>
                <w:numId w:val="9"/>
              </w:numPr>
              <w:ind w:left="121" w:hanging="121"/>
            </w:pPr>
            <w:r w:rsidRPr="005D05BB">
              <w:t>Initial scripts cannot exceed 33.3% as</w:t>
            </w:r>
            <w:r w:rsidRPr="005D05BB">
              <w:rPr>
                <w:iCs/>
              </w:rPr>
              <w:t xml:space="preserve"> IFX SC can only displace 1 of 3 IFX IV initiation doses</w:t>
            </w:r>
            <w:r w:rsidRPr="005D05BB">
              <w:t>.</w:t>
            </w:r>
          </w:p>
        </w:tc>
        <w:tc>
          <w:tcPr>
            <w:tcW w:w="2173" w:type="pct"/>
            <w:vAlign w:val="center"/>
          </w:tcPr>
          <w:p w14:paraId="5EE4AC82" w14:textId="77777777" w:rsidR="00E32002" w:rsidRPr="005D05BB" w:rsidRDefault="00E32002" w:rsidP="00BB6698">
            <w:pPr>
              <w:pStyle w:val="TableText0"/>
              <w:keepLines/>
              <w:widowControl w:val="0"/>
            </w:pPr>
            <w:r w:rsidRPr="005D05BB">
              <w:t>Uncertain and potentially an underestimate in the early years given the purported benefits of SC injection to patients. Also, the statement that initial scripts cannot exceed 33.3% is only true for CD, RFCD and UC; for the other indications IFX SC will replace 2 of 4 IV doses (i.e. 50% of initial scripts)</w:t>
            </w:r>
            <w:r w:rsidR="005D05BB">
              <w:t xml:space="preserve">. </w:t>
            </w:r>
            <w:r w:rsidRPr="005D05BB">
              <w:t>The financial estimates are sensitive to uptake rates.</w:t>
            </w:r>
          </w:p>
        </w:tc>
      </w:tr>
      <w:tr w:rsidR="00E32002" w:rsidRPr="005D05BB" w14:paraId="18650EB3" w14:textId="77777777" w:rsidTr="008F456C">
        <w:tc>
          <w:tcPr>
            <w:tcW w:w="626" w:type="pct"/>
            <w:vAlign w:val="center"/>
          </w:tcPr>
          <w:p w14:paraId="6C045E8F" w14:textId="77777777" w:rsidR="00E32002" w:rsidRPr="005D05BB" w:rsidRDefault="00E32002" w:rsidP="00BB6698">
            <w:pPr>
              <w:pStyle w:val="TableText0"/>
              <w:keepLines/>
              <w:widowControl w:val="0"/>
            </w:pPr>
            <w:r w:rsidRPr="005D05BB">
              <w:t xml:space="preserve">Script equivalence ratio IFX SC : IFX IV </w:t>
            </w:r>
          </w:p>
        </w:tc>
        <w:tc>
          <w:tcPr>
            <w:tcW w:w="2201" w:type="pct"/>
            <w:vAlign w:val="center"/>
          </w:tcPr>
          <w:p w14:paraId="7EAC8BD5" w14:textId="77777777" w:rsidR="00E32002" w:rsidRPr="005D05BB" w:rsidRDefault="00E32002" w:rsidP="00BB6698">
            <w:pPr>
              <w:pStyle w:val="TableText0"/>
              <w:keepLines/>
              <w:widowControl w:val="0"/>
            </w:pPr>
            <w:r w:rsidRPr="005D05BB">
              <w:t>1.93.</w:t>
            </w:r>
          </w:p>
          <w:p w14:paraId="3C7D5C32" w14:textId="77777777" w:rsidR="00E32002" w:rsidRPr="005D05BB" w:rsidRDefault="00E32002" w:rsidP="00BB6698">
            <w:pPr>
              <w:pStyle w:val="TableText0"/>
              <w:keepLines/>
              <w:widowControl w:val="0"/>
            </w:pPr>
          </w:p>
          <w:p w14:paraId="3046C0B5" w14:textId="77777777" w:rsidR="00E32002" w:rsidRPr="005D05BB" w:rsidRDefault="00E32002" w:rsidP="00BB6698">
            <w:pPr>
              <w:pStyle w:val="TableText0"/>
              <w:keepLines/>
              <w:widowControl w:val="0"/>
            </w:pPr>
            <w:r w:rsidRPr="005D05BB">
              <w:t>Calculated based on required numbers of scripts per year for SC to IV: No. of SC scripts / No. of weighted average IV scripts;</w:t>
            </w:r>
          </w:p>
          <w:p w14:paraId="255BB1BA" w14:textId="77777777" w:rsidR="00E32002" w:rsidRPr="005D05BB" w:rsidRDefault="00E32002" w:rsidP="00BB6698">
            <w:pPr>
              <w:pStyle w:val="TableText0"/>
              <w:keepLines/>
              <w:widowControl w:val="0"/>
            </w:pPr>
            <w:r w:rsidRPr="005D05BB">
              <w:t>13 / 6.74 = 1.93</w:t>
            </w:r>
          </w:p>
        </w:tc>
        <w:tc>
          <w:tcPr>
            <w:tcW w:w="2173" w:type="pct"/>
            <w:vAlign w:val="center"/>
          </w:tcPr>
          <w:p w14:paraId="49BDFB78" w14:textId="77777777" w:rsidR="00E32002" w:rsidRPr="005D05BB" w:rsidRDefault="00E32002" w:rsidP="005A17F9">
            <w:pPr>
              <w:pStyle w:val="TableText0"/>
              <w:keepLines/>
              <w:widowControl w:val="0"/>
            </w:pPr>
            <w:r w:rsidRPr="005D05BB">
              <w:t>Reasonable for maintenance scripts, but</w:t>
            </w:r>
            <w:r w:rsidR="005A17F9" w:rsidRPr="005D05BB">
              <w:t xml:space="preserve"> a minor</w:t>
            </w:r>
            <w:r w:rsidRPr="005D05BB">
              <w:t xml:space="preserve"> underestimate for initial scripts. For CD, RFCD and UC, 3 IFX SC scripts will replace 1</w:t>
            </w:r>
            <w:r w:rsidR="005A17F9" w:rsidRPr="005D05BB">
              <w:t>.5</w:t>
            </w:r>
            <w:r w:rsidRPr="005D05BB">
              <w:t xml:space="preserve"> IFX IV script for initial treatment (ratio = </w:t>
            </w:r>
            <w:r w:rsidR="005A17F9" w:rsidRPr="005D05BB">
              <w:t>2</w:t>
            </w:r>
            <w:r w:rsidRPr="005D05BB">
              <w:t>)</w:t>
            </w:r>
            <w:r w:rsidR="005D05BB">
              <w:t xml:space="preserve">. </w:t>
            </w:r>
            <w:r w:rsidRPr="005D05BB">
              <w:t>For AS, RA, CPP and PsA</w:t>
            </w:r>
            <w:r w:rsidR="00442D40" w:rsidRPr="005D05BB">
              <w:t>,</w:t>
            </w:r>
            <w:r w:rsidRPr="005D05BB">
              <w:t xml:space="preserve"> 4 IFX SC scripts will replace 2 IFX IV scripts for initial treatment (ratio = 2). The financial estimates are sensitive to script equivalence for initial treatment </w:t>
            </w:r>
          </w:p>
        </w:tc>
      </w:tr>
    </w:tbl>
    <w:p w14:paraId="77F1B646" w14:textId="77777777" w:rsidR="00E32002" w:rsidRPr="005D05BB" w:rsidRDefault="00E32002" w:rsidP="00BB6698">
      <w:pPr>
        <w:keepNext/>
        <w:keepLines/>
        <w:rPr>
          <w:rFonts w:ascii="Arial Narrow" w:hAnsi="Arial Narrow"/>
          <w:snapToGrid w:val="0"/>
          <w:sz w:val="18"/>
          <w:szCs w:val="22"/>
        </w:rPr>
      </w:pPr>
      <w:r w:rsidRPr="005D05BB">
        <w:rPr>
          <w:rFonts w:ascii="Arial Narrow" w:hAnsi="Arial Narrow"/>
          <w:snapToGrid w:val="0"/>
          <w:sz w:val="18"/>
          <w:szCs w:val="22"/>
        </w:rPr>
        <w:t xml:space="preserve">Abbreviations: IFX=infliximab; DUSC=Drug </w:t>
      </w:r>
      <w:r w:rsidR="00F95372">
        <w:rPr>
          <w:rFonts w:ascii="Arial Narrow" w:hAnsi="Arial Narrow"/>
          <w:snapToGrid w:val="0"/>
          <w:sz w:val="18"/>
          <w:szCs w:val="22"/>
        </w:rPr>
        <w:t>Utilisation Sub-Committee; bDM</w:t>
      </w:r>
      <w:r w:rsidRPr="005D05BB">
        <w:rPr>
          <w:rFonts w:ascii="Arial Narrow" w:hAnsi="Arial Narrow"/>
          <w:snapToGrid w:val="0"/>
          <w:sz w:val="18"/>
          <w:szCs w:val="22"/>
        </w:rPr>
        <w:t>D=biologic disease modifying drug; AS=ankylosing spondylitis; PsA=psoriatic arthritis; HSD=Highly Specialised Drugs; AEMP=Approved Ex-Manufacturer Price.</w:t>
      </w:r>
    </w:p>
    <w:p w14:paraId="0EEAA60D" w14:textId="77777777" w:rsidR="00E32002" w:rsidRPr="005D05BB" w:rsidRDefault="00E32002" w:rsidP="00BB6698">
      <w:pPr>
        <w:keepNext/>
        <w:keepLines/>
        <w:rPr>
          <w:rFonts w:ascii="Arial Narrow" w:hAnsi="Arial Narrow"/>
          <w:snapToGrid w:val="0"/>
          <w:sz w:val="18"/>
          <w:szCs w:val="22"/>
        </w:rPr>
      </w:pPr>
      <w:r w:rsidRPr="005D05BB">
        <w:rPr>
          <w:rFonts w:ascii="Arial Narrow" w:hAnsi="Arial Narrow"/>
          <w:snapToGrid w:val="0"/>
          <w:sz w:val="18"/>
          <w:szCs w:val="22"/>
        </w:rPr>
        <w:t>Source: Tables 4.1-4.6, pp136-142 of the submission.</w:t>
      </w:r>
      <w:r w:rsidRPr="005D05BB">
        <w:rPr>
          <w:rFonts w:ascii="Arial Narrow" w:hAnsi="Arial Narrow"/>
          <w:snapToGrid w:val="0"/>
          <w:color w:val="3366FF"/>
          <w:sz w:val="18"/>
          <w:szCs w:val="22"/>
        </w:rPr>
        <w:t xml:space="preserve"> </w:t>
      </w:r>
    </w:p>
    <w:p w14:paraId="5AF0F5B2" w14:textId="77777777" w:rsidR="00E32002" w:rsidRPr="005D05BB" w:rsidRDefault="00E32002" w:rsidP="00E32002"/>
    <w:p w14:paraId="690E979C" w14:textId="77777777" w:rsidR="00E32002" w:rsidRPr="005D05BB" w:rsidRDefault="00E32002" w:rsidP="00E32002">
      <w:pPr>
        <w:pStyle w:val="ListParagraph"/>
        <w:numPr>
          <w:ilvl w:val="1"/>
          <w:numId w:val="1"/>
        </w:numPr>
        <w:spacing w:after="160"/>
      </w:pPr>
      <w:r w:rsidRPr="005D05BB">
        <w:t>Table 9 summarises the estimated net financial implications for the proposed listing of IFX SC on the PBS/RPBS.</w:t>
      </w:r>
    </w:p>
    <w:p w14:paraId="6FDB35BA" w14:textId="77777777" w:rsidR="00E32002" w:rsidRPr="005D05BB" w:rsidRDefault="00E32002" w:rsidP="00E32002">
      <w:pPr>
        <w:pStyle w:val="TableFigureHeading"/>
      </w:pPr>
      <w:r w:rsidRPr="005D05BB">
        <w:lastRenderedPageBreak/>
        <w:t>Table 9: Estimation use and financial implications of IFX SC to the PBS/RPBS and health budget</w:t>
      </w:r>
    </w:p>
    <w:tbl>
      <w:tblPr>
        <w:tblStyle w:val="TableGrid"/>
        <w:tblW w:w="5000" w:type="pct"/>
        <w:tblCellMar>
          <w:left w:w="28" w:type="dxa"/>
          <w:right w:w="28" w:type="dxa"/>
        </w:tblCellMar>
        <w:tblLook w:val="04A0" w:firstRow="1" w:lastRow="0" w:firstColumn="1" w:lastColumn="0" w:noHBand="0" w:noVBand="1"/>
        <w:tblCaption w:val="Table 9: Estimation use and financial implications of IFX SC to the PBS/RPBS and health budget"/>
      </w:tblPr>
      <w:tblGrid>
        <w:gridCol w:w="2338"/>
        <w:gridCol w:w="1118"/>
        <w:gridCol w:w="1181"/>
        <w:gridCol w:w="1150"/>
        <w:gridCol w:w="1087"/>
        <w:gridCol w:w="1056"/>
        <w:gridCol w:w="1087"/>
      </w:tblGrid>
      <w:tr w:rsidR="00E32002" w:rsidRPr="005D05BB" w14:paraId="648ED0E0" w14:textId="77777777" w:rsidTr="001A2685">
        <w:trPr>
          <w:trHeight w:val="60"/>
          <w:tblHeader/>
        </w:trPr>
        <w:tc>
          <w:tcPr>
            <w:tcW w:w="1443" w:type="pct"/>
            <w:vAlign w:val="center"/>
          </w:tcPr>
          <w:p w14:paraId="47A91CA7" w14:textId="77777777" w:rsidR="00E32002" w:rsidRPr="005D05BB" w:rsidRDefault="00E32002" w:rsidP="00575A0A">
            <w:pPr>
              <w:pStyle w:val="TableText0"/>
            </w:pPr>
          </w:p>
        </w:tc>
        <w:tc>
          <w:tcPr>
            <w:tcW w:w="589" w:type="pct"/>
            <w:shd w:val="clear" w:color="auto" w:fill="auto"/>
            <w:vAlign w:val="center"/>
          </w:tcPr>
          <w:p w14:paraId="3DBD04B7" w14:textId="77777777" w:rsidR="00E32002" w:rsidRPr="005D05BB" w:rsidRDefault="00E32002" w:rsidP="00575A0A">
            <w:pPr>
              <w:pStyle w:val="TableText0"/>
              <w:jc w:val="center"/>
              <w:rPr>
                <w:b/>
                <w:bCs w:val="0"/>
              </w:rPr>
            </w:pPr>
            <w:r w:rsidRPr="005D05BB">
              <w:rPr>
                <w:b/>
                <w:bCs w:val="0"/>
              </w:rPr>
              <w:t>Year 1</w:t>
            </w:r>
          </w:p>
        </w:tc>
        <w:tc>
          <w:tcPr>
            <w:tcW w:w="589" w:type="pct"/>
            <w:shd w:val="clear" w:color="auto" w:fill="auto"/>
            <w:vAlign w:val="center"/>
          </w:tcPr>
          <w:p w14:paraId="176AB65A" w14:textId="77777777" w:rsidR="00E32002" w:rsidRPr="005D05BB" w:rsidRDefault="00E32002" w:rsidP="00575A0A">
            <w:pPr>
              <w:pStyle w:val="TableText0"/>
              <w:jc w:val="center"/>
              <w:rPr>
                <w:b/>
                <w:bCs w:val="0"/>
              </w:rPr>
            </w:pPr>
            <w:r w:rsidRPr="005D05BB">
              <w:rPr>
                <w:b/>
                <w:bCs w:val="0"/>
              </w:rPr>
              <w:t>Year 2</w:t>
            </w:r>
          </w:p>
        </w:tc>
        <w:tc>
          <w:tcPr>
            <w:tcW w:w="589" w:type="pct"/>
            <w:shd w:val="clear" w:color="auto" w:fill="auto"/>
            <w:vAlign w:val="center"/>
          </w:tcPr>
          <w:p w14:paraId="73E25450" w14:textId="77777777" w:rsidR="00E32002" w:rsidRPr="005D05BB" w:rsidRDefault="00E32002" w:rsidP="00575A0A">
            <w:pPr>
              <w:pStyle w:val="TableText0"/>
              <w:jc w:val="center"/>
              <w:rPr>
                <w:b/>
                <w:bCs w:val="0"/>
              </w:rPr>
            </w:pPr>
            <w:r w:rsidRPr="005D05BB">
              <w:rPr>
                <w:b/>
                <w:bCs w:val="0"/>
              </w:rPr>
              <w:t>Year 3</w:t>
            </w:r>
          </w:p>
        </w:tc>
        <w:tc>
          <w:tcPr>
            <w:tcW w:w="589" w:type="pct"/>
            <w:shd w:val="clear" w:color="auto" w:fill="auto"/>
            <w:vAlign w:val="center"/>
          </w:tcPr>
          <w:p w14:paraId="4CC9750D" w14:textId="77777777" w:rsidR="00E32002" w:rsidRPr="005D05BB" w:rsidRDefault="00E32002" w:rsidP="00575A0A">
            <w:pPr>
              <w:pStyle w:val="TableText0"/>
              <w:jc w:val="center"/>
              <w:rPr>
                <w:b/>
                <w:bCs w:val="0"/>
              </w:rPr>
            </w:pPr>
            <w:r w:rsidRPr="005D05BB">
              <w:rPr>
                <w:b/>
                <w:bCs w:val="0"/>
              </w:rPr>
              <w:t>Year 4</w:t>
            </w:r>
          </w:p>
        </w:tc>
        <w:tc>
          <w:tcPr>
            <w:tcW w:w="589" w:type="pct"/>
            <w:shd w:val="clear" w:color="auto" w:fill="auto"/>
            <w:vAlign w:val="center"/>
          </w:tcPr>
          <w:p w14:paraId="679C5474" w14:textId="77777777" w:rsidR="00E32002" w:rsidRPr="005D05BB" w:rsidRDefault="00E32002" w:rsidP="00575A0A">
            <w:pPr>
              <w:pStyle w:val="TableText0"/>
              <w:jc w:val="center"/>
              <w:rPr>
                <w:b/>
                <w:bCs w:val="0"/>
              </w:rPr>
            </w:pPr>
            <w:r w:rsidRPr="005D05BB">
              <w:rPr>
                <w:b/>
                <w:bCs w:val="0"/>
              </w:rPr>
              <w:t>Year 5</w:t>
            </w:r>
          </w:p>
        </w:tc>
        <w:tc>
          <w:tcPr>
            <w:tcW w:w="612" w:type="pct"/>
            <w:shd w:val="clear" w:color="auto" w:fill="auto"/>
            <w:vAlign w:val="center"/>
          </w:tcPr>
          <w:p w14:paraId="7360D315" w14:textId="77777777" w:rsidR="00E32002" w:rsidRPr="005D05BB" w:rsidRDefault="00E32002" w:rsidP="00575A0A">
            <w:pPr>
              <w:pStyle w:val="TableText0"/>
              <w:jc w:val="center"/>
              <w:rPr>
                <w:b/>
                <w:bCs w:val="0"/>
              </w:rPr>
            </w:pPr>
            <w:r w:rsidRPr="005D05BB">
              <w:rPr>
                <w:b/>
                <w:bCs w:val="0"/>
              </w:rPr>
              <w:t>Year 6</w:t>
            </w:r>
          </w:p>
        </w:tc>
      </w:tr>
      <w:tr w:rsidR="00E32002" w:rsidRPr="005D05BB" w14:paraId="75F4D713" w14:textId="77777777" w:rsidTr="00A33E85">
        <w:trPr>
          <w:trHeight w:val="235"/>
        </w:trPr>
        <w:tc>
          <w:tcPr>
            <w:tcW w:w="5000" w:type="pct"/>
            <w:gridSpan w:val="7"/>
            <w:tcBorders>
              <w:bottom w:val="single" w:sz="4" w:space="0" w:color="auto"/>
            </w:tcBorders>
            <w:vAlign w:val="center"/>
          </w:tcPr>
          <w:p w14:paraId="55F01224" w14:textId="77777777" w:rsidR="00E32002" w:rsidRPr="005D05BB" w:rsidRDefault="00E32002" w:rsidP="00575A0A">
            <w:pPr>
              <w:pStyle w:val="TableText0"/>
              <w:rPr>
                <w:b/>
              </w:rPr>
            </w:pPr>
            <w:r w:rsidRPr="005D05BB">
              <w:rPr>
                <w:b/>
              </w:rPr>
              <w:t>Estimation of the use and financial implications of IFX SC</w:t>
            </w:r>
          </w:p>
        </w:tc>
      </w:tr>
      <w:tr w:rsidR="00E32002" w:rsidRPr="005D05BB" w14:paraId="702D205D" w14:textId="77777777" w:rsidTr="00A33E85">
        <w:trPr>
          <w:trHeight w:val="169"/>
        </w:trPr>
        <w:tc>
          <w:tcPr>
            <w:tcW w:w="1443" w:type="pct"/>
            <w:tcBorders>
              <w:bottom w:val="nil"/>
            </w:tcBorders>
            <w:vAlign w:val="center"/>
          </w:tcPr>
          <w:p w14:paraId="4CEBF89A" w14:textId="77777777" w:rsidR="00E32002" w:rsidRPr="005D05BB" w:rsidRDefault="00E32002" w:rsidP="00575A0A">
            <w:pPr>
              <w:pStyle w:val="TableText0"/>
            </w:pPr>
            <w:r w:rsidRPr="005D05BB">
              <w:t>IFX IV scripts (without IFX SC)</w:t>
            </w:r>
          </w:p>
        </w:tc>
        <w:tc>
          <w:tcPr>
            <w:tcW w:w="589" w:type="pct"/>
            <w:tcBorders>
              <w:bottom w:val="nil"/>
            </w:tcBorders>
            <w:vAlign w:val="center"/>
          </w:tcPr>
          <w:p w14:paraId="13ACF9CD" w14:textId="77777777" w:rsidR="00E32002" w:rsidRPr="00D90EE1" w:rsidRDefault="00D90EE1" w:rsidP="00575A0A">
            <w:pPr>
              <w:pStyle w:val="TableText0"/>
              <w:jc w:val="center"/>
              <w:rPr>
                <w:vertAlign w:val="superscript"/>
              </w:rPr>
            </w:pPr>
            <w:r>
              <w:rPr>
                <w:noProof/>
                <w:color w:val="000000"/>
                <w:highlight w:val="black"/>
              </w:rPr>
              <w:t>''''''''''''''''''</w:t>
            </w:r>
            <w:r w:rsidR="002506F7" w:rsidRPr="002506F7">
              <w:rPr>
                <w:vertAlign w:val="superscript"/>
              </w:rPr>
              <w:t>1</w:t>
            </w:r>
          </w:p>
        </w:tc>
        <w:tc>
          <w:tcPr>
            <w:tcW w:w="589" w:type="pct"/>
            <w:tcBorders>
              <w:bottom w:val="nil"/>
            </w:tcBorders>
            <w:vAlign w:val="center"/>
          </w:tcPr>
          <w:p w14:paraId="6DF7D662" w14:textId="77777777" w:rsidR="00E32002" w:rsidRPr="00D90EE1" w:rsidRDefault="00D90EE1" w:rsidP="00575A0A">
            <w:pPr>
              <w:pStyle w:val="TableText0"/>
              <w:jc w:val="center"/>
            </w:pPr>
            <w:r>
              <w:rPr>
                <w:noProof/>
                <w:color w:val="000000"/>
                <w:highlight w:val="black"/>
              </w:rPr>
              <w:t>'''''''''''''''''</w:t>
            </w:r>
            <w:r w:rsidR="002506F7" w:rsidRPr="002506F7">
              <w:rPr>
                <w:vertAlign w:val="superscript"/>
              </w:rPr>
              <w:t>1</w:t>
            </w:r>
          </w:p>
        </w:tc>
        <w:tc>
          <w:tcPr>
            <w:tcW w:w="589" w:type="pct"/>
            <w:tcBorders>
              <w:bottom w:val="nil"/>
            </w:tcBorders>
            <w:vAlign w:val="center"/>
          </w:tcPr>
          <w:p w14:paraId="57E84E2F" w14:textId="77777777" w:rsidR="00E32002" w:rsidRPr="00D90EE1" w:rsidRDefault="00D90EE1" w:rsidP="00575A0A">
            <w:pPr>
              <w:pStyle w:val="TableText0"/>
              <w:jc w:val="center"/>
            </w:pPr>
            <w:r>
              <w:rPr>
                <w:noProof/>
                <w:color w:val="000000"/>
                <w:highlight w:val="black"/>
              </w:rPr>
              <w:t>''''''''''''''''</w:t>
            </w:r>
            <w:r w:rsidR="002506F7">
              <w:rPr>
                <w:vertAlign w:val="superscript"/>
              </w:rPr>
              <w:t>2</w:t>
            </w:r>
          </w:p>
        </w:tc>
        <w:tc>
          <w:tcPr>
            <w:tcW w:w="589" w:type="pct"/>
            <w:tcBorders>
              <w:bottom w:val="nil"/>
            </w:tcBorders>
            <w:vAlign w:val="center"/>
          </w:tcPr>
          <w:p w14:paraId="060C4029" w14:textId="77777777" w:rsidR="00E32002" w:rsidRPr="00D90EE1" w:rsidRDefault="00D90EE1" w:rsidP="00575A0A">
            <w:pPr>
              <w:pStyle w:val="TableText0"/>
              <w:jc w:val="center"/>
            </w:pPr>
            <w:r>
              <w:rPr>
                <w:noProof/>
                <w:color w:val="000000"/>
                <w:highlight w:val="black"/>
              </w:rPr>
              <w:t>''''''''''''''''</w:t>
            </w:r>
            <w:r w:rsidR="002506F7">
              <w:rPr>
                <w:vertAlign w:val="superscript"/>
              </w:rPr>
              <w:t>2</w:t>
            </w:r>
          </w:p>
        </w:tc>
        <w:tc>
          <w:tcPr>
            <w:tcW w:w="589" w:type="pct"/>
            <w:tcBorders>
              <w:bottom w:val="nil"/>
            </w:tcBorders>
            <w:vAlign w:val="center"/>
          </w:tcPr>
          <w:p w14:paraId="1F062BA1" w14:textId="77777777" w:rsidR="00E32002" w:rsidRPr="00D90EE1" w:rsidRDefault="00D90EE1" w:rsidP="00575A0A">
            <w:pPr>
              <w:pStyle w:val="TableText0"/>
              <w:jc w:val="center"/>
            </w:pPr>
            <w:r>
              <w:rPr>
                <w:noProof/>
                <w:color w:val="000000"/>
                <w:highlight w:val="black"/>
              </w:rPr>
              <w:t>'''''''''''''''</w:t>
            </w:r>
            <w:r w:rsidR="002506F7">
              <w:rPr>
                <w:vertAlign w:val="superscript"/>
              </w:rPr>
              <w:t>2</w:t>
            </w:r>
          </w:p>
        </w:tc>
        <w:tc>
          <w:tcPr>
            <w:tcW w:w="612" w:type="pct"/>
            <w:tcBorders>
              <w:bottom w:val="nil"/>
            </w:tcBorders>
            <w:vAlign w:val="center"/>
          </w:tcPr>
          <w:p w14:paraId="4AC484F2" w14:textId="77777777" w:rsidR="00E32002" w:rsidRPr="00D90EE1" w:rsidRDefault="00D90EE1" w:rsidP="00575A0A">
            <w:pPr>
              <w:pStyle w:val="TableText0"/>
              <w:jc w:val="center"/>
            </w:pPr>
            <w:r>
              <w:rPr>
                <w:noProof/>
                <w:color w:val="000000"/>
                <w:highlight w:val="black"/>
              </w:rPr>
              <w:t>'''''''''''''''</w:t>
            </w:r>
            <w:r w:rsidR="002506F7">
              <w:rPr>
                <w:vertAlign w:val="superscript"/>
              </w:rPr>
              <w:t>2</w:t>
            </w:r>
          </w:p>
        </w:tc>
      </w:tr>
      <w:tr w:rsidR="00E32002" w:rsidRPr="005D05BB" w14:paraId="1D0CFE0D" w14:textId="77777777" w:rsidTr="00A33E85">
        <w:trPr>
          <w:trHeight w:val="169"/>
        </w:trPr>
        <w:tc>
          <w:tcPr>
            <w:tcW w:w="1443" w:type="pct"/>
            <w:tcBorders>
              <w:top w:val="nil"/>
              <w:bottom w:val="nil"/>
            </w:tcBorders>
            <w:vAlign w:val="center"/>
          </w:tcPr>
          <w:p w14:paraId="0E3F7192" w14:textId="77777777" w:rsidR="00E32002" w:rsidRPr="005D05BB" w:rsidRDefault="00E32002" w:rsidP="00575A0A">
            <w:pPr>
              <w:pStyle w:val="TableText0"/>
              <w:ind w:left="104"/>
            </w:pPr>
            <w:r w:rsidRPr="005D05BB">
              <w:t>Initiation</w:t>
            </w:r>
          </w:p>
        </w:tc>
        <w:tc>
          <w:tcPr>
            <w:tcW w:w="589" w:type="pct"/>
            <w:tcBorders>
              <w:top w:val="nil"/>
              <w:bottom w:val="nil"/>
            </w:tcBorders>
            <w:vAlign w:val="center"/>
          </w:tcPr>
          <w:p w14:paraId="32F4A32A"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nil"/>
            </w:tcBorders>
            <w:vAlign w:val="center"/>
          </w:tcPr>
          <w:p w14:paraId="6E2453C7"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nil"/>
            </w:tcBorders>
            <w:vAlign w:val="center"/>
          </w:tcPr>
          <w:p w14:paraId="02AEEB1D"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nil"/>
            </w:tcBorders>
            <w:vAlign w:val="center"/>
          </w:tcPr>
          <w:p w14:paraId="0B7E67B8"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nil"/>
            </w:tcBorders>
            <w:vAlign w:val="center"/>
          </w:tcPr>
          <w:p w14:paraId="0B5DA975"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612" w:type="pct"/>
            <w:tcBorders>
              <w:top w:val="nil"/>
              <w:bottom w:val="nil"/>
            </w:tcBorders>
            <w:vAlign w:val="center"/>
          </w:tcPr>
          <w:p w14:paraId="233AAD09"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r>
      <w:tr w:rsidR="00E32002" w:rsidRPr="005D05BB" w14:paraId="5417AC3C" w14:textId="77777777" w:rsidTr="00A33E85">
        <w:trPr>
          <w:trHeight w:val="169"/>
        </w:trPr>
        <w:tc>
          <w:tcPr>
            <w:tcW w:w="1443" w:type="pct"/>
            <w:tcBorders>
              <w:top w:val="nil"/>
              <w:bottom w:val="single" w:sz="4" w:space="0" w:color="auto"/>
            </w:tcBorders>
            <w:vAlign w:val="center"/>
          </w:tcPr>
          <w:p w14:paraId="167B0C1F" w14:textId="77777777" w:rsidR="00E32002" w:rsidRPr="005D05BB" w:rsidRDefault="00E32002" w:rsidP="00575A0A">
            <w:pPr>
              <w:pStyle w:val="TableText0"/>
              <w:ind w:left="104"/>
            </w:pPr>
            <w:r w:rsidRPr="005D05BB">
              <w:t>Continuing</w:t>
            </w:r>
          </w:p>
        </w:tc>
        <w:tc>
          <w:tcPr>
            <w:tcW w:w="589" w:type="pct"/>
            <w:tcBorders>
              <w:top w:val="nil"/>
              <w:bottom w:val="single" w:sz="4" w:space="0" w:color="auto"/>
            </w:tcBorders>
            <w:vAlign w:val="center"/>
          </w:tcPr>
          <w:p w14:paraId="098CBB1C" w14:textId="77777777" w:rsidR="00E32002" w:rsidRPr="00D90EE1" w:rsidRDefault="00D90EE1" w:rsidP="00575A0A">
            <w:pPr>
              <w:pStyle w:val="TableText0"/>
              <w:jc w:val="center"/>
            </w:pPr>
            <w:r>
              <w:rPr>
                <w:noProof/>
                <w:color w:val="000000"/>
                <w:highlight w:val="black"/>
              </w:rPr>
              <w:t>''''''''''''''''</w:t>
            </w:r>
            <w:r w:rsidR="002506F7">
              <w:rPr>
                <w:vertAlign w:val="superscript"/>
              </w:rPr>
              <w:t>4</w:t>
            </w:r>
          </w:p>
        </w:tc>
        <w:tc>
          <w:tcPr>
            <w:tcW w:w="589" w:type="pct"/>
            <w:tcBorders>
              <w:top w:val="nil"/>
              <w:bottom w:val="single" w:sz="4" w:space="0" w:color="auto"/>
            </w:tcBorders>
            <w:vAlign w:val="center"/>
          </w:tcPr>
          <w:p w14:paraId="76F2DD56" w14:textId="77777777" w:rsidR="00E32002" w:rsidRPr="00D90EE1" w:rsidRDefault="00D90EE1" w:rsidP="00575A0A">
            <w:pPr>
              <w:pStyle w:val="TableText0"/>
              <w:jc w:val="center"/>
            </w:pPr>
            <w:r>
              <w:rPr>
                <w:noProof/>
                <w:color w:val="000000"/>
                <w:highlight w:val="black"/>
              </w:rPr>
              <w:t>''''''''''''''''''</w:t>
            </w:r>
            <w:r w:rsidR="002506F7">
              <w:rPr>
                <w:vertAlign w:val="superscript"/>
              </w:rPr>
              <w:t>5</w:t>
            </w:r>
          </w:p>
        </w:tc>
        <w:tc>
          <w:tcPr>
            <w:tcW w:w="589" w:type="pct"/>
            <w:tcBorders>
              <w:top w:val="nil"/>
              <w:bottom w:val="single" w:sz="4" w:space="0" w:color="auto"/>
            </w:tcBorders>
            <w:vAlign w:val="center"/>
          </w:tcPr>
          <w:p w14:paraId="5E2226F9"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single" w:sz="4" w:space="0" w:color="auto"/>
            </w:tcBorders>
            <w:vAlign w:val="center"/>
          </w:tcPr>
          <w:p w14:paraId="5F3E0CAD"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589" w:type="pct"/>
            <w:tcBorders>
              <w:top w:val="nil"/>
              <w:bottom w:val="single" w:sz="4" w:space="0" w:color="auto"/>
            </w:tcBorders>
            <w:vAlign w:val="center"/>
          </w:tcPr>
          <w:p w14:paraId="6A792A1A"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c>
          <w:tcPr>
            <w:tcW w:w="612" w:type="pct"/>
            <w:tcBorders>
              <w:top w:val="nil"/>
              <w:bottom w:val="single" w:sz="4" w:space="0" w:color="auto"/>
            </w:tcBorders>
            <w:vAlign w:val="center"/>
          </w:tcPr>
          <w:p w14:paraId="45511ECE" w14:textId="77777777" w:rsidR="00E32002" w:rsidRPr="00D90EE1" w:rsidRDefault="00D90EE1" w:rsidP="00575A0A">
            <w:pPr>
              <w:pStyle w:val="TableText0"/>
              <w:jc w:val="center"/>
            </w:pPr>
            <w:r>
              <w:rPr>
                <w:noProof/>
                <w:color w:val="000000"/>
                <w:highlight w:val="black"/>
              </w:rPr>
              <w:t>''''''''''''''''''</w:t>
            </w:r>
            <w:r w:rsidR="002506F7" w:rsidRPr="002506F7">
              <w:rPr>
                <w:vertAlign w:val="superscript"/>
              </w:rPr>
              <w:t>3</w:t>
            </w:r>
          </w:p>
        </w:tc>
      </w:tr>
      <w:tr w:rsidR="00E32002" w:rsidRPr="005D05BB" w14:paraId="159B00A3" w14:textId="77777777" w:rsidTr="00A33E85">
        <w:trPr>
          <w:trHeight w:val="169"/>
        </w:trPr>
        <w:tc>
          <w:tcPr>
            <w:tcW w:w="1443" w:type="pct"/>
            <w:tcBorders>
              <w:bottom w:val="nil"/>
            </w:tcBorders>
            <w:vAlign w:val="center"/>
          </w:tcPr>
          <w:p w14:paraId="2B376D1D" w14:textId="77777777" w:rsidR="00E32002" w:rsidRPr="005D05BB" w:rsidRDefault="00E32002" w:rsidP="00575A0A">
            <w:pPr>
              <w:pStyle w:val="TableText0"/>
            </w:pPr>
            <w:r w:rsidRPr="005D05BB">
              <w:t>IFX SC, total scripts</w:t>
            </w:r>
          </w:p>
        </w:tc>
        <w:tc>
          <w:tcPr>
            <w:tcW w:w="589" w:type="pct"/>
            <w:tcBorders>
              <w:bottom w:val="nil"/>
            </w:tcBorders>
            <w:vAlign w:val="center"/>
          </w:tcPr>
          <w:p w14:paraId="0861B9EB" w14:textId="77777777" w:rsidR="00E32002" w:rsidRPr="00D90EE1" w:rsidRDefault="00D90EE1" w:rsidP="00575A0A">
            <w:pPr>
              <w:pStyle w:val="TableText0"/>
              <w:jc w:val="center"/>
            </w:pPr>
            <w:r>
              <w:rPr>
                <w:noProof/>
                <w:color w:val="000000"/>
                <w:highlight w:val="black"/>
              </w:rPr>
              <w:t>'''''''''''''''''</w:t>
            </w:r>
            <w:r w:rsidR="002506F7">
              <w:rPr>
                <w:vertAlign w:val="superscript"/>
              </w:rPr>
              <w:t>7</w:t>
            </w:r>
          </w:p>
        </w:tc>
        <w:tc>
          <w:tcPr>
            <w:tcW w:w="589" w:type="pct"/>
            <w:tcBorders>
              <w:bottom w:val="nil"/>
            </w:tcBorders>
            <w:vAlign w:val="center"/>
          </w:tcPr>
          <w:p w14:paraId="282631AE" w14:textId="77777777" w:rsidR="00E32002" w:rsidRPr="00D90EE1" w:rsidRDefault="00D90EE1" w:rsidP="00575A0A">
            <w:pPr>
              <w:pStyle w:val="TableText0"/>
              <w:jc w:val="center"/>
            </w:pPr>
            <w:r>
              <w:rPr>
                <w:noProof/>
                <w:color w:val="000000"/>
                <w:highlight w:val="black"/>
              </w:rPr>
              <w:t>''''''''''''''''''</w:t>
            </w:r>
            <w:r w:rsidR="002506F7">
              <w:rPr>
                <w:vertAlign w:val="superscript"/>
              </w:rPr>
              <w:t>4</w:t>
            </w:r>
          </w:p>
        </w:tc>
        <w:tc>
          <w:tcPr>
            <w:tcW w:w="589" w:type="pct"/>
            <w:tcBorders>
              <w:bottom w:val="nil"/>
            </w:tcBorders>
            <w:vAlign w:val="center"/>
          </w:tcPr>
          <w:p w14:paraId="5C4CBAB9" w14:textId="77777777" w:rsidR="00E32002" w:rsidRPr="00D90EE1" w:rsidRDefault="00D90EE1" w:rsidP="00575A0A">
            <w:pPr>
              <w:pStyle w:val="TableText0"/>
              <w:jc w:val="center"/>
            </w:pPr>
            <w:r>
              <w:rPr>
                <w:noProof/>
                <w:color w:val="000000"/>
                <w:highlight w:val="black"/>
              </w:rPr>
              <w:t>'''''''''''''''</w:t>
            </w:r>
            <w:r w:rsidR="002506F7">
              <w:rPr>
                <w:vertAlign w:val="superscript"/>
              </w:rPr>
              <w:t>5</w:t>
            </w:r>
          </w:p>
        </w:tc>
        <w:tc>
          <w:tcPr>
            <w:tcW w:w="589" w:type="pct"/>
            <w:tcBorders>
              <w:bottom w:val="nil"/>
            </w:tcBorders>
            <w:vAlign w:val="center"/>
          </w:tcPr>
          <w:p w14:paraId="06A4353C" w14:textId="77777777" w:rsidR="00E32002" w:rsidRPr="00D90EE1" w:rsidRDefault="00D90EE1" w:rsidP="00575A0A">
            <w:pPr>
              <w:pStyle w:val="TableText0"/>
              <w:jc w:val="center"/>
            </w:pPr>
            <w:r>
              <w:rPr>
                <w:noProof/>
                <w:color w:val="000000"/>
                <w:highlight w:val="black"/>
              </w:rPr>
              <w:t>''''''''''''''''</w:t>
            </w:r>
            <w:r w:rsidR="002506F7">
              <w:rPr>
                <w:vertAlign w:val="superscript"/>
              </w:rPr>
              <w:t>6</w:t>
            </w:r>
          </w:p>
        </w:tc>
        <w:tc>
          <w:tcPr>
            <w:tcW w:w="589" w:type="pct"/>
            <w:tcBorders>
              <w:bottom w:val="nil"/>
            </w:tcBorders>
            <w:vAlign w:val="center"/>
          </w:tcPr>
          <w:p w14:paraId="649AF318" w14:textId="77777777" w:rsidR="00E32002" w:rsidRPr="00D90EE1" w:rsidRDefault="00D90EE1" w:rsidP="00575A0A">
            <w:pPr>
              <w:pStyle w:val="TableText0"/>
              <w:jc w:val="center"/>
            </w:pPr>
            <w:r>
              <w:rPr>
                <w:noProof/>
                <w:color w:val="000000"/>
                <w:highlight w:val="black"/>
              </w:rPr>
              <w:t>'''''''''''''''''</w:t>
            </w:r>
            <w:r w:rsidR="002506F7">
              <w:rPr>
                <w:vertAlign w:val="superscript"/>
              </w:rPr>
              <w:t>6</w:t>
            </w:r>
          </w:p>
        </w:tc>
        <w:tc>
          <w:tcPr>
            <w:tcW w:w="612" w:type="pct"/>
            <w:tcBorders>
              <w:bottom w:val="nil"/>
            </w:tcBorders>
            <w:vAlign w:val="center"/>
          </w:tcPr>
          <w:p w14:paraId="276CD7AE" w14:textId="77777777" w:rsidR="00E32002" w:rsidRPr="00D90EE1" w:rsidRDefault="00D90EE1" w:rsidP="00575A0A">
            <w:pPr>
              <w:pStyle w:val="TableText0"/>
              <w:jc w:val="center"/>
            </w:pPr>
            <w:r>
              <w:rPr>
                <w:noProof/>
                <w:color w:val="000000"/>
                <w:highlight w:val="black"/>
              </w:rPr>
              <w:t>'''''''''''''''''</w:t>
            </w:r>
            <w:r w:rsidR="002506F7">
              <w:rPr>
                <w:vertAlign w:val="superscript"/>
              </w:rPr>
              <w:t>1</w:t>
            </w:r>
          </w:p>
        </w:tc>
      </w:tr>
      <w:tr w:rsidR="00E32002" w:rsidRPr="005D05BB" w14:paraId="57BA746D" w14:textId="77777777" w:rsidTr="00A33E85">
        <w:trPr>
          <w:trHeight w:val="169"/>
        </w:trPr>
        <w:tc>
          <w:tcPr>
            <w:tcW w:w="1443" w:type="pct"/>
            <w:tcBorders>
              <w:top w:val="nil"/>
              <w:bottom w:val="nil"/>
            </w:tcBorders>
            <w:vAlign w:val="center"/>
          </w:tcPr>
          <w:p w14:paraId="76741932" w14:textId="77777777" w:rsidR="00E32002" w:rsidRPr="005D05BB" w:rsidRDefault="00E32002" w:rsidP="00575A0A">
            <w:pPr>
              <w:pStyle w:val="TableText0"/>
              <w:ind w:left="104"/>
            </w:pPr>
            <w:r w:rsidRPr="005D05BB">
              <w:t>Initiation</w:t>
            </w:r>
          </w:p>
        </w:tc>
        <w:tc>
          <w:tcPr>
            <w:tcW w:w="589" w:type="pct"/>
            <w:tcBorders>
              <w:top w:val="nil"/>
              <w:bottom w:val="nil"/>
            </w:tcBorders>
            <w:vAlign w:val="center"/>
          </w:tcPr>
          <w:p w14:paraId="5EF784E7" w14:textId="77777777" w:rsidR="00E32002" w:rsidRPr="00D90EE1" w:rsidRDefault="00D90EE1" w:rsidP="00575A0A">
            <w:pPr>
              <w:pStyle w:val="TableText0"/>
              <w:jc w:val="center"/>
              <w:rPr>
                <w:vertAlign w:val="superscript"/>
              </w:rPr>
            </w:pPr>
            <w:r>
              <w:rPr>
                <w:noProof/>
                <w:color w:val="000000"/>
                <w:highlight w:val="black"/>
              </w:rPr>
              <w:t>''''''''''''''</w:t>
            </w:r>
            <w:r w:rsidR="002506F7" w:rsidRPr="002506F7">
              <w:rPr>
                <w:vertAlign w:val="superscript"/>
              </w:rPr>
              <w:t>8</w:t>
            </w:r>
          </w:p>
        </w:tc>
        <w:tc>
          <w:tcPr>
            <w:tcW w:w="589" w:type="pct"/>
            <w:tcBorders>
              <w:top w:val="nil"/>
              <w:bottom w:val="nil"/>
            </w:tcBorders>
            <w:vAlign w:val="center"/>
          </w:tcPr>
          <w:p w14:paraId="58B287EE" w14:textId="77777777" w:rsidR="00E32002" w:rsidRPr="00D90EE1" w:rsidRDefault="00D90EE1" w:rsidP="00575A0A">
            <w:pPr>
              <w:pStyle w:val="TableText0"/>
              <w:jc w:val="center"/>
              <w:rPr>
                <w:vertAlign w:val="superscript"/>
              </w:rPr>
            </w:pPr>
            <w:r>
              <w:rPr>
                <w:noProof/>
                <w:color w:val="000000"/>
                <w:highlight w:val="black"/>
              </w:rPr>
              <w:t>''''''''''''''</w:t>
            </w:r>
            <w:r w:rsidR="002506F7" w:rsidRPr="002506F7">
              <w:rPr>
                <w:vertAlign w:val="superscript"/>
              </w:rPr>
              <w:t>9</w:t>
            </w:r>
          </w:p>
        </w:tc>
        <w:tc>
          <w:tcPr>
            <w:tcW w:w="589" w:type="pct"/>
            <w:tcBorders>
              <w:top w:val="nil"/>
              <w:bottom w:val="nil"/>
            </w:tcBorders>
            <w:vAlign w:val="center"/>
          </w:tcPr>
          <w:p w14:paraId="54159285" w14:textId="77777777" w:rsidR="00E32002" w:rsidRPr="00D90EE1" w:rsidRDefault="00D90EE1" w:rsidP="00575A0A">
            <w:pPr>
              <w:pStyle w:val="TableText0"/>
              <w:jc w:val="center"/>
            </w:pPr>
            <w:r>
              <w:rPr>
                <w:noProof/>
                <w:color w:val="000000"/>
                <w:highlight w:val="black"/>
              </w:rPr>
              <w:t>'''''''''''''</w:t>
            </w:r>
            <w:r w:rsidR="002506F7" w:rsidRPr="002506F7">
              <w:rPr>
                <w:vertAlign w:val="superscript"/>
              </w:rPr>
              <w:t>9</w:t>
            </w:r>
          </w:p>
        </w:tc>
        <w:tc>
          <w:tcPr>
            <w:tcW w:w="589" w:type="pct"/>
            <w:tcBorders>
              <w:top w:val="nil"/>
              <w:bottom w:val="nil"/>
            </w:tcBorders>
            <w:vAlign w:val="center"/>
          </w:tcPr>
          <w:p w14:paraId="5AA2E915" w14:textId="77777777" w:rsidR="00E32002" w:rsidRPr="00D90EE1" w:rsidRDefault="00D90EE1" w:rsidP="00575A0A">
            <w:pPr>
              <w:pStyle w:val="TableText0"/>
              <w:jc w:val="center"/>
            </w:pPr>
            <w:r>
              <w:rPr>
                <w:noProof/>
                <w:color w:val="000000"/>
                <w:highlight w:val="black"/>
              </w:rPr>
              <w:t>'''''''''''''</w:t>
            </w:r>
            <w:r w:rsidR="002506F7" w:rsidRPr="002506F7">
              <w:rPr>
                <w:vertAlign w:val="superscript"/>
              </w:rPr>
              <w:t>9</w:t>
            </w:r>
          </w:p>
        </w:tc>
        <w:tc>
          <w:tcPr>
            <w:tcW w:w="589" w:type="pct"/>
            <w:tcBorders>
              <w:top w:val="nil"/>
              <w:bottom w:val="nil"/>
            </w:tcBorders>
            <w:vAlign w:val="center"/>
          </w:tcPr>
          <w:p w14:paraId="36D4B2A1" w14:textId="77777777" w:rsidR="00E32002" w:rsidRPr="00D90EE1" w:rsidRDefault="00D90EE1" w:rsidP="00575A0A">
            <w:pPr>
              <w:pStyle w:val="TableText0"/>
              <w:jc w:val="center"/>
            </w:pPr>
            <w:r>
              <w:rPr>
                <w:noProof/>
                <w:color w:val="000000"/>
                <w:highlight w:val="black"/>
              </w:rPr>
              <w:t>''''''''''''''</w:t>
            </w:r>
            <w:r w:rsidR="002506F7" w:rsidRPr="002506F7">
              <w:rPr>
                <w:vertAlign w:val="superscript"/>
              </w:rPr>
              <w:t>9</w:t>
            </w:r>
          </w:p>
        </w:tc>
        <w:tc>
          <w:tcPr>
            <w:tcW w:w="612" w:type="pct"/>
            <w:tcBorders>
              <w:top w:val="nil"/>
              <w:bottom w:val="nil"/>
            </w:tcBorders>
            <w:vAlign w:val="center"/>
          </w:tcPr>
          <w:p w14:paraId="18D5A8D3" w14:textId="77777777" w:rsidR="00E32002" w:rsidRPr="00D90EE1" w:rsidRDefault="00D90EE1" w:rsidP="00575A0A">
            <w:pPr>
              <w:pStyle w:val="TableText0"/>
              <w:jc w:val="center"/>
            </w:pPr>
            <w:r>
              <w:rPr>
                <w:noProof/>
                <w:color w:val="000000"/>
                <w:highlight w:val="black"/>
              </w:rPr>
              <w:t>'''''''''''''''</w:t>
            </w:r>
            <w:r w:rsidR="002506F7" w:rsidRPr="002506F7">
              <w:rPr>
                <w:vertAlign w:val="superscript"/>
              </w:rPr>
              <w:t>9</w:t>
            </w:r>
          </w:p>
        </w:tc>
      </w:tr>
      <w:tr w:rsidR="00E32002" w:rsidRPr="005D05BB" w14:paraId="18B9FEA0" w14:textId="77777777" w:rsidTr="00A33E85">
        <w:trPr>
          <w:trHeight w:val="216"/>
        </w:trPr>
        <w:tc>
          <w:tcPr>
            <w:tcW w:w="1443" w:type="pct"/>
            <w:tcBorders>
              <w:top w:val="nil"/>
              <w:bottom w:val="single" w:sz="4" w:space="0" w:color="auto"/>
            </w:tcBorders>
            <w:vAlign w:val="center"/>
          </w:tcPr>
          <w:p w14:paraId="27116845" w14:textId="77777777" w:rsidR="00E32002" w:rsidRPr="005D05BB" w:rsidRDefault="00E32002" w:rsidP="00575A0A">
            <w:pPr>
              <w:pStyle w:val="TableText0"/>
              <w:ind w:left="104"/>
            </w:pPr>
            <w:r w:rsidRPr="005D05BB">
              <w:t>Continuing</w:t>
            </w:r>
          </w:p>
        </w:tc>
        <w:tc>
          <w:tcPr>
            <w:tcW w:w="589" w:type="pct"/>
            <w:tcBorders>
              <w:top w:val="nil"/>
              <w:bottom w:val="single" w:sz="4" w:space="0" w:color="auto"/>
            </w:tcBorders>
            <w:vAlign w:val="center"/>
          </w:tcPr>
          <w:p w14:paraId="61D9DD68" w14:textId="77777777" w:rsidR="00E32002" w:rsidRPr="00D90EE1" w:rsidRDefault="00D90EE1" w:rsidP="00575A0A">
            <w:pPr>
              <w:pStyle w:val="TableText0"/>
              <w:jc w:val="center"/>
            </w:pPr>
            <w:r>
              <w:rPr>
                <w:noProof/>
                <w:color w:val="000000"/>
                <w:highlight w:val="black"/>
              </w:rPr>
              <w:t>'''''''''''''''''</w:t>
            </w:r>
            <w:r w:rsidR="002506F7">
              <w:rPr>
                <w:vertAlign w:val="superscript"/>
              </w:rPr>
              <w:t>7</w:t>
            </w:r>
          </w:p>
        </w:tc>
        <w:tc>
          <w:tcPr>
            <w:tcW w:w="589" w:type="pct"/>
            <w:tcBorders>
              <w:top w:val="nil"/>
              <w:bottom w:val="single" w:sz="4" w:space="0" w:color="auto"/>
            </w:tcBorders>
            <w:vAlign w:val="center"/>
          </w:tcPr>
          <w:p w14:paraId="7E0FBD6A" w14:textId="77777777" w:rsidR="00E32002" w:rsidRPr="00D90EE1" w:rsidRDefault="00D90EE1" w:rsidP="00575A0A">
            <w:pPr>
              <w:pStyle w:val="TableText0"/>
              <w:jc w:val="center"/>
            </w:pPr>
            <w:r>
              <w:rPr>
                <w:noProof/>
                <w:color w:val="000000"/>
                <w:highlight w:val="black"/>
              </w:rPr>
              <w:t>''''''''''''''''''</w:t>
            </w:r>
            <w:r w:rsidR="002506F7">
              <w:rPr>
                <w:vertAlign w:val="superscript"/>
              </w:rPr>
              <w:t>3</w:t>
            </w:r>
          </w:p>
        </w:tc>
        <w:tc>
          <w:tcPr>
            <w:tcW w:w="589" w:type="pct"/>
            <w:tcBorders>
              <w:top w:val="nil"/>
              <w:bottom w:val="single" w:sz="4" w:space="0" w:color="auto"/>
            </w:tcBorders>
            <w:vAlign w:val="center"/>
          </w:tcPr>
          <w:p w14:paraId="3CE27528" w14:textId="77777777" w:rsidR="00E32002" w:rsidRPr="00D90EE1" w:rsidRDefault="00D90EE1" w:rsidP="00575A0A">
            <w:pPr>
              <w:pStyle w:val="TableText0"/>
              <w:jc w:val="center"/>
            </w:pPr>
            <w:r>
              <w:rPr>
                <w:noProof/>
                <w:color w:val="000000"/>
                <w:highlight w:val="black"/>
              </w:rPr>
              <w:t>'''''''''''''''''</w:t>
            </w:r>
            <w:r w:rsidR="002506F7">
              <w:rPr>
                <w:vertAlign w:val="superscript"/>
              </w:rPr>
              <w:t>4</w:t>
            </w:r>
          </w:p>
        </w:tc>
        <w:tc>
          <w:tcPr>
            <w:tcW w:w="589" w:type="pct"/>
            <w:tcBorders>
              <w:top w:val="nil"/>
              <w:bottom w:val="single" w:sz="4" w:space="0" w:color="auto"/>
            </w:tcBorders>
            <w:vAlign w:val="center"/>
          </w:tcPr>
          <w:p w14:paraId="56B55DDD" w14:textId="77777777" w:rsidR="00E32002" w:rsidRPr="00D90EE1" w:rsidRDefault="00D90EE1" w:rsidP="00575A0A">
            <w:pPr>
              <w:pStyle w:val="TableText0"/>
              <w:jc w:val="center"/>
            </w:pPr>
            <w:r>
              <w:rPr>
                <w:noProof/>
                <w:color w:val="000000"/>
                <w:highlight w:val="black"/>
              </w:rPr>
              <w:t>''''''''''''''''</w:t>
            </w:r>
            <w:r w:rsidR="002506F7">
              <w:rPr>
                <w:vertAlign w:val="superscript"/>
              </w:rPr>
              <w:t>5</w:t>
            </w:r>
          </w:p>
        </w:tc>
        <w:tc>
          <w:tcPr>
            <w:tcW w:w="589" w:type="pct"/>
            <w:tcBorders>
              <w:top w:val="nil"/>
              <w:bottom w:val="single" w:sz="4" w:space="0" w:color="auto"/>
            </w:tcBorders>
            <w:vAlign w:val="center"/>
          </w:tcPr>
          <w:p w14:paraId="06DEDB6E" w14:textId="77777777" w:rsidR="00E32002" w:rsidRPr="00D90EE1" w:rsidRDefault="00D90EE1" w:rsidP="00575A0A">
            <w:pPr>
              <w:pStyle w:val="TableText0"/>
              <w:jc w:val="center"/>
            </w:pPr>
            <w:r>
              <w:rPr>
                <w:noProof/>
                <w:color w:val="000000"/>
                <w:highlight w:val="black"/>
              </w:rPr>
              <w:t>'''''''''''''''''</w:t>
            </w:r>
            <w:r w:rsidR="002506F7">
              <w:rPr>
                <w:vertAlign w:val="superscript"/>
              </w:rPr>
              <w:t>5</w:t>
            </w:r>
          </w:p>
        </w:tc>
        <w:tc>
          <w:tcPr>
            <w:tcW w:w="612" w:type="pct"/>
            <w:tcBorders>
              <w:top w:val="nil"/>
              <w:bottom w:val="single" w:sz="4" w:space="0" w:color="auto"/>
            </w:tcBorders>
            <w:vAlign w:val="center"/>
          </w:tcPr>
          <w:p w14:paraId="2E94ACE8" w14:textId="77777777" w:rsidR="00E32002" w:rsidRPr="00D90EE1" w:rsidRDefault="00D90EE1" w:rsidP="00575A0A">
            <w:pPr>
              <w:pStyle w:val="TableText0"/>
              <w:jc w:val="center"/>
            </w:pPr>
            <w:r>
              <w:rPr>
                <w:noProof/>
                <w:color w:val="000000"/>
                <w:highlight w:val="black"/>
              </w:rPr>
              <w:t>''''''''''''''''''</w:t>
            </w:r>
            <w:r w:rsidR="002506F7">
              <w:rPr>
                <w:vertAlign w:val="superscript"/>
              </w:rPr>
              <w:t>6</w:t>
            </w:r>
          </w:p>
        </w:tc>
      </w:tr>
      <w:tr w:rsidR="00E32002" w:rsidRPr="005D05BB" w14:paraId="57FF5402" w14:textId="77777777" w:rsidTr="00A33E85">
        <w:trPr>
          <w:trHeight w:val="232"/>
        </w:trPr>
        <w:tc>
          <w:tcPr>
            <w:tcW w:w="1443" w:type="pct"/>
            <w:tcBorders>
              <w:top w:val="nil"/>
              <w:left w:val="single" w:sz="4" w:space="0" w:color="auto"/>
              <w:bottom w:val="single" w:sz="4" w:space="0" w:color="auto"/>
              <w:right w:val="single" w:sz="4" w:space="0" w:color="auto"/>
            </w:tcBorders>
            <w:shd w:val="clear" w:color="auto" w:fill="FFFFFF" w:themeFill="background1"/>
            <w:vAlign w:val="center"/>
          </w:tcPr>
          <w:p w14:paraId="3269F866" w14:textId="77777777" w:rsidR="00E32002" w:rsidRPr="005D05BB" w:rsidRDefault="00E32002" w:rsidP="00F758F8">
            <w:pPr>
              <w:pStyle w:val="TableText0"/>
            </w:pPr>
            <w:r w:rsidRPr="005D05BB">
              <w:t>IFX SC, net cost to PBS/RPBS</w:t>
            </w:r>
            <w:r w:rsidR="00F758F8" w:rsidRPr="00F758F8">
              <w:rPr>
                <w:vertAlign w:val="superscript"/>
              </w:rPr>
              <w:t>a</w:t>
            </w:r>
          </w:p>
        </w:tc>
        <w:tc>
          <w:tcPr>
            <w:tcW w:w="589" w:type="pct"/>
            <w:tcBorders>
              <w:top w:val="nil"/>
              <w:left w:val="single" w:sz="4" w:space="0" w:color="auto"/>
              <w:bottom w:val="single" w:sz="4" w:space="0" w:color="auto"/>
              <w:right w:val="single" w:sz="4" w:space="0" w:color="auto"/>
            </w:tcBorders>
            <w:shd w:val="clear" w:color="auto" w:fill="FFFFFF" w:themeFill="background1"/>
            <w:vAlign w:val="center"/>
          </w:tcPr>
          <w:p w14:paraId="266B2458" w14:textId="77777777" w:rsidR="00E32002" w:rsidRPr="00D90EE1" w:rsidRDefault="00D90EE1" w:rsidP="00575A0A">
            <w:pPr>
              <w:pStyle w:val="TableText0"/>
              <w:jc w:val="center"/>
            </w:pPr>
            <w:r>
              <w:rPr>
                <w:noProof/>
                <w:color w:val="000000"/>
                <w:highlight w:val="black"/>
              </w:rPr>
              <w:t>''''''''''''''''''''''''''''''</w:t>
            </w:r>
            <w:r w:rsidR="008671BD">
              <w:rPr>
                <w:vertAlign w:val="superscript"/>
              </w:rPr>
              <w:t>10</w:t>
            </w:r>
          </w:p>
        </w:tc>
        <w:tc>
          <w:tcPr>
            <w:tcW w:w="589" w:type="pct"/>
            <w:tcBorders>
              <w:top w:val="nil"/>
              <w:left w:val="nil"/>
              <w:bottom w:val="single" w:sz="4" w:space="0" w:color="auto"/>
              <w:right w:val="single" w:sz="4" w:space="0" w:color="auto"/>
            </w:tcBorders>
            <w:shd w:val="clear" w:color="auto" w:fill="FFFFFF" w:themeFill="background1"/>
            <w:vAlign w:val="center"/>
          </w:tcPr>
          <w:p w14:paraId="775DFBCA" w14:textId="77777777" w:rsidR="00E32002" w:rsidRPr="00D90EE1" w:rsidRDefault="00D90EE1" w:rsidP="00575A0A">
            <w:pPr>
              <w:pStyle w:val="TableText0"/>
              <w:jc w:val="center"/>
            </w:pPr>
            <w:r>
              <w:rPr>
                <w:noProof/>
                <w:color w:val="000000"/>
                <w:highlight w:val="black"/>
              </w:rPr>
              <w:t>''''''''''''''''''''''''''''''''</w:t>
            </w:r>
            <w:r w:rsidR="008671BD">
              <w:rPr>
                <w:vertAlign w:val="superscript"/>
              </w:rPr>
              <w:t>11</w:t>
            </w:r>
          </w:p>
        </w:tc>
        <w:tc>
          <w:tcPr>
            <w:tcW w:w="589" w:type="pct"/>
            <w:tcBorders>
              <w:top w:val="nil"/>
              <w:left w:val="nil"/>
              <w:bottom w:val="single" w:sz="4" w:space="0" w:color="auto"/>
              <w:right w:val="single" w:sz="4" w:space="0" w:color="auto"/>
            </w:tcBorders>
            <w:shd w:val="clear" w:color="auto" w:fill="FFFFFF" w:themeFill="background1"/>
            <w:vAlign w:val="center"/>
          </w:tcPr>
          <w:p w14:paraId="6B915A95" w14:textId="77777777" w:rsidR="00E32002" w:rsidRPr="00D90EE1" w:rsidRDefault="00D90EE1" w:rsidP="00575A0A">
            <w:pPr>
              <w:pStyle w:val="TableText0"/>
              <w:jc w:val="center"/>
            </w:pPr>
            <w:r>
              <w:rPr>
                <w:noProof/>
                <w:color w:val="000000"/>
                <w:highlight w:val="black"/>
              </w:rPr>
              <w:t>'''''''''''''''''''''''''''''''</w:t>
            </w:r>
            <w:r w:rsidR="008671BD">
              <w:rPr>
                <w:vertAlign w:val="superscript"/>
              </w:rPr>
              <w:t>12</w:t>
            </w:r>
          </w:p>
        </w:tc>
        <w:tc>
          <w:tcPr>
            <w:tcW w:w="589" w:type="pct"/>
            <w:tcBorders>
              <w:top w:val="nil"/>
              <w:left w:val="nil"/>
              <w:bottom w:val="single" w:sz="4" w:space="0" w:color="auto"/>
              <w:right w:val="single" w:sz="4" w:space="0" w:color="auto"/>
            </w:tcBorders>
            <w:shd w:val="clear" w:color="auto" w:fill="FFFFFF" w:themeFill="background1"/>
            <w:vAlign w:val="center"/>
          </w:tcPr>
          <w:p w14:paraId="424CFD0A" w14:textId="77777777" w:rsidR="00E32002" w:rsidRPr="00D90EE1" w:rsidRDefault="00D90EE1" w:rsidP="00575A0A">
            <w:pPr>
              <w:pStyle w:val="TableText0"/>
              <w:jc w:val="center"/>
            </w:pPr>
            <w:r>
              <w:rPr>
                <w:noProof/>
                <w:color w:val="000000"/>
                <w:highlight w:val="black"/>
              </w:rPr>
              <w:t>'''''''''''''''''''''''''''''</w:t>
            </w:r>
            <w:r w:rsidR="008671BD">
              <w:rPr>
                <w:vertAlign w:val="superscript"/>
              </w:rPr>
              <w:t>13</w:t>
            </w:r>
          </w:p>
        </w:tc>
        <w:tc>
          <w:tcPr>
            <w:tcW w:w="589" w:type="pct"/>
            <w:tcBorders>
              <w:top w:val="nil"/>
              <w:left w:val="nil"/>
              <w:bottom w:val="single" w:sz="4" w:space="0" w:color="auto"/>
              <w:right w:val="single" w:sz="4" w:space="0" w:color="auto"/>
            </w:tcBorders>
            <w:shd w:val="clear" w:color="auto" w:fill="FFFFFF" w:themeFill="background1"/>
            <w:vAlign w:val="center"/>
          </w:tcPr>
          <w:p w14:paraId="1E944CAA" w14:textId="77777777" w:rsidR="00E32002" w:rsidRPr="00D90EE1" w:rsidRDefault="00D90EE1" w:rsidP="00575A0A">
            <w:pPr>
              <w:pStyle w:val="TableText0"/>
              <w:jc w:val="center"/>
            </w:pPr>
            <w:r>
              <w:rPr>
                <w:noProof/>
                <w:color w:val="000000"/>
                <w:highlight w:val="black"/>
              </w:rPr>
              <w:t>'''''''''''''''''''''''''''</w:t>
            </w:r>
            <w:r w:rsidR="008671BD">
              <w:rPr>
                <w:vertAlign w:val="superscript"/>
              </w:rPr>
              <w:t>15</w:t>
            </w:r>
          </w:p>
        </w:tc>
        <w:tc>
          <w:tcPr>
            <w:tcW w:w="612" w:type="pct"/>
            <w:tcBorders>
              <w:top w:val="nil"/>
              <w:left w:val="nil"/>
              <w:bottom w:val="single" w:sz="4" w:space="0" w:color="auto"/>
              <w:right w:val="single" w:sz="4" w:space="0" w:color="auto"/>
            </w:tcBorders>
            <w:shd w:val="clear" w:color="auto" w:fill="FFFFFF" w:themeFill="background1"/>
            <w:vAlign w:val="center"/>
          </w:tcPr>
          <w:p w14:paraId="3A4DDC0B" w14:textId="77777777" w:rsidR="00E32002" w:rsidRPr="00D90EE1" w:rsidRDefault="00D90EE1" w:rsidP="00575A0A">
            <w:pPr>
              <w:pStyle w:val="TableText0"/>
              <w:jc w:val="center"/>
            </w:pPr>
            <w:r>
              <w:rPr>
                <w:noProof/>
                <w:color w:val="000000"/>
                <w:highlight w:val="black"/>
              </w:rPr>
              <w:t>'''''''''''''''''''''''''''</w:t>
            </w:r>
            <w:r w:rsidR="008671BD">
              <w:rPr>
                <w:vertAlign w:val="superscript"/>
              </w:rPr>
              <w:t>16</w:t>
            </w:r>
          </w:p>
        </w:tc>
      </w:tr>
      <w:tr w:rsidR="00E32002" w:rsidRPr="005D05BB" w14:paraId="272FACAB" w14:textId="77777777" w:rsidTr="00A33E85">
        <w:trPr>
          <w:trHeight w:val="232"/>
        </w:trPr>
        <w:tc>
          <w:tcPr>
            <w:tcW w:w="5000" w:type="pct"/>
            <w:gridSpan w:val="7"/>
            <w:tcBorders>
              <w:top w:val="nil"/>
              <w:left w:val="single" w:sz="4" w:space="0" w:color="auto"/>
              <w:bottom w:val="single" w:sz="4" w:space="0" w:color="auto"/>
              <w:right w:val="single" w:sz="4" w:space="0" w:color="auto"/>
            </w:tcBorders>
            <w:shd w:val="clear" w:color="auto" w:fill="FFFFFF" w:themeFill="background1"/>
            <w:vAlign w:val="center"/>
          </w:tcPr>
          <w:p w14:paraId="7946AB89" w14:textId="77777777" w:rsidR="00E32002" w:rsidRPr="005D05BB" w:rsidRDefault="00E32002" w:rsidP="00575A0A">
            <w:pPr>
              <w:pStyle w:val="TableText0"/>
              <w:rPr>
                <w:b/>
              </w:rPr>
            </w:pPr>
            <w:r w:rsidRPr="005D05BB">
              <w:rPr>
                <w:b/>
              </w:rPr>
              <w:t>Change in use and financial impact of IFX IV</w:t>
            </w:r>
          </w:p>
        </w:tc>
      </w:tr>
      <w:tr w:rsidR="00E32002" w:rsidRPr="005D05BB" w14:paraId="7613F58A" w14:textId="77777777" w:rsidTr="00A33E85">
        <w:trPr>
          <w:trHeight w:val="232"/>
        </w:trPr>
        <w:tc>
          <w:tcPr>
            <w:tcW w:w="1443" w:type="pct"/>
            <w:tcBorders>
              <w:top w:val="single" w:sz="4" w:space="0" w:color="auto"/>
              <w:left w:val="single" w:sz="4" w:space="0" w:color="auto"/>
              <w:bottom w:val="nil"/>
              <w:right w:val="single" w:sz="4" w:space="0" w:color="auto"/>
            </w:tcBorders>
            <w:shd w:val="clear" w:color="auto" w:fill="auto"/>
            <w:vAlign w:val="center"/>
          </w:tcPr>
          <w:p w14:paraId="6AFFE65F" w14:textId="77777777" w:rsidR="00E32002" w:rsidRPr="005D05BB" w:rsidRDefault="00E32002" w:rsidP="00575A0A">
            <w:pPr>
              <w:pStyle w:val="TableText0"/>
            </w:pPr>
            <w:r w:rsidRPr="005D05BB">
              <w:t>IFX IV, total scripts</w:t>
            </w:r>
          </w:p>
        </w:tc>
        <w:tc>
          <w:tcPr>
            <w:tcW w:w="589" w:type="pct"/>
            <w:tcBorders>
              <w:top w:val="single" w:sz="4" w:space="0" w:color="auto"/>
              <w:left w:val="single" w:sz="4" w:space="0" w:color="auto"/>
              <w:bottom w:val="nil"/>
              <w:right w:val="single" w:sz="4" w:space="0" w:color="auto"/>
            </w:tcBorders>
            <w:shd w:val="clear" w:color="auto" w:fill="auto"/>
            <w:vAlign w:val="center"/>
          </w:tcPr>
          <w:p w14:paraId="7635CAF0"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7</w:t>
            </w:r>
          </w:p>
        </w:tc>
        <w:tc>
          <w:tcPr>
            <w:tcW w:w="589" w:type="pct"/>
            <w:tcBorders>
              <w:top w:val="single" w:sz="4" w:space="0" w:color="auto"/>
              <w:left w:val="nil"/>
              <w:bottom w:val="nil"/>
              <w:right w:val="single" w:sz="4" w:space="0" w:color="auto"/>
            </w:tcBorders>
            <w:shd w:val="clear" w:color="auto" w:fill="auto"/>
            <w:vAlign w:val="center"/>
          </w:tcPr>
          <w:p w14:paraId="08B73FEB"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7</w:t>
            </w:r>
          </w:p>
        </w:tc>
        <w:tc>
          <w:tcPr>
            <w:tcW w:w="589" w:type="pct"/>
            <w:tcBorders>
              <w:top w:val="single" w:sz="4" w:space="0" w:color="auto"/>
              <w:left w:val="nil"/>
              <w:bottom w:val="nil"/>
              <w:right w:val="single" w:sz="4" w:space="0" w:color="auto"/>
            </w:tcBorders>
            <w:shd w:val="clear" w:color="auto" w:fill="auto"/>
            <w:vAlign w:val="center"/>
          </w:tcPr>
          <w:p w14:paraId="791BCF0B"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c>
          <w:tcPr>
            <w:tcW w:w="589" w:type="pct"/>
            <w:tcBorders>
              <w:top w:val="single" w:sz="4" w:space="0" w:color="auto"/>
              <w:left w:val="nil"/>
              <w:bottom w:val="nil"/>
              <w:right w:val="single" w:sz="4" w:space="0" w:color="auto"/>
            </w:tcBorders>
            <w:shd w:val="clear" w:color="auto" w:fill="auto"/>
            <w:vAlign w:val="center"/>
          </w:tcPr>
          <w:p w14:paraId="3AE2CD6F"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c>
          <w:tcPr>
            <w:tcW w:w="589" w:type="pct"/>
            <w:tcBorders>
              <w:top w:val="single" w:sz="4" w:space="0" w:color="auto"/>
              <w:left w:val="nil"/>
              <w:bottom w:val="nil"/>
              <w:right w:val="single" w:sz="4" w:space="0" w:color="auto"/>
            </w:tcBorders>
            <w:shd w:val="clear" w:color="auto" w:fill="auto"/>
            <w:vAlign w:val="center"/>
          </w:tcPr>
          <w:p w14:paraId="29EFFFA8"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c>
          <w:tcPr>
            <w:tcW w:w="612" w:type="pct"/>
            <w:tcBorders>
              <w:top w:val="single" w:sz="4" w:space="0" w:color="auto"/>
              <w:left w:val="nil"/>
              <w:bottom w:val="nil"/>
              <w:right w:val="single" w:sz="4" w:space="0" w:color="auto"/>
            </w:tcBorders>
            <w:shd w:val="clear" w:color="auto" w:fill="auto"/>
            <w:vAlign w:val="center"/>
          </w:tcPr>
          <w:p w14:paraId="772F8BD2"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4</w:t>
            </w:r>
          </w:p>
        </w:tc>
      </w:tr>
      <w:tr w:rsidR="00E32002" w:rsidRPr="005D05BB" w14:paraId="6B5513E8" w14:textId="77777777" w:rsidTr="00A33E85">
        <w:trPr>
          <w:trHeight w:val="232"/>
        </w:trPr>
        <w:tc>
          <w:tcPr>
            <w:tcW w:w="1443" w:type="pct"/>
            <w:tcBorders>
              <w:top w:val="nil"/>
              <w:left w:val="single" w:sz="4" w:space="0" w:color="auto"/>
              <w:bottom w:val="nil"/>
              <w:right w:val="single" w:sz="4" w:space="0" w:color="auto"/>
            </w:tcBorders>
            <w:shd w:val="clear" w:color="auto" w:fill="auto"/>
            <w:vAlign w:val="center"/>
          </w:tcPr>
          <w:p w14:paraId="76BFB1E1" w14:textId="77777777" w:rsidR="00E32002" w:rsidRPr="005D05BB" w:rsidRDefault="00E32002" w:rsidP="00575A0A">
            <w:pPr>
              <w:pStyle w:val="TableText0"/>
              <w:ind w:left="104"/>
            </w:pPr>
            <w:r w:rsidRPr="005D05BB">
              <w:t>Initiation</w:t>
            </w:r>
          </w:p>
        </w:tc>
        <w:tc>
          <w:tcPr>
            <w:tcW w:w="589" w:type="pct"/>
            <w:tcBorders>
              <w:top w:val="nil"/>
              <w:left w:val="single" w:sz="4" w:space="0" w:color="auto"/>
              <w:bottom w:val="nil"/>
              <w:right w:val="single" w:sz="4" w:space="0" w:color="auto"/>
            </w:tcBorders>
            <w:shd w:val="clear" w:color="auto" w:fill="auto"/>
            <w:vAlign w:val="center"/>
          </w:tcPr>
          <w:p w14:paraId="33180398"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8</w:t>
            </w:r>
          </w:p>
        </w:tc>
        <w:tc>
          <w:tcPr>
            <w:tcW w:w="589" w:type="pct"/>
            <w:tcBorders>
              <w:top w:val="nil"/>
              <w:left w:val="nil"/>
              <w:bottom w:val="nil"/>
              <w:right w:val="single" w:sz="4" w:space="0" w:color="auto"/>
            </w:tcBorders>
            <w:shd w:val="clear" w:color="auto" w:fill="auto"/>
            <w:vAlign w:val="center"/>
          </w:tcPr>
          <w:p w14:paraId="3B4EA5A0"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8</w:t>
            </w:r>
          </w:p>
        </w:tc>
        <w:tc>
          <w:tcPr>
            <w:tcW w:w="589" w:type="pct"/>
            <w:tcBorders>
              <w:top w:val="nil"/>
              <w:left w:val="nil"/>
              <w:bottom w:val="nil"/>
              <w:right w:val="single" w:sz="4" w:space="0" w:color="auto"/>
            </w:tcBorders>
            <w:shd w:val="clear" w:color="auto" w:fill="auto"/>
            <w:vAlign w:val="center"/>
          </w:tcPr>
          <w:p w14:paraId="5334C8EF"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8</w:t>
            </w:r>
          </w:p>
        </w:tc>
        <w:tc>
          <w:tcPr>
            <w:tcW w:w="589" w:type="pct"/>
            <w:tcBorders>
              <w:top w:val="nil"/>
              <w:left w:val="nil"/>
              <w:bottom w:val="nil"/>
              <w:right w:val="single" w:sz="4" w:space="0" w:color="auto"/>
            </w:tcBorders>
            <w:shd w:val="clear" w:color="auto" w:fill="auto"/>
            <w:vAlign w:val="center"/>
          </w:tcPr>
          <w:p w14:paraId="2B0D628D"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9</w:t>
            </w:r>
          </w:p>
        </w:tc>
        <w:tc>
          <w:tcPr>
            <w:tcW w:w="589" w:type="pct"/>
            <w:tcBorders>
              <w:top w:val="nil"/>
              <w:left w:val="nil"/>
              <w:bottom w:val="nil"/>
              <w:right w:val="single" w:sz="4" w:space="0" w:color="auto"/>
            </w:tcBorders>
            <w:shd w:val="clear" w:color="auto" w:fill="auto"/>
            <w:vAlign w:val="center"/>
          </w:tcPr>
          <w:p w14:paraId="3B8A7A03"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9</w:t>
            </w:r>
          </w:p>
        </w:tc>
        <w:tc>
          <w:tcPr>
            <w:tcW w:w="612" w:type="pct"/>
            <w:tcBorders>
              <w:top w:val="nil"/>
              <w:left w:val="nil"/>
              <w:bottom w:val="nil"/>
              <w:right w:val="single" w:sz="4" w:space="0" w:color="auto"/>
            </w:tcBorders>
            <w:shd w:val="clear" w:color="auto" w:fill="auto"/>
            <w:vAlign w:val="center"/>
          </w:tcPr>
          <w:p w14:paraId="4A77A72C"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9</w:t>
            </w:r>
          </w:p>
        </w:tc>
      </w:tr>
      <w:tr w:rsidR="00E32002" w:rsidRPr="005D05BB" w14:paraId="7924DB55" w14:textId="77777777" w:rsidTr="00A33E85">
        <w:trPr>
          <w:trHeight w:val="232"/>
        </w:trPr>
        <w:tc>
          <w:tcPr>
            <w:tcW w:w="1443" w:type="pct"/>
            <w:tcBorders>
              <w:top w:val="nil"/>
              <w:left w:val="single" w:sz="4" w:space="0" w:color="auto"/>
              <w:bottom w:val="nil"/>
              <w:right w:val="single" w:sz="4" w:space="0" w:color="auto"/>
            </w:tcBorders>
            <w:shd w:val="clear" w:color="auto" w:fill="auto"/>
            <w:vAlign w:val="center"/>
          </w:tcPr>
          <w:p w14:paraId="39E98BB7" w14:textId="77777777" w:rsidR="00E32002" w:rsidRPr="005D05BB" w:rsidRDefault="00E32002" w:rsidP="00575A0A">
            <w:pPr>
              <w:pStyle w:val="TableText0"/>
              <w:ind w:left="104"/>
            </w:pPr>
            <w:r w:rsidRPr="005D05BB">
              <w:t>Continuing</w:t>
            </w:r>
          </w:p>
        </w:tc>
        <w:tc>
          <w:tcPr>
            <w:tcW w:w="589" w:type="pct"/>
            <w:tcBorders>
              <w:top w:val="nil"/>
              <w:left w:val="single" w:sz="4" w:space="0" w:color="auto"/>
              <w:bottom w:val="nil"/>
              <w:right w:val="single" w:sz="4" w:space="0" w:color="auto"/>
            </w:tcBorders>
            <w:shd w:val="clear" w:color="auto" w:fill="auto"/>
            <w:vAlign w:val="center"/>
          </w:tcPr>
          <w:p w14:paraId="4FA1BCA1"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9</w:t>
            </w:r>
          </w:p>
        </w:tc>
        <w:tc>
          <w:tcPr>
            <w:tcW w:w="589" w:type="pct"/>
            <w:tcBorders>
              <w:top w:val="nil"/>
              <w:left w:val="nil"/>
              <w:bottom w:val="nil"/>
              <w:right w:val="single" w:sz="4" w:space="0" w:color="auto"/>
            </w:tcBorders>
            <w:shd w:val="clear" w:color="auto" w:fill="auto"/>
            <w:vAlign w:val="center"/>
          </w:tcPr>
          <w:p w14:paraId="0ACE3B77"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7</w:t>
            </w:r>
          </w:p>
        </w:tc>
        <w:tc>
          <w:tcPr>
            <w:tcW w:w="589" w:type="pct"/>
            <w:tcBorders>
              <w:top w:val="nil"/>
              <w:left w:val="nil"/>
              <w:bottom w:val="nil"/>
              <w:right w:val="single" w:sz="4" w:space="0" w:color="auto"/>
            </w:tcBorders>
            <w:shd w:val="clear" w:color="auto" w:fill="auto"/>
            <w:vAlign w:val="center"/>
          </w:tcPr>
          <w:p w14:paraId="24CC08F1"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7</w:t>
            </w:r>
          </w:p>
        </w:tc>
        <w:tc>
          <w:tcPr>
            <w:tcW w:w="589" w:type="pct"/>
            <w:tcBorders>
              <w:top w:val="nil"/>
              <w:left w:val="nil"/>
              <w:bottom w:val="nil"/>
              <w:right w:val="single" w:sz="4" w:space="0" w:color="auto"/>
            </w:tcBorders>
            <w:shd w:val="clear" w:color="auto" w:fill="auto"/>
            <w:vAlign w:val="center"/>
          </w:tcPr>
          <w:p w14:paraId="427FCEAE"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c>
          <w:tcPr>
            <w:tcW w:w="589" w:type="pct"/>
            <w:tcBorders>
              <w:top w:val="nil"/>
              <w:left w:val="nil"/>
              <w:bottom w:val="nil"/>
              <w:right w:val="single" w:sz="4" w:space="0" w:color="auto"/>
            </w:tcBorders>
            <w:shd w:val="clear" w:color="auto" w:fill="auto"/>
            <w:vAlign w:val="center"/>
          </w:tcPr>
          <w:p w14:paraId="3C28CDD7"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c>
          <w:tcPr>
            <w:tcW w:w="612" w:type="pct"/>
            <w:tcBorders>
              <w:top w:val="nil"/>
              <w:left w:val="nil"/>
              <w:bottom w:val="nil"/>
              <w:right w:val="single" w:sz="4" w:space="0" w:color="auto"/>
            </w:tcBorders>
            <w:shd w:val="clear" w:color="auto" w:fill="auto"/>
            <w:vAlign w:val="center"/>
          </w:tcPr>
          <w:p w14:paraId="046D88C7" w14:textId="77777777" w:rsidR="00E32002" w:rsidRPr="005D05BB" w:rsidRDefault="00E32002" w:rsidP="00575A0A">
            <w:pPr>
              <w:pStyle w:val="TableText0"/>
              <w:jc w:val="center"/>
            </w:pPr>
            <w:r w:rsidRPr="005D05BB">
              <w:t>-</w:t>
            </w:r>
            <w:r w:rsidR="00D90EE1">
              <w:rPr>
                <w:noProof/>
                <w:color w:val="000000"/>
                <w:highlight w:val="black"/>
              </w:rPr>
              <w:t>'''''''''''''''</w:t>
            </w:r>
            <w:r w:rsidR="009624CD">
              <w:rPr>
                <w:vertAlign w:val="superscript"/>
              </w:rPr>
              <w:t>3</w:t>
            </w:r>
          </w:p>
        </w:tc>
      </w:tr>
      <w:tr w:rsidR="00E32002" w:rsidRPr="005D05BB" w14:paraId="6F5C61CA" w14:textId="77777777" w:rsidTr="00A33E85">
        <w:trPr>
          <w:trHeight w:val="232"/>
        </w:trPr>
        <w:tc>
          <w:tcPr>
            <w:tcW w:w="1443" w:type="pct"/>
            <w:tcBorders>
              <w:top w:val="nil"/>
              <w:left w:val="single" w:sz="4" w:space="0" w:color="auto"/>
              <w:bottom w:val="single" w:sz="4" w:space="0" w:color="auto"/>
              <w:right w:val="single" w:sz="4" w:space="0" w:color="auto"/>
            </w:tcBorders>
            <w:shd w:val="clear" w:color="auto" w:fill="auto"/>
            <w:vAlign w:val="center"/>
          </w:tcPr>
          <w:p w14:paraId="15FF500E" w14:textId="77777777" w:rsidR="00E32002" w:rsidRPr="005D05BB" w:rsidRDefault="00E32002" w:rsidP="00F758F8">
            <w:pPr>
              <w:pStyle w:val="TableText0"/>
            </w:pPr>
            <w:r w:rsidRPr="005D05BB">
              <w:t>IFX IV, net cost to PBS/RPBS</w:t>
            </w:r>
            <w:r w:rsidR="00F758F8" w:rsidRPr="00F758F8">
              <w:rPr>
                <w:vertAlign w:val="superscript"/>
              </w:rPr>
              <w:t>a</w:t>
            </w:r>
          </w:p>
        </w:tc>
        <w:tc>
          <w:tcPr>
            <w:tcW w:w="589" w:type="pct"/>
            <w:tcBorders>
              <w:top w:val="nil"/>
              <w:left w:val="single" w:sz="4" w:space="0" w:color="auto"/>
              <w:bottom w:val="single" w:sz="4" w:space="0" w:color="auto"/>
              <w:right w:val="single" w:sz="4" w:space="0" w:color="auto"/>
            </w:tcBorders>
            <w:shd w:val="clear" w:color="auto" w:fill="auto"/>
            <w:vAlign w:val="center"/>
          </w:tcPr>
          <w:p w14:paraId="7EAEEC71"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C8692E">
              <w:rPr>
                <w:vertAlign w:val="superscript"/>
              </w:rPr>
              <w:t>10</w:t>
            </w:r>
          </w:p>
        </w:tc>
        <w:tc>
          <w:tcPr>
            <w:tcW w:w="589" w:type="pct"/>
            <w:tcBorders>
              <w:top w:val="nil"/>
              <w:left w:val="nil"/>
              <w:bottom w:val="single" w:sz="4" w:space="0" w:color="auto"/>
              <w:right w:val="single" w:sz="4" w:space="0" w:color="auto"/>
            </w:tcBorders>
            <w:shd w:val="clear" w:color="auto" w:fill="auto"/>
            <w:vAlign w:val="center"/>
          </w:tcPr>
          <w:p w14:paraId="17B1B692" w14:textId="77777777" w:rsidR="00E32002" w:rsidRPr="005D05BB" w:rsidRDefault="00E32002" w:rsidP="00575A0A">
            <w:pPr>
              <w:pStyle w:val="TableText0"/>
              <w:jc w:val="center"/>
            </w:pPr>
            <w:r w:rsidRPr="005D05BB">
              <w:t>-$</w:t>
            </w:r>
            <w:r w:rsidR="00D90EE1">
              <w:rPr>
                <w:noProof/>
                <w:color w:val="000000"/>
                <w:highlight w:val="black"/>
              </w:rPr>
              <w:t>'''''''''''''''''''''''''</w:t>
            </w:r>
            <w:r w:rsidR="00C8692E">
              <w:rPr>
                <w:vertAlign w:val="superscript"/>
              </w:rPr>
              <w:t>11</w:t>
            </w:r>
          </w:p>
        </w:tc>
        <w:tc>
          <w:tcPr>
            <w:tcW w:w="589" w:type="pct"/>
            <w:tcBorders>
              <w:top w:val="nil"/>
              <w:left w:val="nil"/>
              <w:bottom w:val="single" w:sz="4" w:space="0" w:color="auto"/>
              <w:right w:val="single" w:sz="4" w:space="0" w:color="auto"/>
            </w:tcBorders>
            <w:shd w:val="clear" w:color="auto" w:fill="auto"/>
            <w:vAlign w:val="center"/>
          </w:tcPr>
          <w:p w14:paraId="17B5BAE9"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C8692E">
              <w:rPr>
                <w:vertAlign w:val="superscript"/>
              </w:rPr>
              <w:t>12</w:t>
            </w:r>
          </w:p>
        </w:tc>
        <w:tc>
          <w:tcPr>
            <w:tcW w:w="589" w:type="pct"/>
            <w:tcBorders>
              <w:top w:val="nil"/>
              <w:left w:val="nil"/>
              <w:bottom w:val="single" w:sz="4" w:space="0" w:color="auto"/>
              <w:right w:val="single" w:sz="4" w:space="0" w:color="auto"/>
            </w:tcBorders>
            <w:shd w:val="clear" w:color="auto" w:fill="auto"/>
            <w:vAlign w:val="center"/>
          </w:tcPr>
          <w:p w14:paraId="31D03524"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C8692E">
              <w:rPr>
                <w:vertAlign w:val="superscript"/>
              </w:rPr>
              <w:t>12</w:t>
            </w:r>
          </w:p>
        </w:tc>
        <w:tc>
          <w:tcPr>
            <w:tcW w:w="589" w:type="pct"/>
            <w:tcBorders>
              <w:top w:val="nil"/>
              <w:left w:val="nil"/>
              <w:bottom w:val="single" w:sz="4" w:space="0" w:color="auto"/>
              <w:right w:val="single" w:sz="4" w:space="0" w:color="auto"/>
            </w:tcBorders>
            <w:shd w:val="clear" w:color="auto" w:fill="auto"/>
            <w:vAlign w:val="center"/>
          </w:tcPr>
          <w:p w14:paraId="1B937E45"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C8692E">
              <w:rPr>
                <w:vertAlign w:val="superscript"/>
              </w:rPr>
              <w:t>13</w:t>
            </w:r>
          </w:p>
        </w:tc>
        <w:tc>
          <w:tcPr>
            <w:tcW w:w="612" w:type="pct"/>
            <w:tcBorders>
              <w:top w:val="nil"/>
              <w:left w:val="nil"/>
              <w:bottom w:val="single" w:sz="4" w:space="0" w:color="auto"/>
              <w:right w:val="single" w:sz="4" w:space="0" w:color="auto"/>
            </w:tcBorders>
            <w:shd w:val="clear" w:color="auto" w:fill="auto"/>
            <w:vAlign w:val="center"/>
          </w:tcPr>
          <w:p w14:paraId="045FEEE4"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C8692E">
              <w:rPr>
                <w:vertAlign w:val="superscript"/>
              </w:rPr>
              <w:t>13</w:t>
            </w:r>
          </w:p>
        </w:tc>
      </w:tr>
      <w:tr w:rsidR="00E32002" w:rsidRPr="005D05BB" w14:paraId="6544C895" w14:textId="77777777" w:rsidTr="00A33E85">
        <w:trPr>
          <w:trHeight w:val="23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206EBB" w14:textId="77777777" w:rsidR="00E32002" w:rsidRPr="005D05BB" w:rsidRDefault="00E32002" w:rsidP="00575A0A">
            <w:pPr>
              <w:pStyle w:val="TableText0"/>
            </w:pPr>
            <w:r w:rsidRPr="005D05BB">
              <w:rPr>
                <w:b/>
              </w:rPr>
              <w:t>Estimated financial implications for the PBS/RPBS</w:t>
            </w:r>
          </w:p>
        </w:tc>
      </w:tr>
      <w:tr w:rsidR="00E32002" w:rsidRPr="005D05BB" w14:paraId="3EAF2967" w14:textId="77777777" w:rsidTr="00A33E85">
        <w:trPr>
          <w:trHeight w:val="232"/>
        </w:trPr>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14:paraId="1ACFF55E" w14:textId="77777777" w:rsidR="00E32002" w:rsidRPr="005D05BB" w:rsidRDefault="00E32002" w:rsidP="00F758F8">
            <w:pPr>
              <w:pStyle w:val="TableText0"/>
            </w:pPr>
            <w:r w:rsidRPr="005D05BB">
              <w:t>Net cost to PBS/RPBS</w:t>
            </w:r>
            <w:r w:rsidR="00F758F8" w:rsidRPr="00F758F8">
              <w:rPr>
                <w:vertAlign w:val="superscript"/>
              </w:rPr>
              <w:t>a</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3704C694" w14:textId="77777777" w:rsidR="00E32002" w:rsidRPr="00D90EE1" w:rsidRDefault="00D90EE1" w:rsidP="00575A0A">
            <w:pPr>
              <w:pStyle w:val="TableText0"/>
              <w:jc w:val="center"/>
              <w:rPr>
                <w:vertAlign w:val="superscript"/>
              </w:rPr>
            </w:pPr>
            <w:r>
              <w:rPr>
                <w:noProof/>
                <w:color w:val="000000"/>
                <w:highlight w:val="black"/>
              </w:rPr>
              <w:t>''''''''''''''''''''''''''''</w:t>
            </w:r>
            <w:r w:rsidR="00C8692E"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4D42F4C8" w14:textId="77777777" w:rsidR="00E32002" w:rsidRPr="00D90EE1" w:rsidRDefault="00D90EE1" w:rsidP="00575A0A">
            <w:pPr>
              <w:pStyle w:val="TableText0"/>
              <w:jc w:val="center"/>
            </w:pPr>
            <w:r>
              <w:rPr>
                <w:noProof/>
                <w:color w:val="000000"/>
                <w:highlight w:val="black"/>
              </w:rPr>
              <w:t>'''''''''''''''''''''''''''</w:t>
            </w:r>
            <w:r w:rsidR="00C8692E"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1CB56E68" w14:textId="77777777" w:rsidR="00E32002" w:rsidRPr="00D90EE1" w:rsidRDefault="00D90EE1" w:rsidP="00575A0A">
            <w:pPr>
              <w:pStyle w:val="TableText0"/>
              <w:jc w:val="center"/>
            </w:pPr>
            <w:r>
              <w:rPr>
                <w:noProof/>
                <w:color w:val="000000"/>
                <w:highlight w:val="black"/>
              </w:rPr>
              <w:t>'''''''''''''''''''''''''</w:t>
            </w:r>
            <w:r w:rsidR="00C8692E"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775945C6" w14:textId="77777777" w:rsidR="00E32002" w:rsidRPr="00D90EE1" w:rsidRDefault="00D90EE1" w:rsidP="00575A0A">
            <w:pPr>
              <w:pStyle w:val="TableText0"/>
              <w:jc w:val="center"/>
            </w:pPr>
            <w:r>
              <w:rPr>
                <w:noProof/>
                <w:color w:val="000000"/>
                <w:highlight w:val="black"/>
              </w:rPr>
              <w:t>''''''''''''''''''''''''''</w:t>
            </w:r>
            <w:r w:rsidR="00C8692E"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36D6AD66" w14:textId="77777777" w:rsidR="00E32002" w:rsidRPr="00D90EE1" w:rsidRDefault="00D90EE1" w:rsidP="00575A0A">
            <w:pPr>
              <w:pStyle w:val="TableText0"/>
              <w:jc w:val="center"/>
            </w:pPr>
            <w:r>
              <w:rPr>
                <w:noProof/>
                <w:color w:val="000000"/>
                <w:highlight w:val="black"/>
              </w:rPr>
              <w:t>'''''''''''''''''''''''''''</w:t>
            </w:r>
            <w:r w:rsidR="001F343C" w:rsidRPr="00C8692E">
              <w:rPr>
                <w:vertAlign w:val="superscript"/>
              </w:rPr>
              <w:t>1</w:t>
            </w:r>
            <w:r w:rsidR="001F343C">
              <w:rPr>
                <w:vertAlign w:val="superscript"/>
              </w:rPr>
              <w:t>0</w:t>
            </w:r>
          </w:p>
        </w:tc>
        <w:tc>
          <w:tcPr>
            <w:tcW w:w="612" w:type="pct"/>
            <w:tcBorders>
              <w:top w:val="single" w:sz="4" w:space="0" w:color="auto"/>
              <w:left w:val="nil"/>
              <w:bottom w:val="single" w:sz="4" w:space="0" w:color="auto"/>
              <w:right w:val="single" w:sz="4" w:space="0" w:color="auto"/>
            </w:tcBorders>
            <w:shd w:val="clear" w:color="auto" w:fill="auto"/>
            <w:vAlign w:val="center"/>
          </w:tcPr>
          <w:p w14:paraId="64C6EE41" w14:textId="77777777" w:rsidR="00E32002" w:rsidRPr="00D90EE1" w:rsidRDefault="00D90EE1" w:rsidP="00575A0A">
            <w:pPr>
              <w:pStyle w:val="TableText0"/>
              <w:jc w:val="center"/>
            </w:pPr>
            <w:r>
              <w:rPr>
                <w:noProof/>
                <w:color w:val="000000"/>
                <w:highlight w:val="black"/>
              </w:rPr>
              <w:t>'''''''''''''''''''''''''''''</w:t>
            </w:r>
            <w:r w:rsidR="001F343C" w:rsidRPr="00C8692E">
              <w:rPr>
                <w:vertAlign w:val="superscript"/>
              </w:rPr>
              <w:t>1</w:t>
            </w:r>
            <w:r w:rsidR="001F343C">
              <w:rPr>
                <w:vertAlign w:val="superscript"/>
              </w:rPr>
              <w:t>0</w:t>
            </w:r>
          </w:p>
        </w:tc>
      </w:tr>
      <w:tr w:rsidR="00E32002" w:rsidRPr="005D05BB" w14:paraId="44590A2B" w14:textId="77777777" w:rsidTr="00A33E85">
        <w:trPr>
          <w:trHeight w:val="23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D41C92" w14:textId="77777777" w:rsidR="00E32002" w:rsidRPr="005D05BB" w:rsidRDefault="00E32002" w:rsidP="00575A0A">
            <w:pPr>
              <w:pStyle w:val="TableText0"/>
            </w:pPr>
            <w:r w:rsidRPr="005D05BB">
              <w:rPr>
                <w:b/>
              </w:rPr>
              <w:t>Estimated financial implications for the health budget</w:t>
            </w:r>
          </w:p>
        </w:tc>
      </w:tr>
      <w:tr w:rsidR="00E32002" w:rsidRPr="005D05BB" w14:paraId="42E59AB5" w14:textId="77777777" w:rsidTr="00A33E85">
        <w:trPr>
          <w:trHeight w:val="232"/>
        </w:trPr>
        <w:tc>
          <w:tcPr>
            <w:tcW w:w="1443" w:type="pct"/>
            <w:tcBorders>
              <w:top w:val="single" w:sz="4" w:space="0" w:color="auto"/>
              <w:left w:val="single" w:sz="4" w:space="0" w:color="auto"/>
              <w:bottom w:val="nil"/>
              <w:right w:val="single" w:sz="4" w:space="0" w:color="auto"/>
            </w:tcBorders>
            <w:shd w:val="clear" w:color="auto" w:fill="auto"/>
            <w:vAlign w:val="center"/>
          </w:tcPr>
          <w:p w14:paraId="26E7FA80" w14:textId="77777777" w:rsidR="00E32002" w:rsidRPr="005D05BB" w:rsidRDefault="00E32002" w:rsidP="00575A0A">
            <w:pPr>
              <w:pStyle w:val="TableText0"/>
            </w:pPr>
            <w:r w:rsidRPr="005D05BB">
              <w:t>Net change in MBS 14245</w:t>
            </w:r>
          </w:p>
        </w:tc>
        <w:tc>
          <w:tcPr>
            <w:tcW w:w="589" w:type="pct"/>
            <w:tcBorders>
              <w:top w:val="single" w:sz="4" w:space="0" w:color="auto"/>
              <w:left w:val="single" w:sz="4" w:space="0" w:color="auto"/>
              <w:bottom w:val="nil"/>
              <w:right w:val="single" w:sz="4" w:space="0" w:color="auto"/>
            </w:tcBorders>
            <w:shd w:val="clear" w:color="auto" w:fill="auto"/>
            <w:vAlign w:val="center"/>
          </w:tcPr>
          <w:p w14:paraId="2C81C30A"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7</w:t>
            </w:r>
          </w:p>
        </w:tc>
        <w:tc>
          <w:tcPr>
            <w:tcW w:w="589" w:type="pct"/>
            <w:tcBorders>
              <w:top w:val="single" w:sz="4" w:space="0" w:color="auto"/>
              <w:left w:val="nil"/>
              <w:bottom w:val="nil"/>
              <w:right w:val="single" w:sz="4" w:space="0" w:color="auto"/>
            </w:tcBorders>
            <w:shd w:val="clear" w:color="auto" w:fill="auto"/>
            <w:vAlign w:val="center"/>
          </w:tcPr>
          <w:p w14:paraId="09241580"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7</w:t>
            </w:r>
          </w:p>
        </w:tc>
        <w:tc>
          <w:tcPr>
            <w:tcW w:w="589" w:type="pct"/>
            <w:tcBorders>
              <w:top w:val="single" w:sz="4" w:space="0" w:color="auto"/>
              <w:left w:val="nil"/>
              <w:bottom w:val="nil"/>
              <w:right w:val="single" w:sz="4" w:space="0" w:color="auto"/>
            </w:tcBorders>
            <w:shd w:val="clear" w:color="auto" w:fill="auto"/>
            <w:vAlign w:val="center"/>
          </w:tcPr>
          <w:p w14:paraId="48599230"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3</w:t>
            </w:r>
          </w:p>
        </w:tc>
        <w:tc>
          <w:tcPr>
            <w:tcW w:w="589" w:type="pct"/>
            <w:tcBorders>
              <w:top w:val="single" w:sz="4" w:space="0" w:color="auto"/>
              <w:left w:val="nil"/>
              <w:bottom w:val="nil"/>
              <w:right w:val="single" w:sz="4" w:space="0" w:color="auto"/>
            </w:tcBorders>
            <w:shd w:val="clear" w:color="auto" w:fill="auto"/>
            <w:vAlign w:val="center"/>
          </w:tcPr>
          <w:p w14:paraId="2F4A083E"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3</w:t>
            </w:r>
          </w:p>
        </w:tc>
        <w:tc>
          <w:tcPr>
            <w:tcW w:w="589" w:type="pct"/>
            <w:tcBorders>
              <w:top w:val="single" w:sz="4" w:space="0" w:color="auto"/>
              <w:left w:val="nil"/>
              <w:bottom w:val="nil"/>
              <w:right w:val="single" w:sz="4" w:space="0" w:color="auto"/>
            </w:tcBorders>
            <w:shd w:val="clear" w:color="auto" w:fill="auto"/>
            <w:vAlign w:val="center"/>
          </w:tcPr>
          <w:p w14:paraId="462AECF8"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3</w:t>
            </w:r>
          </w:p>
        </w:tc>
        <w:tc>
          <w:tcPr>
            <w:tcW w:w="612" w:type="pct"/>
            <w:tcBorders>
              <w:top w:val="single" w:sz="4" w:space="0" w:color="auto"/>
              <w:left w:val="nil"/>
              <w:bottom w:val="nil"/>
              <w:right w:val="single" w:sz="4" w:space="0" w:color="auto"/>
            </w:tcBorders>
            <w:shd w:val="clear" w:color="auto" w:fill="auto"/>
            <w:vAlign w:val="center"/>
          </w:tcPr>
          <w:p w14:paraId="77D1B3A4" w14:textId="77777777" w:rsidR="00E32002" w:rsidRPr="005D05BB" w:rsidRDefault="00E32002" w:rsidP="00575A0A">
            <w:pPr>
              <w:pStyle w:val="TableText0"/>
              <w:jc w:val="center"/>
            </w:pPr>
            <w:r w:rsidRPr="005D05BB">
              <w:t>-</w:t>
            </w:r>
            <w:r w:rsidR="00D90EE1">
              <w:rPr>
                <w:noProof/>
                <w:color w:val="000000"/>
                <w:highlight w:val="black"/>
              </w:rPr>
              <w:t>'''''''''''''''''</w:t>
            </w:r>
            <w:r w:rsidR="001F343C">
              <w:rPr>
                <w:vertAlign w:val="superscript"/>
              </w:rPr>
              <w:t>4</w:t>
            </w:r>
          </w:p>
        </w:tc>
      </w:tr>
      <w:tr w:rsidR="00E32002" w:rsidRPr="005D05BB" w14:paraId="5120D611" w14:textId="77777777" w:rsidTr="00A33E85">
        <w:trPr>
          <w:trHeight w:val="232"/>
        </w:trPr>
        <w:tc>
          <w:tcPr>
            <w:tcW w:w="1443" w:type="pct"/>
            <w:tcBorders>
              <w:top w:val="nil"/>
              <w:left w:val="single" w:sz="4" w:space="0" w:color="auto"/>
              <w:bottom w:val="single" w:sz="4" w:space="0" w:color="auto"/>
              <w:right w:val="single" w:sz="4" w:space="0" w:color="auto"/>
            </w:tcBorders>
            <w:shd w:val="clear" w:color="auto" w:fill="auto"/>
            <w:vAlign w:val="center"/>
          </w:tcPr>
          <w:p w14:paraId="7D6CDC9B" w14:textId="77777777" w:rsidR="00E32002" w:rsidRPr="005D05BB" w:rsidRDefault="00E32002" w:rsidP="00F758F8">
            <w:pPr>
              <w:pStyle w:val="TableText0"/>
            </w:pPr>
            <w:r w:rsidRPr="005D05BB">
              <w:t>Net cost to MBS</w:t>
            </w:r>
            <w:r w:rsidR="00F758F8">
              <w:rPr>
                <w:vertAlign w:val="superscript"/>
              </w:rPr>
              <w:t>b</w:t>
            </w:r>
          </w:p>
        </w:tc>
        <w:tc>
          <w:tcPr>
            <w:tcW w:w="589" w:type="pct"/>
            <w:tcBorders>
              <w:top w:val="nil"/>
              <w:left w:val="single" w:sz="4" w:space="0" w:color="auto"/>
              <w:bottom w:val="single" w:sz="4" w:space="0" w:color="auto"/>
              <w:right w:val="single" w:sz="4" w:space="0" w:color="auto"/>
            </w:tcBorders>
            <w:shd w:val="clear" w:color="auto" w:fill="auto"/>
            <w:vAlign w:val="center"/>
          </w:tcPr>
          <w:p w14:paraId="545811C1" w14:textId="77777777" w:rsidR="00E32002" w:rsidRPr="005D05BB" w:rsidRDefault="00E32002" w:rsidP="00575A0A">
            <w:pPr>
              <w:pStyle w:val="TableText0"/>
              <w:jc w:val="center"/>
            </w:pPr>
            <w:r w:rsidRPr="005D05BB">
              <w:t>-</w:t>
            </w:r>
            <w:r w:rsidR="00D90EE1">
              <w:rPr>
                <w:noProof/>
                <w:color w:val="000000"/>
                <w:highlight w:val="black"/>
              </w:rPr>
              <w:t>'''''''''''''''''''''''</w:t>
            </w:r>
            <w:r w:rsidR="00D52474" w:rsidRPr="00C8692E">
              <w:rPr>
                <w:vertAlign w:val="superscript"/>
              </w:rPr>
              <w:t>16</w:t>
            </w:r>
          </w:p>
        </w:tc>
        <w:tc>
          <w:tcPr>
            <w:tcW w:w="589" w:type="pct"/>
            <w:tcBorders>
              <w:top w:val="nil"/>
              <w:left w:val="nil"/>
              <w:bottom w:val="single" w:sz="4" w:space="0" w:color="auto"/>
              <w:right w:val="single" w:sz="4" w:space="0" w:color="auto"/>
            </w:tcBorders>
            <w:shd w:val="clear" w:color="auto" w:fill="auto"/>
            <w:vAlign w:val="center"/>
          </w:tcPr>
          <w:p w14:paraId="51AE053C" w14:textId="77777777" w:rsidR="00E32002" w:rsidRPr="005D05BB" w:rsidRDefault="00E32002" w:rsidP="00575A0A">
            <w:pPr>
              <w:pStyle w:val="TableText0"/>
              <w:jc w:val="center"/>
            </w:pPr>
            <w:r w:rsidRPr="005D05BB">
              <w:t>-$</w:t>
            </w:r>
            <w:r w:rsidR="00D90EE1">
              <w:rPr>
                <w:noProof/>
                <w:color w:val="000000"/>
                <w:highlight w:val="black"/>
              </w:rPr>
              <w:t>'''''''''''''''''''''''</w:t>
            </w:r>
            <w:r w:rsidR="00D52474" w:rsidRPr="00C8692E">
              <w:rPr>
                <w:vertAlign w:val="superscript"/>
              </w:rPr>
              <w:t>16</w:t>
            </w:r>
          </w:p>
        </w:tc>
        <w:tc>
          <w:tcPr>
            <w:tcW w:w="589" w:type="pct"/>
            <w:tcBorders>
              <w:top w:val="nil"/>
              <w:left w:val="nil"/>
              <w:bottom w:val="single" w:sz="4" w:space="0" w:color="auto"/>
              <w:right w:val="single" w:sz="4" w:space="0" w:color="auto"/>
            </w:tcBorders>
            <w:shd w:val="clear" w:color="auto" w:fill="auto"/>
            <w:vAlign w:val="center"/>
          </w:tcPr>
          <w:p w14:paraId="1C0BACC2" w14:textId="77777777" w:rsidR="00E32002" w:rsidRPr="005D05BB" w:rsidRDefault="00E32002" w:rsidP="00575A0A">
            <w:pPr>
              <w:pStyle w:val="TableText0"/>
              <w:jc w:val="center"/>
            </w:pPr>
            <w:r w:rsidRPr="005D05BB">
              <w:t>-$</w:t>
            </w:r>
            <w:r w:rsidR="00D90EE1">
              <w:rPr>
                <w:noProof/>
                <w:color w:val="000000"/>
                <w:highlight w:val="black"/>
              </w:rPr>
              <w:t>'''''''''''''''''''''''</w:t>
            </w:r>
            <w:r w:rsidR="00D52474" w:rsidRPr="00C8692E">
              <w:rPr>
                <w:vertAlign w:val="superscript"/>
              </w:rPr>
              <w:t>16</w:t>
            </w:r>
          </w:p>
        </w:tc>
        <w:tc>
          <w:tcPr>
            <w:tcW w:w="589" w:type="pct"/>
            <w:tcBorders>
              <w:top w:val="nil"/>
              <w:left w:val="nil"/>
              <w:bottom w:val="single" w:sz="4" w:space="0" w:color="auto"/>
              <w:right w:val="single" w:sz="4" w:space="0" w:color="auto"/>
            </w:tcBorders>
            <w:shd w:val="clear" w:color="auto" w:fill="auto"/>
            <w:vAlign w:val="center"/>
          </w:tcPr>
          <w:p w14:paraId="06EF5FC7"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D52474" w:rsidRPr="00C8692E">
              <w:rPr>
                <w:vertAlign w:val="superscript"/>
              </w:rPr>
              <w:t>16</w:t>
            </w:r>
          </w:p>
        </w:tc>
        <w:tc>
          <w:tcPr>
            <w:tcW w:w="589" w:type="pct"/>
            <w:tcBorders>
              <w:top w:val="nil"/>
              <w:left w:val="nil"/>
              <w:bottom w:val="single" w:sz="4" w:space="0" w:color="auto"/>
              <w:right w:val="single" w:sz="4" w:space="0" w:color="auto"/>
            </w:tcBorders>
            <w:shd w:val="clear" w:color="auto" w:fill="auto"/>
            <w:vAlign w:val="center"/>
          </w:tcPr>
          <w:p w14:paraId="283A0BD8" w14:textId="77777777" w:rsidR="00E32002" w:rsidRPr="005D05BB" w:rsidRDefault="00E32002" w:rsidP="00575A0A">
            <w:pPr>
              <w:pStyle w:val="TableText0"/>
              <w:jc w:val="center"/>
            </w:pPr>
            <w:r w:rsidRPr="005D05BB">
              <w:t>-$</w:t>
            </w:r>
            <w:r w:rsidR="00D90EE1">
              <w:rPr>
                <w:noProof/>
                <w:color w:val="000000"/>
                <w:highlight w:val="black"/>
              </w:rPr>
              <w:t>''''''''''''''''''''''</w:t>
            </w:r>
            <w:r w:rsidR="00D52474" w:rsidRPr="00C8692E">
              <w:rPr>
                <w:vertAlign w:val="superscript"/>
              </w:rPr>
              <w:t>16</w:t>
            </w:r>
          </w:p>
        </w:tc>
        <w:tc>
          <w:tcPr>
            <w:tcW w:w="612" w:type="pct"/>
            <w:tcBorders>
              <w:top w:val="nil"/>
              <w:left w:val="nil"/>
              <w:bottom w:val="single" w:sz="4" w:space="0" w:color="auto"/>
              <w:right w:val="single" w:sz="4" w:space="0" w:color="auto"/>
            </w:tcBorders>
            <w:shd w:val="clear" w:color="auto" w:fill="auto"/>
            <w:vAlign w:val="center"/>
          </w:tcPr>
          <w:p w14:paraId="55E519EF" w14:textId="77777777" w:rsidR="00E32002" w:rsidRPr="005D05BB" w:rsidRDefault="00E32002" w:rsidP="00575A0A">
            <w:pPr>
              <w:pStyle w:val="TableText0"/>
              <w:jc w:val="center"/>
            </w:pPr>
            <w:r w:rsidRPr="005D05BB">
              <w:t>-$</w:t>
            </w:r>
            <w:r w:rsidR="00CB06BF">
              <w:rPr>
                <w:noProof/>
                <w:color w:val="000000"/>
                <w:highlight w:val="black"/>
              </w:rPr>
              <w:t>''''''''''''''''''''</w:t>
            </w:r>
            <w:r w:rsidR="00D90EE1">
              <w:rPr>
                <w:noProof/>
                <w:color w:val="000000"/>
                <w:highlight w:val="black"/>
              </w:rPr>
              <w:t>''''</w:t>
            </w:r>
            <w:r w:rsidR="00D52474" w:rsidRPr="00C8692E">
              <w:rPr>
                <w:vertAlign w:val="superscript"/>
              </w:rPr>
              <w:t>16</w:t>
            </w:r>
          </w:p>
        </w:tc>
      </w:tr>
      <w:tr w:rsidR="00E32002" w:rsidRPr="005D05BB" w14:paraId="43AE320C" w14:textId="77777777" w:rsidTr="00A33E85">
        <w:trPr>
          <w:trHeight w:val="232"/>
        </w:trPr>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14:paraId="73C127C2" w14:textId="77777777" w:rsidR="00E32002" w:rsidRPr="005D05BB" w:rsidRDefault="00E32002" w:rsidP="00575A0A">
            <w:pPr>
              <w:pStyle w:val="TableText0"/>
            </w:pPr>
            <w:r w:rsidRPr="005D05BB">
              <w:t>Net cost to health budget</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541F38A8"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4CCD768C"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0149B9D2"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046A626B"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c>
          <w:tcPr>
            <w:tcW w:w="589" w:type="pct"/>
            <w:tcBorders>
              <w:top w:val="single" w:sz="4" w:space="0" w:color="auto"/>
              <w:left w:val="nil"/>
              <w:bottom w:val="single" w:sz="4" w:space="0" w:color="auto"/>
              <w:right w:val="single" w:sz="4" w:space="0" w:color="auto"/>
            </w:tcBorders>
            <w:shd w:val="clear" w:color="auto" w:fill="auto"/>
            <w:vAlign w:val="center"/>
          </w:tcPr>
          <w:p w14:paraId="004E4E09"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c>
          <w:tcPr>
            <w:tcW w:w="612" w:type="pct"/>
            <w:tcBorders>
              <w:top w:val="single" w:sz="4" w:space="0" w:color="auto"/>
              <w:left w:val="nil"/>
              <w:bottom w:val="single" w:sz="4" w:space="0" w:color="auto"/>
              <w:right w:val="single" w:sz="4" w:space="0" w:color="auto"/>
            </w:tcBorders>
            <w:shd w:val="clear" w:color="auto" w:fill="auto"/>
            <w:vAlign w:val="center"/>
          </w:tcPr>
          <w:p w14:paraId="57145FDB" w14:textId="77777777" w:rsidR="00E32002" w:rsidRPr="00D90EE1" w:rsidRDefault="00D90EE1" w:rsidP="00575A0A">
            <w:pPr>
              <w:pStyle w:val="TableText0"/>
              <w:jc w:val="center"/>
            </w:pPr>
            <w:r>
              <w:rPr>
                <w:noProof/>
                <w:color w:val="000000"/>
                <w:highlight w:val="black"/>
              </w:rPr>
              <w:t>'''''''''''''''''''''''''</w:t>
            </w:r>
            <w:r w:rsidR="00D52474" w:rsidRPr="00C8692E">
              <w:rPr>
                <w:vertAlign w:val="superscript"/>
              </w:rPr>
              <w:t>16</w:t>
            </w:r>
          </w:p>
        </w:tc>
      </w:tr>
    </w:tbl>
    <w:p w14:paraId="0CC2D2D3" w14:textId="77777777" w:rsidR="00E32002" w:rsidRPr="005D05BB" w:rsidRDefault="00E32002" w:rsidP="00E32002">
      <w:pPr>
        <w:pStyle w:val="TableFigureFooter"/>
      </w:pPr>
      <w:r w:rsidRPr="005D05BB">
        <w:t>Abbreviations: IFX=infliximab; IV=intravenous; SC=subcutaneous;</w:t>
      </w:r>
    </w:p>
    <w:p w14:paraId="291EA1AD" w14:textId="77777777" w:rsidR="00E32002" w:rsidRPr="005D05BB" w:rsidRDefault="00F758F8" w:rsidP="00E32002">
      <w:pPr>
        <w:pStyle w:val="TableFigureFooter"/>
        <w:tabs>
          <w:tab w:val="left" w:pos="142"/>
        </w:tabs>
      </w:pPr>
      <w:r w:rsidRPr="00F758F8">
        <w:rPr>
          <w:vertAlign w:val="superscript"/>
        </w:rPr>
        <w:t>a</w:t>
      </w:r>
      <w:r w:rsidR="00E32002" w:rsidRPr="005D05BB">
        <w:tab/>
        <w:t>Less co-payment</w:t>
      </w:r>
    </w:p>
    <w:p w14:paraId="172D2618" w14:textId="77777777" w:rsidR="00E32002" w:rsidRPr="005D05BB" w:rsidRDefault="00F758F8" w:rsidP="00E32002">
      <w:pPr>
        <w:pStyle w:val="TableFigureFooter"/>
        <w:tabs>
          <w:tab w:val="left" w:pos="142"/>
        </w:tabs>
      </w:pPr>
      <w:r>
        <w:rPr>
          <w:vertAlign w:val="superscript"/>
        </w:rPr>
        <w:t>b</w:t>
      </w:r>
      <w:r w:rsidR="00E32002" w:rsidRPr="005D05BB">
        <w:rPr>
          <w:vertAlign w:val="superscript"/>
        </w:rPr>
        <w:t xml:space="preserve"> </w:t>
      </w:r>
      <w:r w:rsidR="00E32002" w:rsidRPr="005D05BB">
        <w:rPr>
          <w:vertAlign w:val="superscript"/>
        </w:rPr>
        <w:tab/>
      </w:r>
      <w:r w:rsidR="00E32002" w:rsidRPr="005D05BB">
        <w:t>Calculated at 80% rebate level (MBS benefit)</w:t>
      </w:r>
    </w:p>
    <w:p w14:paraId="3A1B1BB2" w14:textId="77777777" w:rsidR="00E32002" w:rsidRDefault="00E32002" w:rsidP="00E32002">
      <w:pPr>
        <w:pStyle w:val="TableFigureFooter"/>
      </w:pPr>
      <w:r w:rsidRPr="005D05BB">
        <w:t xml:space="preserve">Source: Tables 4.8 to 4.11 pp144-147 of the submission and Excel file: IFX SC-Section 4-Base Case. </w:t>
      </w:r>
    </w:p>
    <w:p w14:paraId="3D023F40" w14:textId="77777777" w:rsidR="002506F7" w:rsidRPr="009868C4" w:rsidRDefault="002506F7" w:rsidP="002506F7">
      <w:pPr>
        <w:pStyle w:val="TableFigureFooter"/>
        <w:spacing w:after="0"/>
        <w:contextualSpacing w:val="0"/>
      </w:pPr>
      <w:r w:rsidRPr="009868C4">
        <w:rPr>
          <w:i/>
        </w:rPr>
        <w:t>The redacted values correspond to the following ranges</w:t>
      </w:r>
      <w:r>
        <w:rPr>
          <w:i/>
        </w:rPr>
        <w:t xml:space="preserve">: </w:t>
      </w:r>
    </w:p>
    <w:p w14:paraId="1A414DF3" w14:textId="77777777" w:rsidR="002506F7" w:rsidRPr="002506F7" w:rsidRDefault="002506F7" w:rsidP="002506F7">
      <w:pPr>
        <w:pStyle w:val="TableFigureFooter"/>
        <w:rPr>
          <w:i/>
        </w:rPr>
      </w:pPr>
      <w:r>
        <w:rPr>
          <w:i/>
          <w:vertAlign w:val="superscript"/>
        </w:rPr>
        <w:t xml:space="preserve">1 </w:t>
      </w:r>
      <w:r w:rsidRPr="002506F7">
        <w:rPr>
          <w:i/>
        </w:rPr>
        <w:t>60,000 to &lt; 70,000</w:t>
      </w:r>
    </w:p>
    <w:p w14:paraId="565812A2" w14:textId="77777777" w:rsidR="002506F7" w:rsidRDefault="002506F7" w:rsidP="002506F7">
      <w:pPr>
        <w:pStyle w:val="TableFigureFooter"/>
        <w:rPr>
          <w:i/>
        </w:rPr>
      </w:pPr>
      <w:r>
        <w:rPr>
          <w:i/>
          <w:vertAlign w:val="superscript"/>
        </w:rPr>
        <w:t xml:space="preserve">2 </w:t>
      </w:r>
      <w:r w:rsidRPr="002506F7">
        <w:rPr>
          <w:i/>
        </w:rPr>
        <w:t>70,000 to &lt; 80,000</w:t>
      </w:r>
    </w:p>
    <w:p w14:paraId="0BCFA2E7" w14:textId="77777777" w:rsidR="002506F7" w:rsidRPr="002506F7" w:rsidRDefault="002506F7" w:rsidP="002506F7">
      <w:pPr>
        <w:pStyle w:val="TableFigureFooter"/>
        <w:rPr>
          <w:i/>
        </w:rPr>
      </w:pPr>
      <w:r>
        <w:rPr>
          <w:i/>
          <w:vertAlign w:val="superscript"/>
        </w:rPr>
        <w:t>3</w:t>
      </w:r>
      <w:r>
        <w:rPr>
          <w:i/>
        </w:rPr>
        <w:t xml:space="preserve"> </w:t>
      </w:r>
      <w:r w:rsidRPr="002506F7">
        <w:rPr>
          <w:i/>
        </w:rPr>
        <w:t>20,000 to &lt; 30,000</w:t>
      </w:r>
    </w:p>
    <w:p w14:paraId="37A9276C" w14:textId="77777777" w:rsidR="002506F7" w:rsidRPr="002506F7" w:rsidRDefault="002506F7" w:rsidP="002506F7">
      <w:pPr>
        <w:pStyle w:val="TableFigureFooter"/>
        <w:rPr>
          <w:i/>
        </w:rPr>
      </w:pPr>
      <w:r>
        <w:rPr>
          <w:i/>
          <w:vertAlign w:val="superscript"/>
        </w:rPr>
        <w:t xml:space="preserve">4 </w:t>
      </w:r>
      <w:r w:rsidRPr="002506F7">
        <w:rPr>
          <w:i/>
        </w:rPr>
        <w:t>30,000 to &lt; 40,000</w:t>
      </w:r>
    </w:p>
    <w:p w14:paraId="6F5A3A37" w14:textId="77777777" w:rsidR="002506F7" w:rsidRPr="002506F7" w:rsidRDefault="002506F7" w:rsidP="002506F7">
      <w:pPr>
        <w:pStyle w:val="TableFigureFooter"/>
        <w:rPr>
          <w:i/>
        </w:rPr>
      </w:pPr>
      <w:r>
        <w:rPr>
          <w:i/>
          <w:vertAlign w:val="superscript"/>
        </w:rPr>
        <w:t xml:space="preserve">5 </w:t>
      </w:r>
      <w:r w:rsidRPr="002506F7">
        <w:rPr>
          <w:i/>
        </w:rPr>
        <w:t>40,000 to &lt; 50,000</w:t>
      </w:r>
    </w:p>
    <w:p w14:paraId="737843F7" w14:textId="77777777" w:rsidR="002506F7" w:rsidRDefault="002506F7" w:rsidP="002506F7">
      <w:pPr>
        <w:pStyle w:val="TableFigureFooter"/>
        <w:rPr>
          <w:i/>
        </w:rPr>
      </w:pPr>
      <w:r>
        <w:rPr>
          <w:i/>
          <w:vertAlign w:val="superscript"/>
        </w:rPr>
        <w:t xml:space="preserve">6 </w:t>
      </w:r>
      <w:r w:rsidRPr="002506F7">
        <w:rPr>
          <w:i/>
        </w:rPr>
        <w:t>50,000 to &lt; 60,000</w:t>
      </w:r>
    </w:p>
    <w:p w14:paraId="67D461D3" w14:textId="77777777" w:rsidR="002506F7" w:rsidRDefault="002506F7" w:rsidP="002506F7">
      <w:pPr>
        <w:pStyle w:val="TableFigureFooter"/>
        <w:rPr>
          <w:i/>
        </w:rPr>
      </w:pPr>
      <w:r>
        <w:rPr>
          <w:i/>
          <w:vertAlign w:val="superscript"/>
        </w:rPr>
        <w:t>7</w:t>
      </w:r>
      <w:r>
        <w:rPr>
          <w:i/>
        </w:rPr>
        <w:t xml:space="preserve"> </w:t>
      </w:r>
      <w:r w:rsidRPr="002506F7">
        <w:rPr>
          <w:i/>
        </w:rPr>
        <w:t>10,000 to &lt; 20,000</w:t>
      </w:r>
    </w:p>
    <w:p w14:paraId="59B9C8AC" w14:textId="77777777" w:rsidR="002506F7" w:rsidRDefault="002506F7" w:rsidP="002506F7">
      <w:pPr>
        <w:pStyle w:val="TableFigureFooter"/>
        <w:rPr>
          <w:i/>
        </w:rPr>
      </w:pPr>
      <w:r w:rsidRPr="002506F7">
        <w:rPr>
          <w:i/>
          <w:vertAlign w:val="superscript"/>
        </w:rPr>
        <w:t>8</w:t>
      </w:r>
      <w:r>
        <w:rPr>
          <w:i/>
        </w:rPr>
        <w:t xml:space="preserve"> </w:t>
      </w:r>
      <w:r w:rsidRPr="002506F7">
        <w:rPr>
          <w:i/>
        </w:rPr>
        <w:t>500 to &lt; 5,000</w:t>
      </w:r>
    </w:p>
    <w:p w14:paraId="47545356" w14:textId="77777777" w:rsidR="002506F7" w:rsidRPr="002506F7" w:rsidRDefault="002506F7" w:rsidP="002506F7">
      <w:pPr>
        <w:pStyle w:val="TableFigureFooter"/>
        <w:rPr>
          <w:i/>
        </w:rPr>
      </w:pPr>
      <w:r>
        <w:rPr>
          <w:i/>
          <w:vertAlign w:val="superscript"/>
        </w:rPr>
        <w:t>9</w:t>
      </w:r>
      <w:r>
        <w:rPr>
          <w:i/>
        </w:rPr>
        <w:t xml:space="preserve"> </w:t>
      </w:r>
      <w:r w:rsidRPr="002506F7">
        <w:rPr>
          <w:i/>
        </w:rPr>
        <w:t>5,000 to &lt; 10,000</w:t>
      </w:r>
    </w:p>
    <w:p w14:paraId="090DF6D1" w14:textId="77777777" w:rsidR="002506F7" w:rsidRPr="002506F7" w:rsidRDefault="002506F7" w:rsidP="002506F7">
      <w:pPr>
        <w:pStyle w:val="TableFigureFooter"/>
        <w:rPr>
          <w:i/>
        </w:rPr>
      </w:pPr>
      <w:r>
        <w:rPr>
          <w:i/>
          <w:vertAlign w:val="superscript"/>
        </w:rPr>
        <w:t>10</w:t>
      </w:r>
      <w:r>
        <w:rPr>
          <w:i/>
        </w:rPr>
        <w:t xml:space="preserve"> </w:t>
      </w:r>
      <w:r w:rsidRPr="002506F7">
        <w:rPr>
          <w:i/>
        </w:rPr>
        <w:t>$10 million to &lt; $20 million</w:t>
      </w:r>
    </w:p>
    <w:p w14:paraId="77C26AF7" w14:textId="77777777" w:rsidR="002506F7" w:rsidRPr="002506F7" w:rsidRDefault="002506F7" w:rsidP="002506F7">
      <w:pPr>
        <w:pStyle w:val="TableFigureFooter"/>
        <w:rPr>
          <w:i/>
        </w:rPr>
      </w:pPr>
      <w:r>
        <w:rPr>
          <w:i/>
          <w:vertAlign w:val="superscript"/>
        </w:rPr>
        <w:t xml:space="preserve">11 </w:t>
      </w:r>
      <w:r w:rsidRPr="002506F7">
        <w:rPr>
          <w:i/>
        </w:rPr>
        <w:t>$20 million to &lt; $30 million</w:t>
      </w:r>
    </w:p>
    <w:p w14:paraId="788E8B06" w14:textId="77777777" w:rsidR="002506F7" w:rsidRPr="002506F7" w:rsidRDefault="002506F7" w:rsidP="002506F7">
      <w:pPr>
        <w:pStyle w:val="TableFigureFooter"/>
        <w:rPr>
          <w:i/>
        </w:rPr>
      </w:pPr>
      <w:r>
        <w:rPr>
          <w:i/>
          <w:vertAlign w:val="superscript"/>
        </w:rPr>
        <w:t xml:space="preserve">12 </w:t>
      </w:r>
      <w:r w:rsidRPr="002506F7">
        <w:rPr>
          <w:i/>
        </w:rPr>
        <w:t>$30 million to &lt; $40 million</w:t>
      </w:r>
    </w:p>
    <w:p w14:paraId="0F786AC8" w14:textId="77777777" w:rsidR="002506F7" w:rsidRPr="002506F7" w:rsidRDefault="002506F7" w:rsidP="002506F7">
      <w:pPr>
        <w:pStyle w:val="TableFigureFooter"/>
        <w:rPr>
          <w:i/>
        </w:rPr>
      </w:pPr>
      <w:r>
        <w:rPr>
          <w:i/>
          <w:vertAlign w:val="superscript"/>
        </w:rPr>
        <w:t xml:space="preserve">13 </w:t>
      </w:r>
      <w:r w:rsidRPr="002506F7">
        <w:rPr>
          <w:i/>
        </w:rPr>
        <w:t>$40 million to &lt; $50 million</w:t>
      </w:r>
    </w:p>
    <w:p w14:paraId="19A5290A" w14:textId="77777777" w:rsidR="002506F7" w:rsidRPr="002506F7" w:rsidRDefault="002506F7" w:rsidP="002506F7">
      <w:pPr>
        <w:pStyle w:val="TableFigureFooter"/>
        <w:rPr>
          <w:i/>
        </w:rPr>
      </w:pPr>
      <w:r>
        <w:rPr>
          <w:i/>
          <w:vertAlign w:val="superscript"/>
        </w:rPr>
        <w:t xml:space="preserve">14 </w:t>
      </w:r>
      <w:r w:rsidRPr="002506F7">
        <w:rPr>
          <w:i/>
        </w:rPr>
        <w:t>$50 million to &lt; $60 million</w:t>
      </w:r>
    </w:p>
    <w:p w14:paraId="702428D1" w14:textId="77777777" w:rsidR="002506F7" w:rsidRDefault="002506F7" w:rsidP="002506F7">
      <w:pPr>
        <w:pStyle w:val="TableFigureFooter"/>
        <w:rPr>
          <w:i/>
        </w:rPr>
      </w:pPr>
      <w:r>
        <w:rPr>
          <w:i/>
          <w:vertAlign w:val="superscript"/>
        </w:rPr>
        <w:t xml:space="preserve">15 </w:t>
      </w:r>
      <w:r w:rsidRPr="002506F7">
        <w:rPr>
          <w:i/>
        </w:rPr>
        <w:t>$60 million to &lt; $70 million</w:t>
      </w:r>
    </w:p>
    <w:p w14:paraId="363EBF01" w14:textId="77777777" w:rsidR="00C8692E" w:rsidRPr="00C8692E" w:rsidRDefault="00C8692E" w:rsidP="002506F7">
      <w:pPr>
        <w:pStyle w:val="TableFigureFooter"/>
        <w:rPr>
          <w:i/>
        </w:rPr>
      </w:pPr>
      <w:r>
        <w:rPr>
          <w:i/>
          <w:vertAlign w:val="superscript"/>
        </w:rPr>
        <w:t>16</w:t>
      </w:r>
      <w:r>
        <w:rPr>
          <w:i/>
        </w:rPr>
        <w:t xml:space="preserve"> </w:t>
      </w:r>
      <w:r w:rsidRPr="00C8692E">
        <w:rPr>
          <w:i/>
        </w:rPr>
        <w:t>$0 to &lt; $10 million</w:t>
      </w:r>
    </w:p>
    <w:p w14:paraId="2032648E" w14:textId="77777777" w:rsidR="009823B0" w:rsidRPr="005D05BB" w:rsidRDefault="00E32002" w:rsidP="00BB7FA0">
      <w:pPr>
        <w:pStyle w:val="3-BodyText"/>
      </w:pPr>
      <w:r w:rsidRPr="005D05BB">
        <w:t xml:space="preserve">The estimated net financial cost of approximately </w:t>
      </w:r>
      <w:r w:rsidR="00BB7FA0" w:rsidRPr="00BB7FA0">
        <w:t>$40 million to &lt; $50 million</w:t>
      </w:r>
      <w:r w:rsidRPr="005D05BB">
        <w:t xml:space="preserve"> to the health budget over the first 6 years of listing was not reliable and driven by: i) script relativity (slightly higher than implied in Section 3) and; ii) the requested DPMQ for IFX SC which included a price premium for patient time costs.</w:t>
      </w:r>
    </w:p>
    <w:p w14:paraId="4848513C" w14:textId="77777777" w:rsidR="00E32002" w:rsidRPr="005D05BB" w:rsidRDefault="00E74443" w:rsidP="00765B6D">
      <w:pPr>
        <w:pStyle w:val="3-BodyText"/>
      </w:pPr>
      <w:r w:rsidRPr="005D05BB">
        <w:rPr>
          <w:iCs/>
        </w:rPr>
        <w:t>The PBAC considered that t</w:t>
      </w:r>
      <w:r w:rsidR="00F85B30" w:rsidRPr="005D05BB">
        <w:rPr>
          <w:iCs/>
        </w:rPr>
        <w:t>he requested AEMP for IFX SC</w:t>
      </w:r>
      <w:r w:rsidRPr="005D05BB">
        <w:rPr>
          <w:iCs/>
        </w:rPr>
        <w:t xml:space="preserve"> is</w:t>
      </w:r>
      <w:r w:rsidR="00F85B30" w:rsidRPr="005D05BB">
        <w:rPr>
          <w:iCs/>
        </w:rPr>
        <w:t xml:space="preserve"> higher than justified (paragraph 6.</w:t>
      </w:r>
      <w:r w:rsidRPr="005D05BB">
        <w:rPr>
          <w:iCs/>
        </w:rPr>
        <w:t>34</w:t>
      </w:r>
      <w:r w:rsidR="00F85B30" w:rsidRPr="005D05BB">
        <w:rPr>
          <w:iCs/>
        </w:rPr>
        <w:t>), resulting in an increase in the financial estimates</w:t>
      </w:r>
      <w:r w:rsidR="005D05BB">
        <w:rPr>
          <w:iCs/>
        </w:rPr>
        <w:t xml:space="preserve">. </w:t>
      </w:r>
      <w:r w:rsidR="00D510A8" w:rsidRPr="005D05BB">
        <w:t>At th</w:t>
      </w:r>
      <w:r w:rsidRPr="005D05BB">
        <w:t>e requested</w:t>
      </w:r>
      <w:r w:rsidR="00D510A8" w:rsidRPr="005D05BB">
        <w:t xml:space="preserve"> price however</w:t>
      </w:r>
      <w:r w:rsidR="00E32002" w:rsidRPr="005D05BB">
        <w:t xml:space="preserve">, </w:t>
      </w:r>
      <w:r w:rsidRPr="005D05BB">
        <w:t xml:space="preserve">specific factors have contributed to </w:t>
      </w:r>
      <w:r w:rsidR="00E32002" w:rsidRPr="005D05BB">
        <w:t>an underestimate</w:t>
      </w:r>
      <w:r w:rsidRPr="005D05BB">
        <w:t xml:space="preserve"> of the financial impact</w:t>
      </w:r>
      <w:r w:rsidR="00E32002" w:rsidRPr="005D05BB">
        <w:t>, given:</w:t>
      </w:r>
    </w:p>
    <w:p w14:paraId="196146BD" w14:textId="77777777" w:rsidR="00E32002" w:rsidRPr="005D05BB" w:rsidRDefault="00E32002" w:rsidP="00D432E3">
      <w:pPr>
        <w:pStyle w:val="ListParagraph"/>
        <w:numPr>
          <w:ilvl w:val="0"/>
          <w:numId w:val="8"/>
        </w:numPr>
        <w:tabs>
          <w:tab w:val="num" w:pos="720"/>
        </w:tabs>
        <w:ind w:left="1080"/>
        <w:rPr>
          <w:iCs/>
        </w:rPr>
      </w:pPr>
      <w:r w:rsidRPr="005D05BB">
        <w:rPr>
          <w:iCs/>
        </w:rPr>
        <w:lastRenderedPageBreak/>
        <w:t>The analysis assumed a considerable decline in background market growth despite current trends suggesting average growth of 11% (8.7% in 2018 and 13% in 2019)</w:t>
      </w:r>
      <w:r w:rsidR="009823B0" w:rsidRPr="005D05BB">
        <w:rPr>
          <w:iCs/>
        </w:rPr>
        <w:t>;</w:t>
      </w:r>
    </w:p>
    <w:p w14:paraId="43E36F44" w14:textId="77777777" w:rsidR="00E32002" w:rsidRPr="005D05BB" w:rsidRDefault="00E32002" w:rsidP="00D432E3">
      <w:pPr>
        <w:pStyle w:val="ListParagraph"/>
        <w:numPr>
          <w:ilvl w:val="0"/>
          <w:numId w:val="8"/>
        </w:numPr>
        <w:tabs>
          <w:tab w:val="num" w:pos="720"/>
        </w:tabs>
        <w:ind w:left="1080"/>
        <w:rPr>
          <w:iCs/>
        </w:rPr>
      </w:pPr>
      <w:r w:rsidRPr="005D05BB">
        <w:rPr>
          <w:iCs/>
        </w:rPr>
        <w:t>The analysis assumed relatively moderate market uptake particularly in the initial years and for initial therapy</w:t>
      </w:r>
      <w:r w:rsidR="009823B0" w:rsidRPr="005D05BB">
        <w:rPr>
          <w:iCs/>
        </w:rPr>
        <w:t>;</w:t>
      </w:r>
    </w:p>
    <w:p w14:paraId="07305CCC" w14:textId="77777777" w:rsidR="009B0B58" w:rsidRPr="00F95372" w:rsidRDefault="00E32002" w:rsidP="00F95372">
      <w:pPr>
        <w:pStyle w:val="ListParagraph"/>
        <w:numPr>
          <w:ilvl w:val="0"/>
          <w:numId w:val="8"/>
        </w:numPr>
        <w:tabs>
          <w:tab w:val="num" w:pos="720"/>
        </w:tabs>
        <w:ind w:left="1080"/>
        <w:rPr>
          <w:iCs/>
        </w:rPr>
      </w:pPr>
      <w:r w:rsidRPr="005D05BB">
        <w:rPr>
          <w:iCs/>
        </w:rPr>
        <w:t>The script relativity</w:t>
      </w:r>
      <w:r w:rsidR="004506AB" w:rsidRPr="005D05BB">
        <w:rPr>
          <w:iCs/>
        </w:rPr>
        <w:t xml:space="preserve"> (1.93)</w:t>
      </w:r>
      <w:r w:rsidRPr="005D05BB">
        <w:rPr>
          <w:iCs/>
        </w:rPr>
        <w:t xml:space="preserve"> assumed underestimated displacement of initial scripts particularly for CD, RFCD and UC (where 3 scripts of IFX SC will replace 1 script of IFX IV)</w:t>
      </w:r>
      <w:r w:rsidR="005D05BB">
        <w:rPr>
          <w:iCs/>
        </w:rPr>
        <w:t xml:space="preserve">. </w:t>
      </w:r>
      <w:r w:rsidR="00593409" w:rsidRPr="005D05BB">
        <w:t>The script relativity</w:t>
      </w:r>
      <w:r w:rsidR="004E70E8" w:rsidRPr="005D05BB">
        <w:t xml:space="preserve"> assumed</w:t>
      </w:r>
      <w:r w:rsidR="00593409" w:rsidRPr="005D05BB">
        <w:t xml:space="preserve"> (1.93)</w:t>
      </w:r>
      <w:r w:rsidR="004E70E8" w:rsidRPr="005D05BB">
        <w:t xml:space="preserve"> underestimated displacement of initial scripts. </w:t>
      </w:r>
      <w:r w:rsidR="004E70E8" w:rsidRPr="005D05BB">
        <w:rPr>
          <w:iCs/>
        </w:rPr>
        <w:t>The Sponsor argued in the PSCR that the initiation script ratio IFX SC:IV is 5:4 = 1.25. The calculation should be for CRFCD, MSUC, and severe CD: 3 SC scripts will replace 1.5 IV scripts (ratio=2); and for RA, CPP and PsA: 4 SC scripts will replace 2 IV scripts (ratio=2). The PSCR is incorrect because the Sponsor has omitted SC doses at Weeks 16 and 20 in the example for RA they provided.</w:t>
      </w:r>
      <w:r w:rsidR="007219C8" w:rsidRPr="005D05BB">
        <w:rPr>
          <w:iCs/>
        </w:rPr>
        <w:t xml:space="preserve"> T</w:t>
      </w:r>
      <w:r w:rsidR="004E70E8" w:rsidRPr="005D05BB">
        <w:rPr>
          <w:iCs/>
        </w:rPr>
        <w:t>he script relativity</w:t>
      </w:r>
      <w:r w:rsidR="007219C8" w:rsidRPr="005D05BB">
        <w:rPr>
          <w:iCs/>
        </w:rPr>
        <w:t xml:space="preserve"> for initial scripts (2)</w:t>
      </w:r>
      <w:r w:rsidR="004E70E8" w:rsidRPr="005D05BB">
        <w:rPr>
          <w:iCs/>
        </w:rPr>
        <w:t xml:space="preserve"> is</w:t>
      </w:r>
      <w:r w:rsidR="007219C8" w:rsidRPr="005D05BB">
        <w:rPr>
          <w:iCs/>
        </w:rPr>
        <w:t xml:space="preserve"> only</w:t>
      </w:r>
      <w:r w:rsidR="004E70E8" w:rsidRPr="005D05BB">
        <w:rPr>
          <w:iCs/>
        </w:rPr>
        <w:t xml:space="preserve"> slightly higher than the value</w:t>
      </w:r>
      <w:r w:rsidR="007219C8" w:rsidRPr="005D05BB">
        <w:rPr>
          <w:iCs/>
        </w:rPr>
        <w:t xml:space="preserve"> used in the submission (1.93).</w:t>
      </w:r>
    </w:p>
    <w:p w14:paraId="6564B076" w14:textId="77777777" w:rsidR="009823B0" w:rsidRPr="005D05BB" w:rsidRDefault="009823B0" w:rsidP="009823B0">
      <w:pPr>
        <w:pStyle w:val="4-SubsectionHeading"/>
      </w:pPr>
      <w:bookmarkStart w:id="36" w:name="_Toc22897648"/>
      <w:bookmarkStart w:id="37" w:name="_Toc50709851"/>
      <w:r w:rsidRPr="005D05BB">
        <w:t>Quality Use of Medicines</w:t>
      </w:r>
      <w:bookmarkEnd w:id="36"/>
      <w:bookmarkEnd w:id="37"/>
    </w:p>
    <w:p w14:paraId="62D27B1A" w14:textId="77777777" w:rsidR="00E32002" w:rsidRPr="005D05BB" w:rsidRDefault="00E32002" w:rsidP="00E63590">
      <w:pPr>
        <w:pStyle w:val="3-BodyText"/>
        <w:rPr>
          <w:rFonts w:eastAsiaTheme="majorEastAsia" w:cstheme="majorBidi"/>
          <w:b/>
          <w:snapToGrid/>
          <w:spacing w:val="5"/>
          <w:kern w:val="28"/>
          <w:sz w:val="28"/>
          <w:szCs w:val="36"/>
        </w:rPr>
      </w:pPr>
      <w:r w:rsidRPr="005D05BB">
        <w:t>Quality Use of Medicine activities presented in the submission included educational sessions for health professionals and support programs for patients, nurse and pharmacists, which were reasonable.</w:t>
      </w:r>
    </w:p>
    <w:p w14:paraId="3FC9854A" w14:textId="77777777" w:rsidR="00A6612C" w:rsidRPr="005D05BB" w:rsidRDefault="00A6612C" w:rsidP="00662CB1">
      <w:pPr>
        <w:tabs>
          <w:tab w:val="left" w:pos="2520"/>
        </w:tabs>
        <w:autoSpaceDE w:val="0"/>
        <w:autoSpaceDN w:val="0"/>
        <w:adjustRightInd w:val="0"/>
        <w:ind w:left="720"/>
        <w:jc w:val="left"/>
        <w:rPr>
          <w:rFonts w:asciiTheme="minorHAnsi" w:hAnsiTheme="minorHAnsi"/>
          <w:i/>
        </w:rPr>
      </w:pPr>
      <w:r w:rsidRPr="005D05BB">
        <w:rPr>
          <w:rFonts w:asciiTheme="minorHAnsi" w:hAnsiTheme="minorHAnsi"/>
          <w:i/>
        </w:rPr>
        <w:t>For more detail on PBAC’s view, see section 7 PBAC outcome.</w:t>
      </w:r>
    </w:p>
    <w:p w14:paraId="310B307D" w14:textId="77777777" w:rsidR="00D432E3" w:rsidRPr="005D05BB" w:rsidRDefault="00D432E3" w:rsidP="00D432E3">
      <w:pPr>
        <w:pStyle w:val="2-SectionHeading"/>
      </w:pPr>
      <w:r w:rsidRPr="005D05BB">
        <w:t>PBAC Outcome</w:t>
      </w:r>
    </w:p>
    <w:p w14:paraId="155005A0" w14:textId="77777777" w:rsidR="00381395" w:rsidRPr="005D05BB" w:rsidRDefault="00A90523" w:rsidP="00A90523">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 xml:space="preserve">The PBAC recommended the listing of </w:t>
      </w:r>
      <w:r w:rsidR="00381395" w:rsidRPr="005D05BB">
        <w:rPr>
          <w:rFonts w:asciiTheme="minorHAnsi" w:hAnsiTheme="minorHAnsi"/>
          <w:bCs/>
          <w:snapToGrid w:val="0"/>
        </w:rPr>
        <w:t>infliximab</w:t>
      </w:r>
      <w:r w:rsidRPr="005D05BB">
        <w:rPr>
          <w:rFonts w:asciiTheme="minorHAnsi" w:hAnsiTheme="minorHAnsi"/>
          <w:bCs/>
          <w:snapToGrid w:val="0"/>
        </w:rPr>
        <w:t xml:space="preserve"> (</w:t>
      </w:r>
      <w:r w:rsidR="00381395" w:rsidRPr="005D05BB">
        <w:rPr>
          <w:rFonts w:asciiTheme="minorHAnsi" w:hAnsiTheme="minorHAnsi"/>
          <w:bCs/>
          <w:snapToGrid w:val="0"/>
        </w:rPr>
        <w:t>IFX</w:t>
      </w:r>
      <w:r w:rsidRPr="005D05BB">
        <w:rPr>
          <w:rFonts w:asciiTheme="minorHAnsi" w:hAnsiTheme="minorHAnsi"/>
          <w:bCs/>
          <w:snapToGrid w:val="0"/>
        </w:rPr>
        <w:t>) subcutaneous (SC) on the General Schedule (Section 85), for the treatment of</w:t>
      </w:r>
      <w:r w:rsidR="00381395" w:rsidRPr="005D05BB">
        <w:rPr>
          <w:rFonts w:asciiTheme="minorHAnsi" w:hAnsiTheme="minorHAnsi"/>
          <w:bCs/>
          <w:snapToGrid w:val="0"/>
        </w:rPr>
        <w:t xml:space="preserve"> </w:t>
      </w:r>
      <w:r w:rsidR="00381395" w:rsidRPr="005D05BB">
        <w:t>severe active rheumatoid arthritis</w:t>
      </w:r>
      <w:r w:rsidR="00381395" w:rsidRPr="005D05BB">
        <w:rPr>
          <w:rFonts w:asciiTheme="minorHAnsi" w:hAnsiTheme="minorHAnsi"/>
          <w:bCs/>
          <w:snapToGrid w:val="0"/>
        </w:rPr>
        <w:t xml:space="preserve"> (RA), </w:t>
      </w:r>
      <w:r w:rsidR="00381395" w:rsidRPr="005D05BB">
        <w:t>moderate to severe ulcerative colitis (</w:t>
      </w:r>
      <w:r w:rsidR="00381395" w:rsidRPr="005D05BB">
        <w:rPr>
          <w:rFonts w:asciiTheme="minorHAnsi" w:hAnsiTheme="minorHAnsi"/>
          <w:bCs/>
          <w:snapToGrid w:val="0"/>
        </w:rPr>
        <w:t xml:space="preserve">UC) and </w:t>
      </w:r>
      <w:r w:rsidR="00381395" w:rsidRPr="005D05BB">
        <w:t>severe refractory Crohn’s disease</w:t>
      </w:r>
      <w:r w:rsidR="00381395" w:rsidRPr="005D05BB">
        <w:rPr>
          <w:rFonts w:asciiTheme="minorHAnsi" w:hAnsiTheme="minorHAnsi"/>
          <w:bCs/>
          <w:snapToGrid w:val="0"/>
        </w:rPr>
        <w:t xml:space="preserve"> (CD)</w:t>
      </w:r>
      <w:r w:rsidRPr="005D05BB">
        <w:rPr>
          <w:rFonts w:asciiTheme="minorHAnsi" w:hAnsiTheme="minorHAnsi"/>
          <w:bCs/>
          <w:snapToGrid w:val="0"/>
        </w:rPr>
        <w:t xml:space="preserve"> on a cost minimisation basis to </w:t>
      </w:r>
      <w:r w:rsidR="00381395" w:rsidRPr="005D05BB">
        <w:rPr>
          <w:rFonts w:asciiTheme="minorHAnsi" w:hAnsiTheme="minorHAnsi"/>
          <w:bCs/>
          <w:snapToGrid w:val="0"/>
        </w:rPr>
        <w:t>IFX</w:t>
      </w:r>
      <w:r w:rsidRPr="005D05BB">
        <w:rPr>
          <w:rFonts w:asciiTheme="minorHAnsi" w:hAnsiTheme="minorHAnsi"/>
          <w:bCs/>
          <w:snapToGrid w:val="0"/>
        </w:rPr>
        <w:t xml:space="preserve"> intravenous (IV)</w:t>
      </w:r>
      <w:r w:rsidR="005D05BB">
        <w:rPr>
          <w:rFonts w:asciiTheme="minorHAnsi" w:hAnsiTheme="minorHAnsi"/>
          <w:bCs/>
          <w:snapToGrid w:val="0"/>
        </w:rPr>
        <w:t xml:space="preserve">. </w:t>
      </w:r>
      <w:r w:rsidRPr="005D05BB">
        <w:rPr>
          <w:rFonts w:asciiTheme="minorHAnsi" w:hAnsiTheme="minorHAnsi"/>
          <w:bCs/>
        </w:rPr>
        <w:t xml:space="preserve">The PBAC’s recommendation for listing was based on, among other matters, </w:t>
      </w:r>
      <w:r w:rsidRPr="005D05BB">
        <w:t xml:space="preserve">its assessment that the cost-effectiveness of </w:t>
      </w:r>
      <w:r w:rsidR="00381395" w:rsidRPr="005D05BB">
        <w:t>IFX</w:t>
      </w:r>
      <w:r w:rsidRPr="005D05BB">
        <w:t xml:space="preserve"> SC would be acceptable if it were cost-minimised against </w:t>
      </w:r>
      <w:r w:rsidR="00381395" w:rsidRPr="005D05BB">
        <w:t>IFX</w:t>
      </w:r>
      <w:r w:rsidRPr="005D05BB">
        <w:t xml:space="preserve"> IV.</w:t>
      </w:r>
    </w:p>
    <w:p w14:paraId="39F49947" w14:textId="77777777" w:rsidR="00A90523" w:rsidRPr="005D05BB" w:rsidRDefault="00A90523" w:rsidP="00102CFE">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 xml:space="preserve">The PBAC advised that the listing of </w:t>
      </w:r>
      <w:r w:rsidR="00381395" w:rsidRPr="005D05BB">
        <w:rPr>
          <w:rFonts w:asciiTheme="minorHAnsi" w:hAnsiTheme="minorHAnsi"/>
          <w:bCs/>
          <w:snapToGrid w:val="0"/>
        </w:rPr>
        <w:t>IFX</w:t>
      </w:r>
      <w:r w:rsidRPr="005D05BB">
        <w:rPr>
          <w:rFonts w:asciiTheme="minorHAnsi" w:hAnsiTheme="minorHAnsi"/>
          <w:bCs/>
          <w:snapToGrid w:val="0"/>
        </w:rPr>
        <w:t xml:space="preserve"> SC</w:t>
      </w:r>
      <w:r w:rsidR="00381395" w:rsidRPr="005D05BB">
        <w:rPr>
          <w:rFonts w:asciiTheme="minorHAnsi" w:hAnsiTheme="minorHAnsi"/>
          <w:bCs/>
          <w:snapToGrid w:val="0"/>
        </w:rPr>
        <w:t xml:space="preserve"> in RA, UC and CD</w:t>
      </w:r>
      <w:r w:rsidRPr="005D05BB">
        <w:rPr>
          <w:rFonts w:asciiTheme="minorHAnsi" w:hAnsiTheme="minorHAnsi"/>
          <w:bCs/>
          <w:snapToGrid w:val="0"/>
        </w:rPr>
        <w:t xml:space="preserve"> should be based on the equi-effective dose of </w:t>
      </w:r>
      <w:r w:rsidR="00381395" w:rsidRPr="005D05BB">
        <w:rPr>
          <w:rFonts w:asciiTheme="minorHAnsi" w:hAnsiTheme="minorHAnsi"/>
          <w:bCs/>
          <w:snapToGrid w:val="0"/>
        </w:rPr>
        <w:t>IFX</w:t>
      </w:r>
      <w:r w:rsidRPr="005D05BB">
        <w:rPr>
          <w:rFonts w:asciiTheme="minorHAnsi" w:hAnsiTheme="minorHAnsi"/>
          <w:bCs/>
          <w:snapToGrid w:val="0"/>
        </w:rPr>
        <w:t xml:space="preserve"> SC </w:t>
      </w:r>
      <w:r w:rsidR="00102CFE" w:rsidRPr="005D05BB">
        <w:rPr>
          <w:rFonts w:asciiTheme="minorHAnsi" w:hAnsiTheme="minorHAnsi"/>
          <w:bCs/>
          <w:snapToGrid w:val="0"/>
        </w:rPr>
        <w:t>120</w:t>
      </w:r>
      <w:r w:rsidRPr="005D05BB">
        <w:rPr>
          <w:rFonts w:asciiTheme="minorHAnsi" w:hAnsiTheme="minorHAnsi"/>
          <w:bCs/>
          <w:snapToGrid w:val="0"/>
        </w:rPr>
        <w:t xml:space="preserve"> mg Q2W and </w:t>
      </w:r>
      <w:r w:rsidR="00102CFE" w:rsidRPr="005D05BB">
        <w:rPr>
          <w:rFonts w:asciiTheme="minorHAnsi" w:hAnsiTheme="minorHAnsi"/>
          <w:bCs/>
          <w:snapToGrid w:val="0"/>
        </w:rPr>
        <w:t xml:space="preserve">(i) </w:t>
      </w:r>
      <w:r w:rsidR="00381395" w:rsidRPr="005D05BB">
        <w:rPr>
          <w:rFonts w:asciiTheme="minorHAnsi" w:hAnsiTheme="minorHAnsi"/>
          <w:bCs/>
          <w:snapToGrid w:val="0"/>
        </w:rPr>
        <w:t>IFX</w:t>
      </w:r>
      <w:r w:rsidRPr="005D05BB">
        <w:rPr>
          <w:rFonts w:asciiTheme="minorHAnsi" w:hAnsiTheme="minorHAnsi"/>
          <w:bCs/>
          <w:snapToGrid w:val="0"/>
        </w:rPr>
        <w:t xml:space="preserve"> IV </w:t>
      </w:r>
      <w:r w:rsidR="00102CFE" w:rsidRPr="005D05BB">
        <w:rPr>
          <w:rFonts w:asciiTheme="minorHAnsi" w:hAnsiTheme="minorHAnsi"/>
          <w:bCs/>
          <w:snapToGrid w:val="0"/>
        </w:rPr>
        <w:t>3 mg/kg</w:t>
      </w:r>
      <w:r w:rsidRPr="005D05BB">
        <w:rPr>
          <w:rFonts w:asciiTheme="minorHAnsi" w:hAnsiTheme="minorHAnsi"/>
          <w:bCs/>
          <w:snapToGrid w:val="0"/>
        </w:rPr>
        <w:t xml:space="preserve"> mg Q8W</w:t>
      </w:r>
      <w:r w:rsidR="00102CFE" w:rsidRPr="005D05BB">
        <w:rPr>
          <w:rFonts w:asciiTheme="minorHAnsi" w:hAnsiTheme="minorHAnsi"/>
          <w:bCs/>
          <w:snapToGrid w:val="0"/>
        </w:rPr>
        <w:t xml:space="preserve"> in RA; and (ii)</w:t>
      </w:r>
      <w:r w:rsidR="00D32EF1" w:rsidRPr="005D05BB">
        <w:rPr>
          <w:rFonts w:asciiTheme="minorHAnsi" w:hAnsiTheme="minorHAnsi"/>
          <w:bCs/>
          <w:snapToGrid w:val="0"/>
        </w:rPr>
        <w:t xml:space="preserve"> IFX IV</w:t>
      </w:r>
      <w:r w:rsidR="00102CFE" w:rsidRPr="005D05BB">
        <w:rPr>
          <w:rFonts w:asciiTheme="minorHAnsi" w:hAnsiTheme="minorHAnsi"/>
          <w:bCs/>
          <w:snapToGrid w:val="0"/>
        </w:rPr>
        <w:t xml:space="preserve"> 5 mg/kg Q8W in UC and CD</w:t>
      </w:r>
      <w:r w:rsidRPr="005D05BB">
        <w:rPr>
          <w:rFonts w:asciiTheme="minorHAnsi" w:hAnsiTheme="minorHAnsi"/>
          <w:bCs/>
          <w:snapToGrid w:val="0"/>
        </w:rPr>
        <w:t>.</w:t>
      </w:r>
    </w:p>
    <w:p w14:paraId="77A8FD93" w14:textId="77777777" w:rsidR="00381395" w:rsidRPr="00D963C7" w:rsidRDefault="00381395" w:rsidP="00D963C7">
      <w:pPr>
        <w:pStyle w:val="3-BodyText"/>
        <w:rPr>
          <w:bCs/>
        </w:rPr>
      </w:pPr>
      <w:r w:rsidRPr="005D05BB">
        <w:rPr>
          <w:szCs w:val="20"/>
          <w:lang w:eastAsia="en-US"/>
        </w:rPr>
        <w:t xml:space="preserve">The PBAC </w:t>
      </w:r>
      <w:r w:rsidR="007112DF">
        <w:rPr>
          <w:szCs w:val="20"/>
          <w:lang w:eastAsia="en-US"/>
        </w:rPr>
        <w:t xml:space="preserve">did not </w:t>
      </w:r>
      <w:r w:rsidRPr="005D05BB">
        <w:rPr>
          <w:szCs w:val="20"/>
          <w:lang w:eastAsia="en-US"/>
        </w:rPr>
        <w:t xml:space="preserve">consider </w:t>
      </w:r>
      <w:r w:rsidR="00E22173" w:rsidRPr="005D05BB">
        <w:rPr>
          <w:rFonts w:cstheme="minorHAnsi"/>
        </w:rPr>
        <w:t>extrapolation</w:t>
      </w:r>
      <w:r w:rsidRPr="005D05BB">
        <w:rPr>
          <w:szCs w:val="20"/>
          <w:lang w:eastAsia="en-US"/>
        </w:rPr>
        <w:t xml:space="preserve"> </w:t>
      </w:r>
      <w:r w:rsidRPr="005D05BB">
        <w:rPr>
          <w:rFonts w:cstheme="minorHAnsi"/>
        </w:rPr>
        <w:t xml:space="preserve">of clinical evidence from RA, UC and CD to </w:t>
      </w:r>
      <w:r w:rsidR="00E22173" w:rsidRPr="005D05BB">
        <w:t>ankylosing spondylitis (</w:t>
      </w:r>
      <w:r w:rsidRPr="005D05BB">
        <w:rPr>
          <w:rFonts w:cstheme="minorHAnsi"/>
        </w:rPr>
        <w:t>AS</w:t>
      </w:r>
      <w:r w:rsidR="00E22173" w:rsidRPr="005D05BB">
        <w:rPr>
          <w:rFonts w:cstheme="minorHAnsi"/>
        </w:rPr>
        <w:t>)</w:t>
      </w:r>
      <w:r w:rsidRPr="005D05BB">
        <w:rPr>
          <w:rFonts w:cstheme="minorHAnsi"/>
        </w:rPr>
        <w:t xml:space="preserve">, </w:t>
      </w:r>
      <w:r w:rsidR="00E22173" w:rsidRPr="005D05BB">
        <w:t>severe active psoriatic arthritis (</w:t>
      </w:r>
      <w:r w:rsidRPr="005D05BB">
        <w:rPr>
          <w:rFonts w:cstheme="minorHAnsi"/>
        </w:rPr>
        <w:t>PsA</w:t>
      </w:r>
      <w:r w:rsidR="00E22173" w:rsidRPr="005D05BB">
        <w:rPr>
          <w:rFonts w:cstheme="minorHAnsi"/>
        </w:rPr>
        <w:t>)</w:t>
      </w:r>
      <w:r w:rsidRPr="005D05BB">
        <w:rPr>
          <w:rFonts w:cstheme="minorHAnsi"/>
        </w:rPr>
        <w:t xml:space="preserve">, </w:t>
      </w:r>
      <w:r w:rsidR="00E22173" w:rsidRPr="005D05BB">
        <w:t>severe chronic plaque psoriasis (</w:t>
      </w:r>
      <w:r w:rsidRPr="005D05BB">
        <w:rPr>
          <w:rFonts w:cstheme="minorHAnsi"/>
        </w:rPr>
        <w:t>CPP</w:t>
      </w:r>
      <w:r w:rsidR="00E22173" w:rsidRPr="005D05BB">
        <w:rPr>
          <w:rFonts w:cstheme="minorHAnsi"/>
        </w:rPr>
        <w:t>)</w:t>
      </w:r>
      <w:r w:rsidRPr="005D05BB">
        <w:rPr>
          <w:rFonts w:cstheme="minorHAnsi"/>
        </w:rPr>
        <w:t xml:space="preserve"> and </w:t>
      </w:r>
      <w:r w:rsidR="00E22173" w:rsidRPr="005D05BB">
        <w:t>complex refractory fistulising Crohn’s disease (</w:t>
      </w:r>
      <w:r w:rsidRPr="005D05BB">
        <w:rPr>
          <w:rFonts w:cstheme="minorHAnsi"/>
        </w:rPr>
        <w:t>RFCD</w:t>
      </w:r>
      <w:r w:rsidR="00E22173" w:rsidRPr="005D05BB">
        <w:rPr>
          <w:rFonts w:cstheme="minorHAnsi"/>
        </w:rPr>
        <w:t>)</w:t>
      </w:r>
      <w:r w:rsidR="00E441FC" w:rsidRPr="005D05BB">
        <w:rPr>
          <w:rFonts w:cstheme="minorHAnsi"/>
        </w:rPr>
        <w:t xml:space="preserve"> </w:t>
      </w:r>
      <w:r w:rsidR="005902D8">
        <w:rPr>
          <w:rFonts w:cstheme="minorHAnsi"/>
        </w:rPr>
        <w:t>was adequate to support</w:t>
      </w:r>
      <w:r w:rsidR="007112DF">
        <w:rPr>
          <w:rFonts w:cstheme="minorHAnsi"/>
        </w:rPr>
        <w:t xml:space="preserve"> </w:t>
      </w:r>
      <w:r w:rsidR="00E441FC" w:rsidRPr="005D05BB">
        <w:rPr>
          <w:rFonts w:cstheme="minorHAnsi"/>
        </w:rPr>
        <w:t>PBS listing</w:t>
      </w:r>
      <w:r w:rsidR="007112DF">
        <w:rPr>
          <w:rFonts w:cstheme="minorHAnsi"/>
        </w:rPr>
        <w:t>s</w:t>
      </w:r>
      <w:r w:rsidR="00E441FC" w:rsidRPr="005D05BB">
        <w:rPr>
          <w:rFonts w:cstheme="minorHAnsi"/>
        </w:rPr>
        <w:t xml:space="preserve"> </w:t>
      </w:r>
      <w:r w:rsidR="007112DF">
        <w:rPr>
          <w:rFonts w:cstheme="minorHAnsi"/>
        </w:rPr>
        <w:t>for AS, PsA, CPP and RFCD.</w:t>
      </w:r>
      <w:r w:rsidR="00D963C7" w:rsidRPr="00D963C7">
        <w:rPr>
          <w:rFonts w:ascii="Calibri" w:hAnsi="Calibri" w:cstheme="minorHAnsi"/>
          <w:snapToGrid/>
        </w:rPr>
        <w:t xml:space="preserve"> The PBAC noted </w:t>
      </w:r>
      <w:r w:rsidR="00D963C7">
        <w:rPr>
          <w:rFonts w:ascii="Calibri" w:hAnsi="Calibri" w:cstheme="minorHAnsi"/>
          <w:snapToGrid/>
        </w:rPr>
        <w:t>there were no clinical trials assessing the efficacy of IFX SC in patients with these conditions</w:t>
      </w:r>
      <w:r w:rsidR="00B0235B">
        <w:rPr>
          <w:rFonts w:ascii="Calibri" w:hAnsi="Calibri" w:cstheme="minorHAnsi"/>
          <w:snapToGrid/>
        </w:rPr>
        <w:t>,</w:t>
      </w:r>
      <w:r w:rsidR="00D963C7">
        <w:rPr>
          <w:rFonts w:ascii="Calibri" w:hAnsi="Calibri" w:cstheme="minorHAnsi"/>
          <w:snapToGrid/>
        </w:rPr>
        <w:t xml:space="preserve"> and </w:t>
      </w:r>
      <w:r w:rsidR="00B0235B">
        <w:rPr>
          <w:rFonts w:ascii="Calibri" w:hAnsi="Calibri" w:cstheme="minorHAnsi"/>
          <w:snapToGrid/>
        </w:rPr>
        <w:t xml:space="preserve">considered it could not be assumed that </w:t>
      </w:r>
      <w:r w:rsidR="00B0235B">
        <w:rPr>
          <w:rFonts w:cstheme="minorHAnsi"/>
        </w:rPr>
        <w:t>IFX SC would be non-inferior to IFX IV</w:t>
      </w:r>
      <w:r w:rsidR="00B0235B" w:rsidRPr="00B0235B">
        <w:rPr>
          <w:rFonts w:ascii="Calibri" w:hAnsi="Calibri" w:cstheme="minorHAnsi"/>
          <w:snapToGrid/>
        </w:rPr>
        <w:t xml:space="preserve"> </w:t>
      </w:r>
      <w:r w:rsidR="00B0235B">
        <w:rPr>
          <w:rFonts w:ascii="Calibri" w:hAnsi="Calibri" w:cstheme="minorHAnsi"/>
          <w:snapToGrid/>
        </w:rPr>
        <w:t xml:space="preserve">given the </w:t>
      </w:r>
      <w:r w:rsidR="00B0235B" w:rsidRPr="00D963C7">
        <w:rPr>
          <w:rFonts w:ascii="Calibri" w:hAnsi="Calibri" w:cstheme="minorHAnsi"/>
          <w:snapToGrid/>
        </w:rPr>
        <w:t>higher dose</w:t>
      </w:r>
      <w:r w:rsidR="007D1914">
        <w:rPr>
          <w:rFonts w:ascii="Calibri" w:hAnsi="Calibri" w:cstheme="minorHAnsi"/>
          <w:snapToGrid/>
        </w:rPr>
        <w:t xml:space="preserve"> of </w:t>
      </w:r>
      <w:r w:rsidR="00B0235B">
        <w:rPr>
          <w:rFonts w:ascii="Calibri" w:hAnsi="Calibri" w:cstheme="minorHAnsi"/>
          <w:snapToGrid/>
        </w:rPr>
        <w:t>IFX</w:t>
      </w:r>
      <w:r w:rsidR="007D1914">
        <w:rPr>
          <w:rFonts w:ascii="Calibri" w:hAnsi="Calibri" w:cstheme="minorHAnsi"/>
          <w:snapToGrid/>
        </w:rPr>
        <w:t xml:space="preserve"> IV</w:t>
      </w:r>
      <w:r w:rsidR="00B0235B">
        <w:rPr>
          <w:rFonts w:ascii="Calibri" w:hAnsi="Calibri" w:cstheme="minorHAnsi"/>
          <w:snapToGrid/>
        </w:rPr>
        <w:t xml:space="preserve"> is recommended in PsA</w:t>
      </w:r>
      <w:r w:rsidR="00761EBF">
        <w:rPr>
          <w:rFonts w:ascii="Calibri" w:hAnsi="Calibri" w:cstheme="minorHAnsi"/>
          <w:snapToGrid/>
        </w:rPr>
        <w:t>, CPP</w:t>
      </w:r>
      <w:r w:rsidR="00B0235B">
        <w:rPr>
          <w:rFonts w:ascii="Calibri" w:hAnsi="Calibri" w:cstheme="minorHAnsi"/>
          <w:snapToGrid/>
        </w:rPr>
        <w:t xml:space="preserve"> and RFCD (</w:t>
      </w:r>
      <w:r w:rsidR="00B0235B" w:rsidRPr="005D05BB">
        <w:rPr>
          <w:bCs/>
        </w:rPr>
        <w:t>5 mg/kg Q8W</w:t>
      </w:r>
      <w:r w:rsidR="00B0235B">
        <w:rPr>
          <w:bCs/>
        </w:rPr>
        <w:t>)</w:t>
      </w:r>
      <w:r w:rsidR="00B0235B" w:rsidRPr="005D05BB">
        <w:rPr>
          <w:bCs/>
        </w:rPr>
        <w:t xml:space="preserve"> </w:t>
      </w:r>
      <w:r w:rsidR="00B0235B">
        <w:rPr>
          <w:bCs/>
        </w:rPr>
        <w:lastRenderedPageBreak/>
        <w:t>and the higher dose is recommended with more frequent administration in AS (</w:t>
      </w:r>
      <w:r w:rsidR="005902D8">
        <w:rPr>
          <w:bCs/>
        </w:rPr>
        <w:t>5 </w:t>
      </w:r>
      <w:r w:rsidR="00B0235B">
        <w:rPr>
          <w:bCs/>
        </w:rPr>
        <w:t>mg/kg Q6</w:t>
      </w:r>
      <w:r w:rsidR="00B0235B" w:rsidRPr="005D05BB">
        <w:rPr>
          <w:bCs/>
        </w:rPr>
        <w:t>W</w:t>
      </w:r>
      <w:r w:rsidR="00B0235B">
        <w:rPr>
          <w:bCs/>
        </w:rPr>
        <w:t>)</w:t>
      </w:r>
      <w:r w:rsidRPr="00D963C7">
        <w:rPr>
          <w:rFonts w:cstheme="minorHAnsi"/>
        </w:rPr>
        <w:t>.</w:t>
      </w:r>
    </w:p>
    <w:p w14:paraId="2914E6DE" w14:textId="77777777" w:rsidR="00A90523" w:rsidRPr="005D05BB" w:rsidRDefault="00A90523" w:rsidP="00A90523">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The PBAC considered that an SC formulation</w:t>
      </w:r>
      <w:r w:rsidR="00381395" w:rsidRPr="005D05BB">
        <w:rPr>
          <w:rFonts w:asciiTheme="minorHAnsi" w:hAnsiTheme="minorHAnsi"/>
          <w:bCs/>
          <w:snapToGrid w:val="0"/>
        </w:rPr>
        <w:t xml:space="preserve"> of IFX</w:t>
      </w:r>
      <w:r w:rsidRPr="005D05BB">
        <w:rPr>
          <w:rFonts w:asciiTheme="minorHAnsi" w:hAnsiTheme="minorHAnsi"/>
          <w:bCs/>
          <w:snapToGrid w:val="0"/>
        </w:rPr>
        <w:t xml:space="preserve"> provide</w:t>
      </w:r>
      <w:r w:rsidR="00381395" w:rsidRPr="005D05BB">
        <w:rPr>
          <w:rFonts w:asciiTheme="minorHAnsi" w:hAnsiTheme="minorHAnsi"/>
          <w:bCs/>
          <w:snapToGrid w:val="0"/>
        </w:rPr>
        <w:t>s</w:t>
      </w:r>
      <w:r w:rsidRPr="005D05BB">
        <w:rPr>
          <w:rFonts w:asciiTheme="minorHAnsi" w:hAnsiTheme="minorHAnsi"/>
          <w:bCs/>
          <w:snapToGrid w:val="0"/>
        </w:rPr>
        <w:t xml:space="preserve"> an additional patient-relevant option for maintenance therapy</w:t>
      </w:r>
      <w:r w:rsidR="00E22173" w:rsidRPr="005D05BB">
        <w:rPr>
          <w:rFonts w:asciiTheme="minorHAnsi" w:hAnsiTheme="minorHAnsi"/>
          <w:bCs/>
          <w:snapToGrid w:val="0"/>
        </w:rPr>
        <w:t xml:space="preserve"> in RA, UC and CD</w:t>
      </w:r>
      <w:r w:rsidR="005D05BB">
        <w:rPr>
          <w:rFonts w:asciiTheme="minorHAnsi" w:hAnsiTheme="minorHAnsi"/>
          <w:bCs/>
          <w:snapToGrid w:val="0"/>
        </w:rPr>
        <w:t xml:space="preserve">. </w:t>
      </w:r>
      <w:r w:rsidRPr="005D05BB">
        <w:rPr>
          <w:rFonts w:asciiTheme="minorHAnsi" w:hAnsiTheme="minorHAnsi"/>
          <w:bCs/>
          <w:snapToGrid w:val="0"/>
        </w:rPr>
        <w:t xml:space="preserve">The PBAC noted that this view was reflected in the Consumer Comments for IFX SC, which emphasised </w:t>
      </w:r>
      <w:r w:rsidR="00C31078">
        <w:rPr>
          <w:rFonts w:asciiTheme="minorHAnsi" w:hAnsiTheme="minorHAnsi"/>
          <w:bCs/>
          <w:snapToGrid w:val="0"/>
        </w:rPr>
        <w:t>benefits</w:t>
      </w:r>
      <w:r w:rsidRPr="005D05BB">
        <w:rPr>
          <w:rFonts w:asciiTheme="minorHAnsi" w:hAnsiTheme="minorHAnsi"/>
          <w:bCs/>
          <w:snapToGrid w:val="0"/>
        </w:rPr>
        <w:t xml:space="preserve"> for consumers through not requiring </w:t>
      </w:r>
      <w:r w:rsidRPr="005D05BB">
        <w:t>infusion in a medical facility.</w:t>
      </w:r>
      <w:r w:rsidRPr="005D05BB">
        <w:rPr>
          <w:rFonts w:asciiTheme="minorHAnsi" w:hAnsiTheme="minorHAnsi"/>
          <w:bCs/>
          <w:snapToGrid w:val="0"/>
        </w:rPr>
        <w:t xml:space="preserve"> </w:t>
      </w:r>
    </w:p>
    <w:p w14:paraId="21E98CDF" w14:textId="77777777" w:rsidR="00A90523" w:rsidRPr="005D05BB" w:rsidRDefault="00F736AA" w:rsidP="00A90523">
      <w:pPr>
        <w:widowControl w:val="0"/>
        <w:numPr>
          <w:ilvl w:val="1"/>
          <w:numId w:val="1"/>
        </w:numPr>
        <w:spacing w:after="120"/>
        <w:rPr>
          <w:rFonts w:asciiTheme="minorHAnsi" w:hAnsiTheme="minorHAnsi"/>
          <w:bCs/>
          <w:snapToGrid w:val="0"/>
        </w:rPr>
      </w:pPr>
      <w:r w:rsidRPr="005D05BB">
        <w:t xml:space="preserve">The PBAC considered that the listing for IFX SC should show alignment to the current concepts of initiation, continuation, balance of supply for IFX IV, and ensure assessment at precedented </w:t>
      </w:r>
      <w:r w:rsidR="00993E4F" w:rsidRPr="005D05BB">
        <w:t>time points</w:t>
      </w:r>
      <w:r w:rsidRPr="005D05BB">
        <w:t>.</w:t>
      </w:r>
    </w:p>
    <w:p w14:paraId="17CDFFA9" w14:textId="77777777" w:rsidR="00E441FC" w:rsidRPr="005D05BB" w:rsidRDefault="00E441FC" w:rsidP="00A90523">
      <w:pPr>
        <w:widowControl w:val="0"/>
        <w:numPr>
          <w:ilvl w:val="1"/>
          <w:numId w:val="1"/>
        </w:numPr>
        <w:spacing w:after="120"/>
        <w:rPr>
          <w:rFonts w:asciiTheme="minorHAnsi" w:hAnsiTheme="minorHAnsi"/>
          <w:bCs/>
          <w:snapToGrid w:val="0"/>
        </w:rPr>
      </w:pPr>
      <w:r w:rsidRPr="005D05BB">
        <w:t>The PBAC noted the Sponsor requested both Section 85 and Section 100 listings for IFX SC, and requested a streamlined listing in line with biosimilar preferred prescribing policy</w:t>
      </w:r>
      <w:r w:rsidR="005D05BB">
        <w:t xml:space="preserve">. </w:t>
      </w:r>
      <w:r w:rsidRPr="005D05BB">
        <w:t xml:space="preserve">The PBAC considered that the requested Section 100 listing was not supported, and that </w:t>
      </w:r>
      <w:r w:rsidR="00201D05">
        <w:t xml:space="preserve">only </w:t>
      </w:r>
      <w:r w:rsidRPr="005D05BB">
        <w:t>a Section 85 listing is warranted</w:t>
      </w:r>
      <w:r w:rsidR="005D05BB">
        <w:t xml:space="preserve">. </w:t>
      </w:r>
      <w:r w:rsidRPr="005D05BB">
        <w:t xml:space="preserve">It also considered that restrictions for IFX SC should not be based on biosimilar policy, as </w:t>
      </w:r>
      <w:r w:rsidRPr="005D05BB">
        <w:rPr>
          <w:iCs/>
        </w:rPr>
        <w:t>the premise of biosimilarity for the purposes of PBS listing is flawed given the different routes of administration and evidence of different pharmacokinetic profiles.</w:t>
      </w:r>
    </w:p>
    <w:p w14:paraId="54D5B628" w14:textId="77777777" w:rsidR="00A90523" w:rsidRPr="005D05BB" w:rsidRDefault="00A90523" w:rsidP="00E441FC">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 xml:space="preserve">The PBAC considered that the current PBS listing for </w:t>
      </w:r>
      <w:r w:rsidR="004F6781" w:rsidRPr="005D05BB">
        <w:rPr>
          <w:rFonts w:asciiTheme="minorHAnsi" w:hAnsiTheme="minorHAnsi"/>
          <w:bCs/>
          <w:snapToGrid w:val="0"/>
        </w:rPr>
        <w:t>IFX</w:t>
      </w:r>
      <w:r w:rsidRPr="005D05BB">
        <w:rPr>
          <w:rFonts w:asciiTheme="minorHAnsi" w:hAnsiTheme="minorHAnsi"/>
          <w:bCs/>
          <w:snapToGrid w:val="0"/>
        </w:rPr>
        <w:t xml:space="preserve"> IV will provide for the supply of the initial IV induction doses, and that new PBS item codes for this purpose are not necessary for </w:t>
      </w:r>
      <w:r w:rsidR="004F6781" w:rsidRPr="005D05BB">
        <w:rPr>
          <w:rFonts w:asciiTheme="minorHAnsi" w:hAnsiTheme="minorHAnsi"/>
          <w:bCs/>
          <w:snapToGrid w:val="0"/>
        </w:rPr>
        <w:t>IFX</w:t>
      </w:r>
      <w:r w:rsidRPr="005D05BB">
        <w:rPr>
          <w:rFonts w:asciiTheme="minorHAnsi" w:hAnsiTheme="minorHAnsi"/>
          <w:bCs/>
          <w:snapToGrid w:val="0"/>
        </w:rPr>
        <w:t xml:space="preserve"> IV</w:t>
      </w:r>
      <w:r w:rsidR="004F6781" w:rsidRPr="005D05BB">
        <w:rPr>
          <w:rFonts w:asciiTheme="minorHAnsi" w:hAnsiTheme="minorHAnsi"/>
          <w:bCs/>
          <w:snapToGrid w:val="0"/>
        </w:rPr>
        <w:t>, although they may need to be amended to permit the loading doses</w:t>
      </w:r>
      <w:r w:rsidR="005D05BB">
        <w:rPr>
          <w:rFonts w:asciiTheme="minorHAnsi" w:hAnsiTheme="minorHAnsi"/>
          <w:bCs/>
          <w:snapToGrid w:val="0"/>
        </w:rPr>
        <w:t xml:space="preserve">. </w:t>
      </w:r>
    </w:p>
    <w:p w14:paraId="25BA0C7A" w14:textId="77777777" w:rsidR="00E441FC" w:rsidRPr="005D05BB" w:rsidRDefault="00F736AA" w:rsidP="00A90523">
      <w:pPr>
        <w:widowControl w:val="0"/>
        <w:numPr>
          <w:ilvl w:val="1"/>
          <w:numId w:val="1"/>
        </w:numPr>
        <w:spacing w:after="120"/>
        <w:rPr>
          <w:rFonts w:asciiTheme="minorHAnsi" w:hAnsiTheme="minorHAnsi"/>
          <w:bCs/>
          <w:snapToGrid w:val="0"/>
        </w:rPr>
      </w:pPr>
      <w:r w:rsidRPr="005D05BB">
        <w:t xml:space="preserve">The PBAC advised that the </w:t>
      </w:r>
      <w:r w:rsidRPr="005D05BB">
        <w:rPr>
          <w:rFonts w:cstheme="minorHAnsi"/>
        </w:rPr>
        <w:t>IFX SC restrictions should have an</w:t>
      </w:r>
      <w:r w:rsidRPr="005D05BB">
        <w:t xml:space="preserve"> initial SC restriction that allow transition from IV to SC at Week 6 onwards until assessment from Week 12, and a Balance of Supply (to initial SC and continuing SC) to complete what is required for each indication. A continuing restriction will also be required, as the ‘first and subsequent’ continuing restriction will not be applicable here.</w:t>
      </w:r>
    </w:p>
    <w:p w14:paraId="6D7D6608" w14:textId="77777777" w:rsidR="00A90523" w:rsidRPr="000067C2" w:rsidRDefault="00E441FC" w:rsidP="00A90523">
      <w:pPr>
        <w:widowControl w:val="0"/>
        <w:numPr>
          <w:ilvl w:val="1"/>
          <w:numId w:val="1"/>
        </w:numPr>
        <w:spacing w:after="120"/>
        <w:rPr>
          <w:rFonts w:asciiTheme="minorHAnsi" w:hAnsiTheme="minorHAnsi"/>
          <w:bCs/>
          <w:snapToGrid w:val="0"/>
        </w:rPr>
      </w:pPr>
      <w:r w:rsidRPr="005D05BB">
        <w:t>For continuing treatment, (for patients who respond to treatment continuation criteria), the requested maximum quantities provide up to 24 weeks of treatment</w:t>
      </w:r>
      <w:r w:rsidR="005D05BB">
        <w:t xml:space="preserve">. </w:t>
      </w:r>
      <w:r w:rsidRPr="005D05BB">
        <w:rPr>
          <w:iCs/>
        </w:rPr>
        <w:t>This is consistent with the current listing of IFX IV in all requested indications.</w:t>
      </w:r>
    </w:p>
    <w:p w14:paraId="7EC02635" w14:textId="77777777" w:rsidR="00600FD1" w:rsidRPr="003E34FC" w:rsidRDefault="00F736AA" w:rsidP="00E441FC">
      <w:pPr>
        <w:widowControl w:val="0"/>
        <w:numPr>
          <w:ilvl w:val="1"/>
          <w:numId w:val="1"/>
        </w:numPr>
        <w:spacing w:after="120"/>
        <w:rPr>
          <w:rFonts w:asciiTheme="minorHAnsi" w:hAnsiTheme="minorHAnsi"/>
          <w:bCs/>
          <w:snapToGrid w:val="0"/>
        </w:rPr>
      </w:pPr>
      <w:r w:rsidRPr="005D05BB">
        <w:t>The PBAC agreed with the ESC that re-induction after a treatment break should not be required</w:t>
      </w:r>
      <w:r w:rsidR="005D05BB">
        <w:t xml:space="preserve">. </w:t>
      </w:r>
      <w:r w:rsidRPr="005D05BB">
        <w:t>The PBAC advised that the restriction should be consistent with the PI in allowing resumption after treatment break without re-induction.</w:t>
      </w:r>
    </w:p>
    <w:p w14:paraId="2C86AF46" w14:textId="77777777" w:rsidR="003E34FC" w:rsidRPr="005D05BB" w:rsidRDefault="003E34FC" w:rsidP="00E441FC">
      <w:pPr>
        <w:widowControl w:val="0"/>
        <w:numPr>
          <w:ilvl w:val="1"/>
          <w:numId w:val="1"/>
        </w:numPr>
        <w:spacing w:after="120"/>
        <w:rPr>
          <w:rFonts w:asciiTheme="minorHAnsi" w:hAnsiTheme="minorHAnsi"/>
          <w:bCs/>
          <w:snapToGrid w:val="0"/>
        </w:rPr>
      </w:pPr>
      <w:r>
        <w:rPr>
          <w:rFonts w:asciiTheme="minorHAnsi" w:hAnsiTheme="minorHAnsi"/>
          <w:bCs/>
          <w:snapToGrid w:val="0"/>
        </w:rPr>
        <w:t>The PBAC advised that patients should be able to switch back to IFX IV after receiving IFX SC, and that this should not be considered a treatment failure.</w:t>
      </w:r>
      <w:r w:rsidR="00540110">
        <w:rPr>
          <w:rFonts w:asciiTheme="minorHAnsi" w:hAnsiTheme="minorHAnsi"/>
          <w:bCs/>
          <w:snapToGrid w:val="0"/>
        </w:rPr>
        <w:t xml:space="preserve"> </w:t>
      </w:r>
      <w:r w:rsidR="00540110" w:rsidRPr="003E78F6">
        <w:rPr>
          <w:bCs/>
        </w:rPr>
        <w:t xml:space="preserve">Flow-on changes to the </w:t>
      </w:r>
      <w:r w:rsidR="00EE09AF">
        <w:rPr>
          <w:bCs/>
        </w:rPr>
        <w:t>IFX</w:t>
      </w:r>
      <w:r w:rsidR="00540110" w:rsidRPr="003E78F6">
        <w:rPr>
          <w:bCs/>
        </w:rPr>
        <w:t xml:space="preserve"> IV continuing treatment restriction will be required.</w:t>
      </w:r>
    </w:p>
    <w:p w14:paraId="45FED92F" w14:textId="77777777" w:rsidR="00C31078" w:rsidRPr="004E025C" w:rsidRDefault="00C31078" w:rsidP="00C31078">
      <w:pPr>
        <w:widowControl w:val="0"/>
        <w:numPr>
          <w:ilvl w:val="1"/>
          <w:numId w:val="1"/>
        </w:numPr>
        <w:spacing w:after="120"/>
        <w:rPr>
          <w:rFonts w:asciiTheme="minorHAnsi" w:hAnsiTheme="minorHAnsi"/>
          <w:bCs/>
          <w:snapToGrid w:val="0"/>
        </w:rPr>
      </w:pPr>
      <w:r w:rsidRPr="004E025C">
        <w:rPr>
          <w:rFonts w:asciiTheme="minorHAnsi" w:hAnsiTheme="minorHAnsi"/>
          <w:bCs/>
          <w:snapToGrid w:val="0"/>
        </w:rPr>
        <w:t xml:space="preserve">The PBAC considered that the nomination of </w:t>
      </w:r>
      <w:r>
        <w:rPr>
          <w:rFonts w:asciiTheme="minorHAnsi" w:hAnsiTheme="minorHAnsi"/>
          <w:bCs/>
          <w:snapToGrid w:val="0"/>
        </w:rPr>
        <w:t>IFX</w:t>
      </w:r>
      <w:r w:rsidRPr="004E025C">
        <w:rPr>
          <w:rFonts w:asciiTheme="minorHAnsi" w:hAnsiTheme="minorHAnsi"/>
          <w:bCs/>
          <w:snapToGrid w:val="0"/>
        </w:rPr>
        <w:t xml:space="preserve"> IV as </w:t>
      </w:r>
      <w:r w:rsidR="00640AD4">
        <w:rPr>
          <w:rFonts w:asciiTheme="minorHAnsi" w:hAnsiTheme="minorHAnsi"/>
          <w:bCs/>
          <w:snapToGrid w:val="0"/>
        </w:rPr>
        <w:t xml:space="preserve">the </w:t>
      </w:r>
      <w:r w:rsidRPr="004E025C">
        <w:rPr>
          <w:rFonts w:asciiTheme="minorHAnsi" w:hAnsiTheme="minorHAnsi"/>
          <w:bCs/>
          <w:snapToGrid w:val="0"/>
        </w:rPr>
        <w:t xml:space="preserve">comparator is appropriate. The PBAC considered that while there are alternative bDMDs which may be less costly, a switch from those alternative agents to </w:t>
      </w:r>
      <w:r w:rsidR="007D1914">
        <w:rPr>
          <w:rFonts w:asciiTheme="minorHAnsi" w:hAnsiTheme="minorHAnsi"/>
          <w:bCs/>
          <w:snapToGrid w:val="0"/>
        </w:rPr>
        <w:t>IFX</w:t>
      </w:r>
      <w:r w:rsidRPr="004E025C">
        <w:rPr>
          <w:rFonts w:asciiTheme="minorHAnsi" w:hAnsiTheme="minorHAnsi"/>
          <w:bCs/>
          <w:snapToGrid w:val="0"/>
        </w:rPr>
        <w:t xml:space="preserve"> SC for maintenance treatment is less likely, in particular where an assessment of response makes it inappropriate and/or </w:t>
      </w:r>
      <w:r w:rsidRPr="004E025C">
        <w:rPr>
          <w:rFonts w:asciiTheme="minorHAnsi" w:hAnsiTheme="minorHAnsi"/>
          <w:bCs/>
          <w:snapToGrid w:val="0"/>
        </w:rPr>
        <w:lastRenderedPageBreak/>
        <w:t xml:space="preserve">when re-induction with </w:t>
      </w:r>
      <w:r>
        <w:rPr>
          <w:rFonts w:asciiTheme="minorHAnsi" w:hAnsiTheme="minorHAnsi"/>
          <w:bCs/>
          <w:snapToGrid w:val="0"/>
        </w:rPr>
        <w:t>IFX</w:t>
      </w:r>
      <w:r w:rsidRPr="004E025C">
        <w:rPr>
          <w:rFonts w:asciiTheme="minorHAnsi" w:hAnsiTheme="minorHAnsi"/>
          <w:bCs/>
          <w:snapToGrid w:val="0"/>
        </w:rPr>
        <w:t xml:space="preserve"> IV would be required. The PBAC further considered that </w:t>
      </w:r>
      <w:r>
        <w:rPr>
          <w:rFonts w:asciiTheme="minorHAnsi" w:hAnsiTheme="minorHAnsi"/>
          <w:bCs/>
          <w:snapToGrid w:val="0"/>
        </w:rPr>
        <w:t>IFX</w:t>
      </w:r>
      <w:r w:rsidRPr="004E025C">
        <w:rPr>
          <w:rFonts w:asciiTheme="minorHAnsi" w:hAnsiTheme="minorHAnsi"/>
          <w:bCs/>
          <w:snapToGrid w:val="0"/>
        </w:rPr>
        <w:t xml:space="preserve"> IV followed by </w:t>
      </w:r>
      <w:r>
        <w:rPr>
          <w:rFonts w:asciiTheme="minorHAnsi" w:hAnsiTheme="minorHAnsi"/>
          <w:bCs/>
          <w:snapToGrid w:val="0"/>
        </w:rPr>
        <w:t>IFX</w:t>
      </w:r>
      <w:r w:rsidRPr="004E025C">
        <w:rPr>
          <w:rFonts w:asciiTheme="minorHAnsi" w:hAnsiTheme="minorHAnsi"/>
          <w:bCs/>
          <w:snapToGrid w:val="0"/>
        </w:rPr>
        <w:t xml:space="preserve"> SC is likely to deliver </w:t>
      </w:r>
      <w:r>
        <w:rPr>
          <w:rFonts w:asciiTheme="minorHAnsi" w:hAnsiTheme="minorHAnsi"/>
          <w:bCs/>
          <w:snapToGrid w:val="0"/>
        </w:rPr>
        <w:t xml:space="preserve">improved </w:t>
      </w:r>
      <w:r w:rsidRPr="004E025C">
        <w:rPr>
          <w:rFonts w:asciiTheme="minorHAnsi" w:hAnsiTheme="minorHAnsi"/>
          <w:bCs/>
          <w:snapToGrid w:val="0"/>
        </w:rPr>
        <w:t>outcome</w:t>
      </w:r>
      <w:r>
        <w:rPr>
          <w:rFonts w:asciiTheme="minorHAnsi" w:hAnsiTheme="minorHAnsi"/>
          <w:bCs/>
          <w:snapToGrid w:val="0"/>
        </w:rPr>
        <w:t>s</w:t>
      </w:r>
      <w:r w:rsidRPr="004E025C">
        <w:rPr>
          <w:rFonts w:asciiTheme="minorHAnsi" w:hAnsiTheme="minorHAnsi"/>
          <w:bCs/>
          <w:snapToGrid w:val="0"/>
        </w:rPr>
        <w:t xml:space="preserve">, </w:t>
      </w:r>
      <w:r>
        <w:rPr>
          <w:rFonts w:asciiTheme="minorHAnsi" w:hAnsiTheme="minorHAnsi"/>
          <w:bCs/>
          <w:snapToGrid w:val="0"/>
        </w:rPr>
        <w:t>for</w:t>
      </w:r>
      <w:r w:rsidRPr="004E025C">
        <w:rPr>
          <w:rFonts w:asciiTheme="minorHAnsi" w:hAnsiTheme="minorHAnsi"/>
          <w:bCs/>
          <w:snapToGrid w:val="0"/>
        </w:rPr>
        <w:t xml:space="preserve"> some patients, </w:t>
      </w:r>
      <w:r>
        <w:rPr>
          <w:iCs/>
        </w:rPr>
        <w:t>compared with</w:t>
      </w:r>
      <w:r w:rsidRPr="004E025C">
        <w:rPr>
          <w:iCs/>
        </w:rPr>
        <w:t xml:space="preserve"> a switch to an alternative agent</w:t>
      </w:r>
      <w:r w:rsidRPr="004E025C">
        <w:rPr>
          <w:rFonts w:asciiTheme="minorHAnsi" w:hAnsiTheme="minorHAnsi"/>
          <w:bCs/>
          <w:snapToGrid w:val="0"/>
        </w:rPr>
        <w:t>.</w:t>
      </w:r>
    </w:p>
    <w:p w14:paraId="5CDEC839" w14:textId="77777777" w:rsidR="001D6AB9" w:rsidRDefault="00712BB6" w:rsidP="005F1234">
      <w:pPr>
        <w:pStyle w:val="3-BodyText"/>
        <w:rPr>
          <w:rFonts w:ascii="Calibri" w:hAnsi="Calibri" w:cstheme="minorHAnsi"/>
          <w:snapToGrid/>
        </w:rPr>
      </w:pPr>
      <w:r w:rsidRPr="005D05BB">
        <w:rPr>
          <w:rFonts w:ascii="Calibri" w:hAnsi="Calibri" w:cstheme="minorHAnsi"/>
          <w:snapToGrid/>
        </w:rPr>
        <w:t xml:space="preserve">The PBAC </w:t>
      </w:r>
      <w:r w:rsidR="00F248CF" w:rsidRPr="005D05BB">
        <w:rPr>
          <w:rFonts w:ascii="Calibri" w:hAnsi="Calibri" w:cstheme="minorHAnsi"/>
          <w:snapToGrid/>
        </w:rPr>
        <w:t>advised</w:t>
      </w:r>
      <w:r w:rsidRPr="005D05BB">
        <w:rPr>
          <w:rFonts w:ascii="Calibri" w:hAnsi="Calibri" w:cstheme="minorHAnsi"/>
          <w:snapToGrid/>
        </w:rPr>
        <w:t xml:space="preserve"> that the claim of superior effectiveness </w:t>
      </w:r>
      <w:r w:rsidR="00F248CF" w:rsidRPr="005D05BB">
        <w:rPr>
          <w:rFonts w:ascii="Calibri" w:hAnsi="Calibri" w:cstheme="minorHAnsi"/>
          <w:snapToGrid/>
        </w:rPr>
        <w:t>in RA was not adequately supported</w:t>
      </w:r>
      <w:r w:rsidR="00C753BC">
        <w:rPr>
          <w:rFonts w:ascii="Calibri" w:hAnsi="Calibri" w:cstheme="minorHAnsi"/>
          <w:snapToGrid/>
        </w:rPr>
        <w:t>. The PBAC considered a statistically significant difference observed for some outcomes at week 30</w:t>
      </w:r>
      <w:r w:rsidR="00C753BC" w:rsidRPr="001D6AB9">
        <w:rPr>
          <w:rFonts w:ascii="Calibri" w:hAnsi="Calibri" w:cstheme="minorHAnsi"/>
          <w:snapToGrid/>
        </w:rPr>
        <w:t xml:space="preserve">, but not at other time points, did not support overall </w:t>
      </w:r>
      <w:r w:rsidR="007D1914">
        <w:rPr>
          <w:rFonts w:ascii="Calibri" w:hAnsi="Calibri" w:cstheme="minorHAnsi"/>
          <w:snapToGrid/>
        </w:rPr>
        <w:t xml:space="preserve">superiority of </w:t>
      </w:r>
      <w:r w:rsidR="00C753BC" w:rsidRPr="001D6AB9">
        <w:rPr>
          <w:rFonts w:ascii="Calibri" w:hAnsi="Calibri" w:cstheme="minorHAnsi"/>
          <w:snapToGrid/>
        </w:rPr>
        <w:t>IFX</w:t>
      </w:r>
      <w:r w:rsidR="007D1914">
        <w:rPr>
          <w:rFonts w:ascii="Calibri" w:hAnsi="Calibri" w:cstheme="minorHAnsi"/>
          <w:snapToGrid/>
        </w:rPr>
        <w:t xml:space="preserve"> SC</w:t>
      </w:r>
      <w:r w:rsidR="00C753BC" w:rsidRPr="001D6AB9">
        <w:rPr>
          <w:rFonts w:ascii="Calibri" w:hAnsi="Calibri" w:cstheme="minorHAnsi"/>
          <w:snapToGrid/>
        </w:rPr>
        <w:t xml:space="preserve"> versus</w:t>
      </w:r>
      <w:r w:rsidR="007D1914">
        <w:rPr>
          <w:rFonts w:ascii="Calibri" w:hAnsi="Calibri" w:cstheme="minorHAnsi"/>
          <w:snapToGrid/>
        </w:rPr>
        <w:t xml:space="preserve"> </w:t>
      </w:r>
      <w:r w:rsidR="00C753BC" w:rsidRPr="001D6AB9">
        <w:rPr>
          <w:rFonts w:ascii="Calibri" w:hAnsi="Calibri" w:cstheme="minorHAnsi"/>
          <w:snapToGrid/>
        </w:rPr>
        <w:t>IFX</w:t>
      </w:r>
      <w:r w:rsidR="007D1914">
        <w:rPr>
          <w:rFonts w:ascii="Calibri" w:hAnsi="Calibri" w:cstheme="minorHAnsi"/>
          <w:snapToGrid/>
        </w:rPr>
        <w:t xml:space="preserve"> IV</w:t>
      </w:r>
      <w:r w:rsidR="00C753BC" w:rsidRPr="001D6AB9">
        <w:rPr>
          <w:rFonts w:ascii="Calibri" w:hAnsi="Calibri" w:cstheme="minorHAnsi"/>
          <w:snapToGrid/>
        </w:rPr>
        <w:t>.</w:t>
      </w:r>
      <w:r w:rsidR="00F248CF" w:rsidRPr="001D6AB9">
        <w:rPr>
          <w:rFonts w:ascii="Calibri" w:hAnsi="Calibri" w:cstheme="minorHAnsi"/>
          <w:snapToGrid/>
        </w:rPr>
        <w:t xml:space="preserve"> Similarly, the PBAC advised the claim of superior effectiveness in UC was not adequately</w:t>
      </w:r>
      <w:r w:rsidR="005902D8">
        <w:rPr>
          <w:rFonts w:ascii="Calibri" w:hAnsi="Calibri" w:cstheme="minorHAnsi"/>
          <w:snapToGrid/>
        </w:rPr>
        <w:t xml:space="preserve"> supported</w:t>
      </w:r>
      <w:r w:rsidR="00C753BC" w:rsidRPr="001D6AB9">
        <w:rPr>
          <w:rFonts w:ascii="Calibri" w:hAnsi="Calibri" w:cstheme="minorHAnsi"/>
          <w:snapToGrid/>
        </w:rPr>
        <w:t xml:space="preserve">. The PBAC noted the clinical trial on which this claim was based was a </w:t>
      </w:r>
      <w:r w:rsidR="00F248CF" w:rsidRPr="005D05BB">
        <w:rPr>
          <w:rFonts w:ascii="Calibri" w:hAnsi="Calibri" w:cstheme="minorHAnsi"/>
          <w:snapToGrid/>
        </w:rPr>
        <w:t>small open-label pharmacokinetic trial</w:t>
      </w:r>
      <w:r w:rsidR="00C753BC">
        <w:rPr>
          <w:rFonts w:ascii="Calibri" w:hAnsi="Calibri" w:cstheme="minorHAnsi"/>
          <w:snapToGrid/>
        </w:rPr>
        <w:t xml:space="preserve"> and the results were potentially impacted by missing data. The PBAC further noted a </w:t>
      </w:r>
      <w:r w:rsidR="001D6AB9">
        <w:rPr>
          <w:rFonts w:ascii="Calibri" w:hAnsi="Calibri" w:cstheme="minorHAnsi"/>
          <w:snapToGrid/>
        </w:rPr>
        <w:t xml:space="preserve">statistically significant </w:t>
      </w:r>
      <w:r w:rsidR="00C753BC">
        <w:rPr>
          <w:rFonts w:ascii="Calibri" w:hAnsi="Calibri" w:cstheme="minorHAnsi"/>
          <w:snapToGrid/>
        </w:rPr>
        <w:t>difference was not observed for clinical response or remission based on the partial Mayo score</w:t>
      </w:r>
      <w:r w:rsidR="00F248CF" w:rsidRPr="005D05BB">
        <w:rPr>
          <w:rFonts w:ascii="Calibri" w:hAnsi="Calibri" w:cstheme="minorHAnsi"/>
          <w:snapToGrid/>
        </w:rPr>
        <w:t xml:space="preserve">. </w:t>
      </w:r>
    </w:p>
    <w:p w14:paraId="69B41EFA" w14:textId="77777777" w:rsidR="00712BB6" w:rsidRPr="005D05BB" w:rsidRDefault="001D6AB9" w:rsidP="005F1234">
      <w:pPr>
        <w:pStyle w:val="3-BodyText"/>
        <w:rPr>
          <w:rFonts w:ascii="Calibri" w:hAnsi="Calibri" w:cstheme="minorHAnsi"/>
          <w:snapToGrid/>
        </w:rPr>
      </w:pPr>
      <w:r>
        <w:rPr>
          <w:rFonts w:ascii="Calibri" w:hAnsi="Calibri" w:cstheme="minorHAnsi"/>
          <w:snapToGrid/>
        </w:rPr>
        <w:t>The PBAC</w:t>
      </w:r>
      <w:r w:rsidR="00F248CF" w:rsidRPr="005D05BB">
        <w:rPr>
          <w:rFonts w:ascii="Calibri" w:hAnsi="Calibri" w:cstheme="minorHAnsi"/>
          <w:snapToGrid/>
        </w:rPr>
        <w:t xml:space="preserve"> advised the claim of superior safety in RA was not adequately supported </w:t>
      </w:r>
      <w:r w:rsidR="00D1071D" w:rsidRPr="005D05BB">
        <w:rPr>
          <w:rFonts w:ascii="Calibri" w:hAnsi="Calibri" w:cstheme="minorHAnsi"/>
          <w:snapToGrid/>
        </w:rPr>
        <w:t>based on reduced discontinuations due to drug-related AEs for IFX SC compared to IFX</w:t>
      </w:r>
      <w:r w:rsidR="008F2184">
        <w:rPr>
          <w:rFonts w:ascii="Calibri" w:hAnsi="Calibri" w:cstheme="minorHAnsi"/>
          <w:snapToGrid/>
        </w:rPr>
        <w:t> </w:t>
      </w:r>
      <w:r w:rsidR="00D1071D" w:rsidRPr="005D05BB">
        <w:rPr>
          <w:rFonts w:ascii="Calibri" w:hAnsi="Calibri" w:cstheme="minorHAnsi"/>
          <w:snapToGrid/>
        </w:rPr>
        <w:t>IV, because</w:t>
      </w:r>
      <w:r w:rsidR="00F248CF" w:rsidRPr="005D05BB">
        <w:rPr>
          <w:rFonts w:ascii="Calibri" w:hAnsi="Calibri" w:cstheme="minorHAnsi"/>
          <w:snapToGrid/>
        </w:rPr>
        <w:t xml:space="preserve"> </w:t>
      </w:r>
      <w:r w:rsidR="00D1071D" w:rsidRPr="005D05BB">
        <w:rPr>
          <w:rFonts w:ascii="Calibri" w:hAnsi="Calibri" w:cstheme="minorHAnsi"/>
          <w:snapToGrid/>
        </w:rPr>
        <w:t>these included AEs that were not dose route specific</w:t>
      </w:r>
      <w:r w:rsidR="00F400E0" w:rsidRPr="005D05BB">
        <w:rPr>
          <w:rFonts w:ascii="Calibri" w:hAnsi="Calibri" w:cstheme="minorHAnsi"/>
          <w:snapToGrid/>
        </w:rPr>
        <w:t>,</w:t>
      </w:r>
      <w:r w:rsidR="00D1071D" w:rsidRPr="005D05BB">
        <w:rPr>
          <w:rFonts w:ascii="Calibri" w:hAnsi="Calibri" w:cstheme="minorHAnsi"/>
          <w:snapToGrid/>
        </w:rPr>
        <w:t xml:space="preserve"> such as infection and positional vertigo</w:t>
      </w:r>
      <w:r w:rsidR="00F400E0" w:rsidRPr="005D05BB">
        <w:rPr>
          <w:rFonts w:ascii="Calibri" w:hAnsi="Calibri" w:cstheme="minorHAnsi"/>
          <w:snapToGrid/>
        </w:rPr>
        <w:t>.</w:t>
      </w:r>
    </w:p>
    <w:p w14:paraId="3E1548B8" w14:textId="77777777" w:rsidR="00C563D2" w:rsidRPr="001D6AB9" w:rsidRDefault="00730D77" w:rsidP="00327C92">
      <w:pPr>
        <w:pStyle w:val="3-BodyText"/>
        <w:rPr>
          <w:rFonts w:ascii="Calibri" w:hAnsi="Calibri" w:cstheme="minorHAnsi"/>
          <w:snapToGrid/>
        </w:rPr>
      </w:pPr>
      <w:r w:rsidRPr="001D6AB9">
        <w:rPr>
          <w:bCs/>
        </w:rPr>
        <w:t xml:space="preserve">The PBAC considered that </w:t>
      </w:r>
      <w:r w:rsidR="00415864" w:rsidRPr="005D05BB">
        <w:t>non-inferiority</w:t>
      </w:r>
      <w:r w:rsidRPr="005D05BB">
        <w:t xml:space="preserve"> of IFX SC</w:t>
      </w:r>
      <w:r w:rsidR="00415864" w:rsidRPr="005D05BB">
        <w:t xml:space="preserve"> to IFX IV</w:t>
      </w:r>
      <w:r w:rsidRPr="005D05BB">
        <w:t xml:space="preserve"> in RA, UC, and CD in adults was supported by the </w:t>
      </w:r>
      <w:r w:rsidR="000F54FA" w:rsidRPr="005D05BB">
        <w:t>clinical evidence available</w:t>
      </w:r>
      <w:r w:rsidR="005D05BB">
        <w:t xml:space="preserve">. </w:t>
      </w:r>
      <w:r w:rsidR="000F54FA" w:rsidRPr="005D05BB">
        <w:t>However, t</w:t>
      </w:r>
      <w:r w:rsidR="00C563D2" w:rsidRPr="001D6AB9">
        <w:rPr>
          <w:bCs/>
        </w:rPr>
        <w:t xml:space="preserve">he PBAC </w:t>
      </w:r>
      <w:r w:rsidR="000F54FA" w:rsidRPr="001D6AB9">
        <w:rPr>
          <w:bCs/>
        </w:rPr>
        <w:t>considered</w:t>
      </w:r>
      <w:r w:rsidR="00C563D2" w:rsidRPr="001D6AB9">
        <w:rPr>
          <w:bCs/>
        </w:rPr>
        <w:t xml:space="preserve"> that</w:t>
      </w:r>
      <w:r w:rsidR="001D6AB9" w:rsidRPr="001D6AB9">
        <w:rPr>
          <w:bCs/>
        </w:rPr>
        <w:t xml:space="preserve"> non-inferiority of IFX SC to IFX IV in PsA, CPP, RFCD and AS was not adequately supported given </w:t>
      </w:r>
      <w:r w:rsidR="001D6AB9" w:rsidRPr="001D6AB9">
        <w:rPr>
          <w:rFonts w:ascii="Calibri" w:hAnsi="Calibri" w:cstheme="minorHAnsi"/>
          <w:snapToGrid/>
        </w:rPr>
        <w:t>there were no clinical trials assessing the efficacy of IFX SC in patients with these conditions, and the higher dose of IFX</w:t>
      </w:r>
      <w:r w:rsidR="007D1914">
        <w:rPr>
          <w:rFonts w:ascii="Calibri" w:hAnsi="Calibri" w:cstheme="minorHAnsi"/>
          <w:snapToGrid/>
        </w:rPr>
        <w:t xml:space="preserve"> IV</w:t>
      </w:r>
      <w:r w:rsidR="001D6AB9" w:rsidRPr="001D6AB9">
        <w:rPr>
          <w:rFonts w:ascii="Calibri" w:hAnsi="Calibri" w:cstheme="minorHAnsi"/>
          <w:snapToGrid/>
        </w:rPr>
        <w:t xml:space="preserve"> being recommended for these patients.</w:t>
      </w:r>
      <w:r w:rsidR="001D6AB9">
        <w:rPr>
          <w:rFonts w:ascii="Calibri" w:hAnsi="Calibri" w:cstheme="minorHAnsi"/>
          <w:snapToGrid/>
        </w:rPr>
        <w:t xml:space="preserve"> </w:t>
      </w:r>
      <w:r w:rsidR="005F1234" w:rsidRPr="001316EC">
        <w:rPr>
          <w:rFonts w:ascii="Calibri" w:hAnsi="Calibri" w:cstheme="minorHAnsi"/>
          <w:snapToGrid/>
        </w:rPr>
        <w:t>The PBAC advised that while extrapolation across indications has occurred previously</w:t>
      </w:r>
      <w:r w:rsidR="00712BB6" w:rsidRPr="001316EC">
        <w:rPr>
          <w:rFonts w:ascii="Calibri" w:hAnsi="Calibri" w:cstheme="minorHAnsi"/>
          <w:snapToGrid/>
        </w:rPr>
        <w:t xml:space="preserve"> for PBS listing</w:t>
      </w:r>
      <w:r w:rsidR="005F1234" w:rsidRPr="001316EC">
        <w:rPr>
          <w:rFonts w:ascii="Calibri" w:hAnsi="Calibri" w:cstheme="minorHAnsi"/>
          <w:snapToGrid/>
        </w:rPr>
        <w:t>, it was for biosimilar IV formulation</w:t>
      </w:r>
      <w:r w:rsidR="00F248CF" w:rsidRPr="001316EC">
        <w:rPr>
          <w:rFonts w:ascii="Calibri" w:hAnsi="Calibri" w:cstheme="minorHAnsi"/>
          <w:snapToGrid/>
        </w:rPr>
        <w:t>s</w:t>
      </w:r>
      <w:r w:rsidR="005F1234" w:rsidRPr="001316EC">
        <w:rPr>
          <w:rFonts w:ascii="Calibri" w:hAnsi="Calibri" w:cstheme="minorHAnsi"/>
          <w:snapToGrid/>
        </w:rPr>
        <w:t>, not for a SC formulation with a different route of administration.</w:t>
      </w:r>
    </w:p>
    <w:p w14:paraId="519383E6" w14:textId="77777777" w:rsidR="00D432E3" w:rsidRPr="005D05BB" w:rsidRDefault="00FA505D" w:rsidP="00415864">
      <w:pPr>
        <w:pStyle w:val="3-BodyText"/>
        <w:rPr>
          <w:bCs/>
        </w:rPr>
      </w:pPr>
      <w:r w:rsidRPr="005D05BB">
        <w:rPr>
          <w:bCs/>
        </w:rPr>
        <w:t xml:space="preserve">The PBAC considered it is reasonable to conduct the CMA of IFX SC over a 2-year time horizon that is calculated from the point of patients starting </w:t>
      </w:r>
      <w:r w:rsidR="00415864" w:rsidRPr="005D05BB">
        <w:rPr>
          <w:bCs/>
        </w:rPr>
        <w:t>IFX</w:t>
      </w:r>
      <w:r w:rsidRPr="005D05BB">
        <w:rPr>
          <w:bCs/>
        </w:rPr>
        <w:t xml:space="preserve"> SC following IV </w:t>
      </w:r>
      <w:r w:rsidR="00415864" w:rsidRPr="005D05BB">
        <w:rPr>
          <w:bCs/>
        </w:rPr>
        <w:t>loading doses, to exclude patient time costs, and</w:t>
      </w:r>
      <w:r w:rsidR="00415864" w:rsidRPr="005D05BB">
        <w:t xml:space="preserve"> to assume 10% of </w:t>
      </w:r>
      <w:r w:rsidR="0078124F">
        <w:t>patients</w:t>
      </w:r>
      <w:r w:rsidR="00415864" w:rsidRPr="005D05BB">
        <w:t xml:space="preserve"> will require medical assistance that is included as a visit to a doctor</w:t>
      </w:r>
      <w:r w:rsidR="005D05BB">
        <w:t xml:space="preserve">. </w:t>
      </w:r>
      <w:r w:rsidRPr="005D05BB">
        <w:rPr>
          <w:bCs/>
        </w:rPr>
        <w:t xml:space="preserve">The PBAC also considered that </w:t>
      </w:r>
      <w:r w:rsidRPr="005D05BB">
        <w:t xml:space="preserve">the CMA should </w:t>
      </w:r>
      <w:r w:rsidR="003502D7" w:rsidRPr="005D05BB">
        <w:t xml:space="preserve">ensure there is no additional cost to the </w:t>
      </w:r>
      <w:r w:rsidR="00DA590E" w:rsidRPr="005D05BB">
        <w:t>G</w:t>
      </w:r>
      <w:r w:rsidR="003502D7" w:rsidRPr="005D05BB">
        <w:t>overnment, noting that</w:t>
      </w:r>
      <w:r w:rsidRPr="005D05BB">
        <w:t xml:space="preserve"> different fees and mark-ups </w:t>
      </w:r>
      <w:r w:rsidR="003502D7" w:rsidRPr="005D05BB">
        <w:t xml:space="preserve">apply </w:t>
      </w:r>
      <w:r w:rsidRPr="005D05BB">
        <w:t xml:space="preserve">for </w:t>
      </w:r>
      <w:r w:rsidR="003502D7" w:rsidRPr="005D05BB">
        <w:t xml:space="preserve">IFX </w:t>
      </w:r>
      <w:r w:rsidRPr="005D05BB">
        <w:t xml:space="preserve">IV (S100) and </w:t>
      </w:r>
      <w:r w:rsidR="003502D7" w:rsidRPr="005D05BB">
        <w:t xml:space="preserve">IFX </w:t>
      </w:r>
      <w:r w:rsidRPr="005D05BB">
        <w:t>SC (S85)</w:t>
      </w:r>
      <w:r w:rsidR="00415864" w:rsidRPr="005D05BB">
        <w:rPr>
          <w:bCs/>
        </w:rPr>
        <w:t>.</w:t>
      </w:r>
    </w:p>
    <w:p w14:paraId="2337EC38" w14:textId="77777777" w:rsidR="004A1696" w:rsidRPr="0078124F" w:rsidRDefault="00B767BE" w:rsidP="0078124F">
      <w:pPr>
        <w:widowControl w:val="0"/>
        <w:numPr>
          <w:ilvl w:val="1"/>
          <w:numId w:val="1"/>
        </w:numPr>
        <w:spacing w:after="120"/>
        <w:rPr>
          <w:bCs/>
          <w:lang w:eastAsia="en-US"/>
        </w:rPr>
      </w:pPr>
      <w:r w:rsidRPr="005D05BB">
        <w:rPr>
          <w:rFonts w:asciiTheme="minorHAnsi" w:hAnsiTheme="minorHAnsi"/>
          <w:bCs/>
          <w:snapToGrid w:val="0"/>
        </w:rPr>
        <w:t xml:space="preserve">The PBAC considered that </w:t>
      </w:r>
      <w:r w:rsidR="001316EC">
        <w:rPr>
          <w:rFonts w:asciiTheme="minorHAnsi" w:hAnsiTheme="minorHAnsi"/>
          <w:bCs/>
          <w:snapToGrid w:val="0"/>
        </w:rPr>
        <w:t xml:space="preserve">the use of SC IFX was potentially </w:t>
      </w:r>
      <w:r w:rsidRPr="005D05BB">
        <w:t>underestimate</w:t>
      </w:r>
      <w:r w:rsidR="001316EC">
        <w:t>d</w:t>
      </w:r>
      <w:r w:rsidRPr="005D05BB">
        <w:t xml:space="preserve"> </w:t>
      </w:r>
      <w:r w:rsidR="001316EC">
        <w:t>due to</w:t>
      </w:r>
      <w:r w:rsidRPr="005D05BB">
        <w:t xml:space="preserve"> the </w:t>
      </w:r>
      <w:r w:rsidR="001316EC">
        <w:t>assumed</w:t>
      </w:r>
      <w:r w:rsidR="001316EC" w:rsidRPr="005D05BB">
        <w:t xml:space="preserve"> </w:t>
      </w:r>
      <w:r w:rsidRPr="005D05BB">
        <w:t>market growth, the projected uptake of IFX SC, and the Sponsor’s calculation of script relativity</w:t>
      </w:r>
      <w:r w:rsidR="005D05BB">
        <w:t xml:space="preserve">. </w:t>
      </w:r>
      <w:r w:rsidR="001316EC" w:rsidRPr="005D05BB">
        <w:rPr>
          <w:rFonts w:asciiTheme="minorHAnsi" w:hAnsiTheme="minorHAnsi"/>
          <w:bCs/>
          <w:snapToGrid w:val="0"/>
        </w:rPr>
        <w:t xml:space="preserve">The PBAC considered the </w:t>
      </w:r>
      <w:r w:rsidR="001316EC">
        <w:rPr>
          <w:rFonts w:asciiTheme="minorHAnsi" w:hAnsiTheme="minorHAnsi"/>
          <w:bCs/>
          <w:snapToGrid w:val="0"/>
        </w:rPr>
        <w:t>net cost to the PBS</w:t>
      </w:r>
      <w:r w:rsidR="001316EC" w:rsidRPr="005D05BB">
        <w:rPr>
          <w:rFonts w:asciiTheme="minorHAnsi" w:hAnsiTheme="minorHAnsi"/>
          <w:bCs/>
          <w:snapToGrid w:val="0"/>
        </w:rPr>
        <w:t xml:space="preserve"> for IFX SC to be overestimated due to the requested AEMP being higher than justified</w:t>
      </w:r>
      <w:r w:rsidR="001316EC">
        <w:rPr>
          <w:rFonts w:asciiTheme="minorHAnsi" w:hAnsiTheme="minorHAnsi"/>
          <w:bCs/>
          <w:snapToGrid w:val="0"/>
        </w:rPr>
        <w:t xml:space="preserve">. </w:t>
      </w:r>
      <w:r w:rsidR="003502D7" w:rsidRPr="005D05BB">
        <w:t>The PBAC considered that listing of IFX SC should not result in any additional cost to Government</w:t>
      </w:r>
      <w:r w:rsidR="0078124F">
        <w:rPr>
          <w:rFonts w:asciiTheme="minorHAnsi" w:hAnsiTheme="minorHAnsi"/>
          <w:bCs/>
          <w:snapToGrid w:val="0"/>
        </w:rPr>
        <w:t>.</w:t>
      </w:r>
      <w:r w:rsidR="000067C2">
        <w:rPr>
          <w:rFonts w:asciiTheme="minorHAnsi" w:hAnsiTheme="minorHAnsi"/>
          <w:bCs/>
          <w:snapToGrid w:val="0"/>
        </w:rPr>
        <w:t xml:space="preserve"> </w:t>
      </w:r>
      <w:r w:rsidR="000067C2" w:rsidRPr="003E34FC">
        <w:rPr>
          <w:rFonts w:asciiTheme="minorHAnsi" w:hAnsiTheme="minorHAnsi"/>
          <w:bCs/>
          <w:snapToGrid w:val="0"/>
        </w:rPr>
        <w:t xml:space="preserve">The PBAC noted that the financial estimates will </w:t>
      </w:r>
      <w:r w:rsidR="000067C2" w:rsidRPr="003E34FC">
        <w:t>need to be revised to take into account listing for</w:t>
      </w:r>
      <w:r w:rsidR="003E34FC" w:rsidRPr="003E34FC">
        <w:t xml:space="preserve"> the</w:t>
      </w:r>
      <w:r w:rsidR="000067C2" w:rsidRPr="003E34FC">
        <w:t xml:space="preserve"> </w:t>
      </w:r>
      <w:r w:rsidR="003E34FC" w:rsidRPr="003E34FC">
        <w:rPr>
          <w:rFonts w:cstheme="minorHAnsi"/>
        </w:rPr>
        <w:t>RA, UC and CD</w:t>
      </w:r>
      <w:r w:rsidR="000067C2" w:rsidRPr="003E34FC">
        <w:t xml:space="preserve"> indications only</w:t>
      </w:r>
      <w:r w:rsidR="003E34FC" w:rsidRPr="003E34FC">
        <w:t>.</w:t>
      </w:r>
    </w:p>
    <w:p w14:paraId="336DD5C5" w14:textId="77777777" w:rsidR="004A1696" w:rsidRPr="005D05BB" w:rsidRDefault="004A1696" w:rsidP="004A1696">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 xml:space="preserve">The PBAC recommended that the Early Supply Rule should apply. </w:t>
      </w:r>
    </w:p>
    <w:p w14:paraId="17AEAD9A" w14:textId="77777777" w:rsidR="004A1696" w:rsidRPr="005D05BB" w:rsidRDefault="004A1696" w:rsidP="004A1696">
      <w:pPr>
        <w:pStyle w:val="3-BodyText"/>
        <w:rPr>
          <w:bCs/>
        </w:rPr>
      </w:pPr>
      <w:r w:rsidRPr="005D05BB">
        <w:rPr>
          <w:bCs/>
        </w:rPr>
        <w:lastRenderedPageBreak/>
        <w:t xml:space="preserve">The PBAC noted that its recommendation was on a cost-minimisation basis and advised that, because </w:t>
      </w:r>
      <w:r w:rsidR="00346C2C" w:rsidRPr="005D05BB">
        <w:rPr>
          <w:bCs/>
        </w:rPr>
        <w:t>IFX</w:t>
      </w:r>
      <w:r w:rsidRPr="005D05BB">
        <w:rPr>
          <w:bCs/>
        </w:rPr>
        <w:t xml:space="preserve"> SC is not expected to provide a substantial and clinically relevant improvement in efficacy, or reduction of toxicity, over </w:t>
      </w:r>
      <w:r w:rsidR="00346C2C" w:rsidRPr="005D05BB">
        <w:rPr>
          <w:bCs/>
        </w:rPr>
        <w:t>IFX</w:t>
      </w:r>
      <w:r w:rsidRPr="005D05BB">
        <w:rPr>
          <w:bCs/>
        </w:rPr>
        <w:t xml:space="preserve"> IV, or not expected to address a high and urgent unmet clinical need given the presence of an alternative therapy, the criteria prescribed by the </w:t>
      </w:r>
      <w:r w:rsidRPr="00BB7FA0">
        <w:rPr>
          <w:bCs/>
          <w:i/>
        </w:rPr>
        <w:t>National Health (Pharmaceuticals and Vaccines – Cost Recovery) Regulations 2009</w:t>
      </w:r>
      <w:r w:rsidRPr="005D05BB">
        <w:rPr>
          <w:bCs/>
        </w:rPr>
        <w:t xml:space="preserve"> for Pricing Pathway A were not met.</w:t>
      </w:r>
    </w:p>
    <w:p w14:paraId="2346A7EA" w14:textId="77777777" w:rsidR="004A1696" w:rsidRPr="005D05BB" w:rsidRDefault="004A1696" w:rsidP="004A1696">
      <w:pPr>
        <w:widowControl w:val="0"/>
        <w:numPr>
          <w:ilvl w:val="1"/>
          <w:numId w:val="1"/>
        </w:numPr>
        <w:spacing w:after="120"/>
        <w:rPr>
          <w:rFonts w:asciiTheme="minorHAnsi" w:hAnsiTheme="minorHAnsi"/>
          <w:bCs/>
          <w:snapToGrid w:val="0"/>
        </w:rPr>
      </w:pPr>
      <w:r w:rsidRPr="005D05BB">
        <w:rPr>
          <w:rFonts w:asciiTheme="minorHAnsi" w:hAnsiTheme="minorHAnsi"/>
          <w:bCs/>
          <w:snapToGrid w:val="0"/>
        </w:rPr>
        <w:t xml:space="preserve">The PBAC advised that </w:t>
      </w:r>
      <w:r w:rsidR="00346C2C" w:rsidRPr="005D05BB">
        <w:rPr>
          <w:rFonts w:asciiTheme="minorHAnsi" w:hAnsiTheme="minorHAnsi"/>
          <w:bCs/>
          <w:snapToGrid w:val="0"/>
        </w:rPr>
        <w:t>IFX</w:t>
      </w:r>
      <w:r w:rsidRPr="005D05BB">
        <w:rPr>
          <w:rFonts w:asciiTheme="minorHAnsi" w:hAnsiTheme="minorHAnsi"/>
          <w:bCs/>
          <w:snapToGrid w:val="0"/>
        </w:rPr>
        <w:t xml:space="preserve"> SC is not suitable for prescribing by nurse practitioners.</w:t>
      </w:r>
    </w:p>
    <w:p w14:paraId="68A493F9" w14:textId="77777777" w:rsidR="004A1696" w:rsidRPr="005D05BB" w:rsidRDefault="004A1696" w:rsidP="004A1696">
      <w:pPr>
        <w:widowControl w:val="0"/>
        <w:numPr>
          <w:ilvl w:val="1"/>
          <w:numId w:val="1"/>
        </w:numPr>
        <w:spacing w:after="120"/>
        <w:rPr>
          <w:rFonts w:asciiTheme="minorHAnsi" w:hAnsiTheme="minorHAnsi"/>
          <w:bCs/>
          <w:snapToGrid w:val="0"/>
        </w:rPr>
      </w:pPr>
      <w:r w:rsidRPr="005D05BB">
        <w:t>The PBAC noted that this submission is not eligible for an Independent Review as it received a positive recommendation</w:t>
      </w:r>
      <w:r w:rsidRPr="005D05BB">
        <w:rPr>
          <w:rFonts w:asciiTheme="minorHAnsi" w:hAnsiTheme="minorHAnsi"/>
          <w:bCs/>
          <w:snapToGrid w:val="0"/>
        </w:rPr>
        <w:t>.</w:t>
      </w:r>
    </w:p>
    <w:p w14:paraId="0CCD9ABE" w14:textId="77777777" w:rsidR="004A1696" w:rsidRPr="005D05BB" w:rsidRDefault="004A1696" w:rsidP="00115BDD">
      <w:pPr>
        <w:keepNext/>
        <w:keepLines/>
        <w:spacing w:before="240"/>
        <w:rPr>
          <w:rFonts w:asciiTheme="minorHAnsi" w:hAnsiTheme="minorHAnsi"/>
          <w:b/>
          <w:bCs/>
          <w:snapToGrid w:val="0"/>
        </w:rPr>
      </w:pPr>
      <w:r w:rsidRPr="005D05BB">
        <w:rPr>
          <w:rFonts w:asciiTheme="minorHAnsi" w:hAnsiTheme="minorHAnsi"/>
          <w:b/>
          <w:bCs/>
          <w:snapToGrid w:val="0"/>
        </w:rPr>
        <w:t>Outcome:</w:t>
      </w:r>
    </w:p>
    <w:p w14:paraId="46B611FC" w14:textId="77777777" w:rsidR="004A1696" w:rsidRPr="00E421E0" w:rsidRDefault="004A1696" w:rsidP="00E421E0">
      <w:pPr>
        <w:keepNext/>
        <w:keepLines/>
        <w:rPr>
          <w:rFonts w:asciiTheme="minorHAnsi" w:hAnsiTheme="minorHAnsi"/>
          <w:bCs/>
          <w:snapToGrid w:val="0"/>
        </w:rPr>
      </w:pPr>
      <w:r w:rsidRPr="005D05BB">
        <w:rPr>
          <w:rFonts w:asciiTheme="minorHAnsi" w:hAnsiTheme="minorHAnsi"/>
          <w:bCs/>
          <w:snapToGrid w:val="0"/>
        </w:rPr>
        <w:t>Recommended</w:t>
      </w:r>
    </w:p>
    <w:p w14:paraId="51DCDBC5" w14:textId="77777777" w:rsidR="00D432E3" w:rsidRPr="005D05BB" w:rsidRDefault="00D432E3" w:rsidP="00D432E3">
      <w:pPr>
        <w:pStyle w:val="2-SectionHeading"/>
      </w:pPr>
      <w:r w:rsidRPr="005D05BB">
        <w:t>Recommended listing</w:t>
      </w:r>
    </w:p>
    <w:p w14:paraId="20E7EBA3" w14:textId="77777777" w:rsidR="004152FB" w:rsidRPr="005D05BB" w:rsidRDefault="00D432E3" w:rsidP="004152FB">
      <w:pPr>
        <w:widowControl w:val="0"/>
        <w:numPr>
          <w:ilvl w:val="1"/>
          <w:numId w:val="1"/>
        </w:numPr>
        <w:spacing w:after="120"/>
        <w:rPr>
          <w:rFonts w:asciiTheme="minorHAnsi" w:hAnsiTheme="minorHAnsi"/>
          <w:b/>
          <w:bCs/>
          <w:snapToGrid w:val="0"/>
        </w:rPr>
      </w:pPr>
      <w:r w:rsidRPr="005D05BB">
        <w:rPr>
          <w:rFonts w:asciiTheme="minorHAnsi" w:hAnsiTheme="minorHAnsi"/>
          <w:bCs/>
          <w:snapToGrid w:val="0"/>
        </w:rPr>
        <w:t>Add new item:</w:t>
      </w:r>
    </w:p>
    <w:p w14:paraId="7C47823C" w14:textId="77777777" w:rsidR="00F122E0" w:rsidRDefault="008A6B2A" w:rsidP="00F122E0">
      <w:pPr>
        <w:jc w:val="left"/>
        <w:rPr>
          <w:rFonts w:asciiTheme="minorHAnsi" w:hAnsiTheme="minorHAnsi"/>
          <w:bCs/>
          <w:snapToGrid w:val="0"/>
        </w:rPr>
      </w:pPr>
      <w:r>
        <w:rPr>
          <w:rFonts w:ascii="Arial Narrow" w:hAnsi="Arial Narrow"/>
          <w:b/>
          <w:sz w:val="18"/>
          <w:szCs w:val="18"/>
          <w:lang w:val="en-GB"/>
        </w:rPr>
        <w:t>Severe active rheumatoid arthritis (severe active RA)</w:t>
      </w:r>
    </w:p>
    <w:p w14:paraId="5E5C3693" w14:textId="77777777" w:rsidR="00F122E0" w:rsidRPr="008A6B2A" w:rsidRDefault="00F122E0" w:rsidP="00F122E0">
      <w:pPr>
        <w:rPr>
          <w:rFonts w:ascii="Arial Narrow" w:hAnsi="Arial Narrow" w:cstheme="minorHAnsi"/>
          <w:b/>
          <w:sz w:val="18"/>
          <w:szCs w:val="18"/>
          <w:u w:val="single"/>
        </w:rPr>
      </w:pPr>
      <w:r>
        <w:rPr>
          <w:rFonts w:ascii="Arial Narrow" w:hAnsi="Arial Narrow" w:cstheme="minorHAnsi"/>
          <w:b/>
          <w:sz w:val="18"/>
          <w:szCs w:val="18"/>
          <w:u w:val="single"/>
        </w:rPr>
        <w:t>Initial treatment, continuing treatment restrict</w:t>
      </w:r>
      <w:r w:rsidR="008A6B2A">
        <w:rPr>
          <w:rFonts w:ascii="Arial Narrow" w:hAnsi="Arial Narrow" w:cstheme="minorHAnsi"/>
          <w:b/>
          <w:sz w:val="18"/>
          <w:szCs w:val="18"/>
          <w:u w:val="single"/>
        </w:rPr>
        <w:t>ions and balance of supply</w:t>
      </w:r>
    </w:p>
    <w:p w14:paraId="12A68C22" w14:textId="77777777" w:rsidR="00F122E0" w:rsidRDefault="00F122E0" w:rsidP="00F122E0">
      <w:pPr>
        <w:jc w:val="left"/>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70CEA7B8"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1A5AA8F4"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23105FC0"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46360AB0"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2244D5C9"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45CA3D50"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7A9EEFDD"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3E64EE44"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41157FA5"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6B3D1B32"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43052253"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370293F5"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78F2F49E"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1B9F50B4"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49E7D43E" w14:textId="77777777" w:rsidR="00F122E0" w:rsidRPr="00BB385C" w:rsidRDefault="00F122E0" w:rsidP="00BB385C">
            <w:pPr>
              <w:keepNext/>
              <w:ind w:left="-108"/>
              <w:jc w:val="center"/>
              <w:rPr>
                <w:rFonts w:ascii="Arial Narrow" w:hAnsi="Arial Narrow"/>
                <w:sz w:val="18"/>
                <w:szCs w:val="18"/>
              </w:rPr>
            </w:pPr>
            <w:r w:rsidRPr="00BB385C">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5DC639F8"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18AACB11"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61EB4351"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22494D12"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711E6169"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358BE9FD"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39C57AA"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2FDBFCE9" w14:textId="77777777" w:rsidR="00F122E0" w:rsidRPr="00BB385C" w:rsidRDefault="00F122E0" w:rsidP="00BB385C">
            <w:pPr>
              <w:keepNext/>
              <w:ind w:left="-108"/>
              <w:jc w:val="center"/>
              <w:rPr>
                <w:rFonts w:ascii="Arial Narrow" w:hAnsi="Arial Narrow"/>
                <w:sz w:val="18"/>
                <w:szCs w:val="18"/>
              </w:rPr>
            </w:pPr>
            <w:r w:rsidRPr="00BB385C">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25823C8E"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1059D91F"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p w14:paraId="19825817" w14:textId="77777777" w:rsidR="00F122E0" w:rsidRDefault="00F122E0" w:rsidP="00F122E0">
      <w:pPr>
        <w:rPr>
          <w:rFonts w:ascii="Arial Narrow" w:hAnsi="Arial Narrow"/>
          <w:b/>
          <w:sz w:val="18"/>
          <w:szCs w:val="18"/>
          <w:lang w:val="en-GB"/>
        </w:rPr>
      </w:pPr>
    </w:p>
    <w:p w14:paraId="387A1FC8" w14:textId="77777777" w:rsidR="00F122E0" w:rsidRDefault="00F122E0" w:rsidP="00F122E0">
      <w:pPr>
        <w:rPr>
          <w:rFonts w:ascii="Arial Narrow" w:hAnsi="Arial Narrow"/>
          <w:b/>
          <w:sz w:val="18"/>
          <w:szCs w:val="18"/>
          <w:lang w:val="en-GB"/>
        </w:rPr>
      </w:pPr>
    </w:p>
    <w:p w14:paraId="402202B0" w14:textId="77777777" w:rsidR="00993E4F" w:rsidRDefault="00993E4F">
      <w:r>
        <w:br w:type="page"/>
      </w:r>
    </w:p>
    <w:tbl>
      <w:tblPr>
        <w:tblW w:w="5000" w:type="pct"/>
        <w:tblLook w:val="04A0" w:firstRow="1" w:lastRow="0" w:firstColumn="1" w:lastColumn="0" w:noHBand="0" w:noVBand="1"/>
      </w:tblPr>
      <w:tblGrid>
        <w:gridCol w:w="9017"/>
      </w:tblGrid>
      <w:tr w:rsidR="00295470" w:rsidRPr="000E445F" w14:paraId="402D5E08"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73CDFB44" w14:textId="77777777" w:rsidR="00295470" w:rsidRPr="005934EC" w:rsidRDefault="00295470" w:rsidP="00BB385C">
            <w:pPr>
              <w:pStyle w:val="KMC16-Tablecontent"/>
              <w:spacing w:before="0" w:after="0"/>
              <w:rPr>
                <w:b/>
                <w:sz w:val="18"/>
                <w:szCs w:val="18"/>
              </w:rPr>
            </w:pPr>
            <w:r w:rsidRPr="00BA5687">
              <w:rPr>
                <w:b/>
                <w:sz w:val="18"/>
                <w:szCs w:val="18"/>
              </w:rPr>
              <w:lastRenderedPageBreak/>
              <w:t>Category / Program:</w:t>
            </w:r>
            <w:r>
              <w:rPr>
                <w:b/>
                <w:sz w:val="18"/>
                <w:szCs w:val="18"/>
              </w:rPr>
              <w:t xml:space="preserve"> </w:t>
            </w:r>
            <w:r>
              <w:rPr>
                <w:rFonts w:cstheme="minorBidi"/>
                <w:sz w:val="18"/>
                <w:szCs w:val="18"/>
              </w:rPr>
              <w:t>General Schedule</w:t>
            </w:r>
          </w:p>
        </w:tc>
      </w:tr>
      <w:tr w:rsidR="00295470" w:rsidRPr="000E445F" w14:paraId="0A808A8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277D3C57" w14:textId="77777777" w:rsidR="00295470" w:rsidRPr="00332B5A" w:rsidRDefault="00295470" w:rsidP="00BB385C">
            <w:pPr>
              <w:pStyle w:val="KMC16-Tablecontent"/>
              <w:spacing w:before="0" w:after="0"/>
              <w:rPr>
                <w:b/>
                <w:sz w:val="18"/>
                <w:szCs w:val="18"/>
              </w:rPr>
            </w:pPr>
            <w:r w:rsidRPr="00BA5687">
              <w:rPr>
                <w:b/>
                <w:sz w:val="18"/>
                <w:szCs w:val="18"/>
              </w:rPr>
              <w:t>Prescriber type:</w:t>
            </w:r>
            <w:r>
              <w:rPr>
                <w:b/>
                <w:sz w:val="18"/>
                <w:szCs w:val="18"/>
              </w:rPr>
              <w:t xml:space="preserve"> </w:t>
            </w:r>
            <w:r w:rsidRPr="000E445F">
              <w:rPr>
                <w:sz w:val="18"/>
                <w:szCs w:val="18"/>
              </w:rPr>
              <w:fldChar w:fldCharType="begin">
                <w:ffData>
                  <w:name w:val="Check1"/>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Dental  </w:t>
            </w:r>
            <w:r w:rsidRPr="000E445F">
              <w:rPr>
                <w:sz w:val="18"/>
                <w:szCs w:val="18"/>
              </w:rPr>
              <w:fldChar w:fldCharType="begin">
                <w:ffData>
                  <w:name w:val=""/>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Medical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Nurse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Optometrists</w:t>
            </w:r>
            <w:r>
              <w:rPr>
                <w:sz w:val="18"/>
                <w:szCs w:val="18"/>
              </w:rPr>
              <w:t xml:space="preserve"> </w:t>
            </w:r>
            <w:r w:rsidRPr="000E445F">
              <w:rPr>
                <w:sz w:val="18"/>
                <w:szCs w:val="18"/>
              </w:rPr>
              <w:fldChar w:fldCharType="begin">
                <w:ffData>
                  <w:name w:val="Check5"/>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Midwives</w:t>
            </w:r>
          </w:p>
        </w:tc>
      </w:tr>
      <w:tr w:rsidR="00295470" w:rsidRPr="000E445F" w14:paraId="58D98B49"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04E59D9" w14:textId="77777777" w:rsidR="00295470" w:rsidRPr="00BB385C" w:rsidRDefault="00295470" w:rsidP="00BB385C">
            <w:pPr>
              <w:pStyle w:val="KMC16-Tablecontent"/>
              <w:spacing w:before="0" w:after="0"/>
              <w:rPr>
                <w:sz w:val="18"/>
                <w:szCs w:val="18"/>
              </w:rPr>
            </w:pPr>
            <w:r w:rsidRPr="00BB385C">
              <w:rPr>
                <w:b/>
                <w:sz w:val="18"/>
                <w:szCs w:val="18"/>
              </w:rPr>
              <w:t xml:space="preserve">Restriction Method: </w:t>
            </w:r>
            <w:r w:rsidRPr="00BB385C">
              <w:rPr>
                <w:sz w:val="18"/>
                <w:szCs w:val="18"/>
              </w:rPr>
              <w:fldChar w:fldCharType="begin">
                <w:ffData>
                  <w:name w:val="Check5"/>
                  <w:enabled/>
                  <w:calcOnExit w:val="0"/>
                  <w:checkBox>
                    <w:sizeAuto/>
                    <w:default w:val="1"/>
                  </w:checkBox>
                </w:ffData>
              </w:fldChar>
            </w:r>
            <w:r w:rsidRPr="00BB385C">
              <w:rPr>
                <w:sz w:val="18"/>
                <w:szCs w:val="18"/>
              </w:rPr>
              <w:instrText xml:space="preserve"> FORMCHECKBOX </w:instrText>
            </w:r>
            <w:r w:rsidR="00E515FB">
              <w:rPr>
                <w:sz w:val="18"/>
                <w:szCs w:val="18"/>
              </w:rPr>
            </w:r>
            <w:r w:rsidR="00E515FB">
              <w:rPr>
                <w:sz w:val="18"/>
                <w:szCs w:val="18"/>
              </w:rPr>
              <w:fldChar w:fldCharType="separate"/>
            </w:r>
            <w:r w:rsidRPr="00BB385C">
              <w:rPr>
                <w:sz w:val="18"/>
                <w:szCs w:val="18"/>
              </w:rPr>
              <w:fldChar w:fldCharType="end"/>
            </w:r>
            <w:r w:rsidRPr="00BB385C">
              <w:rPr>
                <w:sz w:val="18"/>
                <w:szCs w:val="18"/>
              </w:rPr>
              <w:t xml:space="preserve">Authority Required – </w:t>
            </w:r>
            <w:r w:rsidRPr="00BB385C">
              <w:rPr>
                <w:bCs/>
                <w:sz w:val="18"/>
                <w:szCs w:val="18"/>
              </w:rPr>
              <w:t>non-immediate/delayed assessment by Services Australia (in-writing only via mail/postal service or electronic upload to Hobart)</w:t>
            </w:r>
          </w:p>
        </w:tc>
      </w:tr>
      <w:tr w:rsidR="00295470" w:rsidRPr="000E445F" w14:paraId="0D7BB63E"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CC144DE" w14:textId="77777777" w:rsidR="00295470" w:rsidRPr="000E445F" w:rsidRDefault="00295470" w:rsidP="00BB385C">
            <w:pPr>
              <w:pStyle w:val="KMC16-Tablecontent"/>
              <w:spacing w:before="0" w:after="0"/>
              <w:rPr>
                <w:rFonts w:cs="Times New Roman"/>
                <w:sz w:val="18"/>
                <w:szCs w:val="18"/>
              </w:rPr>
            </w:pPr>
            <w:r w:rsidRPr="00BA5687">
              <w:rPr>
                <w:b/>
                <w:sz w:val="18"/>
                <w:szCs w:val="18"/>
              </w:rPr>
              <w:t>Severity:</w:t>
            </w:r>
            <w:r>
              <w:rPr>
                <w:b/>
                <w:sz w:val="18"/>
                <w:szCs w:val="18"/>
              </w:rPr>
              <w:t xml:space="preserve"> </w:t>
            </w:r>
            <w:r w:rsidRPr="000E445F">
              <w:rPr>
                <w:rFonts w:cs="Times New Roman"/>
                <w:sz w:val="18"/>
                <w:szCs w:val="18"/>
              </w:rPr>
              <w:t>Severe active</w:t>
            </w:r>
          </w:p>
        </w:tc>
      </w:tr>
      <w:tr w:rsidR="00295470" w:rsidRPr="000E445F" w14:paraId="6D04293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E0B27D6" w14:textId="77777777" w:rsidR="00295470" w:rsidRPr="000E445F" w:rsidRDefault="00295470" w:rsidP="00BB385C">
            <w:pPr>
              <w:rPr>
                <w:rFonts w:ascii="Arial Narrow" w:hAnsi="Arial Narrow" w:cstheme="minorBidi"/>
                <w:color w:val="222222"/>
                <w:sz w:val="18"/>
                <w:szCs w:val="18"/>
              </w:rPr>
            </w:pPr>
            <w:r w:rsidRPr="00332B5A">
              <w:rPr>
                <w:rFonts w:ascii="Arial Narrow" w:hAnsi="Arial Narrow"/>
                <w:b/>
                <w:sz w:val="18"/>
                <w:szCs w:val="18"/>
              </w:rPr>
              <w:t>Condition:</w:t>
            </w:r>
            <w:r>
              <w:rPr>
                <w:b/>
                <w:sz w:val="18"/>
                <w:szCs w:val="18"/>
              </w:rPr>
              <w:t xml:space="preserve"> </w:t>
            </w:r>
            <w:r w:rsidRPr="000E445F">
              <w:rPr>
                <w:rFonts w:ascii="Arial Narrow" w:hAnsi="Arial Narrow"/>
                <w:color w:val="222222"/>
                <w:sz w:val="18"/>
                <w:szCs w:val="18"/>
              </w:rPr>
              <w:t>rheumatoid arthritis</w:t>
            </w:r>
          </w:p>
        </w:tc>
      </w:tr>
      <w:tr w:rsidR="00295470" w:rsidRPr="000E445F" w14:paraId="775E47B6"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3AEE399" w14:textId="77777777" w:rsidR="00295470" w:rsidRPr="00386B77" w:rsidRDefault="00295470" w:rsidP="00BB385C">
            <w:pPr>
              <w:pStyle w:val="KMC16-Tablecontent"/>
              <w:spacing w:before="0" w:after="0"/>
              <w:rPr>
                <w:sz w:val="18"/>
                <w:szCs w:val="18"/>
              </w:rPr>
            </w:pPr>
            <w:r w:rsidRPr="00BA5687">
              <w:rPr>
                <w:b/>
                <w:sz w:val="18"/>
                <w:szCs w:val="18"/>
              </w:rPr>
              <w:t>PBS Indication:</w:t>
            </w:r>
            <w:r>
              <w:rPr>
                <w:b/>
                <w:sz w:val="18"/>
                <w:szCs w:val="18"/>
              </w:rPr>
              <w:t xml:space="preserve"> </w:t>
            </w:r>
            <w:r w:rsidRPr="00386B77">
              <w:rPr>
                <w:rFonts w:cs="Times New Roman"/>
                <w:sz w:val="18"/>
                <w:szCs w:val="18"/>
              </w:rPr>
              <w:t>Severe active rheumatoid arthritis</w:t>
            </w:r>
          </w:p>
        </w:tc>
      </w:tr>
      <w:tr w:rsidR="00295470" w:rsidRPr="000E445F" w14:paraId="355ABE4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6F1F6DE" w14:textId="77777777" w:rsidR="00295470" w:rsidRDefault="00295470" w:rsidP="00BB385C">
            <w:pPr>
              <w:pStyle w:val="KMC16-Tablecontent"/>
              <w:spacing w:before="0" w:after="0"/>
              <w:rPr>
                <w:b/>
                <w:sz w:val="18"/>
                <w:szCs w:val="18"/>
              </w:rPr>
            </w:pPr>
            <w:r w:rsidRPr="000A057A">
              <w:rPr>
                <w:b/>
                <w:sz w:val="18"/>
                <w:szCs w:val="18"/>
              </w:rPr>
              <w:t>Treatment criteria:</w:t>
            </w:r>
            <w:r>
              <w:rPr>
                <w:b/>
                <w:sz w:val="18"/>
                <w:szCs w:val="18"/>
              </w:rPr>
              <w:t xml:space="preserve"> </w:t>
            </w:r>
          </w:p>
          <w:p w14:paraId="3B989643" w14:textId="77777777" w:rsidR="00295470" w:rsidRPr="000E445F" w:rsidRDefault="00295470" w:rsidP="00BB385C">
            <w:pPr>
              <w:pStyle w:val="KMC16-Tablecontent"/>
              <w:spacing w:before="0" w:after="0"/>
              <w:rPr>
                <w:sz w:val="18"/>
                <w:szCs w:val="18"/>
              </w:rPr>
            </w:pPr>
            <w:r w:rsidRPr="000E445F">
              <w:rPr>
                <w:sz w:val="18"/>
                <w:szCs w:val="18"/>
              </w:rPr>
              <w:t>Must be treated by a rheumatologist; OR</w:t>
            </w:r>
          </w:p>
          <w:p w14:paraId="67C96CAB" w14:textId="77777777" w:rsidR="00295470" w:rsidRPr="00386B77" w:rsidRDefault="00295470" w:rsidP="00BB385C">
            <w:pPr>
              <w:pStyle w:val="KMC16-Tablecontent"/>
              <w:spacing w:before="0" w:after="0"/>
              <w:rPr>
                <w:rFonts w:cs="Times New Roman"/>
                <w:sz w:val="18"/>
                <w:szCs w:val="18"/>
              </w:rPr>
            </w:pPr>
            <w:r w:rsidRPr="000E445F">
              <w:rPr>
                <w:sz w:val="18"/>
                <w:szCs w:val="18"/>
              </w:rPr>
              <w:t>Must be treated by a clinical immunologist with expertise in the management of rheumatoid arthritis.</w:t>
            </w:r>
          </w:p>
        </w:tc>
      </w:tr>
      <w:tr w:rsidR="00295470" w:rsidRPr="000E445F" w14:paraId="2EF3BFEA"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54281AE" w14:textId="77777777" w:rsidR="00295470" w:rsidRPr="00BB385C" w:rsidRDefault="00295470" w:rsidP="00BB385C">
            <w:pPr>
              <w:pStyle w:val="KMC16-Tablecontent"/>
              <w:spacing w:after="0"/>
              <w:rPr>
                <w:b/>
                <w:sz w:val="18"/>
                <w:szCs w:val="18"/>
              </w:rPr>
            </w:pPr>
            <w:r w:rsidRPr="00BB385C">
              <w:rPr>
                <w:b/>
                <w:sz w:val="18"/>
                <w:szCs w:val="18"/>
              </w:rPr>
              <w:t>Treatment Phase: Initial treatment with subcutaneous form at weeks 6, 8, 10, 12, 14 and</w:t>
            </w:r>
            <w:r>
              <w:rPr>
                <w:b/>
                <w:sz w:val="18"/>
                <w:szCs w:val="18"/>
              </w:rPr>
              <w:t xml:space="preserve"> </w:t>
            </w:r>
            <w:r w:rsidRPr="00BB385C">
              <w:rPr>
                <w:b/>
                <w:sz w:val="18"/>
                <w:szCs w:val="18"/>
              </w:rPr>
              <w:t>16</w:t>
            </w:r>
          </w:p>
          <w:p w14:paraId="1375F2E4" w14:textId="77777777" w:rsidR="00295470" w:rsidRPr="000A057A" w:rsidRDefault="00295470" w:rsidP="00BB385C">
            <w:pPr>
              <w:pStyle w:val="KMC16-Tablecontent"/>
              <w:spacing w:after="0"/>
              <w:rPr>
                <w:b/>
                <w:sz w:val="18"/>
                <w:szCs w:val="18"/>
              </w:rPr>
            </w:pPr>
          </w:p>
        </w:tc>
      </w:tr>
      <w:tr w:rsidR="00295470" w:rsidRPr="000E445F" w14:paraId="0453FE6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816387E" w14:textId="77777777" w:rsidR="00295470" w:rsidRPr="00BB385C" w:rsidRDefault="00295470" w:rsidP="00BB385C">
            <w:pPr>
              <w:pStyle w:val="KMC16-Tablecontent"/>
              <w:spacing w:after="0"/>
              <w:rPr>
                <w:b/>
                <w:sz w:val="18"/>
                <w:szCs w:val="18"/>
              </w:rPr>
            </w:pPr>
            <w:r w:rsidRPr="00BB385C">
              <w:rPr>
                <w:b/>
                <w:sz w:val="18"/>
                <w:szCs w:val="18"/>
              </w:rPr>
              <w:t xml:space="preserve">Clinical criteria: </w:t>
            </w:r>
          </w:p>
          <w:p w14:paraId="6782145C" w14:textId="77777777" w:rsidR="00295470" w:rsidRPr="00BB385C" w:rsidRDefault="00295470" w:rsidP="00BB385C">
            <w:pPr>
              <w:pStyle w:val="KMC16-Tablecontent"/>
              <w:spacing w:after="0"/>
              <w:rPr>
                <w:sz w:val="18"/>
                <w:szCs w:val="18"/>
              </w:rPr>
            </w:pPr>
            <w:r w:rsidRPr="00BB385C">
              <w:rPr>
                <w:sz w:val="18"/>
                <w:szCs w:val="18"/>
              </w:rPr>
              <w:t>Patient must have received 2 intravenous infusions with this drug for this condition at weeks 0 and 2 under Initial 1 (new patient); OR</w:t>
            </w:r>
          </w:p>
        </w:tc>
      </w:tr>
      <w:tr w:rsidR="00295470" w:rsidRPr="000E445F" w14:paraId="226C67B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553FF0D" w14:textId="77777777" w:rsidR="00295470" w:rsidRPr="00BB385C" w:rsidRDefault="00295470" w:rsidP="00BB385C">
            <w:pPr>
              <w:pStyle w:val="KMC16-Tablecontent"/>
              <w:spacing w:after="0"/>
              <w:rPr>
                <w:sz w:val="18"/>
                <w:szCs w:val="18"/>
              </w:rPr>
            </w:pPr>
            <w:r w:rsidRPr="00BB385C">
              <w:rPr>
                <w:sz w:val="18"/>
                <w:szCs w:val="18"/>
              </w:rPr>
              <w:t>Patient must have received 2 intravenous infusions with this drug for this condition at weeks 0 and 2 under Initial 2 (</w:t>
            </w:r>
            <w:r w:rsidRPr="00BB385C">
              <w:rPr>
                <w:sz w:val="18"/>
                <w:szCs w:val="18"/>
                <w:lang w:val="en-AU"/>
              </w:rPr>
              <w:t>change or re-commencement of treatment after a break in biological medicine of less than 24 months); OR</w:t>
            </w:r>
          </w:p>
        </w:tc>
      </w:tr>
      <w:tr w:rsidR="00295470" w:rsidRPr="000E445F" w14:paraId="3CE4066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3D2E691" w14:textId="77777777" w:rsidR="00295470" w:rsidRPr="00BB385C" w:rsidRDefault="00295470" w:rsidP="00BB385C">
            <w:pPr>
              <w:pStyle w:val="KMC16-Tablecontent"/>
              <w:spacing w:after="0"/>
              <w:rPr>
                <w:sz w:val="18"/>
                <w:szCs w:val="18"/>
              </w:rPr>
            </w:pPr>
            <w:r w:rsidRPr="00BB385C">
              <w:rPr>
                <w:sz w:val="18"/>
                <w:szCs w:val="18"/>
              </w:rPr>
              <w:t>Patient must have received 2 intravenous infusions with this drug for this condition at weeks 0 and 2 under Initial 3 (recommencement of treatment after a break in biological medicine of more than 5 years)</w:t>
            </w:r>
          </w:p>
        </w:tc>
      </w:tr>
      <w:tr w:rsidR="00295470" w:rsidRPr="000E445F" w14:paraId="0F9B8C25"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12D70420" w14:textId="77777777" w:rsidR="00295470" w:rsidRPr="00BB385C" w:rsidRDefault="00295470" w:rsidP="00BB385C">
            <w:pPr>
              <w:pStyle w:val="KMC16-Tablecontent"/>
              <w:spacing w:after="0"/>
              <w:rPr>
                <w:b/>
                <w:sz w:val="18"/>
                <w:szCs w:val="18"/>
              </w:rPr>
            </w:pPr>
            <w:r w:rsidRPr="00BB385C">
              <w:rPr>
                <w:b/>
                <w:sz w:val="18"/>
                <w:szCs w:val="18"/>
              </w:rPr>
              <w:t>AND</w:t>
            </w:r>
          </w:p>
          <w:p w14:paraId="5DC5FD84" w14:textId="77777777" w:rsidR="00295470" w:rsidRPr="00BB385C" w:rsidRDefault="00295470" w:rsidP="00BB385C">
            <w:pPr>
              <w:pStyle w:val="KMC16-Tablecontent"/>
              <w:spacing w:after="0"/>
              <w:rPr>
                <w:sz w:val="18"/>
                <w:szCs w:val="18"/>
              </w:rPr>
            </w:pPr>
            <w:r w:rsidRPr="00BB385C">
              <w:rPr>
                <w:sz w:val="18"/>
                <w:szCs w:val="18"/>
              </w:rPr>
              <w:t>The treatment must be given concomitantly with methotrexate at a dose of at least 7.5 mg weekly</w:t>
            </w:r>
          </w:p>
        </w:tc>
      </w:tr>
      <w:tr w:rsidR="00295470" w:rsidRPr="00D551A5" w14:paraId="4D542D3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5C1D17" w14:textId="77777777" w:rsidR="00295470" w:rsidRPr="00BB385C" w:rsidRDefault="00295470" w:rsidP="00BB385C">
            <w:pPr>
              <w:pStyle w:val="KMC16-Tablecontent"/>
              <w:spacing w:after="0"/>
              <w:rPr>
                <w:b/>
                <w:sz w:val="18"/>
                <w:szCs w:val="18"/>
              </w:rPr>
            </w:pPr>
            <w:r w:rsidRPr="00BB385C">
              <w:rPr>
                <w:b/>
                <w:sz w:val="18"/>
                <w:szCs w:val="18"/>
              </w:rPr>
              <w:t>Population criteria:</w:t>
            </w:r>
          </w:p>
          <w:p w14:paraId="31D4D74B" w14:textId="77777777" w:rsidR="00295470" w:rsidRPr="00BB385C" w:rsidRDefault="00295470" w:rsidP="00BB385C">
            <w:pPr>
              <w:pStyle w:val="KMC16-Tablecontent"/>
              <w:rPr>
                <w:sz w:val="18"/>
                <w:szCs w:val="18"/>
              </w:rPr>
            </w:pPr>
            <w:r w:rsidRPr="00BB385C">
              <w:rPr>
                <w:sz w:val="18"/>
                <w:szCs w:val="18"/>
              </w:rPr>
              <w:t>Patient must be aged 18 years or older</w:t>
            </w:r>
          </w:p>
        </w:tc>
      </w:tr>
      <w:tr w:rsidR="00295470" w:rsidRPr="000E445F" w14:paraId="72597AA6"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1577012" w14:textId="77777777" w:rsidR="00295470" w:rsidRPr="00BB385C" w:rsidRDefault="00295470" w:rsidP="00BB385C">
            <w:pPr>
              <w:pStyle w:val="KMC16-Tablecontent"/>
              <w:rPr>
                <w:b/>
                <w:sz w:val="18"/>
                <w:szCs w:val="18"/>
              </w:rPr>
            </w:pPr>
            <w:r w:rsidRPr="00BB385C">
              <w:rPr>
                <w:b/>
                <w:sz w:val="18"/>
                <w:szCs w:val="18"/>
              </w:rPr>
              <w:t>Prescriber instruction:</w:t>
            </w:r>
          </w:p>
          <w:p w14:paraId="02733B42" w14:textId="77777777" w:rsidR="00295470" w:rsidRPr="00BB385C"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BB385C">
              <w:rPr>
                <w:rFonts w:ascii="Arial Narrow" w:eastAsiaTheme="minorHAnsi" w:hAnsi="Arial Narrow" w:cs="Arial"/>
                <w:color w:val="000000"/>
                <w:sz w:val="18"/>
                <w:szCs w:val="18"/>
                <w:lang w:eastAsia="en-US"/>
              </w:rPr>
              <w:t>The authority application must be made in writing and must include:</w:t>
            </w:r>
          </w:p>
          <w:p w14:paraId="19B508DA" w14:textId="77777777" w:rsidR="00295470" w:rsidRPr="00BB385C"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BB385C">
              <w:rPr>
                <w:rFonts w:ascii="Arial Narrow" w:eastAsiaTheme="minorHAnsi" w:hAnsi="Arial Narrow" w:cs="Arial"/>
                <w:color w:val="000000"/>
                <w:sz w:val="18"/>
                <w:szCs w:val="18"/>
                <w:lang w:eastAsia="en-US"/>
              </w:rPr>
              <w:t>(1) a completed authority prescription form(s); and</w:t>
            </w:r>
          </w:p>
          <w:p w14:paraId="51215DAD" w14:textId="77777777" w:rsidR="00295470" w:rsidRPr="00BB385C"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BB385C">
              <w:rPr>
                <w:rFonts w:ascii="Arial Narrow" w:eastAsiaTheme="minorHAnsi" w:hAnsi="Arial Narrow" w:cs="Arial"/>
                <w:color w:val="000000"/>
                <w:sz w:val="18"/>
                <w:szCs w:val="18"/>
                <w:lang w:eastAsia="en-US"/>
              </w:rPr>
              <w:t>(2) a completed Rheumatoid Arthritis PBS Authority Application Form.</w:t>
            </w:r>
          </w:p>
          <w:p w14:paraId="08139576" w14:textId="77777777" w:rsidR="00295470" w:rsidRPr="00BB385C" w:rsidRDefault="00295470" w:rsidP="00BB385C">
            <w:pPr>
              <w:pStyle w:val="KMC16-Tablecontent"/>
              <w:rPr>
                <w:sz w:val="18"/>
                <w:szCs w:val="18"/>
              </w:rPr>
            </w:pPr>
          </w:p>
        </w:tc>
      </w:tr>
      <w:tr w:rsidR="00295470" w:rsidRPr="000E445F" w14:paraId="6382F49D"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6DC327A4" w14:textId="77777777" w:rsidR="00295470" w:rsidRDefault="00295470" w:rsidP="00BB385C">
            <w:pPr>
              <w:rPr>
                <w:rFonts w:ascii="Arial Narrow" w:hAnsi="Arial Narrow"/>
                <w:b/>
                <w:bCs/>
                <w:sz w:val="18"/>
                <w:szCs w:val="18"/>
              </w:rPr>
            </w:pPr>
            <w:r>
              <w:rPr>
                <w:rFonts w:ascii="Arial Narrow" w:hAnsi="Arial Narrow"/>
                <w:b/>
                <w:bCs/>
                <w:sz w:val="18"/>
                <w:szCs w:val="18"/>
              </w:rPr>
              <w:t>Prescribing Instructions:</w:t>
            </w:r>
          </w:p>
          <w:p w14:paraId="72D4A9CC" w14:textId="77777777" w:rsidR="00295470" w:rsidRPr="00522186" w:rsidRDefault="00295470" w:rsidP="00BB385C">
            <w:pPr>
              <w:pStyle w:val="KMC16-Tablecontent"/>
              <w:spacing w:after="0"/>
              <w:rPr>
                <w:b/>
                <w:sz w:val="18"/>
                <w:szCs w:val="18"/>
              </w:rPr>
            </w:pPr>
            <w:r>
              <w:rPr>
                <w:bCs/>
                <w:sz w:val="18"/>
                <w:szCs w:val="18"/>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295470" w:rsidRPr="000E445F" w14:paraId="366F6DEE"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31EF0E77" w14:textId="77777777" w:rsidR="00295470" w:rsidRDefault="00295470" w:rsidP="00BB385C">
            <w:pPr>
              <w:rPr>
                <w:rFonts w:ascii="Arial Narrow" w:hAnsi="Arial Narrow"/>
                <w:b/>
                <w:bCs/>
                <w:sz w:val="18"/>
                <w:szCs w:val="18"/>
              </w:rPr>
            </w:pPr>
            <w:r>
              <w:rPr>
                <w:rFonts w:ascii="Arial Narrow" w:hAnsi="Arial Narrow"/>
                <w:b/>
                <w:bCs/>
                <w:sz w:val="18"/>
                <w:szCs w:val="18"/>
              </w:rPr>
              <w:t>Prescribing Instructions:</w:t>
            </w:r>
          </w:p>
          <w:p w14:paraId="3B0AC67E"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 xml:space="preserve">Where a response assessment is not </w:t>
            </w:r>
            <w:r w:rsidRPr="00BB385C">
              <w:rPr>
                <w:rFonts w:ascii="Arial Narrow" w:hAnsi="Arial Narrow"/>
                <w:bCs/>
                <w:sz w:val="18"/>
                <w:szCs w:val="18"/>
              </w:rPr>
              <w:t>conducted</w:t>
            </w:r>
            <w:r w:rsidRPr="00876640">
              <w:rPr>
                <w:rFonts w:ascii="Arial Narrow" w:hAnsi="Arial Narrow"/>
                <w:bCs/>
                <w:sz w:val="18"/>
                <w:szCs w:val="18"/>
              </w:rPr>
              <w:t xml:space="preserve"> within this timeframe, the patient will be deemed to have failed to respond to treatment with this drug, unless the patient has experienced a serious adverse reaction of a severity resulting in the necessity for permanent withdrawal of treatment.</w:t>
            </w:r>
          </w:p>
          <w:p w14:paraId="276DB2C1" w14:textId="77777777" w:rsidR="00295470" w:rsidRPr="00522186" w:rsidRDefault="00295470" w:rsidP="00BB385C">
            <w:pPr>
              <w:pStyle w:val="KMC16-Tablecontent"/>
              <w:spacing w:after="0"/>
              <w:rPr>
                <w:b/>
                <w:sz w:val="18"/>
                <w:szCs w:val="18"/>
              </w:rPr>
            </w:pPr>
          </w:p>
        </w:tc>
      </w:tr>
      <w:tr w:rsidR="00295470" w:rsidRPr="000E445F" w14:paraId="52E0960A"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BD918CD" w14:textId="77777777" w:rsidR="00295470" w:rsidRDefault="00295470" w:rsidP="00BB385C">
            <w:pPr>
              <w:pStyle w:val="KMC16-Tablecontent"/>
              <w:tabs>
                <w:tab w:val="left" w:pos="1108"/>
              </w:tabs>
              <w:spacing w:after="0"/>
              <w:rPr>
                <w:b/>
                <w:sz w:val="18"/>
                <w:szCs w:val="18"/>
              </w:rPr>
            </w:pPr>
            <w:r>
              <w:rPr>
                <w:b/>
                <w:sz w:val="18"/>
                <w:szCs w:val="18"/>
              </w:rPr>
              <w:t>Prescribing Instructions:</w:t>
            </w:r>
          </w:p>
          <w:p w14:paraId="02996C68" w14:textId="77777777" w:rsidR="00295470" w:rsidRPr="00876640" w:rsidRDefault="00295470" w:rsidP="00BB385C">
            <w:pPr>
              <w:rPr>
                <w:sz w:val="18"/>
                <w:szCs w:val="18"/>
              </w:rPr>
            </w:pPr>
            <w:r w:rsidRPr="00876640">
              <w:rPr>
                <w:rFonts w:ascii="Arial Narrow" w:hAnsi="Arial Narrow"/>
                <w:bCs/>
                <w:sz w:val="18"/>
                <w:szCs w:val="18"/>
              </w:rPr>
              <w:t>If a patient fails to demonstrate a response to treatment with this drug under this restriction they will not be eligible to receive further PBS-subsidised treatment with this drug for this condition.</w:t>
            </w:r>
          </w:p>
        </w:tc>
      </w:tr>
      <w:tr w:rsidR="00295470" w:rsidRPr="000E445F" w14:paraId="51D738E8"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CE8E9AF" w14:textId="77777777" w:rsidR="00295470" w:rsidRPr="00876640" w:rsidRDefault="00295470" w:rsidP="00BB385C">
            <w:pPr>
              <w:rPr>
                <w:rFonts w:ascii="Arial Narrow" w:hAnsi="Arial Narrow"/>
                <w:b/>
                <w:bCs/>
                <w:sz w:val="18"/>
                <w:szCs w:val="18"/>
              </w:rPr>
            </w:pPr>
            <w:r w:rsidRPr="00876640">
              <w:rPr>
                <w:rFonts w:ascii="Arial Narrow" w:hAnsi="Arial Narrow"/>
                <w:b/>
                <w:bCs/>
                <w:sz w:val="18"/>
                <w:szCs w:val="18"/>
              </w:rPr>
              <w:t>Administrative Advice:</w:t>
            </w:r>
          </w:p>
          <w:p w14:paraId="5E59A634"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Any queries concerning the arrangements to prescribe may be directed to Services Australia on 1800 700 270 (hours of operation 8 a.m. to 5 p.m. EST Monday to Friday).</w:t>
            </w:r>
          </w:p>
          <w:p w14:paraId="304A0B9B"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14:paraId="23AC16AC"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Applications for authority to prescribe should be submitted online using the form upload facility in Health Professional Online Services (HPOS) at www.servicesaustralia.gov.au/hpos</w:t>
            </w:r>
          </w:p>
          <w:p w14:paraId="1BEE8467"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Or mailed to:</w:t>
            </w:r>
          </w:p>
          <w:p w14:paraId="285A1493"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Services Australia</w:t>
            </w:r>
          </w:p>
          <w:p w14:paraId="22D404E0"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Complex Drugs</w:t>
            </w:r>
          </w:p>
          <w:p w14:paraId="3ACBC511"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Reply Paid 9826</w:t>
            </w:r>
          </w:p>
          <w:p w14:paraId="3653DFCA"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HOBART TAS 7001</w:t>
            </w:r>
          </w:p>
          <w:p w14:paraId="4ABD0E37" w14:textId="77777777" w:rsidR="00295470" w:rsidRPr="00876640" w:rsidRDefault="00295470" w:rsidP="00BB385C">
            <w:pPr>
              <w:rPr>
                <w:rFonts w:ascii="Arial Narrow" w:hAnsi="Arial Narrow"/>
                <w:bCs/>
                <w:sz w:val="18"/>
                <w:szCs w:val="18"/>
              </w:rPr>
            </w:pPr>
          </w:p>
        </w:tc>
      </w:tr>
    </w:tbl>
    <w:p w14:paraId="48AF0FD2" w14:textId="77777777" w:rsidR="00F122E0" w:rsidRDefault="00F122E0" w:rsidP="00F122E0">
      <w:pPr>
        <w:spacing w:after="160" w:line="259" w:lineRule="auto"/>
        <w:jc w:val="left"/>
        <w:rPr>
          <w:rFonts w:ascii="Arial Narrow" w:hAnsi="Arial Narrow"/>
          <w:b/>
          <w:sz w:val="18"/>
          <w:szCs w:val="18"/>
          <w:lang w:val="en-GB"/>
        </w:rPr>
      </w:pPr>
    </w:p>
    <w:p w14:paraId="7EFEC892" w14:textId="77777777" w:rsidR="00F122E0" w:rsidRDefault="00F122E0" w:rsidP="00F122E0">
      <w:pPr>
        <w:rPr>
          <w:rFonts w:ascii="Arial Narrow" w:hAnsi="Arial Narrow"/>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17DAC308"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0F618EB7"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2CACB7C2"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79124692"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4D2A389D"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67CAB653"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66C17F71"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28430478"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2E0F3115"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2B2C613D"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3E78B990"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387390DF"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44898065"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6A0F842C"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704E71E2" w14:textId="77777777" w:rsidR="00F122E0" w:rsidRPr="00545E3D" w:rsidRDefault="00F122E0" w:rsidP="00BB385C">
            <w:pPr>
              <w:keepNext/>
              <w:ind w:left="-108"/>
              <w:jc w:val="center"/>
              <w:rPr>
                <w:rFonts w:ascii="Arial Narrow" w:hAnsi="Arial Narrow"/>
                <w:sz w:val="18"/>
                <w:szCs w:val="18"/>
              </w:rPr>
            </w:pPr>
            <w:r w:rsidRPr="00545E3D">
              <w:rPr>
                <w:rFonts w:ascii="Arial Narrow" w:hAnsi="Arial Narrow"/>
                <w:sz w:val="18"/>
                <w:szCs w:val="18"/>
              </w:rPr>
              <w:t xml:space="preserve"> 5</w:t>
            </w:r>
          </w:p>
        </w:tc>
        <w:tc>
          <w:tcPr>
            <w:tcW w:w="506" w:type="pct"/>
            <w:tcBorders>
              <w:top w:val="single" w:sz="4" w:space="0" w:color="auto"/>
              <w:left w:val="single" w:sz="4" w:space="0" w:color="auto"/>
              <w:bottom w:val="single" w:sz="4" w:space="0" w:color="auto"/>
              <w:right w:val="single" w:sz="4" w:space="0" w:color="auto"/>
            </w:tcBorders>
            <w:hideMark/>
          </w:tcPr>
          <w:p w14:paraId="0C73EC82"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5644DF03"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7E347E29"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609B3142"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3CBD917C"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4F831A16"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738CA83D"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761F1BBA" w14:textId="77777777" w:rsidR="00F122E0" w:rsidRPr="00545E3D" w:rsidRDefault="00F122E0" w:rsidP="00BB385C">
            <w:pPr>
              <w:keepNext/>
              <w:ind w:left="-108"/>
              <w:jc w:val="center"/>
              <w:rPr>
                <w:rFonts w:ascii="Arial Narrow" w:hAnsi="Arial Narrow"/>
                <w:sz w:val="18"/>
                <w:szCs w:val="18"/>
              </w:rPr>
            </w:pPr>
            <w:r w:rsidRPr="00545E3D">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22779A3F"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6165171C"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p w14:paraId="3ED8E7CD" w14:textId="77777777" w:rsidR="00F122E0" w:rsidRDefault="00F122E0" w:rsidP="00F122E0">
      <w:pPr>
        <w:rPr>
          <w:rFonts w:ascii="Arial Narrow" w:hAnsi="Arial Narrow"/>
          <w:b/>
          <w:sz w:val="18"/>
          <w:szCs w:val="18"/>
          <w:lang w:val="en-GB"/>
        </w:rPr>
      </w:pPr>
    </w:p>
    <w:p w14:paraId="22417585" w14:textId="77777777" w:rsidR="00F122E0" w:rsidRDefault="00F122E0" w:rsidP="00F122E0">
      <w:pPr>
        <w:rPr>
          <w:rFonts w:ascii="Arial Narrow" w:hAnsi="Arial Narrow"/>
          <w:b/>
          <w:sz w:val="18"/>
          <w:szCs w:val="18"/>
          <w:lang w:val="en-GB"/>
        </w:rPr>
      </w:pPr>
    </w:p>
    <w:tbl>
      <w:tblPr>
        <w:tblW w:w="5000" w:type="pct"/>
        <w:tblLook w:val="04A0" w:firstRow="1" w:lastRow="0" w:firstColumn="1" w:lastColumn="0" w:noHBand="0" w:noVBand="1"/>
      </w:tblPr>
      <w:tblGrid>
        <w:gridCol w:w="9017"/>
      </w:tblGrid>
      <w:tr w:rsidR="00295470" w:rsidRPr="000E445F" w14:paraId="56D8FC0E"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4446452F" w14:textId="77777777" w:rsidR="00295470" w:rsidRPr="005934EC" w:rsidRDefault="00295470" w:rsidP="00BB385C">
            <w:pPr>
              <w:pStyle w:val="KMC16-Tablecontent"/>
              <w:spacing w:before="0" w:after="0"/>
              <w:rPr>
                <w:b/>
                <w:sz w:val="18"/>
                <w:szCs w:val="18"/>
              </w:rPr>
            </w:pPr>
            <w:r w:rsidRPr="00BA5687">
              <w:rPr>
                <w:b/>
                <w:sz w:val="18"/>
                <w:szCs w:val="18"/>
              </w:rPr>
              <w:t>Category / Program:</w:t>
            </w:r>
            <w:r>
              <w:rPr>
                <w:b/>
                <w:sz w:val="18"/>
                <w:szCs w:val="18"/>
              </w:rPr>
              <w:t xml:space="preserve"> </w:t>
            </w:r>
            <w:r>
              <w:rPr>
                <w:rFonts w:cstheme="minorBidi"/>
                <w:sz w:val="18"/>
                <w:szCs w:val="18"/>
              </w:rPr>
              <w:t>General Schedule</w:t>
            </w:r>
          </w:p>
        </w:tc>
      </w:tr>
      <w:tr w:rsidR="00295470" w:rsidRPr="000E445F" w14:paraId="11DF4EA3"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5D4A9913" w14:textId="77777777" w:rsidR="00295470" w:rsidRPr="00332B5A" w:rsidRDefault="00295470" w:rsidP="00BB385C">
            <w:pPr>
              <w:pStyle w:val="KMC16-Tablecontent"/>
              <w:spacing w:before="0" w:after="0"/>
              <w:rPr>
                <w:b/>
                <w:sz w:val="18"/>
                <w:szCs w:val="18"/>
              </w:rPr>
            </w:pPr>
            <w:r w:rsidRPr="00BA5687">
              <w:rPr>
                <w:b/>
                <w:sz w:val="18"/>
                <w:szCs w:val="18"/>
              </w:rPr>
              <w:t>Prescriber type:</w:t>
            </w:r>
            <w:r>
              <w:rPr>
                <w:b/>
                <w:sz w:val="18"/>
                <w:szCs w:val="18"/>
              </w:rPr>
              <w:t xml:space="preserve"> </w:t>
            </w:r>
            <w:r w:rsidRPr="000E445F">
              <w:rPr>
                <w:sz w:val="18"/>
                <w:szCs w:val="18"/>
              </w:rPr>
              <w:fldChar w:fldCharType="begin">
                <w:ffData>
                  <w:name w:val="Check1"/>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Dental  </w:t>
            </w:r>
            <w:r w:rsidRPr="000E445F">
              <w:rPr>
                <w:sz w:val="18"/>
                <w:szCs w:val="18"/>
              </w:rPr>
              <w:fldChar w:fldCharType="begin">
                <w:ffData>
                  <w:name w:val=""/>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Medical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Nurse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Optometrists</w:t>
            </w:r>
            <w:r>
              <w:rPr>
                <w:sz w:val="18"/>
                <w:szCs w:val="18"/>
              </w:rPr>
              <w:t xml:space="preserve"> </w:t>
            </w:r>
            <w:r w:rsidRPr="000E445F">
              <w:rPr>
                <w:sz w:val="18"/>
                <w:szCs w:val="18"/>
              </w:rPr>
              <w:fldChar w:fldCharType="begin">
                <w:ffData>
                  <w:name w:val="Check5"/>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Midwives</w:t>
            </w:r>
          </w:p>
        </w:tc>
      </w:tr>
      <w:tr w:rsidR="00295470" w:rsidRPr="000E445F" w14:paraId="142B34F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ED889CC" w14:textId="77777777" w:rsidR="00295470" w:rsidRPr="009B7AB1" w:rsidRDefault="00295470" w:rsidP="00BB385C">
            <w:pPr>
              <w:rPr>
                <w:rFonts w:ascii="Arial Narrow" w:eastAsia="Calibri" w:hAnsi="Arial Narrow"/>
                <w:sz w:val="18"/>
                <w:szCs w:val="18"/>
              </w:rPr>
            </w:pPr>
            <w:r w:rsidRPr="00BA5687">
              <w:rPr>
                <w:b/>
                <w:sz w:val="18"/>
                <w:szCs w:val="18"/>
              </w:rPr>
              <w:t>Restriction Method:</w:t>
            </w:r>
            <w:r>
              <w:rPr>
                <w:b/>
                <w:sz w:val="18"/>
                <w:szCs w:val="18"/>
              </w:rPr>
              <w:t xml:space="preserve"> </w:t>
            </w:r>
            <w:r w:rsidRPr="000E445F">
              <w:rPr>
                <w:sz w:val="18"/>
                <w:szCs w:val="18"/>
              </w:rPr>
              <w:fldChar w:fldCharType="begin">
                <w:ffData>
                  <w:name w:val="Check5"/>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251A40">
              <w:rPr>
                <w:rFonts w:ascii="Arial Narrow" w:hAnsi="Arial Narrow"/>
                <w:sz w:val="18"/>
                <w:szCs w:val="18"/>
              </w:rPr>
              <w:t xml:space="preserve">Authority </w:t>
            </w:r>
            <w:r w:rsidRPr="00717ADE">
              <w:rPr>
                <w:rFonts w:ascii="Arial Narrow" w:hAnsi="Arial Narrow"/>
                <w:sz w:val="18"/>
                <w:szCs w:val="18"/>
              </w:rPr>
              <w:t>Required –</w:t>
            </w:r>
            <w:r w:rsidRPr="00717ADE">
              <w:rPr>
                <w:rFonts w:ascii="Arial Narrow" w:hAnsi="Arial Narrow"/>
                <w:bCs/>
                <w:sz w:val="18"/>
                <w:szCs w:val="18"/>
              </w:rPr>
              <w:t xml:space="preserve"> non-immediate/delayed assessment by Services Australia (in-writing only via mail/postal service or electronic upload to Hobart)</w:t>
            </w:r>
          </w:p>
        </w:tc>
      </w:tr>
      <w:tr w:rsidR="00295470" w:rsidRPr="000E445F" w14:paraId="1608B8C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89CE4F7" w14:textId="77777777" w:rsidR="00295470" w:rsidRPr="000E445F" w:rsidRDefault="00295470" w:rsidP="00BB385C">
            <w:pPr>
              <w:pStyle w:val="KMC16-Tablecontent"/>
              <w:spacing w:before="0" w:after="0"/>
              <w:rPr>
                <w:rFonts w:cs="Times New Roman"/>
                <w:sz w:val="18"/>
                <w:szCs w:val="18"/>
              </w:rPr>
            </w:pPr>
            <w:r w:rsidRPr="00BA5687">
              <w:rPr>
                <w:b/>
                <w:sz w:val="18"/>
                <w:szCs w:val="18"/>
              </w:rPr>
              <w:t>Severity:</w:t>
            </w:r>
            <w:r>
              <w:rPr>
                <w:b/>
                <w:sz w:val="18"/>
                <w:szCs w:val="18"/>
              </w:rPr>
              <w:t xml:space="preserve"> </w:t>
            </w:r>
            <w:r w:rsidRPr="000E445F">
              <w:rPr>
                <w:rFonts w:cs="Times New Roman"/>
                <w:sz w:val="18"/>
                <w:szCs w:val="18"/>
              </w:rPr>
              <w:t>Severe active</w:t>
            </w:r>
          </w:p>
        </w:tc>
      </w:tr>
      <w:tr w:rsidR="00295470" w:rsidRPr="000E445F" w14:paraId="3E167803"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7A4F34B" w14:textId="77777777" w:rsidR="00295470" w:rsidRPr="000E445F" w:rsidRDefault="00295470" w:rsidP="00BB385C">
            <w:pPr>
              <w:rPr>
                <w:rFonts w:ascii="Arial Narrow" w:hAnsi="Arial Narrow" w:cstheme="minorBidi"/>
                <w:color w:val="222222"/>
                <w:sz w:val="18"/>
                <w:szCs w:val="18"/>
              </w:rPr>
            </w:pPr>
            <w:r w:rsidRPr="00332B5A">
              <w:rPr>
                <w:rFonts w:ascii="Arial Narrow" w:hAnsi="Arial Narrow"/>
                <w:b/>
                <w:sz w:val="18"/>
                <w:szCs w:val="18"/>
              </w:rPr>
              <w:t>Condition:</w:t>
            </w:r>
            <w:r>
              <w:rPr>
                <w:b/>
                <w:sz w:val="18"/>
                <w:szCs w:val="18"/>
              </w:rPr>
              <w:t xml:space="preserve"> </w:t>
            </w:r>
            <w:r w:rsidRPr="000E445F">
              <w:rPr>
                <w:rFonts w:ascii="Arial Narrow" w:hAnsi="Arial Narrow"/>
                <w:color w:val="222222"/>
                <w:sz w:val="18"/>
                <w:szCs w:val="18"/>
              </w:rPr>
              <w:t>rheumatoid arthritis</w:t>
            </w:r>
          </w:p>
        </w:tc>
      </w:tr>
      <w:tr w:rsidR="00295470" w:rsidRPr="000E445F" w14:paraId="446FC85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F06D6EA" w14:textId="77777777" w:rsidR="00295470" w:rsidRPr="00386B77" w:rsidRDefault="00295470" w:rsidP="00BB385C">
            <w:pPr>
              <w:pStyle w:val="KMC16-Tablecontent"/>
              <w:spacing w:before="0" w:after="0"/>
              <w:rPr>
                <w:sz w:val="18"/>
                <w:szCs w:val="18"/>
              </w:rPr>
            </w:pPr>
            <w:r w:rsidRPr="00BA5687">
              <w:rPr>
                <w:b/>
                <w:sz w:val="18"/>
                <w:szCs w:val="18"/>
              </w:rPr>
              <w:t>PBS Indication:</w:t>
            </w:r>
            <w:r>
              <w:rPr>
                <w:b/>
                <w:sz w:val="18"/>
                <w:szCs w:val="18"/>
              </w:rPr>
              <w:t xml:space="preserve"> </w:t>
            </w:r>
            <w:r w:rsidRPr="00386B77">
              <w:rPr>
                <w:rFonts w:cs="Times New Roman"/>
                <w:sz w:val="18"/>
                <w:szCs w:val="18"/>
              </w:rPr>
              <w:t>Severe active rheumatoid arthritis</w:t>
            </w:r>
          </w:p>
        </w:tc>
      </w:tr>
      <w:tr w:rsidR="00295470" w:rsidRPr="000E445F" w14:paraId="2F3A1E0A"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F64A844" w14:textId="77777777" w:rsidR="00295470" w:rsidRDefault="00295470" w:rsidP="00BB385C">
            <w:pPr>
              <w:pStyle w:val="KMC16-Tablecontent"/>
              <w:spacing w:before="0" w:after="0"/>
              <w:rPr>
                <w:b/>
                <w:sz w:val="18"/>
                <w:szCs w:val="18"/>
              </w:rPr>
            </w:pPr>
            <w:r w:rsidRPr="000A057A">
              <w:rPr>
                <w:b/>
                <w:sz w:val="18"/>
                <w:szCs w:val="18"/>
              </w:rPr>
              <w:t>Treatment criteria:</w:t>
            </w:r>
            <w:r>
              <w:rPr>
                <w:b/>
                <w:sz w:val="18"/>
                <w:szCs w:val="18"/>
              </w:rPr>
              <w:t xml:space="preserve"> </w:t>
            </w:r>
          </w:p>
          <w:p w14:paraId="2397EE34" w14:textId="77777777" w:rsidR="00295470" w:rsidRPr="000E445F" w:rsidRDefault="00295470" w:rsidP="00BB385C">
            <w:pPr>
              <w:pStyle w:val="KMC16-Tablecontent"/>
              <w:spacing w:before="0" w:after="0"/>
              <w:rPr>
                <w:sz w:val="18"/>
                <w:szCs w:val="18"/>
              </w:rPr>
            </w:pPr>
            <w:r w:rsidRPr="000E445F">
              <w:rPr>
                <w:sz w:val="18"/>
                <w:szCs w:val="18"/>
              </w:rPr>
              <w:t>Must be treated by a rheumatologist; OR</w:t>
            </w:r>
          </w:p>
          <w:p w14:paraId="169A0EE5" w14:textId="77777777" w:rsidR="00295470" w:rsidRPr="00386B77" w:rsidRDefault="00295470" w:rsidP="00BB385C">
            <w:pPr>
              <w:pStyle w:val="KMC16-Tablecontent"/>
              <w:spacing w:before="0" w:after="0"/>
              <w:rPr>
                <w:rFonts w:cs="Times New Roman"/>
                <w:sz w:val="18"/>
                <w:szCs w:val="18"/>
              </w:rPr>
            </w:pPr>
            <w:r w:rsidRPr="000E445F">
              <w:rPr>
                <w:sz w:val="18"/>
                <w:szCs w:val="18"/>
              </w:rPr>
              <w:t>Must be treated by a clinical immunologist with expertise in the management of rheumatoid arthritis.</w:t>
            </w:r>
          </w:p>
        </w:tc>
      </w:tr>
      <w:tr w:rsidR="00295470" w:rsidRPr="000E445F" w14:paraId="6F195936"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39F3DF9" w14:textId="77777777" w:rsidR="00295470" w:rsidRPr="000A057A" w:rsidRDefault="00295470" w:rsidP="00BB385C">
            <w:pPr>
              <w:pStyle w:val="KMC16-Tablecontent"/>
              <w:spacing w:after="0"/>
              <w:rPr>
                <w:b/>
                <w:sz w:val="18"/>
                <w:szCs w:val="18"/>
              </w:rPr>
            </w:pPr>
            <w:r w:rsidRPr="00332B5A">
              <w:rPr>
                <w:b/>
                <w:sz w:val="18"/>
                <w:szCs w:val="18"/>
              </w:rPr>
              <w:t>Treatment Phase:</w:t>
            </w:r>
            <w:r>
              <w:rPr>
                <w:b/>
                <w:sz w:val="18"/>
                <w:szCs w:val="18"/>
              </w:rPr>
              <w:t xml:space="preserve"> </w:t>
            </w:r>
            <w:r w:rsidRPr="00717ADE">
              <w:rPr>
                <w:b/>
                <w:sz w:val="18"/>
                <w:szCs w:val="18"/>
              </w:rPr>
              <w:t>Continuing treatment with subcutaneous form or switching from intravenous form to subcutaneous form</w:t>
            </w:r>
          </w:p>
        </w:tc>
      </w:tr>
      <w:tr w:rsidR="00295470" w:rsidRPr="000E445F" w14:paraId="06F2DBFA"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A807211" w14:textId="77777777" w:rsidR="00295470" w:rsidRPr="00776C60" w:rsidRDefault="00295470" w:rsidP="00BB385C">
            <w:pPr>
              <w:pStyle w:val="KMC16-Tablecontent"/>
              <w:spacing w:after="0"/>
              <w:rPr>
                <w:b/>
                <w:sz w:val="18"/>
                <w:szCs w:val="18"/>
              </w:rPr>
            </w:pPr>
            <w:r w:rsidRPr="00776C60">
              <w:rPr>
                <w:b/>
                <w:sz w:val="18"/>
                <w:szCs w:val="18"/>
              </w:rPr>
              <w:t xml:space="preserve">Clinical criteria: </w:t>
            </w:r>
          </w:p>
          <w:p w14:paraId="6CA4BCFB" w14:textId="77777777" w:rsidR="00295470" w:rsidRPr="00776C60" w:rsidRDefault="00295470" w:rsidP="00BB385C">
            <w:pPr>
              <w:pStyle w:val="KMC16-Tablecontent"/>
              <w:spacing w:after="0"/>
              <w:rPr>
                <w:sz w:val="18"/>
                <w:szCs w:val="18"/>
              </w:rPr>
            </w:pPr>
            <w:r w:rsidRPr="00776C60">
              <w:rPr>
                <w:sz w:val="18"/>
                <w:szCs w:val="18"/>
              </w:rPr>
              <w:t>Patient must have received</w:t>
            </w:r>
            <w:r w:rsidRPr="00776C60">
              <w:rPr>
                <w:rFonts w:ascii="Open Sans" w:hAnsi="Open Sans" w:cs="Open Sans"/>
                <w:color w:val="333333"/>
                <w:sz w:val="22"/>
                <w:shd w:val="clear" w:color="auto" w:fill="FFFFFF"/>
                <w:lang w:val="en-AU" w:eastAsia="en-AU"/>
              </w:rPr>
              <w:t xml:space="preserve"> </w:t>
            </w:r>
            <w:r w:rsidRPr="00776C60">
              <w:rPr>
                <w:sz w:val="18"/>
                <w:szCs w:val="18"/>
                <w:lang w:val="en-AU"/>
              </w:rPr>
              <w:t>this drug as their most recent course of PBS-subsidised biological medicine treatment for this condition</w:t>
            </w:r>
            <w:r w:rsidRPr="00776C60">
              <w:rPr>
                <w:sz w:val="18"/>
                <w:szCs w:val="18"/>
              </w:rPr>
              <w:t>; OR</w:t>
            </w:r>
          </w:p>
        </w:tc>
      </w:tr>
      <w:tr w:rsidR="00295470" w:rsidRPr="000E445F" w14:paraId="157CD82E"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DEDC3CA" w14:textId="77777777" w:rsidR="00295470" w:rsidRPr="00776C60" w:rsidRDefault="00295470" w:rsidP="00BB385C">
            <w:pPr>
              <w:pStyle w:val="KMC16-Tablecontent"/>
              <w:spacing w:after="0"/>
              <w:rPr>
                <w:sz w:val="18"/>
                <w:szCs w:val="18"/>
                <w:lang w:val="en-AU"/>
              </w:rPr>
            </w:pPr>
            <w:r w:rsidRPr="00776C60">
              <w:rPr>
                <w:sz w:val="18"/>
                <w:szCs w:val="18"/>
                <w:lang w:val="en-AU"/>
              </w:rPr>
              <w:t>Patient must have received this drug in the intravenous form as their most recent course of PBS-subsidised biological medicine for this condition under the infliximab intravenous form continuing treatment restriction</w:t>
            </w:r>
          </w:p>
        </w:tc>
      </w:tr>
      <w:tr w:rsidR="00295470" w:rsidRPr="000E445F" w14:paraId="546BF16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17E0E3C" w14:textId="77777777" w:rsidR="00295470" w:rsidRPr="00776C60" w:rsidRDefault="00295470" w:rsidP="00BB385C">
            <w:pPr>
              <w:pStyle w:val="KMC16-Tablecontent"/>
              <w:spacing w:after="0"/>
              <w:rPr>
                <w:b/>
                <w:sz w:val="18"/>
                <w:szCs w:val="18"/>
                <w:lang w:val="en-AU"/>
              </w:rPr>
            </w:pPr>
            <w:r w:rsidRPr="00776C60">
              <w:rPr>
                <w:b/>
                <w:sz w:val="18"/>
                <w:szCs w:val="18"/>
                <w:lang w:val="en-AU"/>
              </w:rPr>
              <w:t>AND</w:t>
            </w:r>
          </w:p>
          <w:p w14:paraId="0BF5167A" w14:textId="77777777" w:rsidR="00295470" w:rsidRPr="00776C60" w:rsidRDefault="00295470" w:rsidP="00BB385C">
            <w:pPr>
              <w:pStyle w:val="KMC16-Tablecontent"/>
              <w:spacing w:after="0"/>
              <w:rPr>
                <w:sz w:val="18"/>
                <w:szCs w:val="18"/>
              </w:rPr>
            </w:pPr>
            <w:r w:rsidRPr="00776C60">
              <w:rPr>
                <w:sz w:val="18"/>
                <w:szCs w:val="18"/>
                <w:lang w:val="en-AU"/>
              </w:rPr>
              <w:t>Patient must have demonstrated an adequate response to treatment with this drug</w:t>
            </w:r>
          </w:p>
        </w:tc>
      </w:tr>
      <w:tr w:rsidR="00295470" w:rsidRPr="000E445F" w14:paraId="593165E0"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4C18E744" w14:textId="77777777" w:rsidR="00295470" w:rsidRPr="00776C60" w:rsidRDefault="00295470" w:rsidP="00BB385C">
            <w:pPr>
              <w:pStyle w:val="KMC16-Tablecontent"/>
              <w:spacing w:after="0"/>
              <w:rPr>
                <w:b/>
                <w:sz w:val="18"/>
                <w:szCs w:val="18"/>
              </w:rPr>
            </w:pPr>
            <w:r w:rsidRPr="00776C60">
              <w:rPr>
                <w:b/>
                <w:sz w:val="18"/>
                <w:szCs w:val="18"/>
              </w:rPr>
              <w:t>AND</w:t>
            </w:r>
          </w:p>
          <w:p w14:paraId="726CF64A" w14:textId="77777777" w:rsidR="00295470" w:rsidRPr="00776C60" w:rsidRDefault="00295470" w:rsidP="00BB385C">
            <w:pPr>
              <w:pStyle w:val="KMC16-Tablecontent"/>
              <w:spacing w:after="0"/>
              <w:rPr>
                <w:sz w:val="18"/>
                <w:szCs w:val="18"/>
              </w:rPr>
            </w:pPr>
            <w:r w:rsidRPr="00776C60">
              <w:rPr>
                <w:sz w:val="18"/>
                <w:szCs w:val="18"/>
              </w:rPr>
              <w:t>The treatment must be given concomitantly with methotrexate at a dose of at least 7.5 mg weekly</w:t>
            </w:r>
          </w:p>
        </w:tc>
      </w:tr>
      <w:tr w:rsidR="00295470" w:rsidRPr="000E445F" w14:paraId="233C1BD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71E18EB" w14:textId="77777777" w:rsidR="00295470" w:rsidRPr="00776C60" w:rsidRDefault="00295470" w:rsidP="00BB385C">
            <w:pPr>
              <w:pStyle w:val="KMC16-Tablecontent"/>
              <w:spacing w:after="0"/>
              <w:rPr>
                <w:b/>
                <w:sz w:val="18"/>
                <w:szCs w:val="18"/>
              </w:rPr>
            </w:pPr>
            <w:r w:rsidRPr="00776C60">
              <w:rPr>
                <w:b/>
                <w:sz w:val="18"/>
                <w:szCs w:val="18"/>
              </w:rPr>
              <w:t>AND</w:t>
            </w:r>
          </w:p>
          <w:p w14:paraId="38AEC158" w14:textId="77777777" w:rsidR="00295470" w:rsidRPr="00776C60" w:rsidRDefault="00295470" w:rsidP="00BB385C">
            <w:pPr>
              <w:pStyle w:val="KMC16-Tablecontent"/>
              <w:spacing w:after="0"/>
              <w:rPr>
                <w:b/>
                <w:sz w:val="18"/>
                <w:szCs w:val="18"/>
              </w:rPr>
            </w:pPr>
            <w:r w:rsidRPr="00776C60">
              <w:rPr>
                <w:sz w:val="18"/>
                <w:szCs w:val="18"/>
                <w:lang w:val="en-AU"/>
              </w:rPr>
              <w:t>Patient must not receive more than 24 weeks of treatment under this restriction</w:t>
            </w:r>
          </w:p>
        </w:tc>
      </w:tr>
      <w:tr w:rsidR="00295470" w:rsidRPr="00D551A5" w14:paraId="79B272D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05F7C0" w14:textId="77777777" w:rsidR="00295470" w:rsidRPr="00776C60" w:rsidRDefault="00295470" w:rsidP="00BB385C">
            <w:pPr>
              <w:pStyle w:val="KMC16-Tablecontent"/>
              <w:spacing w:after="0"/>
              <w:rPr>
                <w:b/>
                <w:sz w:val="18"/>
                <w:szCs w:val="18"/>
              </w:rPr>
            </w:pPr>
            <w:r w:rsidRPr="00776C60">
              <w:rPr>
                <w:b/>
                <w:sz w:val="18"/>
                <w:szCs w:val="18"/>
              </w:rPr>
              <w:t>AND</w:t>
            </w:r>
          </w:p>
          <w:p w14:paraId="03FE745E" w14:textId="77777777" w:rsidR="00295470" w:rsidRPr="00776C60" w:rsidRDefault="00295470" w:rsidP="00BB385C">
            <w:pPr>
              <w:pStyle w:val="KMC16-Tablecontent"/>
              <w:spacing w:after="0"/>
              <w:rPr>
                <w:b/>
                <w:sz w:val="18"/>
                <w:szCs w:val="18"/>
              </w:rPr>
            </w:pPr>
            <w:r w:rsidRPr="00776C60">
              <w:rPr>
                <w:b/>
                <w:sz w:val="18"/>
                <w:szCs w:val="18"/>
              </w:rPr>
              <w:t>Population criteria:</w:t>
            </w:r>
          </w:p>
          <w:p w14:paraId="53C2F80A" w14:textId="77777777" w:rsidR="00295470" w:rsidRPr="00776C60" w:rsidRDefault="00295470" w:rsidP="00BB385C">
            <w:pPr>
              <w:pStyle w:val="KMC16-Tablecontent"/>
              <w:rPr>
                <w:sz w:val="18"/>
                <w:szCs w:val="18"/>
              </w:rPr>
            </w:pPr>
            <w:r w:rsidRPr="00776C60">
              <w:rPr>
                <w:sz w:val="18"/>
                <w:szCs w:val="18"/>
              </w:rPr>
              <w:t>Patient must be aged 18 years or older</w:t>
            </w:r>
          </w:p>
        </w:tc>
      </w:tr>
      <w:tr w:rsidR="00295470" w:rsidRPr="00D551A5" w14:paraId="44CD9D55"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EBBE4D" w14:textId="77777777" w:rsidR="00295470" w:rsidRDefault="00295470" w:rsidP="00BB385C">
            <w:pPr>
              <w:pStyle w:val="KMC16-Tablecontent"/>
              <w:spacing w:after="0"/>
              <w:rPr>
                <w:b/>
                <w:sz w:val="18"/>
                <w:szCs w:val="18"/>
              </w:rPr>
            </w:pPr>
            <w:r>
              <w:rPr>
                <w:b/>
                <w:sz w:val="18"/>
                <w:szCs w:val="18"/>
              </w:rPr>
              <w:t>Prescribing Instruction:</w:t>
            </w:r>
          </w:p>
          <w:p w14:paraId="67F06BE8" w14:textId="77777777" w:rsidR="00295470" w:rsidRPr="00E25F58" w:rsidRDefault="00295470" w:rsidP="00BB385C">
            <w:pPr>
              <w:pStyle w:val="KMC16-Tablecontent"/>
              <w:rPr>
                <w:sz w:val="18"/>
                <w:szCs w:val="18"/>
                <w:lang w:val="en-AU"/>
              </w:rPr>
            </w:pPr>
            <w:r w:rsidRPr="00E25F58">
              <w:rPr>
                <w:sz w:val="18"/>
                <w:szCs w:val="18"/>
                <w:lang w:val="en-AU"/>
              </w:rPr>
              <w:t>An adequate response to treatment is defined as:</w:t>
            </w:r>
          </w:p>
          <w:p w14:paraId="0D689E9E" w14:textId="77777777" w:rsidR="00295470" w:rsidRPr="00E25F58" w:rsidRDefault="00295470" w:rsidP="00BB385C">
            <w:pPr>
              <w:pStyle w:val="KMC16-Tablecontent"/>
              <w:rPr>
                <w:sz w:val="18"/>
                <w:szCs w:val="18"/>
                <w:lang w:val="en-AU"/>
              </w:rPr>
            </w:pPr>
            <w:r w:rsidRPr="00E25F58">
              <w:rPr>
                <w:sz w:val="18"/>
                <w:szCs w:val="18"/>
                <w:lang w:val="en-AU"/>
              </w:rPr>
              <w:t>an ESR no greater than 25 mm per hour or a CRP level no greater than 15 mg per L or either marker reduced by at least 20% from baseline;</w:t>
            </w:r>
          </w:p>
          <w:p w14:paraId="0199C621" w14:textId="77777777" w:rsidR="00295470" w:rsidRPr="00E25F58" w:rsidRDefault="00295470" w:rsidP="00BB385C">
            <w:pPr>
              <w:pStyle w:val="KMC16-Tablecontent"/>
              <w:rPr>
                <w:sz w:val="18"/>
                <w:szCs w:val="18"/>
                <w:lang w:val="en-AU"/>
              </w:rPr>
            </w:pPr>
            <w:r w:rsidRPr="00E25F58">
              <w:rPr>
                <w:sz w:val="18"/>
                <w:szCs w:val="18"/>
                <w:lang w:val="en-AU"/>
              </w:rPr>
              <w:t>AND either of the following:</w:t>
            </w:r>
          </w:p>
          <w:p w14:paraId="03529258" w14:textId="77777777" w:rsidR="00295470" w:rsidRPr="00E25F58" w:rsidRDefault="00295470" w:rsidP="00BB385C">
            <w:pPr>
              <w:pStyle w:val="KMC16-Tablecontent"/>
              <w:rPr>
                <w:sz w:val="18"/>
                <w:szCs w:val="18"/>
                <w:lang w:val="en-AU"/>
              </w:rPr>
            </w:pPr>
            <w:r w:rsidRPr="00E25F58">
              <w:rPr>
                <w:sz w:val="18"/>
                <w:szCs w:val="18"/>
                <w:lang w:val="en-AU"/>
              </w:rPr>
              <w:t>(a) a reduction in the total active (swollen and tender) joint count by at least 50% from baseline, where baseline is at least 20 active joints; or</w:t>
            </w:r>
          </w:p>
          <w:p w14:paraId="11C4EFD9" w14:textId="77777777" w:rsidR="00295470" w:rsidRPr="00E25F58" w:rsidRDefault="00295470" w:rsidP="00BB385C">
            <w:pPr>
              <w:pStyle w:val="KMC16-Tablecontent"/>
              <w:rPr>
                <w:sz w:val="18"/>
                <w:szCs w:val="18"/>
                <w:lang w:val="en-AU"/>
              </w:rPr>
            </w:pPr>
            <w:r w:rsidRPr="00E25F58">
              <w:rPr>
                <w:sz w:val="18"/>
                <w:szCs w:val="18"/>
                <w:lang w:val="en-AU"/>
              </w:rPr>
              <w:t>(b) a reduction in the number of the following active joints, from at least 4, by at least 50%:</w:t>
            </w:r>
          </w:p>
          <w:p w14:paraId="4B320772" w14:textId="77777777" w:rsidR="00295470" w:rsidRPr="00E25F58" w:rsidRDefault="00295470" w:rsidP="00BB385C">
            <w:pPr>
              <w:pStyle w:val="KMC16-Tablecontent"/>
              <w:rPr>
                <w:sz w:val="18"/>
                <w:szCs w:val="18"/>
                <w:lang w:val="en-AU"/>
              </w:rPr>
            </w:pPr>
            <w:r w:rsidRPr="00E25F58">
              <w:rPr>
                <w:sz w:val="18"/>
                <w:szCs w:val="18"/>
                <w:lang w:val="en-AU"/>
              </w:rPr>
              <w:t>(i) elbow, wrist, knee and/or ankle (assessed as swollen and tender); and/or</w:t>
            </w:r>
          </w:p>
          <w:p w14:paraId="59548707" w14:textId="77777777" w:rsidR="00295470" w:rsidRPr="00E25F58" w:rsidRDefault="00295470" w:rsidP="00BB385C">
            <w:pPr>
              <w:pStyle w:val="KMC16-Tablecontent"/>
              <w:rPr>
                <w:sz w:val="18"/>
                <w:szCs w:val="18"/>
                <w:lang w:val="en-AU"/>
              </w:rPr>
            </w:pPr>
            <w:r w:rsidRPr="00E25F58">
              <w:rPr>
                <w:sz w:val="18"/>
                <w:szCs w:val="18"/>
                <w:lang w:val="en-AU"/>
              </w:rPr>
              <w:t>(ii) shoulder and/or hip (assessed as pain in passive movement and restriction of passive movement, where pain and limitation of movement are due to active disease and not irreversible damage such as joint destruction or bony overgrowth).</w:t>
            </w:r>
          </w:p>
          <w:p w14:paraId="1ACCFB33" w14:textId="77777777" w:rsidR="00295470" w:rsidRPr="00D551A5" w:rsidRDefault="00295470" w:rsidP="00BB385C">
            <w:pPr>
              <w:pStyle w:val="KMC16-Tablecontent"/>
              <w:spacing w:after="0"/>
              <w:rPr>
                <w:b/>
                <w:sz w:val="18"/>
                <w:szCs w:val="18"/>
              </w:rPr>
            </w:pPr>
          </w:p>
        </w:tc>
      </w:tr>
      <w:tr w:rsidR="00295470" w:rsidRPr="00D551A5" w14:paraId="6852030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199C80" w14:textId="77777777" w:rsidR="00295470" w:rsidRPr="00E25F58" w:rsidRDefault="00295470" w:rsidP="00BB385C">
            <w:pPr>
              <w:pStyle w:val="KMC16-Tablecontent"/>
              <w:spacing w:after="0"/>
              <w:rPr>
                <w:b/>
                <w:sz w:val="18"/>
                <w:szCs w:val="18"/>
              </w:rPr>
            </w:pPr>
            <w:r>
              <w:rPr>
                <w:b/>
                <w:sz w:val="18"/>
                <w:szCs w:val="18"/>
              </w:rPr>
              <w:t>Prescribing Instruction:</w:t>
            </w:r>
          </w:p>
          <w:p w14:paraId="34958D14" w14:textId="77777777" w:rsidR="00295470" w:rsidRPr="00E25F58" w:rsidRDefault="00295470" w:rsidP="00BB385C">
            <w:pPr>
              <w:pStyle w:val="KMC16-Tablecontent"/>
              <w:spacing w:after="0"/>
              <w:rPr>
                <w:sz w:val="18"/>
                <w:szCs w:val="18"/>
              </w:rPr>
            </w:pPr>
            <w:r w:rsidRPr="00E25F58">
              <w:rPr>
                <w:sz w:val="18"/>
                <w:szCs w:val="18"/>
                <w:lang w:val="en-AU"/>
              </w:rPr>
              <w:lastRenderedPageBreak/>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295470" w:rsidRPr="00D551A5" w14:paraId="5348DDE9"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4BA17A" w14:textId="77777777" w:rsidR="00295470" w:rsidRPr="00E25F58" w:rsidRDefault="00295470" w:rsidP="00BB385C">
            <w:pPr>
              <w:pStyle w:val="KMC16-Tablecontent"/>
              <w:spacing w:after="0"/>
              <w:rPr>
                <w:b/>
                <w:sz w:val="18"/>
                <w:szCs w:val="18"/>
              </w:rPr>
            </w:pPr>
            <w:r>
              <w:rPr>
                <w:b/>
                <w:sz w:val="18"/>
                <w:szCs w:val="18"/>
              </w:rPr>
              <w:lastRenderedPageBreak/>
              <w:t>Prescribing Instruction:</w:t>
            </w:r>
          </w:p>
          <w:p w14:paraId="497E8F0D" w14:textId="77777777" w:rsidR="00295470" w:rsidRPr="00E25F58" w:rsidRDefault="00295470" w:rsidP="00BB385C">
            <w:pPr>
              <w:pStyle w:val="KMC16-Tablecontent"/>
              <w:rPr>
                <w:sz w:val="18"/>
                <w:szCs w:val="18"/>
              </w:rPr>
            </w:pPr>
            <w:r w:rsidRPr="00E25F58">
              <w:rPr>
                <w:sz w:val="18"/>
                <w:szCs w:val="18"/>
              </w:rPr>
              <w:t>The authority application must be made in writing and must include:</w:t>
            </w:r>
          </w:p>
          <w:p w14:paraId="1742B560" w14:textId="77777777" w:rsidR="00295470" w:rsidRPr="00E25F58" w:rsidRDefault="00295470" w:rsidP="00BB385C">
            <w:pPr>
              <w:pStyle w:val="KMC16-Tablecontent"/>
              <w:rPr>
                <w:sz w:val="18"/>
                <w:szCs w:val="18"/>
              </w:rPr>
            </w:pPr>
            <w:r w:rsidRPr="00E25F58">
              <w:rPr>
                <w:sz w:val="18"/>
                <w:szCs w:val="18"/>
              </w:rPr>
              <w:t>(1) a completed authority prescription form(s); and</w:t>
            </w:r>
          </w:p>
          <w:p w14:paraId="7534DA92" w14:textId="77777777" w:rsidR="00295470" w:rsidRPr="00E25F58" w:rsidRDefault="00295470" w:rsidP="00BB385C">
            <w:pPr>
              <w:pStyle w:val="KMC16-Tablecontent"/>
              <w:rPr>
                <w:sz w:val="18"/>
                <w:szCs w:val="18"/>
              </w:rPr>
            </w:pPr>
            <w:r w:rsidRPr="00E25F58">
              <w:rPr>
                <w:sz w:val="18"/>
                <w:szCs w:val="18"/>
              </w:rPr>
              <w:t>(2) a completed Rheumatoid Arthritis PBS Authority Application Form.</w:t>
            </w:r>
          </w:p>
          <w:p w14:paraId="07B203CF" w14:textId="77777777" w:rsidR="00295470" w:rsidRPr="00E25F58" w:rsidRDefault="00295470" w:rsidP="00BB385C">
            <w:pPr>
              <w:pStyle w:val="KMC16-Tablecontent"/>
              <w:spacing w:after="0"/>
              <w:rPr>
                <w:sz w:val="18"/>
                <w:szCs w:val="18"/>
                <w:lang w:val="en-AU"/>
              </w:rPr>
            </w:pPr>
          </w:p>
        </w:tc>
      </w:tr>
      <w:tr w:rsidR="00295470" w:rsidRPr="00D551A5" w14:paraId="26A7EBE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D7618F3" w14:textId="77777777" w:rsidR="00295470" w:rsidRDefault="00295470" w:rsidP="00BB385C">
            <w:pPr>
              <w:pStyle w:val="KMC16-Tablecontent"/>
              <w:spacing w:after="0"/>
              <w:rPr>
                <w:b/>
                <w:sz w:val="18"/>
                <w:szCs w:val="18"/>
              </w:rPr>
            </w:pPr>
            <w:r w:rsidRPr="00962058">
              <w:rPr>
                <w:color w:val="333333"/>
                <w:sz w:val="18"/>
                <w:szCs w:val="18"/>
                <w:lang w:eastAsia="en-AU"/>
              </w:rPr>
              <w:t xml:space="preserve">The patient remains eligible to receive continuing treatment with the same </w:t>
            </w:r>
            <w:r w:rsidRPr="00776C60">
              <w:rPr>
                <w:color w:val="333333"/>
                <w:sz w:val="18"/>
                <w:szCs w:val="18"/>
                <w:lang w:eastAsia="en-AU"/>
              </w:rPr>
              <w:t>biological medicine</w:t>
            </w:r>
            <w:r>
              <w:rPr>
                <w:i/>
                <w:color w:val="333333"/>
                <w:sz w:val="18"/>
                <w:szCs w:val="18"/>
                <w:lang w:eastAsia="en-AU"/>
              </w:rPr>
              <w:t xml:space="preserve"> </w:t>
            </w:r>
            <w:r w:rsidRPr="00962058">
              <w:rPr>
                <w:color w:val="333333"/>
                <w:sz w:val="18"/>
                <w:szCs w:val="18"/>
                <w:lang w:eastAsia="en-AU"/>
              </w:rPr>
              <w:t xml:space="preserve">in courses of up to 24 weeks providing they continue to sustain </w:t>
            </w:r>
            <w:r w:rsidRPr="00EB42FC">
              <w:rPr>
                <w:i/>
                <w:color w:val="333333"/>
                <w:sz w:val="18"/>
                <w:szCs w:val="18"/>
                <w:lang w:eastAsia="en-AU"/>
              </w:rPr>
              <w:t>an adequate</w:t>
            </w:r>
            <w:r w:rsidRPr="00962058">
              <w:rPr>
                <w:color w:val="333333"/>
                <w:sz w:val="18"/>
                <w:szCs w:val="18"/>
                <w:lang w:eastAsia="en-AU"/>
              </w:rPr>
              <w:t xml:space="preserve"> response. It is recommended that a patient be reviewed in the month prior to completing their current course of treatment.</w:t>
            </w:r>
          </w:p>
        </w:tc>
      </w:tr>
      <w:tr w:rsidR="00295470" w:rsidRPr="00D551A5" w14:paraId="59D44E0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312F882" w14:textId="77777777" w:rsidR="00295470" w:rsidRPr="00962058" w:rsidRDefault="00295470" w:rsidP="00BB385C">
            <w:pPr>
              <w:pStyle w:val="KMC16-Tablecontent"/>
              <w:spacing w:after="0"/>
              <w:rPr>
                <w:color w:val="333333"/>
                <w:sz w:val="18"/>
                <w:szCs w:val="18"/>
                <w:lang w:eastAsia="en-AU"/>
              </w:rPr>
            </w:pPr>
            <w:r w:rsidRPr="009F0025">
              <w:rPr>
                <w:color w:val="333333"/>
                <w:sz w:val="18"/>
                <w:szCs w:val="18"/>
                <w:lang w:val="en-AU" w:eastAsia="en-AU"/>
              </w:rPr>
              <w:t>Where a response assessment is not provided, the patient will be deemed to have failed to respond to treatment with this drug, unless the patient has experienced serious adverse reaction of a severity resulting in the necessity for permanent withdrawal of treatment.</w:t>
            </w:r>
          </w:p>
        </w:tc>
      </w:tr>
      <w:tr w:rsidR="00295470" w:rsidRPr="00D551A5" w14:paraId="10F37D7D"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C2EC64" w14:textId="77777777" w:rsidR="00295470" w:rsidRPr="009F0025" w:rsidRDefault="00295470" w:rsidP="00BB385C">
            <w:pPr>
              <w:pStyle w:val="KMC16-Tablecontent"/>
              <w:spacing w:after="0"/>
              <w:rPr>
                <w:color w:val="333333"/>
                <w:sz w:val="18"/>
                <w:szCs w:val="18"/>
                <w:lang w:val="en-AU" w:eastAsia="en-AU"/>
              </w:rPr>
            </w:pPr>
            <w:r w:rsidRPr="009F0025">
              <w:rPr>
                <w:color w:val="333333"/>
                <w:sz w:val="18"/>
                <w:szCs w:val="18"/>
                <w:lang w:val="en-AU" w:eastAsia="en-AU"/>
              </w:rPr>
              <w:t>If a patient has either failed or ceased to respond to a PBS-subsidised biological medicine for this condition 5 times, they will not be eligible to receive further PBS-subsidised treatment with a biological medicine for this condition.</w:t>
            </w:r>
          </w:p>
        </w:tc>
      </w:tr>
      <w:tr w:rsidR="00295470" w:rsidRPr="00D551A5" w14:paraId="7926E5C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21F0FC" w14:textId="77777777" w:rsidR="00295470" w:rsidRPr="009F0025" w:rsidRDefault="00295470" w:rsidP="00BB385C">
            <w:pPr>
              <w:pStyle w:val="KMC16-Tablecontent"/>
              <w:spacing w:after="0"/>
              <w:rPr>
                <w:color w:val="333333"/>
                <w:sz w:val="18"/>
                <w:szCs w:val="18"/>
                <w:lang w:val="en-AU" w:eastAsia="en-AU"/>
              </w:rPr>
            </w:pPr>
            <w:r w:rsidRPr="009F0025">
              <w:rPr>
                <w:color w:val="333333"/>
                <w:sz w:val="18"/>
                <w:szCs w:val="18"/>
                <w:lang w:val="en-AU" w:eastAsia="en-AU"/>
              </w:rPr>
              <w:t>If a patient fails to demonstrate a response to treatment with this drug under this restriction they will not be eligible to receive further PBS-subsidised treatment with this drug for this condition.</w:t>
            </w:r>
          </w:p>
        </w:tc>
      </w:tr>
      <w:tr w:rsidR="00295470" w:rsidRPr="009F0025" w14:paraId="242BB8A3"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44B3679" w14:textId="77777777" w:rsidR="00295470" w:rsidRPr="00776C60" w:rsidRDefault="00295470" w:rsidP="00BB385C">
            <w:pPr>
              <w:pStyle w:val="KMC16-Tablecontent"/>
              <w:spacing w:after="0"/>
              <w:rPr>
                <w:b/>
                <w:sz w:val="18"/>
                <w:szCs w:val="18"/>
                <w:lang w:val="en-AU"/>
              </w:rPr>
            </w:pPr>
            <w:r w:rsidRPr="00776C60">
              <w:rPr>
                <w:b/>
                <w:sz w:val="18"/>
                <w:szCs w:val="18"/>
                <w:lang w:val="en-AU"/>
              </w:rPr>
              <w:t>Administrative Advice:</w:t>
            </w:r>
          </w:p>
          <w:p w14:paraId="3475BEF6" w14:textId="77777777" w:rsidR="00295470" w:rsidRPr="00776C60" w:rsidRDefault="00295470" w:rsidP="00BB385C">
            <w:pPr>
              <w:pStyle w:val="KMC16-Tablecontent"/>
              <w:spacing w:after="0"/>
              <w:rPr>
                <w:color w:val="333333"/>
                <w:sz w:val="18"/>
                <w:szCs w:val="18"/>
                <w:lang w:val="en-AU" w:eastAsia="en-AU"/>
              </w:rPr>
            </w:pPr>
            <w:r w:rsidRPr="00776C60">
              <w:rPr>
                <w:color w:val="333333"/>
                <w:sz w:val="18"/>
                <w:szCs w:val="18"/>
                <w:lang w:val="en-AU" w:eastAsia="en-AU"/>
              </w:rPr>
              <w:t>No increase in the maximum quantity or number of units may be authorised.</w:t>
            </w:r>
          </w:p>
        </w:tc>
      </w:tr>
      <w:tr w:rsidR="00295470" w:rsidRPr="00D551A5" w14:paraId="5C59394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C5713D1" w14:textId="77777777" w:rsidR="00295470" w:rsidRPr="00776C60" w:rsidRDefault="00295470" w:rsidP="00BB385C">
            <w:pPr>
              <w:pStyle w:val="KMC16-Tablecontent"/>
              <w:spacing w:after="0"/>
              <w:rPr>
                <w:b/>
                <w:sz w:val="18"/>
                <w:szCs w:val="18"/>
                <w:lang w:val="en-AU"/>
              </w:rPr>
            </w:pPr>
            <w:r w:rsidRPr="00776C60">
              <w:rPr>
                <w:b/>
                <w:sz w:val="18"/>
                <w:szCs w:val="18"/>
                <w:lang w:val="en-AU"/>
              </w:rPr>
              <w:t>Administrative Advice:</w:t>
            </w:r>
          </w:p>
          <w:p w14:paraId="73A00127" w14:textId="77777777" w:rsidR="00295470" w:rsidRPr="00776C60" w:rsidRDefault="00295470" w:rsidP="00BB385C">
            <w:pPr>
              <w:pStyle w:val="KMC16-Tablecontent"/>
              <w:spacing w:after="0"/>
              <w:rPr>
                <w:color w:val="333333"/>
                <w:sz w:val="18"/>
                <w:szCs w:val="18"/>
                <w:lang w:val="en-AU" w:eastAsia="en-AU"/>
              </w:rPr>
            </w:pPr>
            <w:r w:rsidRPr="00776C60">
              <w:rPr>
                <w:color w:val="333333"/>
                <w:sz w:val="18"/>
                <w:szCs w:val="18"/>
                <w:lang w:val="en-AU" w:eastAsia="en-AU"/>
              </w:rPr>
              <w:t>No increase in the maximum number of repeats may be authorised.</w:t>
            </w:r>
          </w:p>
        </w:tc>
      </w:tr>
      <w:tr w:rsidR="00295470" w:rsidRPr="000E445F" w14:paraId="3186C85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5F6C888" w14:textId="77777777" w:rsidR="00295470" w:rsidRDefault="00295470" w:rsidP="00BB385C">
            <w:pPr>
              <w:pStyle w:val="KMC16-Tablecontent"/>
              <w:spacing w:after="0"/>
              <w:rPr>
                <w:b/>
                <w:sz w:val="18"/>
                <w:szCs w:val="18"/>
                <w:lang w:val="en-AU"/>
              </w:rPr>
            </w:pPr>
            <w:r>
              <w:rPr>
                <w:b/>
                <w:sz w:val="18"/>
                <w:szCs w:val="18"/>
                <w:lang w:val="en-AU"/>
              </w:rPr>
              <w:t>Administrative Advice:</w:t>
            </w:r>
          </w:p>
          <w:p w14:paraId="4777F9A6" w14:textId="77777777" w:rsidR="00295470" w:rsidRDefault="00295470" w:rsidP="00BB385C">
            <w:pPr>
              <w:pStyle w:val="KMC16-Tablecontent"/>
              <w:spacing w:after="0"/>
              <w:rPr>
                <w:b/>
                <w:sz w:val="18"/>
                <w:szCs w:val="18"/>
                <w:lang w:val="en-AU"/>
              </w:rPr>
            </w:pPr>
          </w:p>
          <w:p w14:paraId="60B132E3" w14:textId="77777777" w:rsidR="00295470" w:rsidRPr="009F0025" w:rsidRDefault="00295470" w:rsidP="00BB385C">
            <w:pPr>
              <w:pStyle w:val="KMC16-Tablecontent"/>
              <w:rPr>
                <w:sz w:val="18"/>
                <w:szCs w:val="18"/>
              </w:rPr>
            </w:pPr>
            <w:r w:rsidRPr="009F0025">
              <w:rPr>
                <w:sz w:val="18"/>
                <w:szCs w:val="18"/>
              </w:rPr>
              <w:t>Any queries concerning the arrangements to prescribe may be directed to Services Australia on 1800 700 270 (hours of operation 8 a.m. to 5 p.m. EST Monday to Friday).</w:t>
            </w:r>
          </w:p>
          <w:p w14:paraId="08FA29A7" w14:textId="77777777" w:rsidR="00295470" w:rsidRPr="009F0025" w:rsidRDefault="00295470" w:rsidP="00BB385C">
            <w:pPr>
              <w:pStyle w:val="KMC16-Tablecontent"/>
              <w:rPr>
                <w:sz w:val="18"/>
                <w:szCs w:val="18"/>
              </w:rPr>
            </w:pPr>
            <w:r w:rsidRPr="009F0025">
              <w:rPr>
                <w:sz w:val="18"/>
                <w:szCs w:val="18"/>
              </w:rPr>
              <w:t>Prescribing information (including Authority Application forms and other relevant documentation as applicable) is available on the Services Australia website at www.servicesaustralia.gov.au</w:t>
            </w:r>
          </w:p>
          <w:p w14:paraId="001C9076" w14:textId="77777777" w:rsidR="00295470" w:rsidRPr="009F0025" w:rsidRDefault="00295470" w:rsidP="00BB385C">
            <w:pPr>
              <w:pStyle w:val="KMC16-Tablecontent"/>
              <w:rPr>
                <w:sz w:val="18"/>
                <w:szCs w:val="18"/>
              </w:rPr>
            </w:pPr>
            <w:r w:rsidRPr="009F0025">
              <w:rPr>
                <w:sz w:val="18"/>
                <w:szCs w:val="18"/>
              </w:rPr>
              <w:t>Applications for authority to prescribe should be submitted online using the form upload facility in Health Professional Online Services (HPOS) at www.servicesaustralia.gov.au/hpos</w:t>
            </w:r>
          </w:p>
          <w:p w14:paraId="62DEB976" w14:textId="77777777" w:rsidR="00295470" w:rsidRPr="009F0025" w:rsidRDefault="00295470" w:rsidP="00BB385C">
            <w:pPr>
              <w:pStyle w:val="KMC16-Tablecontent"/>
              <w:rPr>
                <w:sz w:val="18"/>
                <w:szCs w:val="18"/>
              </w:rPr>
            </w:pPr>
            <w:r w:rsidRPr="009F0025">
              <w:rPr>
                <w:sz w:val="18"/>
                <w:szCs w:val="18"/>
              </w:rPr>
              <w:t>Or mailed to:</w:t>
            </w:r>
          </w:p>
          <w:p w14:paraId="157DBF5C" w14:textId="77777777" w:rsidR="00295470" w:rsidRPr="009F0025" w:rsidRDefault="00295470" w:rsidP="00BB385C">
            <w:pPr>
              <w:pStyle w:val="KMC16-Tablecontent"/>
              <w:rPr>
                <w:sz w:val="18"/>
                <w:szCs w:val="18"/>
              </w:rPr>
            </w:pPr>
            <w:r w:rsidRPr="009F0025">
              <w:rPr>
                <w:sz w:val="18"/>
                <w:szCs w:val="18"/>
              </w:rPr>
              <w:t>Services Australia</w:t>
            </w:r>
          </w:p>
          <w:p w14:paraId="1422E5F8" w14:textId="77777777" w:rsidR="00295470" w:rsidRPr="009F0025" w:rsidRDefault="00295470" w:rsidP="00BB385C">
            <w:pPr>
              <w:pStyle w:val="KMC16-Tablecontent"/>
              <w:rPr>
                <w:sz w:val="18"/>
                <w:szCs w:val="18"/>
              </w:rPr>
            </w:pPr>
            <w:r w:rsidRPr="009F0025">
              <w:rPr>
                <w:sz w:val="18"/>
                <w:szCs w:val="18"/>
              </w:rPr>
              <w:t>Complex Drugs</w:t>
            </w:r>
          </w:p>
          <w:p w14:paraId="19DD21C1" w14:textId="77777777" w:rsidR="00295470" w:rsidRPr="009F0025" w:rsidRDefault="00295470" w:rsidP="00BB385C">
            <w:pPr>
              <w:pStyle w:val="KMC16-Tablecontent"/>
              <w:rPr>
                <w:sz w:val="18"/>
                <w:szCs w:val="18"/>
              </w:rPr>
            </w:pPr>
            <w:r w:rsidRPr="009F0025">
              <w:rPr>
                <w:sz w:val="18"/>
                <w:szCs w:val="18"/>
              </w:rPr>
              <w:t>Reply Paid 9826</w:t>
            </w:r>
          </w:p>
          <w:p w14:paraId="5364A79A" w14:textId="77777777" w:rsidR="00295470" w:rsidRPr="009F0025" w:rsidRDefault="00295470" w:rsidP="00BB385C">
            <w:pPr>
              <w:pStyle w:val="KMC16-Tablecontent"/>
              <w:rPr>
                <w:sz w:val="18"/>
                <w:szCs w:val="18"/>
              </w:rPr>
            </w:pPr>
            <w:r w:rsidRPr="009F0025">
              <w:rPr>
                <w:sz w:val="18"/>
                <w:szCs w:val="18"/>
              </w:rPr>
              <w:t>HOBART TAS 7001</w:t>
            </w:r>
          </w:p>
          <w:p w14:paraId="577EAB84" w14:textId="77777777" w:rsidR="00295470" w:rsidRPr="00251A40" w:rsidRDefault="00295470" w:rsidP="00BB385C">
            <w:pPr>
              <w:pStyle w:val="KMC16-Tablecontent"/>
              <w:spacing w:after="0"/>
              <w:rPr>
                <w:sz w:val="18"/>
                <w:szCs w:val="18"/>
              </w:rPr>
            </w:pPr>
          </w:p>
        </w:tc>
      </w:tr>
    </w:tbl>
    <w:p w14:paraId="1AC1505C" w14:textId="77777777" w:rsidR="00F122E0" w:rsidRDefault="00F122E0" w:rsidP="00F122E0">
      <w:pPr>
        <w:rPr>
          <w:rFonts w:ascii="Arial Narrow" w:hAnsi="Arial Narrow"/>
          <w:b/>
          <w:sz w:val="18"/>
          <w:szCs w:val="18"/>
          <w:lang w:val="en-GB"/>
        </w:rPr>
      </w:pPr>
    </w:p>
    <w:p w14:paraId="05349239" w14:textId="77777777" w:rsidR="008A6B2A" w:rsidRDefault="008A6B2A">
      <w:pPr>
        <w:jc w:val="left"/>
        <w:rPr>
          <w:rFonts w:ascii="Arial Narrow" w:hAnsi="Arial Narrow"/>
          <w:b/>
          <w:sz w:val="18"/>
          <w:szCs w:val="18"/>
          <w:lang w:val="en-GB"/>
        </w:rPr>
      </w:pPr>
    </w:p>
    <w:p w14:paraId="4CDA3C0B" w14:textId="77777777" w:rsidR="00F122E0" w:rsidRDefault="00F122E0" w:rsidP="00F122E0">
      <w:pPr>
        <w:rPr>
          <w:rFonts w:ascii="Arial Narrow" w:hAnsi="Arial Narrow"/>
          <w:b/>
          <w:sz w:val="18"/>
          <w:szCs w:val="18"/>
          <w:lang w:val="en-GB"/>
        </w:rPr>
      </w:pPr>
    </w:p>
    <w:p w14:paraId="6B3E59B2" w14:textId="77777777" w:rsidR="00993E4F" w:rsidRDefault="00993E4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8A6B2A" w14:paraId="1D8E0343" w14:textId="77777777" w:rsidTr="000067C2">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5203EA7D" w14:textId="77777777" w:rsidR="008A6B2A" w:rsidRDefault="008A6B2A" w:rsidP="000067C2">
            <w:pPr>
              <w:keepNext/>
              <w:ind w:left="-108"/>
              <w:rPr>
                <w:rFonts w:ascii="Arial Narrow" w:hAnsi="Arial Narrow"/>
                <w:b/>
                <w:color w:val="000000" w:themeColor="text1"/>
                <w:sz w:val="18"/>
                <w:szCs w:val="18"/>
              </w:rPr>
            </w:pPr>
            <w:r>
              <w:rPr>
                <w:rFonts w:ascii="Arial Narrow" w:hAnsi="Arial Narrow"/>
                <w:b/>
                <w:color w:val="000000" w:themeColor="text1"/>
                <w:sz w:val="18"/>
                <w:szCs w:val="18"/>
              </w:rPr>
              <w:lastRenderedPageBreak/>
              <w:t>Name, Restriction,</w:t>
            </w:r>
          </w:p>
          <w:p w14:paraId="7B479BBE" w14:textId="77777777" w:rsidR="008A6B2A" w:rsidRDefault="008A6B2A" w:rsidP="000067C2">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052EBC2B" w14:textId="77777777" w:rsidR="008A6B2A" w:rsidRDefault="008A6B2A" w:rsidP="000067C2">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6CF55FB6" w14:textId="77777777" w:rsidR="008A6B2A" w:rsidRDefault="008A6B2A" w:rsidP="000067C2">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1C65BBC3" w14:textId="77777777" w:rsidR="008A6B2A" w:rsidRDefault="008A6B2A" w:rsidP="000067C2">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05E0D806" w14:textId="77777777" w:rsidR="008A6B2A" w:rsidRDefault="008A6B2A" w:rsidP="000067C2">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1DCC09CA" w14:textId="77777777" w:rsidR="008A6B2A" w:rsidRDefault="008A6B2A" w:rsidP="000067C2">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37A05948" w14:textId="77777777" w:rsidR="008A6B2A" w:rsidRDefault="008A6B2A" w:rsidP="000067C2">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8A6B2A" w14:paraId="48DC6ECD" w14:textId="77777777" w:rsidTr="000067C2">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6C1FEE97" w14:textId="77777777" w:rsidR="008A6B2A" w:rsidRDefault="008A6B2A" w:rsidP="000067C2">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2010FB1D" w14:textId="77777777" w:rsidR="008A6B2A" w:rsidRDefault="008A6B2A" w:rsidP="000067C2">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467E3C82" w14:textId="77777777" w:rsidR="008A6B2A" w:rsidRDefault="008A6B2A" w:rsidP="000067C2">
            <w:pPr>
              <w:keepNext/>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392" w:type="pct"/>
            <w:tcBorders>
              <w:top w:val="single" w:sz="4" w:space="0" w:color="auto"/>
              <w:left w:val="single" w:sz="4" w:space="0" w:color="auto"/>
              <w:bottom w:val="single" w:sz="4" w:space="0" w:color="auto"/>
              <w:right w:val="single" w:sz="4" w:space="0" w:color="auto"/>
            </w:tcBorders>
            <w:hideMark/>
          </w:tcPr>
          <w:p w14:paraId="73E4312C" w14:textId="77777777" w:rsidR="008A6B2A" w:rsidRDefault="008A6B2A" w:rsidP="000067C2">
            <w:pPr>
              <w:keepNext/>
              <w:ind w:left="-108"/>
              <w:jc w:val="center"/>
              <w:rPr>
                <w:rFonts w:ascii="Arial Narrow" w:hAnsi="Arial Narrow"/>
                <w:color w:val="000000" w:themeColor="text1"/>
                <w:sz w:val="18"/>
                <w:szCs w:val="18"/>
              </w:rPr>
            </w:pPr>
            <w:r>
              <w:rPr>
                <w:rFonts w:ascii="Arial Narrow" w:hAnsi="Arial Narrow"/>
                <w:sz w:val="18"/>
                <w:szCs w:val="18"/>
              </w:rPr>
              <w:t>1</w:t>
            </w:r>
          </w:p>
        </w:tc>
        <w:tc>
          <w:tcPr>
            <w:tcW w:w="393" w:type="pct"/>
            <w:tcBorders>
              <w:top w:val="single" w:sz="4" w:space="0" w:color="auto"/>
              <w:left w:val="single" w:sz="4" w:space="0" w:color="auto"/>
              <w:bottom w:val="single" w:sz="4" w:space="0" w:color="auto"/>
              <w:right w:val="single" w:sz="4" w:space="0" w:color="auto"/>
            </w:tcBorders>
            <w:hideMark/>
          </w:tcPr>
          <w:p w14:paraId="143F5F0C" w14:textId="77777777" w:rsidR="008A6B2A" w:rsidRPr="009D3B62" w:rsidRDefault="008A6B2A" w:rsidP="000067C2">
            <w:pPr>
              <w:keepNext/>
              <w:ind w:left="-108"/>
              <w:jc w:val="center"/>
              <w:rPr>
                <w:rFonts w:ascii="Arial Narrow" w:hAnsi="Arial Narrow"/>
                <w:sz w:val="18"/>
                <w:szCs w:val="18"/>
              </w:rPr>
            </w:pPr>
            <w:r w:rsidRPr="009D3B62">
              <w:rPr>
                <w:rFonts w:ascii="Arial Narrow" w:hAnsi="Arial Narrow"/>
                <w:sz w:val="18"/>
                <w:szCs w:val="18"/>
              </w:rPr>
              <w:t xml:space="preserve"> 0</w:t>
            </w:r>
          </w:p>
        </w:tc>
        <w:tc>
          <w:tcPr>
            <w:tcW w:w="506" w:type="pct"/>
            <w:tcBorders>
              <w:top w:val="single" w:sz="4" w:space="0" w:color="auto"/>
              <w:left w:val="single" w:sz="4" w:space="0" w:color="auto"/>
              <w:bottom w:val="single" w:sz="4" w:space="0" w:color="auto"/>
              <w:right w:val="single" w:sz="4" w:space="0" w:color="auto"/>
            </w:tcBorders>
            <w:hideMark/>
          </w:tcPr>
          <w:p w14:paraId="5E2DFECA" w14:textId="77777777" w:rsidR="008A6B2A" w:rsidRDefault="008A6B2A" w:rsidP="000067C2">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25946466" w14:textId="77777777" w:rsidR="008A6B2A" w:rsidRDefault="008A6B2A" w:rsidP="000067C2">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8A6B2A" w14:paraId="0E6ED048" w14:textId="77777777" w:rsidTr="000067C2">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4B938ED4" w14:textId="77777777" w:rsidR="008A6B2A" w:rsidRDefault="008A6B2A" w:rsidP="000067C2">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76DB4B7B" w14:textId="77777777" w:rsidR="008A6B2A" w:rsidRDefault="008A6B2A" w:rsidP="000067C2">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55EBA02C" w14:textId="77777777" w:rsidR="008A6B2A" w:rsidRDefault="008A6B2A" w:rsidP="000067C2">
            <w:pPr>
              <w:keepNext/>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392" w:type="pct"/>
            <w:tcBorders>
              <w:top w:val="single" w:sz="4" w:space="0" w:color="auto"/>
              <w:left w:val="single" w:sz="4" w:space="0" w:color="auto"/>
              <w:bottom w:val="single" w:sz="4" w:space="0" w:color="auto"/>
              <w:right w:val="single" w:sz="4" w:space="0" w:color="auto"/>
            </w:tcBorders>
            <w:hideMark/>
          </w:tcPr>
          <w:p w14:paraId="4B6CA6CE" w14:textId="77777777" w:rsidR="008A6B2A" w:rsidRDefault="008A6B2A" w:rsidP="000067C2">
            <w:pPr>
              <w:keepNext/>
              <w:ind w:left="-108"/>
              <w:jc w:val="center"/>
              <w:rPr>
                <w:rFonts w:ascii="Arial Narrow" w:hAnsi="Arial Narrow"/>
                <w:sz w:val="18"/>
                <w:szCs w:val="18"/>
              </w:rPr>
            </w:pPr>
            <w:r>
              <w:rPr>
                <w:rFonts w:ascii="Arial Narrow" w:hAnsi="Arial Narrow"/>
                <w:sz w:val="18"/>
                <w:szCs w:val="18"/>
              </w:rPr>
              <w:t>1</w:t>
            </w:r>
          </w:p>
        </w:tc>
        <w:tc>
          <w:tcPr>
            <w:tcW w:w="393" w:type="pct"/>
            <w:tcBorders>
              <w:top w:val="single" w:sz="4" w:space="0" w:color="auto"/>
              <w:left w:val="single" w:sz="4" w:space="0" w:color="auto"/>
              <w:bottom w:val="single" w:sz="4" w:space="0" w:color="auto"/>
              <w:right w:val="single" w:sz="4" w:space="0" w:color="auto"/>
            </w:tcBorders>
            <w:hideMark/>
          </w:tcPr>
          <w:p w14:paraId="2247F91D" w14:textId="77777777" w:rsidR="008A6B2A" w:rsidRPr="009D3B62" w:rsidRDefault="008A6B2A" w:rsidP="000067C2">
            <w:pPr>
              <w:keepNext/>
              <w:ind w:left="-108"/>
              <w:jc w:val="center"/>
              <w:rPr>
                <w:rFonts w:ascii="Arial Narrow" w:hAnsi="Arial Narrow"/>
                <w:sz w:val="18"/>
                <w:szCs w:val="18"/>
              </w:rPr>
            </w:pPr>
            <w:r w:rsidRPr="009D3B62">
              <w:rPr>
                <w:rFonts w:ascii="Arial Narrow" w:hAnsi="Arial Narrow"/>
                <w:sz w:val="18"/>
                <w:szCs w:val="18"/>
              </w:rPr>
              <w:t>0</w:t>
            </w:r>
          </w:p>
        </w:tc>
        <w:tc>
          <w:tcPr>
            <w:tcW w:w="506" w:type="pct"/>
            <w:tcBorders>
              <w:top w:val="single" w:sz="4" w:space="0" w:color="auto"/>
              <w:left w:val="single" w:sz="4" w:space="0" w:color="auto"/>
              <w:bottom w:val="single" w:sz="4" w:space="0" w:color="auto"/>
              <w:right w:val="single" w:sz="4" w:space="0" w:color="auto"/>
            </w:tcBorders>
            <w:hideMark/>
          </w:tcPr>
          <w:p w14:paraId="3E2CA3EE" w14:textId="77777777" w:rsidR="008A6B2A" w:rsidRDefault="008A6B2A" w:rsidP="000067C2">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5199A57F" w14:textId="77777777" w:rsidR="008A6B2A" w:rsidRDefault="008A6B2A" w:rsidP="000067C2">
            <w:pPr>
              <w:keepNext/>
              <w:rPr>
                <w:rFonts w:ascii="Arial Narrow" w:hAnsi="Arial Narrow"/>
                <w:sz w:val="18"/>
                <w:szCs w:val="18"/>
              </w:rPr>
            </w:pPr>
            <w:r>
              <w:rPr>
                <w:rFonts w:ascii="Arial Narrow" w:hAnsi="Arial Narrow"/>
                <w:sz w:val="18"/>
                <w:szCs w:val="18"/>
              </w:rPr>
              <w:t>Celltrion Healthcare Australia Pty Ltd</w:t>
            </w:r>
          </w:p>
        </w:tc>
      </w:tr>
    </w:tbl>
    <w:p w14:paraId="4C391726" w14:textId="77777777" w:rsidR="008A6B2A" w:rsidRDefault="008A6B2A" w:rsidP="008A6B2A">
      <w:pPr>
        <w:rPr>
          <w:rFonts w:ascii="Arial Narrow" w:hAnsi="Arial Narrow"/>
          <w:b/>
          <w:sz w:val="18"/>
          <w:szCs w:val="18"/>
          <w:lang w:val="en-GB"/>
        </w:rPr>
      </w:pPr>
    </w:p>
    <w:p w14:paraId="4539E119" w14:textId="77777777" w:rsidR="008A6B2A" w:rsidRDefault="008A6B2A" w:rsidP="008A6B2A">
      <w:pPr>
        <w:rPr>
          <w:rFonts w:ascii="Arial Narrow" w:hAnsi="Arial Narrow"/>
          <w:b/>
          <w:sz w:val="18"/>
          <w:szCs w:val="18"/>
          <w:lang w:val="en-GB"/>
        </w:rPr>
      </w:pPr>
    </w:p>
    <w:p w14:paraId="587D632F" w14:textId="77777777" w:rsidR="008A6B2A" w:rsidRDefault="008A6B2A" w:rsidP="008A6B2A">
      <w:pPr>
        <w:rPr>
          <w:rFonts w:ascii="Arial Narrow" w:hAnsi="Arial Narrow"/>
          <w:b/>
          <w:sz w:val="18"/>
          <w:szCs w:val="18"/>
          <w:lang w:val="en-GB"/>
        </w:rPr>
      </w:pPr>
    </w:p>
    <w:tbl>
      <w:tblPr>
        <w:tblW w:w="5000" w:type="pct"/>
        <w:tblLook w:val="04A0" w:firstRow="1" w:lastRow="0" w:firstColumn="1" w:lastColumn="0" w:noHBand="0" w:noVBand="1"/>
      </w:tblPr>
      <w:tblGrid>
        <w:gridCol w:w="9017"/>
      </w:tblGrid>
      <w:tr w:rsidR="00295470" w:rsidRPr="000E445F" w14:paraId="4E6F75D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5D52D984" w14:textId="77777777" w:rsidR="00295470" w:rsidRPr="005934EC" w:rsidRDefault="00295470" w:rsidP="000067C2">
            <w:pPr>
              <w:pStyle w:val="KMC16-Tablecontent"/>
              <w:spacing w:before="0" w:after="0"/>
              <w:rPr>
                <w:b/>
                <w:sz w:val="18"/>
                <w:szCs w:val="18"/>
              </w:rPr>
            </w:pPr>
            <w:r w:rsidRPr="00BA5687">
              <w:rPr>
                <w:b/>
                <w:sz w:val="18"/>
                <w:szCs w:val="18"/>
              </w:rPr>
              <w:t>Category / Program:</w:t>
            </w:r>
            <w:r>
              <w:rPr>
                <w:b/>
                <w:sz w:val="18"/>
                <w:szCs w:val="18"/>
              </w:rPr>
              <w:t xml:space="preserve"> </w:t>
            </w:r>
            <w:r>
              <w:rPr>
                <w:rFonts w:cstheme="minorBidi"/>
                <w:sz w:val="18"/>
                <w:szCs w:val="18"/>
              </w:rPr>
              <w:t>General Schedule</w:t>
            </w:r>
          </w:p>
        </w:tc>
      </w:tr>
      <w:tr w:rsidR="00295470" w:rsidRPr="000E445F" w14:paraId="34EE50A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2507BD1A" w14:textId="77777777" w:rsidR="00295470" w:rsidRPr="00332B5A" w:rsidRDefault="00295470" w:rsidP="000067C2">
            <w:pPr>
              <w:pStyle w:val="KMC16-Tablecontent"/>
              <w:spacing w:before="0" w:after="0"/>
              <w:rPr>
                <w:b/>
                <w:sz w:val="18"/>
                <w:szCs w:val="18"/>
              </w:rPr>
            </w:pPr>
            <w:r w:rsidRPr="00BA5687">
              <w:rPr>
                <w:b/>
                <w:sz w:val="18"/>
                <w:szCs w:val="18"/>
              </w:rPr>
              <w:t>Prescriber type:</w:t>
            </w:r>
            <w:r>
              <w:rPr>
                <w:b/>
                <w:sz w:val="18"/>
                <w:szCs w:val="18"/>
              </w:rPr>
              <w:t xml:space="preserve"> </w:t>
            </w:r>
            <w:r w:rsidRPr="000E445F">
              <w:rPr>
                <w:sz w:val="18"/>
                <w:szCs w:val="18"/>
              </w:rPr>
              <w:fldChar w:fldCharType="begin">
                <w:ffData>
                  <w:name w:val="Check1"/>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Dental  </w:t>
            </w:r>
            <w:r w:rsidRPr="000E445F">
              <w:rPr>
                <w:sz w:val="18"/>
                <w:szCs w:val="18"/>
              </w:rPr>
              <w:fldChar w:fldCharType="begin">
                <w:ffData>
                  <w:name w:val=""/>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Medical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Nurse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Optometrists</w:t>
            </w:r>
            <w:r>
              <w:rPr>
                <w:sz w:val="18"/>
                <w:szCs w:val="18"/>
              </w:rPr>
              <w:t xml:space="preserve"> </w:t>
            </w:r>
            <w:r w:rsidRPr="000E445F">
              <w:rPr>
                <w:sz w:val="18"/>
                <w:szCs w:val="18"/>
              </w:rPr>
              <w:fldChar w:fldCharType="begin">
                <w:ffData>
                  <w:name w:val="Check5"/>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Midwives</w:t>
            </w:r>
          </w:p>
        </w:tc>
      </w:tr>
      <w:tr w:rsidR="00295470" w:rsidRPr="000E445F" w14:paraId="72D507A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59A12EE" w14:textId="77777777" w:rsidR="00295470" w:rsidRPr="009B7AB1" w:rsidRDefault="00295470" w:rsidP="000067C2">
            <w:pPr>
              <w:rPr>
                <w:rFonts w:ascii="Arial Narrow" w:eastAsia="Calibri" w:hAnsi="Arial Narrow"/>
                <w:sz w:val="18"/>
                <w:szCs w:val="18"/>
              </w:rPr>
            </w:pPr>
            <w:r w:rsidRPr="00BA5687">
              <w:rPr>
                <w:b/>
                <w:sz w:val="18"/>
                <w:szCs w:val="18"/>
              </w:rPr>
              <w:t>Restriction Method:</w:t>
            </w:r>
            <w:r>
              <w:rPr>
                <w:b/>
                <w:sz w:val="18"/>
                <w:szCs w:val="18"/>
              </w:rPr>
              <w:t xml:space="preserve"> </w:t>
            </w:r>
            <w:r w:rsidRPr="000E445F">
              <w:rPr>
                <w:sz w:val="18"/>
                <w:szCs w:val="18"/>
              </w:rPr>
              <w:fldChar w:fldCharType="begin">
                <w:ffData>
                  <w:name w:val="Check5"/>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9D3B62">
              <w:rPr>
                <w:rFonts w:ascii="Arial Narrow" w:hAnsi="Arial Narrow"/>
                <w:sz w:val="18"/>
                <w:szCs w:val="18"/>
              </w:rPr>
              <w:t>Authority Required –</w:t>
            </w:r>
            <w:r w:rsidRPr="009D3B62">
              <w:rPr>
                <w:rFonts w:ascii="Arial Narrow" w:hAnsi="Arial Narrow"/>
                <w:bCs/>
                <w:sz w:val="18"/>
                <w:szCs w:val="18"/>
              </w:rPr>
              <w:t xml:space="preserve"> </w:t>
            </w:r>
            <w:r w:rsidRPr="009D3B62">
              <w:rPr>
                <w:rFonts w:ascii="Arial Narrow" w:eastAsia="Calibri" w:hAnsi="Arial Narrow"/>
                <w:sz w:val="18"/>
                <w:szCs w:val="18"/>
              </w:rPr>
              <w:t>immediate/real time assessment by Services Australia (telephone/online application avenues)</w:t>
            </w:r>
          </w:p>
        </w:tc>
      </w:tr>
      <w:tr w:rsidR="00295470" w:rsidRPr="000E445F" w14:paraId="20A3D02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1929D27" w14:textId="77777777" w:rsidR="00295470" w:rsidRPr="000E445F" w:rsidRDefault="00295470" w:rsidP="000067C2">
            <w:pPr>
              <w:pStyle w:val="KMC16-Tablecontent"/>
              <w:spacing w:before="0" w:after="0"/>
              <w:rPr>
                <w:rFonts w:cs="Times New Roman"/>
                <w:sz w:val="18"/>
                <w:szCs w:val="18"/>
              </w:rPr>
            </w:pPr>
            <w:r w:rsidRPr="00BA5687">
              <w:rPr>
                <w:b/>
                <w:sz w:val="18"/>
                <w:szCs w:val="18"/>
              </w:rPr>
              <w:t>Severity:</w:t>
            </w:r>
            <w:r>
              <w:rPr>
                <w:b/>
                <w:sz w:val="18"/>
                <w:szCs w:val="18"/>
              </w:rPr>
              <w:t xml:space="preserve"> </w:t>
            </w:r>
            <w:r w:rsidRPr="000E445F">
              <w:rPr>
                <w:rFonts w:cs="Times New Roman"/>
                <w:sz w:val="18"/>
                <w:szCs w:val="18"/>
              </w:rPr>
              <w:t>Severe active</w:t>
            </w:r>
          </w:p>
        </w:tc>
      </w:tr>
      <w:tr w:rsidR="00295470" w:rsidRPr="000E445F" w14:paraId="6184607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4774A901" w14:textId="77777777" w:rsidR="00295470" w:rsidRPr="000E445F" w:rsidRDefault="00295470" w:rsidP="000067C2">
            <w:pPr>
              <w:rPr>
                <w:rFonts w:ascii="Arial Narrow" w:hAnsi="Arial Narrow" w:cstheme="minorBidi"/>
                <w:color w:val="222222"/>
                <w:sz w:val="18"/>
                <w:szCs w:val="18"/>
              </w:rPr>
            </w:pPr>
            <w:r w:rsidRPr="00332B5A">
              <w:rPr>
                <w:rFonts w:ascii="Arial Narrow" w:hAnsi="Arial Narrow"/>
                <w:b/>
                <w:sz w:val="18"/>
                <w:szCs w:val="18"/>
              </w:rPr>
              <w:t>Condition:</w:t>
            </w:r>
            <w:r>
              <w:rPr>
                <w:b/>
                <w:sz w:val="18"/>
                <w:szCs w:val="18"/>
              </w:rPr>
              <w:t xml:space="preserve"> </w:t>
            </w:r>
            <w:r w:rsidRPr="000E445F">
              <w:rPr>
                <w:rFonts w:ascii="Arial Narrow" w:hAnsi="Arial Narrow"/>
                <w:color w:val="222222"/>
                <w:sz w:val="18"/>
                <w:szCs w:val="18"/>
              </w:rPr>
              <w:t>rheumatoid arthritis</w:t>
            </w:r>
          </w:p>
        </w:tc>
      </w:tr>
      <w:tr w:rsidR="00295470" w:rsidRPr="000E445F" w14:paraId="07F75798"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E7635B6" w14:textId="77777777" w:rsidR="00295470" w:rsidRPr="00386B77" w:rsidRDefault="00295470" w:rsidP="000067C2">
            <w:pPr>
              <w:pStyle w:val="KMC16-Tablecontent"/>
              <w:spacing w:before="0" w:after="0"/>
              <w:rPr>
                <w:sz w:val="18"/>
                <w:szCs w:val="18"/>
              </w:rPr>
            </w:pPr>
            <w:r w:rsidRPr="00BA5687">
              <w:rPr>
                <w:b/>
                <w:sz w:val="18"/>
                <w:szCs w:val="18"/>
              </w:rPr>
              <w:t>PBS Indication:</w:t>
            </w:r>
            <w:r>
              <w:rPr>
                <w:b/>
                <w:sz w:val="18"/>
                <w:szCs w:val="18"/>
              </w:rPr>
              <w:t xml:space="preserve"> </w:t>
            </w:r>
            <w:r w:rsidRPr="00386B77">
              <w:rPr>
                <w:rFonts w:cs="Times New Roman"/>
                <w:sz w:val="18"/>
                <w:szCs w:val="18"/>
              </w:rPr>
              <w:t>Severe active rheumatoid arthritis</w:t>
            </w:r>
          </w:p>
        </w:tc>
      </w:tr>
      <w:tr w:rsidR="00295470" w:rsidRPr="000E445F" w14:paraId="7DE3E09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6E818D8" w14:textId="77777777" w:rsidR="00295470" w:rsidRDefault="00295470" w:rsidP="000067C2">
            <w:pPr>
              <w:pStyle w:val="KMC16-Tablecontent"/>
              <w:spacing w:before="0" w:after="0"/>
              <w:rPr>
                <w:b/>
                <w:sz w:val="18"/>
                <w:szCs w:val="18"/>
              </w:rPr>
            </w:pPr>
            <w:r w:rsidRPr="000A057A">
              <w:rPr>
                <w:b/>
                <w:sz w:val="18"/>
                <w:szCs w:val="18"/>
              </w:rPr>
              <w:t>Treatment criteria:</w:t>
            </w:r>
            <w:r>
              <w:rPr>
                <w:b/>
                <w:sz w:val="18"/>
                <w:szCs w:val="18"/>
              </w:rPr>
              <w:t xml:space="preserve"> </w:t>
            </w:r>
          </w:p>
          <w:p w14:paraId="010DD9E9" w14:textId="77777777" w:rsidR="00295470" w:rsidRPr="000E445F" w:rsidRDefault="00295470" w:rsidP="000067C2">
            <w:pPr>
              <w:pStyle w:val="KMC16-Tablecontent"/>
              <w:spacing w:before="0" w:after="0"/>
              <w:rPr>
                <w:sz w:val="18"/>
                <w:szCs w:val="18"/>
              </w:rPr>
            </w:pPr>
            <w:r w:rsidRPr="000E445F">
              <w:rPr>
                <w:sz w:val="18"/>
                <w:szCs w:val="18"/>
              </w:rPr>
              <w:t>Must be treated by a rheumatologist; OR</w:t>
            </w:r>
          </w:p>
          <w:p w14:paraId="0B6D5F0B" w14:textId="77777777" w:rsidR="00295470" w:rsidRPr="00386B77" w:rsidRDefault="00295470" w:rsidP="000067C2">
            <w:pPr>
              <w:pStyle w:val="KMC16-Tablecontent"/>
              <w:spacing w:before="0" w:after="0"/>
              <w:rPr>
                <w:rFonts w:cs="Times New Roman"/>
                <w:sz w:val="18"/>
                <w:szCs w:val="18"/>
              </w:rPr>
            </w:pPr>
            <w:r w:rsidRPr="000E445F">
              <w:rPr>
                <w:sz w:val="18"/>
                <w:szCs w:val="18"/>
              </w:rPr>
              <w:t>Must be treated by a clinical immunologist with expertise in the management of rheumatoid arthritis.</w:t>
            </w:r>
          </w:p>
        </w:tc>
      </w:tr>
      <w:tr w:rsidR="00295470" w:rsidRPr="000E445F" w14:paraId="75A2F91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A2C0405" w14:textId="77777777" w:rsidR="00295470" w:rsidRPr="009D3B62" w:rsidRDefault="00295470" w:rsidP="000067C2">
            <w:pPr>
              <w:pStyle w:val="KMC16-Tablecontent"/>
              <w:spacing w:after="0"/>
              <w:rPr>
                <w:b/>
                <w:sz w:val="18"/>
                <w:szCs w:val="18"/>
              </w:rPr>
            </w:pPr>
            <w:r w:rsidRPr="009D3B62">
              <w:rPr>
                <w:b/>
                <w:sz w:val="18"/>
                <w:szCs w:val="18"/>
              </w:rPr>
              <w:t xml:space="preserve">Treatment Phase: Initial treatment or continuing treatment with subcutaneous form - Balance of supply </w:t>
            </w:r>
          </w:p>
        </w:tc>
      </w:tr>
      <w:tr w:rsidR="00295470" w:rsidRPr="000E445F" w14:paraId="75CA89B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83C1B24" w14:textId="77777777" w:rsidR="00295470" w:rsidRPr="009D3B62" w:rsidRDefault="00295470" w:rsidP="000067C2">
            <w:pPr>
              <w:pStyle w:val="KMC16-Tablecontent"/>
              <w:spacing w:after="0"/>
              <w:rPr>
                <w:b/>
                <w:sz w:val="18"/>
                <w:szCs w:val="18"/>
              </w:rPr>
            </w:pPr>
            <w:r w:rsidRPr="009D3B62">
              <w:rPr>
                <w:b/>
                <w:sz w:val="18"/>
                <w:szCs w:val="18"/>
              </w:rPr>
              <w:t xml:space="preserve">Clinical criteria: </w:t>
            </w:r>
          </w:p>
          <w:p w14:paraId="04E9F7BE" w14:textId="77777777" w:rsidR="00295470" w:rsidRPr="009D3B62" w:rsidRDefault="00295470" w:rsidP="000067C2">
            <w:pPr>
              <w:pStyle w:val="KMC16-Tablecontent"/>
              <w:spacing w:after="0"/>
              <w:rPr>
                <w:sz w:val="18"/>
                <w:szCs w:val="18"/>
              </w:rPr>
            </w:pPr>
            <w:r w:rsidRPr="009D3B62">
              <w:rPr>
                <w:sz w:val="18"/>
                <w:szCs w:val="18"/>
              </w:rPr>
              <w:t xml:space="preserve">Patient must have received insufficient therapy with this drug for this condition under the Initial treatment with subcutaneous form restriction to complete 22 weeks treatment; OR </w:t>
            </w:r>
          </w:p>
          <w:p w14:paraId="1ED1E853" w14:textId="77777777" w:rsidR="00295470" w:rsidRPr="009D3B62" w:rsidRDefault="00295470" w:rsidP="000067C2">
            <w:pPr>
              <w:pStyle w:val="KMC16-Tablecontent"/>
              <w:spacing w:after="0"/>
              <w:rPr>
                <w:sz w:val="18"/>
                <w:szCs w:val="18"/>
              </w:rPr>
            </w:pPr>
          </w:p>
        </w:tc>
      </w:tr>
      <w:tr w:rsidR="00295470" w:rsidRPr="000E445F" w14:paraId="5FEA335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6135D2B" w14:textId="77777777" w:rsidR="00295470" w:rsidRPr="009D3B62" w:rsidRDefault="00295470" w:rsidP="000067C2">
            <w:pPr>
              <w:pStyle w:val="KMC16-Tablecontent"/>
              <w:spacing w:after="0"/>
              <w:rPr>
                <w:sz w:val="18"/>
                <w:szCs w:val="18"/>
              </w:rPr>
            </w:pPr>
            <w:r w:rsidRPr="009D3B62">
              <w:rPr>
                <w:sz w:val="18"/>
                <w:szCs w:val="18"/>
                <w:lang w:val="en-AU"/>
              </w:rPr>
              <w:t>Patient must have received insufficient therapy with this drug for this condition under the continuing treatment with subcutaneous form restriction to complete 24 weeks treatment</w:t>
            </w:r>
          </w:p>
        </w:tc>
      </w:tr>
      <w:tr w:rsidR="00295470" w:rsidRPr="000E445F" w14:paraId="38154F56"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6C00F55" w14:textId="77777777" w:rsidR="00295470" w:rsidRPr="009D3B62" w:rsidRDefault="00295470" w:rsidP="000067C2">
            <w:pPr>
              <w:pStyle w:val="KMC16-Tablecontent"/>
              <w:spacing w:after="0"/>
              <w:rPr>
                <w:b/>
                <w:sz w:val="18"/>
                <w:szCs w:val="18"/>
              </w:rPr>
            </w:pPr>
            <w:r w:rsidRPr="009D3B62">
              <w:rPr>
                <w:b/>
                <w:sz w:val="18"/>
                <w:szCs w:val="18"/>
              </w:rPr>
              <w:t>AND</w:t>
            </w:r>
          </w:p>
          <w:p w14:paraId="0119065A" w14:textId="77777777" w:rsidR="00295470" w:rsidRPr="009D3B62" w:rsidRDefault="00295470" w:rsidP="000067C2">
            <w:pPr>
              <w:pStyle w:val="KMC16-Tablecontent"/>
              <w:spacing w:after="0"/>
              <w:rPr>
                <w:sz w:val="18"/>
                <w:szCs w:val="18"/>
              </w:rPr>
            </w:pPr>
            <w:r w:rsidRPr="009D3B62">
              <w:rPr>
                <w:sz w:val="18"/>
                <w:szCs w:val="18"/>
              </w:rPr>
              <w:t>The treatment must be given concomitantly with methotrexate at a dose of at least 7.5 mg weekly</w:t>
            </w:r>
          </w:p>
        </w:tc>
      </w:tr>
      <w:tr w:rsidR="00295470" w:rsidRPr="000E445F" w14:paraId="45D89AE8"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4916944" w14:textId="77777777" w:rsidR="00295470" w:rsidRPr="009D3B62" w:rsidRDefault="00295470" w:rsidP="000067C2">
            <w:pPr>
              <w:pStyle w:val="KMC16-Tablecontent"/>
              <w:spacing w:after="0"/>
              <w:rPr>
                <w:b/>
                <w:sz w:val="18"/>
                <w:szCs w:val="18"/>
              </w:rPr>
            </w:pPr>
            <w:r w:rsidRPr="009D3B62">
              <w:rPr>
                <w:b/>
                <w:sz w:val="18"/>
                <w:szCs w:val="18"/>
              </w:rPr>
              <w:t>AND</w:t>
            </w:r>
          </w:p>
          <w:p w14:paraId="79801E88" w14:textId="77777777" w:rsidR="00295470" w:rsidRPr="009D3B62" w:rsidRDefault="00295470" w:rsidP="000067C2">
            <w:pPr>
              <w:pStyle w:val="KMC16-Tablecontent"/>
              <w:spacing w:after="0"/>
              <w:rPr>
                <w:sz w:val="18"/>
                <w:szCs w:val="18"/>
              </w:rPr>
            </w:pPr>
            <w:r w:rsidRPr="009D3B62">
              <w:rPr>
                <w:sz w:val="18"/>
                <w:szCs w:val="18"/>
              </w:rPr>
              <w:t>The treatment must provide no more than the balance of up to 22 weeks treatment available under the above restriction; OR</w:t>
            </w:r>
          </w:p>
          <w:p w14:paraId="43203686" w14:textId="77777777" w:rsidR="00295470" w:rsidRPr="009D3B62" w:rsidRDefault="00295470" w:rsidP="000067C2">
            <w:pPr>
              <w:pStyle w:val="KMC16-Tablecontent"/>
              <w:spacing w:after="0"/>
              <w:rPr>
                <w:b/>
                <w:sz w:val="18"/>
                <w:szCs w:val="18"/>
              </w:rPr>
            </w:pPr>
          </w:p>
        </w:tc>
      </w:tr>
      <w:tr w:rsidR="00295470" w:rsidRPr="000E445F" w14:paraId="31A37D4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1BB8329" w14:textId="77777777" w:rsidR="00295470" w:rsidRPr="009D3B62" w:rsidRDefault="00295470" w:rsidP="000067C2">
            <w:pPr>
              <w:pStyle w:val="KMC16-Tablecontent"/>
              <w:spacing w:after="0"/>
              <w:rPr>
                <w:sz w:val="18"/>
                <w:szCs w:val="18"/>
              </w:rPr>
            </w:pPr>
            <w:r w:rsidRPr="009D3B62">
              <w:rPr>
                <w:sz w:val="18"/>
                <w:szCs w:val="18"/>
                <w:lang w:val="en-AU"/>
              </w:rPr>
              <w:t>The treatment must provide no more than the balance of up to 24 weeks treatment available under the above restriction</w:t>
            </w:r>
          </w:p>
        </w:tc>
      </w:tr>
      <w:tr w:rsidR="00295470" w:rsidRPr="00D551A5" w14:paraId="221FE62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80B0920" w14:textId="77777777" w:rsidR="00295470" w:rsidRPr="009D3B62" w:rsidRDefault="00295470" w:rsidP="000067C2">
            <w:pPr>
              <w:pStyle w:val="KMC16-Tablecontent"/>
              <w:spacing w:after="0"/>
              <w:rPr>
                <w:b/>
                <w:sz w:val="18"/>
                <w:szCs w:val="18"/>
              </w:rPr>
            </w:pPr>
            <w:r w:rsidRPr="009D3B62">
              <w:rPr>
                <w:b/>
                <w:sz w:val="18"/>
                <w:szCs w:val="18"/>
              </w:rPr>
              <w:t>Population criteria:</w:t>
            </w:r>
          </w:p>
          <w:p w14:paraId="0A6A1121" w14:textId="77777777" w:rsidR="00295470" w:rsidRPr="009D3B62" w:rsidRDefault="00295470" w:rsidP="000067C2">
            <w:pPr>
              <w:pStyle w:val="KMC16-Tablecontent"/>
              <w:rPr>
                <w:sz w:val="18"/>
                <w:szCs w:val="18"/>
              </w:rPr>
            </w:pPr>
            <w:r w:rsidRPr="009D3B62">
              <w:rPr>
                <w:sz w:val="18"/>
                <w:szCs w:val="18"/>
              </w:rPr>
              <w:t>Patient must be aged 18 years or older</w:t>
            </w:r>
          </w:p>
        </w:tc>
      </w:tr>
      <w:tr w:rsidR="00295470" w:rsidRPr="000E445F" w14:paraId="4CB4B540"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CCDEEE4" w14:textId="77777777" w:rsidR="00295470" w:rsidRDefault="00295470" w:rsidP="000067C2">
            <w:pPr>
              <w:pStyle w:val="KMC16-Tablecontent"/>
              <w:spacing w:after="0"/>
              <w:rPr>
                <w:b/>
                <w:sz w:val="18"/>
                <w:szCs w:val="18"/>
                <w:lang w:val="en-AU"/>
              </w:rPr>
            </w:pPr>
            <w:r>
              <w:rPr>
                <w:b/>
                <w:sz w:val="18"/>
                <w:szCs w:val="18"/>
                <w:lang w:val="en-AU"/>
              </w:rPr>
              <w:t>Administrative Advice:</w:t>
            </w:r>
          </w:p>
          <w:p w14:paraId="4352708D" w14:textId="77777777" w:rsidR="00295470" w:rsidRPr="00251A40" w:rsidRDefault="00295470" w:rsidP="000067C2">
            <w:pPr>
              <w:pStyle w:val="KMC16-Tablecontent"/>
              <w:spacing w:after="0"/>
              <w:rPr>
                <w:sz w:val="18"/>
                <w:szCs w:val="18"/>
              </w:rPr>
            </w:pPr>
            <w:r w:rsidRPr="00251A40">
              <w:rPr>
                <w:sz w:val="18"/>
                <w:szCs w:val="18"/>
                <w:lang w:val="en-AU"/>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4B9A44E5" w14:textId="77777777" w:rsidR="00276607" w:rsidRDefault="00276607" w:rsidP="00F122E0">
      <w:pPr>
        <w:rPr>
          <w:rFonts w:ascii="Arial Narrow" w:hAnsi="Arial Narrow"/>
          <w:b/>
          <w:sz w:val="18"/>
          <w:szCs w:val="18"/>
          <w:lang w:val="en-GB"/>
        </w:rPr>
      </w:pPr>
    </w:p>
    <w:p w14:paraId="7851ED90" w14:textId="77777777" w:rsidR="00F122E0" w:rsidRDefault="00F122E0" w:rsidP="00F122E0">
      <w:pPr>
        <w:jc w:val="left"/>
        <w:rPr>
          <w:rFonts w:ascii="Arial Narrow" w:hAnsi="Arial Narrow"/>
          <w:b/>
          <w:sz w:val="18"/>
          <w:szCs w:val="18"/>
          <w:lang w:val="en-GB"/>
        </w:rPr>
      </w:pPr>
    </w:p>
    <w:p w14:paraId="7A13AE7C" w14:textId="77777777" w:rsidR="00993E4F" w:rsidRDefault="00993E4F">
      <w:pPr>
        <w:jc w:val="left"/>
        <w:rPr>
          <w:rFonts w:ascii="Arial Narrow" w:hAnsi="Arial Narrow"/>
          <w:b/>
          <w:sz w:val="18"/>
          <w:szCs w:val="18"/>
          <w:lang w:val="en-GB"/>
        </w:rPr>
      </w:pPr>
      <w:r>
        <w:rPr>
          <w:rFonts w:ascii="Arial Narrow" w:hAnsi="Arial Narrow"/>
          <w:b/>
          <w:sz w:val="18"/>
          <w:szCs w:val="18"/>
          <w:lang w:val="en-GB"/>
        </w:rPr>
        <w:br w:type="page"/>
      </w:r>
    </w:p>
    <w:p w14:paraId="6019D0F1" w14:textId="77777777" w:rsidR="00F122E0" w:rsidRDefault="00F122E0" w:rsidP="00F122E0">
      <w:pPr>
        <w:rPr>
          <w:rFonts w:ascii="Arial Narrow" w:hAnsi="Arial Narrow"/>
          <w:b/>
          <w:sz w:val="18"/>
          <w:szCs w:val="18"/>
          <w:lang w:val="en-GB"/>
        </w:rPr>
      </w:pPr>
      <w:r>
        <w:rPr>
          <w:rFonts w:ascii="Arial Narrow" w:hAnsi="Arial Narrow"/>
          <w:b/>
          <w:sz w:val="18"/>
          <w:szCs w:val="18"/>
          <w:lang w:val="en-GB"/>
        </w:rPr>
        <w:lastRenderedPageBreak/>
        <w:t>Crohn’s Disease</w:t>
      </w:r>
    </w:p>
    <w:p w14:paraId="59719E2B" w14:textId="77777777" w:rsidR="00F122E0" w:rsidRDefault="00F122E0" w:rsidP="00993E4F">
      <w:pPr>
        <w:spacing w:after="160" w:line="259" w:lineRule="auto"/>
        <w:jc w:val="left"/>
        <w:rPr>
          <w:rFonts w:ascii="Arial Narrow" w:hAnsi="Arial Narrow"/>
          <w:b/>
          <w:sz w:val="18"/>
          <w:szCs w:val="18"/>
          <w:lang w:val="en-GB"/>
        </w:rPr>
      </w:pPr>
      <w:r>
        <w:rPr>
          <w:rFonts w:ascii="Arial Narrow" w:hAnsi="Arial Narrow" w:cstheme="minorHAnsi"/>
          <w:b/>
          <w:sz w:val="18"/>
          <w:szCs w:val="18"/>
          <w:u w:val="single"/>
        </w:rPr>
        <w:t>Initial treatment, Continuing treatment restrictions and balance of supply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7354612E"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76CDB1AF" w14:textId="77777777" w:rsidR="00F122E0" w:rsidRDefault="00F122E0" w:rsidP="00BB385C">
            <w:pPr>
              <w:keepNext/>
              <w:keepLines/>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4C266D27" w14:textId="77777777" w:rsidR="00F122E0" w:rsidRDefault="00F122E0" w:rsidP="00BB385C">
            <w:pPr>
              <w:keepNext/>
              <w:keepLines/>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79363E44"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30FFB363"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5C919A08"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58CF002B"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1846549B"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5D286FC3" w14:textId="77777777" w:rsidR="00F122E0" w:rsidRDefault="00F122E0" w:rsidP="00BB385C">
            <w:pPr>
              <w:keepNext/>
              <w:keepLines/>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57CE0B2A"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07211DA5" w14:textId="77777777" w:rsidR="00F122E0" w:rsidRDefault="00F122E0" w:rsidP="00BB385C">
            <w:pPr>
              <w:keepNext/>
              <w:keepLines/>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1C7B0734"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36D01B93" w14:textId="77777777" w:rsidR="00F122E0" w:rsidRDefault="00F122E0" w:rsidP="00BB385C">
            <w:pPr>
              <w:keepNext/>
              <w:keepLines/>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68BEAD64" w14:textId="77777777" w:rsidR="00F122E0" w:rsidRDefault="00F122E0" w:rsidP="00BB385C">
            <w:pPr>
              <w:keepNext/>
              <w:keepLines/>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760ED11B"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3178FBB6" w14:textId="77777777" w:rsidR="00F122E0" w:rsidRDefault="00F122E0" w:rsidP="00BB385C">
            <w:pPr>
              <w:keepNext/>
              <w:keepLines/>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095D352F" w14:textId="77777777" w:rsidR="00F122E0" w:rsidRDefault="00F122E0" w:rsidP="00BB385C">
            <w:pPr>
              <w:keepNext/>
              <w:keepLines/>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217B96C4"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168F21DA" w14:textId="77777777" w:rsidR="00F122E0" w:rsidRDefault="00F122E0" w:rsidP="00BB385C">
            <w:pPr>
              <w:keepNext/>
              <w:keepLines/>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0C1268A3"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3944F0C9" w14:textId="77777777" w:rsidR="00F122E0" w:rsidRDefault="00F122E0" w:rsidP="00BB385C">
            <w:pPr>
              <w:keepNext/>
              <w:keepLines/>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24D61202"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437D990A"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4464E4F5" w14:textId="77777777" w:rsidR="00F122E0" w:rsidRDefault="00F122E0" w:rsidP="00BB385C">
            <w:pPr>
              <w:keepNext/>
              <w:keepLines/>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6DB05A0D" w14:textId="77777777" w:rsidR="00F122E0" w:rsidRDefault="00F122E0" w:rsidP="00BB385C">
            <w:pPr>
              <w:keepNext/>
              <w:keepLines/>
              <w:rPr>
                <w:rFonts w:ascii="Arial Narrow" w:hAnsi="Arial Narrow"/>
                <w:sz w:val="18"/>
                <w:szCs w:val="18"/>
              </w:rPr>
            </w:pPr>
            <w:r>
              <w:rPr>
                <w:rFonts w:ascii="Arial Narrow" w:hAnsi="Arial Narrow"/>
                <w:sz w:val="18"/>
                <w:szCs w:val="18"/>
              </w:rPr>
              <w:t>Celltrion Healthcare Australia Pty Ltd</w:t>
            </w:r>
          </w:p>
        </w:tc>
      </w:tr>
    </w:tbl>
    <w:p w14:paraId="1D53A25D" w14:textId="77777777" w:rsidR="00F122E0" w:rsidRDefault="00F122E0" w:rsidP="00F122E0">
      <w:pPr>
        <w:rPr>
          <w:rFonts w:ascii="Arial Narrow" w:hAnsi="Arial Narrow"/>
          <w:b/>
          <w:sz w:val="18"/>
          <w:szCs w:val="18"/>
          <w:lang w:val="en-GB"/>
        </w:rPr>
      </w:pPr>
    </w:p>
    <w:tbl>
      <w:tblPr>
        <w:tblW w:w="5000" w:type="pct"/>
        <w:tblLook w:val="04A0" w:firstRow="1" w:lastRow="0" w:firstColumn="1" w:lastColumn="0" w:noHBand="0" w:noVBand="1"/>
      </w:tblPr>
      <w:tblGrid>
        <w:gridCol w:w="9017"/>
      </w:tblGrid>
      <w:tr w:rsidR="00295470" w:rsidRPr="000E445F" w14:paraId="0EFD39B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2C88965D" w14:textId="77777777" w:rsidR="00295470" w:rsidRPr="005934EC" w:rsidRDefault="00295470" w:rsidP="00BB385C">
            <w:pPr>
              <w:pStyle w:val="KMC16-Tablecontent"/>
              <w:spacing w:before="0" w:after="0"/>
              <w:rPr>
                <w:b/>
                <w:sz w:val="18"/>
                <w:szCs w:val="18"/>
              </w:rPr>
            </w:pPr>
            <w:r w:rsidRPr="00BA5687">
              <w:rPr>
                <w:b/>
                <w:sz w:val="18"/>
                <w:szCs w:val="18"/>
              </w:rPr>
              <w:t>Category / Program:</w:t>
            </w:r>
            <w:r>
              <w:rPr>
                <w:b/>
                <w:sz w:val="18"/>
                <w:szCs w:val="18"/>
              </w:rPr>
              <w:t xml:space="preserve"> </w:t>
            </w:r>
            <w:r>
              <w:rPr>
                <w:rFonts w:cstheme="minorBidi"/>
                <w:sz w:val="18"/>
                <w:szCs w:val="18"/>
              </w:rPr>
              <w:t>General Schedule</w:t>
            </w:r>
          </w:p>
        </w:tc>
      </w:tr>
      <w:tr w:rsidR="00295470" w:rsidRPr="000E445F" w14:paraId="09C9F9D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239AEEDA" w14:textId="77777777" w:rsidR="00295470" w:rsidRPr="00332B5A" w:rsidRDefault="00295470" w:rsidP="00BB385C">
            <w:pPr>
              <w:pStyle w:val="KMC16-Tablecontent"/>
              <w:spacing w:before="0" w:after="0"/>
              <w:rPr>
                <w:b/>
                <w:sz w:val="18"/>
                <w:szCs w:val="18"/>
              </w:rPr>
            </w:pPr>
            <w:r w:rsidRPr="00BA5687">
              <w:rPr>
                <w:b/>
                <w:sz w:val="18"/>
                <w:szCs w:val="18"/>
              </w:rPr>
              <w:t>Prescriber type:</w:t>
            </w:r>
            <w:r>
              <w:rPr>
                <w:b/>
                <w:sz w:val="18"/>
                <w:szCs w:val="18"/>
              </w:rPr>
              <w:t xml:space="preserve"> </w:t>
            </w:r>
            <w:r w:rsidRPr="000E445F">
              <w:rPr>
                <w:sz w:val="18"/>
                <w:szCs w:val="18"/>
              </w:rPr>
              <w:fldChar w:fldCharType="begin">
                <w:ffData>
                  <w:name w:val="Check1"/>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Dental  </w:t>
            </w:r>
            <w:r w:rsidRPr="000E445F">
              <w:rPr>
                <w:sz w:val="18"/>
                <w:szCs w:val="18"/>
              </w:rPr>
              <w:fldChar w:fldCharType="begin">
                <w:ffData>
                  <w:name w:val=""/>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Medical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Nurse practitioners </w:t>
            </w:r>
            <w:r w:rsidRPr="000E445F">
              <w:rPr>
                <w:sz w:val="18"/>
                <w:szCs w:val="18"/>
              </w:rPr>
              <w:fldChar w:fldCharType="begin">
                <w:ffData>
                  <w:name w:val=""/>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Optometrists</w:t>
            </w:r>
            <w:r>
              <w:rPr>
                <w:sz w:val="18"/>
                <w:szCs w:val="18"/>
              </w:rPr>
              <w:t xml:space="preserve"> </w:t>
            </w:r>
            <w:r w:rsidRPr="000E445F">
              <w:rPr>
                <w:sz w:val="18"/>
                <w:szCs w:val="18"/>
              </w:rPr>
              <w:fldChar w:fldCharType="begin">
                <w:ffData>
                  <w:name w:val="Check5"/>
                  <w:enabled/>
                  <w:calcOnExit w:val="0"/>
                  <w:checkBox>
                    <w:sizeAuto/>
                    <w:default w:val="0"/>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Midwives</w:t>
            </w:r>
          </w:p>
        </w:tc>
      </w:tr>
      <w:tr w:rsidR="00295470" w:rsidRPr="000E445F" w14:paraId="3810ADB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4825C03" w14:textId="77777777" w:rsidR="00295470" w:rsidRPr="000E445F" w:rsidRDefault="00295470" w:rsidP="00BB385C">
            <w:pPr>
              <w:pStyle w:val="KMC16-Tablecontent"/>
              <w:spacing w:before="0" w:after="0"/>
              <w:rPr>
                <w:sz w:val="18"/>
                <w:szCs w:val="18"/>
              </w:rPr>
            </w:pPr>
            <w:r w:rsidRPr="00BA5687">
              <w:rPr>
                <w:b/>
                <w:sz w:val="18"/>
                <w:szCs w:val="18"/>
              </w:rPr>
              <w:t>Restriction Method:</w:t>
            </w:r>
            <w:r>
              <w:rPr>
                <w:b/>
                <w:sz w:val="18"/>
                <w:szCs w:val="18"/>
              </w:rPr>
              <w:t xml:space="preserve"> </w:t>
            </w:r>
            <w:r w:rsidRPr="000E445F">
              <w:rPr>
                <w:sz w:val="18"/>
                <w:szCs w:val="18"/>
              </w:rPr>
              <w:fldChar w:fldCharType="begin">
                <w:ffData>
                  <w:name w:val="Check5"/>
                  <w:enabled/>
                  <w:calcOnExit w:val="0"/>
                  <w:checkBox>
                    <w:sizeAuto/>
                    <w:default w:val="1"/>
                  </w:checkBox>
                </w:ffData>
              </w:fldChar>
            </w:r>
            <w:r w:rsidRPr="000E445F">
              <w:rPr>
                <w:sz w:val="18"/>
                <w:szCs w:val="18"/>
              </w:rPr>
              <w:instrText xml:space="preserve"> FORMCHECKBOX </w:instrText>
            </w:r>
            <w:r w:rsidR="00E515FB">
              <w:rPr>
                <w:sz w:val="18"/>
                <w:szCs w:val="18"/>
              </w:rPr>
            </w:r>
            <w:r w:rsidR="00E515FB">
              <w:rPr>
                <w:sz w:val="18"/>
                <w:szCs w:val="18"/>
              </w:rPr>
              <w:fldChar w:fldCharType="separate"/>
            </w:r>
            <w:r w:rsidRPr="000E445F">
              <w:rPr>
                <w:sz w:val="18"/>
                <w:szCs w:val="18"/>
              </w:rPr>
              <w:fldChar w:fldCharType="end"/>
            </w:r>
            <w:r w:rsidRPr="000E445F">
              <w:rPr>
                <w:sz w:val="18"/>
                <w:szCs w:val="18"/>
              </w:rPr>
              <w:t xml:space="preserve">Authority Required – </w:t>
            </w:r>
            <w:r w:rsidRPr="00776C60">
              <w:rPr>
                <w:bCs/>
                <w:sz w:val="18"/>
                <w:szCs w:val="18"/>
              </w:rPr>
              <w:t>non-immediate/delayed assessment by Services Australia (in-writing only via mail/postal service or electronic upload to Hobart)</w:t>
            </w:r>
          </w:p>
        </w:tc>
      </w:tr>
      <w:tr w:rsidR="00295470" w:rsidRPr="000E445F" w14:paraId="35CD6A2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2E42787" w14:textId="77777777" w:rsidR="00295470" w:rsidRPr="000E445F" w:rsidRDefault="00295470" w:rsidP="00BB385C">
            <w:pPr>
              <w:pStyle w:val="KMC16-Tablecontent"/>
              <w:spacing w:before="0" w:after="0"/>
              <w:rPr>
                <w:rFonts w:cs="Times New Roman"/>
                <w:sz w:val="18"/>
                <w:szCs w:val="18"/>
              </w:rPr>
            </w:pPr>
            <w:r w:rsidRPr="00BA5687">
              <w:rPr>
                <w:b/>
                <w:sz w:val="18"/>
                <w:szCs w:val="18"/>
              </w:rPr>
              <w:t>Severity:</w:t>
            </w:r>
            <w:r>
              <w:rPr>
                <w:b/>
                <w:sz w:val="18"/>
                <w:szCs w:val="18"/>
              </w:rPr>
              <w:t xml:space="preserve"> </w:t>
            </w:r>
            <w:r w:rsidRPr="000E445F">
              <w:rPr>
                <w:rFonts w:cs="Times New Roman"/>
                <w:sz w:val="18"/>
                <w:szCs w:val="18"/>
              </w:rPr>
              <w:t xml:space="preserve">Severe </w:t>
            </w:r>
          </w:p>
        </w:tc>
      </w:tr>
      <w:tr w:rsidR="00295470" w:rsidRPr="000E445F" w14:paraId="22E7B98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46DC9E9" w14:textId="77777777" w:rsidR="00295470" w:rsidRPr="000E445F" w:rsidRDefault="00295470" w:rsidP="00BB385C">
            <w:pPr>
              <w:rPr>
                <w:rFonts w:ascii="Arial Narrow" w:hAnsi="Arial Narrow" w:cstheme="minorBidi"/>
                <w:color w:val="222222"/>
                <w:sz w:val="18"/>
                <w:szCs w:val="18"/>
              </w:rPr>
            </w:pPr>
            <w:r w:rsidRPr="00332B5A">
              <w:rPr>
                <w:rFonts w:ascii="Arial Narrow" w:hAnsi="Arial Narrow"/>
                <w:b/>
                <w:sz w:val="18"/>
                <w:szCs w:val="18"/>
              </w:rPr>
              <w:t>Condition:</w:t>
            </w:r>
            <w:r>
              <w:rPr>
                <w:b/>
                <w:sz w:val="18"/>
                <w:szCs w:val="18"/>
              </w:rPr>
              <w:t xml:space="preserve"> </w:t>
            </w:r>
            <w:r>
              <w:rPr>
                <w:rFonts w:ascii="Arial Narrow" w:hAnsi="Arial Narrow"/>
                <w:color w:val="222222"/>
                <w:sz w:val="18"/>
                <w:szCs w:val="18"/>
              </w:rPr>
              <w:t>Crohn disease</w:t>
            </w:r>
          </w:p>
        </w:tc>
      </w:tr>
      <w:tr w:rsidR="00295470" w:rsidRPr="000E445F" w14:paraId="5C803085"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EC52744" w14:textId="77777777" w:rsidR="00295470" w:rsidRPr="00386B77" w:rsidRDefault="00295470" w:rsidP="00BB385C">
            <w:pPr>
              <w:pStyle w:val="KMC16-Tablecontent"/>
              <w:spacing w:before="0" w:after="0"/>
              <w:rPr>
                <w:sz w:val="18"/>
                <w:szCs w:val="18"/>
              </w:rPr>
            </w:pPr>
            <w:r w:rsidRPr="00BA5687">
              <w:rPr>
                <w:b/>
                <w:sz w:val="18"/>
                <w:szCs w:val="18"/>
              </w:rPr>
              <w:t>PBS Indication:</w:t>
            </w:r>
            <w:r>
              <w:rPr>
                <w:b/>
                <w:sz w:val="18"/>
                <w:szCs w:val="18"/>
              </w:rPr>
              <w:t xml:space="preserve"> </w:t>
            </w:r>
            <w:r w:rsidRPr="00386B77">
              <w:rPr>
                <w:rFonts w:cs="Times New Roman"/>
                <w:sz w:val="18"/>
                <w:szCs w:val="18"/>
              </w:rPr>
              <w:t xml:space="preserve">Severe </w:t>
            </w:r>
            <w:r>
              <w:rPr>
                <w:rFonts w:cs="Times New Roman"/>
                <w:sz w:val="18"/>
                <w:szCs w:val="18"/>
              </w:rPr>
              <w:t>Crohn disease</w:t>
            </w:r>
          </w:p>
        </w:tc>
      </w:tr>
      <w:tr w:rsidR="00295470" w:rsidRPr="000E445F" w14:paraId="6418F7D3"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CD24FD5" w14:textId="77777777" w:rsidR="00295470" w:rsidRDefault="00295470" w:rsidP="00BB385C">
            <w:pPr>
              <w:pStyle w:val="KMC16-Tablecontent"/>
              <w:spacing w:before="0" w:after="0"/>
              <w:rPr>
                <w:b/>
                <w:sz w:val="18"/>
                <w:szCs w:val="18"/>
              </w:rPr>
            </w:pPr>
            <w:r w:rsidRPr="000A057A">
              <w:rPr>
                <w:b/>
                <w:sz w:val="18"/>
                <w:szCs w:val="18"/>
              </w:rPr>
              <w:t>Treatment criteria:</w:t>
            </w:r>
            <w:r>
              <w:rPr>
                <w:b/>
                <w:sz w:val="18"/>
                <w:szCs w:val="18"/>
              </w:rPr>
              <w:t xml:space="preserve"> </w:t>
            </w:r>
          </w:p>
          <w:p w14:paraId="6B4D7F55" w14:textId="77777777" w:rsidR="00295470" w:rsidRPr="00F42967" w:rsidRDefault="00295470" w:rsidP="00BB385C">
            <w:pPr>
              <w:pStyle w:val="KMC16-Tablecontent"/>
              <w:rPr>
                <w:sz w:val="18"/>
                <w:szCs w:val="18"/>
              </w:rPr>
            </w:pPr>
            <w:r w:rsidRPr="00F42967">
              <w:rPr>
                <w:sz w:val="18"/>
                <w:szCs w:val="18"/>
              </w:rPr>
              <w:t>Must be treated by a g</w:t>
            </w:r>
            <w:r>
              <w:rPr>
                <w:sz w:val="18"/>
                <w:szCs w:val="18"/>
              </w:rPr>
              <w:t>astroenterologist (code 87); or</w:t>
            </w:r>
          </w:p>
          <w:p w14:paraId="171AE1BC" w14:textId="77777777" w:rsidR="00295470" w:rsidRPr="00F42967" w:rsidRDefault="00295470" w:rsidP="00BB385C">
            <w:pPr>
              <w:pStyle w:val="KMC16-Tablecontent"/>
              <w:rPr>
                <w:sz w:val="18"/>
                <w:szCs w:val="18"/>
              </w:rPr>
            </w:pPr>
            <w:r w:rsidRPr="00F42967">
              <w:rPr>
                <w:sz w:val="18"/>
                <w:szCs w:val="18"/>
              </w:rPr>
              <w:t xml:space="preserve">Must be treated by a consultant physician [internal medicine specialising in </w:t>
            </w:r>
            <w:r>
              <w:rPr>
                <w:sz w:val="18"/>
                <w:szCs w:val="18"/>
              </w:rPr>
              <w:t>gastroenterology (code 81)]; or</w:t>
            </w:r>
          </w:p>
          <w:p w14:paraId="7D529487" w14:textId="77777777" w:rsidR="00295470" w:rsidRPr="00386B77" w:rsidRDefault="00295470" w:rsidP="00BB385C">
            <w:pPr>
              <w:pStyle w:val="KMC16-Tablecontent"/>
              <w:spacing w:before="0" w:after="0"/>
              <w:rPr>
                <w:rFonts w:cs="Times New Roman"/>
                <w:sz w:val="18"/>
                <w:szCs w:val="18"/>
              </w:rPr>
            </w:pPr>
            <w:r w:rsidRPr="00F42967">
              <w:rPr>
                <w:sz w:val="18"/>
                <w:szCs w:val="18"/>
              </w:rPr>
              <w:t>Must be treated by a consultant physician [general medicine specialising in gastroenterology (code 82)].</w:t>
            </w:r>
          </w:p>
        </w:tc>
      </w:tr>
      <w:tr w:rsidR="00295470" w:rsidRPr="000E445F" w14:paraId="67AC8529"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CE8525D" w14:textId="77777777" w:rsidR="00295470" w:rsidRPr="00776C60" w:rsidRDefault="00295470" w:rsidP="00BB385C">
            <w:pPr>
              <w:pStyle w:val="KMC16-Tablecontent"/>
              <w:spacing w:after="0"/>
              <w:rPr>
                <w:b/>
                <w:sz w:val="18"/>
                <w:szCs w:val="18"/>
              </w:rPr>
            </w:pPr>
            <w:r w:rsidRPr="00776C60">
              <w:rPr>
                <w:b/>
                <w:sz w:val="18"/>
                <w:szCs w:val="18"/>
              </w:rPr>
              <w:t>Treatment Phase: Initial treatment with subcutaneous form at weeks 6, 8, 10, 12, 14 and 16</w:t>
            </w:r>
          </w:p>
        </w:tc>
      </w:tr>
      <w:tr w:rsidR="00295470" w:rsidRPr="000E445F" w14:paraId="6038A69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07D6BC1" w14:textId="77777777" w:rsidR="00295470" w:rsidRPr="00776C60" w:rsidRDefault="00295470" w:rsidP="00BB385C">
            <w:pPr>
              <w:pStyle w:val="KMC16-Tablecontent"/>
              <w:spacing w:after="0"/>
              <w:rPr>
                <w:b/>
                <w:sz w:val="18"/>
                <w:szCs w:val="18"/>
              </w:rPr>
            </w:pPr>
            <w:r w:rsidRPr="00776C60">
              <w:rPr>
                <w:b/>
                <w:sz w:val="18"/>
                <w:szCs w:val="18"/>
              </w:rPr>
              <w:t xml:space="preserve">Clinical criteria: </w:t>
            </w:r>
          </w:p>
          <w:p w14:paraId="469BC09A" w14:textId="77777777" w:rsidR="00295470" w:rsidRPr="00776C60" w:rsidRDefault="00295470" w:rsidP="00BB385C">
            <w:pPr>
              <w:pStyle w:val="KMC16-Tablecontent"/>
              <w:spacing w:after="0"/>
              <w:rPr>
                <w:sz w:val="18"/>
                <w:szCs w:val="18"/>
              </w:rPr>
            </w:pPr>
            <w:r w:rsidRPr="00776C60">
              <w:rPr>
                <w:sz w:val="18"/>
                <w:szCs w:val="18"/>
              </w:rPr>
              <w:t>Patient must have received 2 intravenous infusions with this drug for this condition at weeks 0 and 2 under Initial 1 (new patient); OR</w:t>
            </w:r>
          </w:p>
        </w:tc>
      </w:tr>
      <w:tr w:rsidR="00295470" w:rsidRPr="000E445F" w14:paraId="7631AF2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85BD61B" w14:textId="77777777" w:rsidR="00295470" w:rsidRPr="00776C60" w:rsidRDefault="00295470" w:rsidP="00BB385C">
            <w:pPr>
              <w:pStyle w:val="KMC16-Tablecontent"/>
              <w:spacing w:after="0"/>
              <w:rPr>
                <w:sz w:val="18"/>
                <w:szCs w:val="18"/>
              </w:rPr>
            </w:pPr>
            <w:r w:rsidRPr="00776C60">
              <w:rPr>
                <w:sz w:val="18"/>
                <w:szCs w:val="18"/>
              </w:rPr>
              <w:t>Patient must have received 2 intravenous infusions with this drug for this condition at weeks 0 and 2 under Initial 2 (</w:t>
            </w:r>
            <w:r w:rsidRPr="00776C60">
              <w:rPr>
                <w:sz w:val="18"/>
                <w:szCs w:val="18"/>
                <w:lang w:val="en-AU"/>
              </w:rPr>
              <w:t>change or re-commencement of treatment after a break in biological medicine of less than 24 months); OR</w:t>
            </w:r>
          </w:p>
        </w:tc>
      </w:tr>
      <w:tr w:rsidR="00295470" w:rsidRPr="000E445F" w14:paraId="75D82B5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B1A9522" w14:textId="77777777" w:rsidR="00295470" w:rsidRPr="00776C60" w:rsidRDefault="00295470" w:rsidP="00BB385C">
            <w:pPr>
              <w:pStyle w:val="KMC16-Tablecontent"/>
              <w:spacing w:after="0"/>
              <w:rPr>
                <w:sz w:val="18"/>
                <w:szCs w:val="18"/>
              </w:rPr>
            </w:pPr>
            <w:r w:rsidRPr="00776C60">
              <w:rPr>
                <w:sz w:val="18"/>
                <w:szCs w:val="18"/>
              </w:rPr>
              <w:t>Patient must have received 2 intravenous infusions with this drug for this condition at weeks 0 and 2 under Initial 3 (recommencement of treatment after a break in biological medicine of more than 5 years)</w:t>
            </w:r>
          </w:p>
        </w:tc>
      </w:tr>
      <w:tr w:rsidR="00295470" w:rsidRPr="00D551A5" w14:paraId="23F65B1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102A6E9" w14:textId="77777777" w:rsidR="00295470" w:rsidRDefault="00295470" w:rsidP="00BB385C">
            <w:pPr>
              <w:pStyle w:val="KMC16-Tablecontent"/>
              <w:spacing w:after="0"/>
              <w:rPr>
                <w:b/>
                <w:sz w:val="18"/>
                <w:szCs w:val="18"/>
              </w:rPr>
            </w:pPr>
            <w:r>
              <w:rPr>
                <w:b/>
                <w:sz w:val="18"/>
                <w:szCs w:val="18"/>
              </w:rPr>
              <w:t>AND</w:t>
            </w:r>
          </w:p>
          <w:p w14:paraId="5DC9DC16" w14:textId="77777777" w:rsidR="00295470" w:rsidRDefault="00295470" w:rsidP="00BB385C">
            <w:pPr>
              <w:pStyle w:val="KMC16-Tablecontent"/>
              <w:spacing w:after="0"/>
              <w:rPr>
                <w:b/>
                <w:sz w:val="18"/>
                <w:szCs w:val="18"/>
              </w:rPr>
            </w:pPr>
            <w:r w:rsidRPr="00D551A5">
              <w:rPr>
                <w:b/>
                <w:sz w:val="18"/>
                <w:szCs w:val="18"/>
              </w:rPr>
              <w:t>Population criteria:</w:t>
            </w:r>
          </w:p>
          <w:p w14:paraId="240D0E9D" w14:textId="77777777" w:rsidR="00295470" w:rsidRPr="00776C60" w:rsidRDefault="00295470" w:rsidP="00BB385C">
            <w:pPr>
              <w:pStyle w:val="KMC16-Tablecontent"/>
              <w:rPr>
                <w:sz w:val="18"/>
                <w:szCs w:val="18"/>
              </w:rPr>
            </w:pPr>
            <w:r w:rsidRPr="00776C60">
              <w:rPr>
                <w:sz w:val="18"/>
                <w:szCs w:val="18"/>
              </w:rPr>
              <w:t>Patient must be aged 18 years or older</w:t>
            </w:r>
          </w:p>
        </w:tc>
      </w:tr>
      <w:tr w:rsidR="00295470" w:rsidRPr="000E445F" w14:paraId="52C82AD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D10D107" w14:textId="77777777" w:rsidR="00295470" w:rsidRPr="002B7079" w:rsidRDefault="00295470" w:rsidP="00BB385C">
            <w:pPr>
              <w:pStyle w:val="KMC16-Tablecontent"/>
              <w:rPr>
                <w:b/>
                <w:sz w:val="18"/>
                <w:szCs w:val="18"/>
              </w:rPr>
            </w:pPr>
            <w:r>
              <w:rPr>
                <w:b/>
                <w:sz w:val="18"/>
                <w:szCs w:val="18"/>
              </w:rPr>
              <w:t>Prescribing</w:t>
            </w:r>
            <w:r w:rsidRPr="002B7079">
              <w:rPr>
                <w:b/>
                <w:sz w:val="18"/>
                <w:szCs w:val="18"/>
              </w:rPr>
              <w:t xml:space="preserve"> </w:t>
            </w:r>
            <w:r>
              <w:rPr>
                <w:b/>
                <w:sz w:val="18"/>
                <w:szCs w:val="18"/>
              </w:rPr>
              <w:t>I</w:t>
            </w:r>
            <w:r w:rsidRPr="002B7079">
              <w:rPr>
                <w:b/>
                <w:sz w:val="18"/>
                <w:szCs w:val="18"/>
              </w:rPr>
              <w:t>nstruction</w:t>
            </w:r>
            <w:r>
              <w:rPr>
                <w:b/>
                <w:sz w:val="18"/>
                <w:szCs w:val="18"/>
              </w:rPr>
              <w:t>s</w:t>
            </w:r>
            <w:r w:rsidRPr="002B7079">
              <w:rPr>
                <w:b/>
                <w:sz w:val="18"/>
                <w:szCs w:val="18"/>
              </w:rPr>
              <w:t>:</w:t>
            </w:r>
          </w:p>
          <w:p w14:paraId="492FCD50" w14:textId="77777777" w:rsidR="00295470" w:rsidRPr="00776C60"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776C60">
              <w:rPr>
                <w:rFonts w:ascii="Arial Narrow" w:eastAsiaTheme="minorHAnsi" w:hAnsi="Arial Narrow" w:cs="Arial"/>
                <w:color w:val="000000"/>
                <w:sz w:val="18"/>
                <w:szCs w:val="18"/>
                <w:lang w:eastAsia="en-US"/>
              </w:rPr>
              <w:t>The authority application must be made in writing and must include:</w:t>
            </w:r>
          </w:p>
          <w:p w14:paraId="49E452C0" w14:textId="77777777" w:rsidR="00295470" w:rsidRPr="00776C60"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776C60">
              <w:rPr>
                <w:rFonts w:ascii="Arial Narrow" w:eastAsiaTheme="minorHAnsi" w:hAnsi="Arial Narrow" w:cs="Arial"/>
                <w:color w:val="000000"/>
                <w:sz w:val="18"/>
                <w:szCs w:val="18"/>
                <w:lang w:eastAsia="en-US"/>
              </w:rPr>
              <w:t>(1) a completed authority prescription form(s); and</w:t>
            </w:r>
          </w:p>
          <w:p w14:paraId="57475DAD" w14:textId="77777777" w:rsidR="00295470" w:rsidRPr="00776C60"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776C60">
              <w:rPr>
                <w:rFonts w:ascii="Arial Narrow" w:eastAsiaTheme="minorHAnsi" w:hAnsi="Arial Narrow" w:cs="Arial"/>
                <w:color w:val="000000"/>
                <w:sz w:val="18"/>
                <w:szCs w:val="18"/>
                <w:lang w:eastAsia="en-US"/>
              </w:rPr>
              <w:t xml:space="preserve">(2) a completed Crohn Disease </w:t>
            </w:r>
            <w:r>
              <w:rPr>
                <w:rFonts w:ascii="Arial Narrow" w:eastAsiaTheme="minorHAnsi" w:hAnsi="Arial Narrow" w:cs="Arial"/>
                <w:color w:val="000000"/>
                <w:sz w:val="18"/>
                <w:szCs w:val="18"/>
                <w:lang w:eastAsia="en-US"/>
              </w:rPr>
              <w:t>PBS Authority Application</w:t>
            </w:r>
            <w:r w:rsidRPr="00776C60">
              <w:rPr>
                <w:rFonts w:ascii="Arial Narrow" w:eastAsiaTheme="minorHAnsi" w:hAnsi="Arial Narrow" w:cs="Arial"/>
                <w:color w:val="000000"/>
                <w:sz w:val="18"/>
                <w:szCs w:val="18"/>
                <w:lang w:eastAsia="en-US"/>
              </w:rPr>
              <w:t xml:space="preserve"> Form.</w:t>
            </w:r>
          </w:p>
          <w:p w14:paraId="67E18C17" w14:textId="77777777" w:rsidR="00295470" w:rsidRPr="002B7079" w:rsidRDefault="00295470" w:rsidP="00BB385C">
            <w:pPr>
              <w:pStyle w:val="KMC16-Tablecontent"/>
              <w:rPr>
                <w:i/>
                <w:sz w:val="18"/>
                <w:szCs w:val="18"/>
              </w:rPr>
            </w:pPr>
          </w:p>
        </w:tc>
      </w:tr>
      <w:tr w:rsidR="00295470" w:rsidRPr="000E445F" w14:paraId="40220BAD"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641F734F" w14:textId="77777777" w:rsidR="00295470" w:rsidRDefault="00295470" w:rsidP="00BB385C">
            <w:pPr>
              <w:rPr>
                <w:rFonts w:ascii="Arial Narrow" w:hAnsi="Arial Narrow"/>
                <w:b/>
                <w:bCs/>
                <w:sz w:val="18"/>
                <w:szCs w:val="18"/>
              </w:rPr>
            </w:pPr>
            <w:r>
              <w:rPr>
                <w:rFonts w:ascii="Arial Narrow" w:hAnsi="Arial Narrow"/>
                <w:b/>
                <w:bCs/>
                <w:sz w:val="18"/>
                <w:szCs w:val="18"/>
              </w:rPr>
              <w:t>Prescribing Instructions:</w:t>
            </w:r>
          </w:p>
          <w:p w14:paraId="2597804F" w14:textId="77777777" w:rsidR="00295470" w:rsidRPr="00522186" w:rsidRDefault="00295470" w:rsidP="00BB385C">
            <w:pPr>
              <w:pStyle w:val="KMC16-Tablecontent"/>
              <w:spacing w:after="0"/>
              <w:rPr>
                <w:b/>
                <w:sz w:val="18"/>
                <w:szCs w:val="18"/>
              </w:rPr>
            </w:pPr>
            <w:r>
              <w:rPr>
                <w:bCs/>
                <w:sz w:val="18"/>
                <w:szCs w:val="18"/>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295470" w:rsidRPr="000E445F" w14:paraId="46EA6BB0"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vAlign w:val="center"/>
          </w:tcPr>
          <w:p w14:paraId="7526AF6E" w14:textId="77777777" w:rsidR="00295470" w:rsidRDefault="00295470" w:rsidP="00BB385C">
            <w:pPr>
              <w:rPr>
                <w:rFonts w:ascii="Arial Narrow" w:hAnsi="Arial Narrow"/>
                <w:b/>
                <w:bCs/>
                <w:sz w:val="18"/>
                <w:szCs w:val="18"/>
              </w:rPr>
            </w:pPr>
            <w:r>
              <w:rPr>
                <w:rFonts w:ascii="Arial Narrow" w:hAnsi="Arial Narrow"/>
                <w:b/>
                <w:bCs/>
                <w:sz w:val="18"/>
                <w:szCs w:val="18"/>
              </w:rPr>
              <w:t>Prescribing Instructions:</w:t>
            </w:r>
          </w:p>
          <w:p w14:paraId="68250904"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 xml:space="preserve">Where a response assessment is not </w:t>
            </w:r>
            <w:r w:rsidRPr="00776C60">
              <w:rPr>
                <w:rFonts w:ascii="Arial Narrow" w:hAnsi="Arial Narrow"/>
                <w:bCs/>
                <w:sz w:val="18"/>
                <w:szCs w:val="18"/>
              </w:rPr>
              <w:t>conducted</w:t>
            </w:r>
            <w:r>
              <w:rPr>
                <w:rFonts w:ascii="Arial Narrow" w:hAnsi="Arial Narrow"/>
                <w:bCs/>
                <w:sz w:val="18"/>
                <w:szCs w:val="18"/>
              </w:rPr>
              <w:t xml:space="preserve"> within the </w:t>
            </w:r>
            <w:r>
              <w:rPr>
                <w:rFonts w:ascii="Arial Narrow" w:hAnsi="Arial Narrow"/>
                <w:bCs/>
                <w:i/>
                <w:sz w:val="18"/>
                <w:szCs w:val="18"/>
              </w:rPr>
              <w:t>required</w:t>
            </w:r>
            <w:r w:rsidRPr="00876640">
              <w:rPr>
                <w:rFonts w:ascii="Arial Narrow" w:hAnsi="Arial Narrow"/>
                <w:bCs/>
                <w:sz w:val="18"/>
                <w:szCs w:val="18"/>
              </w:rPr>
              <w:t xml:space="preserve"> timeframe, the patient will be deemed to have failed to respond to treatment with this drug, unless the patient has experienced a serious adverse reaction of a severity resulting in the necessity for permanent withdrawal of treatment.</w:t>
            </w:r>
          </w:p>
          <w:p w14:paraId="6FD7DA9B" w14:textId="77777777" w:rsidR="00295470" w:rsidRPr="00522186" w:rsidRDefault="00295470" w:rsidP="00BB385C">
            <w:pPr>
              <w:pStyle w:val="KMC16-Tablecontent"/>
              <w:spacing w:after="0"/>
              <w:rPr>
                <w:b/>
                <w:sz w:val="18"/>
                <w:szCs w:val="18"/>
              </w:rPr>
            </w:pPr>
          </w:p>
        </w:tc>
      </w:tr>
      <w:tr w:rsidR="00295470" w:rsidRPr="000E445F" w14:paraId="4D393FEE"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A3210B0" w14:textId="77777777" w:rsidR="00295470" w:rsidRDefault="00295470" w:rsidP="00BB385C">
            <w:pPr>
              <w:pStyle w:val="KMC16-Tablecontent"/>
              <w:tabs>
                <w:tab w:val="left" w:pos="1108"/>
              </w:tabs>
              <w:spacing w:after="0"/>
              <w:rPr>
                <w:b/>
                <w:sz w:val="18"/>
                <w:szCs w:val="18"/>
              </w:rPr>
            </w:pPr>
            <w:r>
              <w:rPr>
                <w:b/>
                <w:sz w:val="18"/>
                <w:szCs w:val="18"/>
              </w:rPr>
              <w:t>Prescribing Instructions:</w:t>
            </w:r>
          </w:p>
          <w:p w14:paraId="5DB6E9EE" w14:textId="77777777" w:rsidR="00295470" w:rsidRPr="00876640" w:rsidRDefault="00295470" w:rsidP="00BB385C">
            <w:pPr>
              <w:rPr>
                <w:sz w:val="18"/>
                <w:szCs w:val="18"/>
              </w:rPr>
            </w:pPr>
            <w:r w:rsidRPr="00876640">
              <w:rPr>
                <w:rFonts w:ascii="Arial Narrow" w:hAnsi="Arial Narrow"/>
                <w:bCs/>
                <w:sz w:val="18"/>
                <w:szCs w:val="18"/>
              </w:rPr>
              <w:t>If a patient fails to demonstrate a response to treatment with this drug under this restriction they will not be eligible to receive further PBS-subsidised treatment with this drug for this condition</w:t>
            </w:r>
            <w:r>
              <w:rPr>
                <w:rFonts w:ascii="Arial Narrow" w:hAnsi="Arial Narrow"/>
                <w:bCs/>
                <w:sz w:val="18"/>
                <w:szCs w:val="18"/>
              </w:rPr>
              <w:t xml:space="preserve"> </w:t>
            </w:r>
            <w:r>
              <w:rPr>
                <w:rFonts w:ascii="Arial Narrow" w:hAnsi="Arial Narrow"/>
                <w:bCs/>
                <w:i/>
                <w:sz w:val="18"/>
                <w:szCs w:val="18"/>
              </w:rPr>
              <w:t>in this treatment cycle</w:t>
            </w:r>
            <w:r w:rsidRPr="00876640">
              <w:rPr>
                <w:rFonts w:ascii="Arial Narrow" w:hAnsi="Arial Narrow"/>
                <w:bCs/>
                <w:sz w:val="18"/>
                <w:szCs w:val="18"/>
              </w:rPr>
              <w:t>.</w:t>
            </w:r>
            <w:r>
              <w:rPr>
                <w:rFonts w:ascii="Arial Narrow" w:hAnsi="Arial Narrow"/>
                <w:bCs/>
                <w:sz w:val="18"/>
                <w:szCs w:val="18"/>
              </w:rPr>
              <w:t xml:space="preserve"> Serious adverse reaction of a severity resulting in the necessity for permanent withdrawal of treatment is not considered as a treatment failure.</w:t>
            </w:r>
          </w:p>
        </w:tc>
      </w:tr>
      <w:tr w:rsidR="00295470" w:rsidRPr="00962058" w14:paraId="13B7BE5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28565997" w14:textId="77777777" w:rsidR="00295470" w:rsidRPr="00962058" w:rsidRDefault="00295470" w:rsidP="00BB385C">
            <w:pPr>
              <w:rPr>
                <w:rFonts w:ascii="Arial Narrow" w:hAnsi="Arial Narrow"/>
                <w:color w:val="333333"/>
                <w:sz w:val="18"/>
                <w:szCs w:val="18"/>
              </w:rPr>
            </w:pPr>
            <w:r w:rsidRPr="00962058">
              <w:rPr>
                <w:rFonts w:ascii="Arial Narrow" w:hAnsi="Arial Narrow"/>
                <w:b/>
                <w:bCs/>
                <w:color w:val="333333"/>
                <w:sz w:val="18"/>
                <w:szCs w:val="18"/>
              </w:rPr>
              <w:t>Administrative Advice:</w:t>
            </w:r>
            <w:r>
              <w:rPr>
                <w:rFonts w:ascii="Arial Narrow" w:hAnsi="Arial Narrow"/>
                <w:color w:val="333333"/>
                <w:sz w:val="18"/>
                <w:szCs w:val="18"/>
              </w:rPr>
              <w:t xml:space="preserve"> </w:t>
            </w:r>
            <w:r w:rsidRPr="00962058">
              <w:rPr>
                <w:rFonts w:ascii="Arial Narrow" w:hAnsi="Arial Narrow"/>
                <w:color w:val="333333"/>
                <w:sz w:val="18"/>
                <w:szCs w:val="18"/>
              </w:rPr>
              <w:t>No increase in the maximum quantity or number of units may be authorised.</w:t>
            </w:r>
          </w:p>
        </w:tc>
      </w:tr>
      <w:tr w:rsidR="00295470" w:rsidRPr="00962058" w14:paraId="057B130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0B0CCF58" w14:textId="77777777" w:rsidR="00295470" w:rsidRPr="00962058" w:rsidRDefault="00295470" w:rsidP="00BB385C">
            <w:pPr>
              <w:rPr>
                <w:rFonts w:ascii="Arial Narrow" w:hAnsi="Arial Narrow"/>
                <w:color w:val="333333"/>
                <w:sz w:val="18"/>
                <w:szCs w:val="18"/>
              </w:rPr>
            </w:pPr>
            <w:r w:rsidRPr="00962058">
              <w:rPr>
                <w:rFonts w:ascii="Arial Narrow" w:hAnsi="Arial Narrow"/>
                <w:b/>
                <w:bCs/>
                <w:color w:val="333333"/>
                <w:sz w:val="18"/>
                <w:szCs w:val="18"/>
              </w:rPr>
              <w:lastRenderedPageBreak/>
              <w:t>Administrative Advice:</w:t>
            </w:r>
            <w:r>
              <w:rPr>
                <w:rFonts w:ascii="Arial Narrow" w:hAnsi="Arial Narrow"/>
                <w:color w:val="333333"/>
                <w:sz w:val="18"/>
                <w:szCs w:val="18"/>
              </w:rPr>
              <w:t xml:space="preserve"> </w:t>
            </w:r>
            <w:r w:rsidRPr="00962058">
              <w:rPr>
                <w:rFonts w:ascii="Arial Narrow" w:hAnsi="Arial Narrow"/>
                <w:color w:val="333333"/>
                <w:sz w:val="18"/>
                <w:szCs w:val="18"/>
              </w:rPr>
              <w:t>No increase in the maximum number of repeats may be authorised.</w:t>
            </w:r>
          </w:p>
        </w:tc>
      </w:tr>
      <w:tr w:rsidR="00295470" w:rsidRPr="000E445F" w14:paraId="12FC4B3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D94AB09" w14:textId="77777777" w:rsidR="00295470" w:rsidRPr="00876640" w:rsidRDefault="00295470" w:rsidP="00BB385C">
            <w:pPr>
              <w:rPr>
                <w:rFonts w:ascii="Arial Narrow" w:hAnsi="Arial Narrow"/>
                <w:b/>
                <w:bCs/>
                <w:sz w:val="18"/>
                <w:szCs w:val="18"/>
              </w:rPr>
            </w:pPr>
            <w:r w:rsidRPr="00876640">
              <w:rPr>
                <w:rFonts w:ascii="Arial Narrow" w:hAnsi="Arial Narrow"/>
                <w:b/>
                <w:bCs/>
                <w:sz w:val="18"/>
                <w:szCs w:val="18"/>
              </w:rPr>
              <w:t>Administrative Advice:</w:t>
            </w:r>
          </w:p>
          <w:p w14:paraId="2B724F6A"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Any queries concerning the arrangements to prescribe may be directed to Services Australia on 1800 700 270 (hours of operation 8 a.m. to 5 p.m. EST Monday to Friday).</w:t>
            </w:r>
          </w:p>
          <w:p w14:paraId="5B5D5280"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14:paraId="2632CCCC"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Applications for authority to prescribe should be submitted online using the form upload facility in Health Professional Online Services (HPOS) at www.servicesaustralia.gov.au/hpos</w:t>
            </w:r>
          </w:p>
          <w:p w14:paraId="05E76EDA"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Or mailed to:</w:t>
            </w:r>
          </w:p>
          <w:p w14:paraId="1A945247"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Services Australia</w:t>
            </w:r>
          </w:p>
          <w:p w14:paraId="4725204B"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Complex Drugs</w:t>
            </w:r>
          </w:p>
          <w:p w14:paraId="7654C76B"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Reply Paid 9826</w:t>
            </w:r>
          </w:p>
          <w:p w14:paraId="2D733C79" w14:textId="77777777" w:rsidR="00295470" w:rsidRPr="00876640" w:rsidRDefault="00295470" w:rsidP="00BB385C">
            <w:pPr>
              <w:rPr>
                <w:rFonts w:ascii="Arial Narrow" w:hAnsi="Arial Narrow"/>
                <w:bCs/>
                <w:sz w:val="18"/>
                <w:szCs w:val="18"/>
              </w:rPr>
            </w:pPr>
            <w:r w:rsidRPr="00876640">
              <w:rPr>
                <w:rFonts w:ascii="Arial Narrow" w:hAnsi="Arial Narrow"/>
                <w:bCs/>
                <w:sz w:val="18"/>
                <w:szCs w:val="18"/>
              </w:rPr>
              <w:t>HOBART TAS 7001</w:t>
            </w:r>
          </w:p>
          <w:p w14:paraId="38E3B750" w14:textId="77777777" w:rsidR="00295470" w:rsidRPr="00876640" w:rsidRDefault="00295470" w:rsidP="00BB385C">
            <w:pPr>
              <w:rPr>
                <w:rFonts w:ascii="Arial Narrow" w:hAnsi="Arial Narrow"/>
                <w:bCs/>
                <w:sz w:val="18"/>
                <w:szCs w:val="18"/>
              </w:rPr>
            </w:pPr>
          </w:p>
        </w:tc>
      </w:tr>
    </w:tbl>
    <w:p w14:paraId="73DF0819" w14:textId="77777777" w:rsidR="00F122E0" w:rsidRDefault="00F122E0" w:rsidP="00F122E0">
      <w:pPr>
        <w:rPr>
          <w:rFonts w:ascii="Arial Narrow" w:hAnsi="Arial Narrow"/>
          <w:b/>
          <w:sz w:val="18"/>
          <w:szCs w:val="18"/>
          <w:lang w:val="en-GB"/>
        </w:rPr>
      </w:pPr>
      <w:r>
        <w:rPr>
          <w:rFonts w:ascii="Arial Narrow" w:hAnsi="Arial Narrow"/>
          <w:b/>
          <w:sz w:val="18"/>
          <w:szCs w:val="18"/>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492D3609"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4E4695FA"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04F46B12"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2FBC3D73"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638E292F"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5FCEEA0E"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1FF61033"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3DD84AB2"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2DB66429"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45BAA017"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667ED980"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2B6AE25C"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3E7ABB9D"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057C47DC"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0BDD83E3"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4C196173"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04BC4548"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7FDCB917"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239C7064"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43908498"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1A3B9403"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7AA9F3EE"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64FFDE2E"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46FB7A21"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388921A6"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p w14:paraId="51B594C0" w14:textId="77777777" w:rsidR="00F122E0" w:rsidRDefault="00F122E0" w:rsidP="00F122E0">
      <w:pPr>
        <w:rPr>
          <w:rFonts w:ascii="Arial Narrow" w:hAnsi="Arial Narrow"/>
          <w:b/>
          <w:sz w:val="18"/>
          <w:szCs w:val="18"/>
          <w:lang w:val="en-GB"/>
        </w:rPr>
      </w:pPr>
    </w:p>
    <w:p w14:paraId="3E186B15" w14:textId="77777777" w:rsidR="00F122E0" w:rsidRDefault="00F122E0" w:rsidP="00F122E0">
      <w:pPr>
        <w:rPr>
          <w:rFonts w:ascii="Arial Narrow" w:hAnsi="Arial Narrow"/>
          <w:b/>
          <w:sz w:val="18"/>
          <w:szCs w:val="18"/>
          <w:lang w:val="en-GB"/>
        </w:rPr>
      </w:pPr>
    </w:p>
    <w:p w14:paraId="49D0DC98" w14:textId="77777777" w:rsidR="00993E4F" w:rsidRDefault="00993E4F">
      <w:r>
        <w:br w:type="page"/>
      </w:r>
    </w:p>
    <w:tbl>
      <w:tblPr>
        <w:tblW w:w="5000" w:type="pct"/>
        <w:tblLook w:val="04A0" w:firstRow="1" w:lastRow="0" w:firstColumn="1" w:lastColumn="0" w:noHBand="0" w:noVBand="1"/>
      </w:tblPr>
      <w:tblGrid>
        <w:gridCol w:w="9017"/>
      </w:tblGrid>
      <w:tr w:rsidR="00295470" w:rsidRPr="000E445F" w14:paraId="0DB979D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6CAB967F" w14:textId="77777777" w:rsidR="00295470" w:rsidRPr="003174A9" w:rsidRDefault="00295470" w:rsidP="00BB385C">
            <w:pPr>
              <w:pStyle w:val="KMC16-Tablecontent"/>
              <w:spacing w:before="0" w:after="0"/>
              <w:ind w:hanging="108"/>
              <w:rPr>
                <w:b/>
                <w:color w:val="auto"/>
                <w:sz w:val="18"/>
                <w:szCs w:val="18"/>
              </w:rPr>
            </w:pPr>
            <w:r w:rsidRPr="003174A9">
              <w:rPr>
                <w:b/>
                <w:color w:val="auto"/>
                <w:sz w:val="18"/>
                <w:szCs w:val="18"/>
              </w:rPr>
              <w:lastRenderedPageBreak/>
              <w:t xml:space="preserve">Category / Program: </w:t>
            </w:r>
            <w:r w:rsidRPr="003174A9">
              <w:rPr>
                <w:rFonts w:cstheme="minorBidi"/>
                <w:color w:val="auto"/>
                <w:sz w:val="18"/>
                <w:szCs w:val="18"/>
              </w:rPr>
              <w:t>General Schedule</w:t>
            </w:r>
          </w:p>
        </w:tc>
      </w:tr>
      <w:tr w:rsidR="00295470" w:rsidRPr="000E445F" w14:paraId="12A72E7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1F837EE1" w14:textId="77777777" w:rsidR="00295470" w:rsidRPr="003174A9" w:rsidRDefault="00295470" w:rsidP="00BB385C">
            <w:pPr>
              <w:pStyle w:val="KMC16-Tablecontent"/>
              <w:spacing w:before="0" w:after="0"/>
              <w:ind w:hanging="108"/>
              <w:rPr>
                <w:b/>
                <w:color w:val="auto"/>
                <w:sz w:val="18"/>
                <w:szCs w:val="18"/>
              </w:rPr>
            </w:pPr>
            <w:r w:rsidRPr="003174A9">
              <w:rPr>
                <w:b/>
                <w:color w:val="auto"/>
                <w:sz w:val="18"/>
                <w:szCs w:val="18"/>
              </w:rPr>
              <w:t xml:space="preserve">Prescriber type: </w:t>
            </w:r>
            <w:r w:rsidRPr="003174A9">
              <w:rPr>
                <w:color w:val="auto"/>
                <w:sz w:val="18"/>
                <w:szCs w:val="18"/>
              </w:rPr>
              <w:fldChar w:fldCharType="begin">
                <w:ffData>
                  <w:name w:val="Check1"/>
                  <w:enabled/>
                  <w:calcOnExit w:val="0"/>
                  <w:checkBox>
                    <w:sizeAuto/>
                    <w:default w:val="0"/>
                  </w:checkBox>
                </w:ffData>
              </w:fldChar>
            </w:r>
            <w:r w:rsidRPr="003174A9">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3174A9">
              <w:rPr>
                <w:color w:val="auto"/>
                <w:sz w:val="18"/>
                <w:szCs w:val="18"/>
              </w:rPr>
              <w:fldChar w:fldCharType="end"/>
            </w:r>
            <w:r w:rsidRPr="003174A9">
              <w:rPr>
                <w:color w:val="auto"/>
                <w:sz w:val="18"/>
                <w:szCs w:val="18"/>
              </w:rPr>
              <w:t xml:space="preserve">Dental  </w:t>
            </w:r>
            <w:r w:rsidRPr="003174A9">
              <w:rPr>
                <w:color w:val="auto"/>
                <w:sz w:val="18"/>
                <w:szCs w:val="18"/>
              </w:rPr>
              <w:fldChar w:fldCharType="begin">
                <w:ffData>
                  <w:name w:val=""/>
                  <w:enabled/>
                  <w:calcOnExit w:val="0"/>
                  <w:checkBox>
                    <w:sizeAuto/>
                    <w:default w:val="1"/>
                  </w:checkBox>
                </w:ffData>
              </w:fldChar>
            </w:r>
            <w:r w:rsidRPr="003174A9">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3174A9">
              <w:rPr>
                <w:color w:val="auto"/>
                <w:sz w:val="18"/>
                <w:szCs w:val="18"/>
              </w:rPr>
              <w:fldChar w:fldCharType="end"/>
            </w:r>
            <w:r w:rsidRPr="003174A9">
              <w:rPr>
                <w:color w:val="auto"/>
                <w:sz w:val="18"/>
                <w:szCs w:val="18"/>
              </w:rPr>
              <w:t xml:space="preserve">Medical Practitioners  </w:t>
            </w:r>
            <w:r w:rsidRPr="003174A9">
              <w:rPr>
                <w:color w:val="auto"/>
                <w:sz w:val="18"/>
                <w:szCs w:val="18"/>
              </w:rPr>
              <w:fldChar w:fldCharType="begin">
                <w:ffData>
                  <w:name w:val=""/>
                  <w:enabled/>
                  <w:calcOnExit w:val="0"/>
                  <w:checkBox>
                    <w:sizeAuto/>
                    <w:default w:val="0"/>
                  </w:checkBox>
                </w:ffData>
              </w:fldChar>
            </w:r>
            <w:r w:rsidRPr="003174A9">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3174A9">
              <w:rPr>
                <w:color w:val="auto"/>
                <w:sz w:val="18"/>
                <w:szCs w:val="18"/>
              </w:rPr>
              <w:fldChar w:fldCharType="end"/>
            </w:r>
            <w:r w:rsidRPr="003174A9">
              <w:rPr>
                <w:color w:val="auto"/>
                <w:sz w:val="18"/>
                <w:szCs w:val="18"/>
              </w:rPr>
              <w:t xml:space="preserve">Nurse practitioners </w:t>
            </w:r>
            <w:r w:rsidRPr="003174A9">
              <w:rPr>
                <w:color w:val="auto"/>
                <w:sz w:val="18"/>
                <w:szCs w:val="18"/>
              </w:rPr>
              <w:fldChar w:fldCharType="begin">
                <w:ffData>
                  <w:name w:val=""/>
                  <w:enabled/>
                  <w:calcOnExit w:val="0"/>
                  <w:checkBox>
                    <w:sizeAuto/>
                    <w:default w:val="0"/>
                  </w:checkBox>
                </w:ffData>
              </w:fldChar>
            </w:r>
            <w:r w:rsidRPr="003174A9">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3174A9">
              <w:rPr>
                <w:color w:val="auto"/>
                <w:sz w:val="18"/>
                <w:szCs w:val="18"/>
              </w:rPr>
              <w:fldChar w:fldCharType="end"/>
            </w:r>
            <w:r w:rsidRPr="003174A9">
              <w:rPr>
                <w:color w:val="auto"/>
                <w:sz w:val="18"/>
                <w:szCs w:val="18"/>
              </w:rPr>
              <w:t xml:space="preserve">Optometrists </w:t>
            </w:r>
            <w:r w:rsidRPr="003174A9">
              <w:rPr>
                <w:color w:val="auto"/>
                <w:sz w:val="18"/>
                <w:szCs w:val="18"/>
              </w:rPr>
              <w:fldChar w:fldCharType="begin">
                <w:ffData>
                  <w:name w:val="Check5"/>
                  <w:enabled/>
                  <w:calcOnExit w:val="0"/>
                  <w:checkBox>
                    <w:sizeAuto/>
                    <w:default w:val="0"/>
                  </w:checkBox>
                </w:ffData>
              </w:fldChar>
            </w:r>
            <w:r w:rsidRPr="003174A9">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3174A9">
              <w:rPr>
                <w:color w:val="auto"/>
                <w:sz w:val="18"/>
                <w:szCs w:val="18"/>
              </w:rPr>
              <w:fldChar w:fldCharType="end"/>
            </w:r>
            <w:r w:rsidRPr="003174A9">
              <w:rPr>
                <w:color w:val="auto"/>
                <w:sz w:val="18"/>
                <w:szCs w:val="18"/>
              </w:rPr>
              <w:t>Midwives</w:t>
            </w:r>
          </w:p>
        </w:tc>
      </w:tr>
      <w:tr w:rsidR="00295470" w:rsidRPr="000E445F" w14:paraId="454B7E1A"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2AD8170" w14:textId="77777777" w:rsidR="00295470" w:rsidRPr="003174A9" w:rsidRDefault="00295470" w:rsidP="00BB385C">
            <w:pPr>
              <w:ind w:hanging="108"/>
              <w:rPr>
                <w:rFonts w:ascii="Arial Narrow" w:eastAsia="Calibri" w:hAnsi="Arial Narrow"/>
                <w:sz w:val="18"/>
                <w:szCs w:val="18"/>
              </w:rPr>
            </w:pPr>
            <w:r w:rsidRPr="003174A9">
              <w:rPr>
                <w:rFonts w:ascii="Arial Narrow" w:hAnsi="Arial Narrow"/>
                <w:b/>
                <w:sz w:val="18"/>
                <w:szCs w:val="18"/>
              </w:rPr>
              <w:t>Restriction Method:</w:t>
            </w:r>
            <w:r w:rsidRPr="003174A9">
              <w:rPr>
                <w:b/>
                <w:sz w:val="18"/>
                <w:szCs w:val="18"/>
              </w:rPr>
              <w:t xml:space="preserve"> </w:t>
            </w:r>
            <w:r w:rsidRPr="003174A9">
              <w:rPr>
                <w:sz w:val="18"/>
                <w:szCs w:val="18"/>
              </w:rPr>
              <w:fldChar w:fldCharType="begin">
                <w:ffData>
                  <w:name w:val="Check5"/>
                  <w:enabled/>
                  <w:calcOnExit w:val="0"/>
                  <w:checkBox>
                    <w:sizeAuto/>
                    <w:default w:val="1"/>
                  </w:checkBox>
                </w:ffData>
              </w:fldChar>
            </w:r>
            <w:r w:rsidRPr="003174A9">
              <w:rPr>
                <w:sz w:val="18"/>
                <w:szCs w:val="18"/>
              </w:rPr>
              <w:instrText xml:space="preserve"> FORMCHECKBOX </w:instrText>
            </w:r>
            <w:r w:rsidR="00E515FB">
              <w:rPr>
                <w:sz w:val="18"/>
                <w:szCs w:val="18"/>
              </w:rPr>
            </w:r>
            <w:r w:rsidR="00E515FB">
              <w:rPr>
                <w:sz w:val="18"/>
                <w:szCs w:val="18"/>
              </w:rPr>
              <w:fldChar w:fldCharType="separate"/>
            </w:r>
            <w:r w:rsidRPr="003174A9">
              <w:rPr>
                <w:sz w:val="18"/>
                <w:szCs w:val="18"/>
              </w:rPr>
              <w:fldChar w:fldCharType="end"/>
            </w:r>
            <w:r w:rsidRPr="003174A9">
              <w:rPr>
                <w:rFonts w:ascii="Arial Narrow" w:hAnsi="Arial Narrow"/>
                <w:sz w:val="18"/>
                <w:szCs w:val="18"/>
              </w:rPr>
              <w:t>Authority Required –</w:t>
            </w:r>
            <w:r w:rsidRPr="003174A9">
              <w:rPr>
                <w:rFonts w:ascii="Arial Narrow" w:hAnsi="Arial Narrow"/>
                <w:bCs/>
                <w:sz w:val="18"/>
                <w:szCs w:val="18"/>
              </w:rPr>
              <w:t xml:space="preserve"> non-immediate/delayed assessment by Services Australia (in-writing only via mail/postal service or electronic upload to Hobart)</w:t>
            </w:r>
          </w:p>
        </w:tc>
      </w:tr>
      <w:tr w:rsidR="00295470" w:rsidRPr="0062746A" w14:paraId="14C17CF3"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7C31922B"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 xml:space="preserve">Severity: </w:t>
            </w:r>
            <w:r w:rsidRPr="003174A9">
              <w:rPr>
                <w:rFonts w:ascii="Arial Narrow" w:hAnsi="Arial Narrow"/>
                <w:sz w:val="18"/>
                <w:szCs w:val="18"/>
              </w:rPr>
              <w:t>Severe</w:t>
            </w:r>
          </w:p>
        </w:tc>
      </w:tr>
      <w:tr w:rsidR="00295470" w:rsidRPr="0062746A" w14:paraId="71BC80A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DE33D88"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 xml:space="preserve">Condition: </w:t>
            </w:r>
            <w:r w:rsidRPr="003174A9">
              <w:rPr>
                <w:rFonts w:ascii="Arial Narrow" w:hAnsi="Arial Narrow"/>
                <w:sz w:val="18"/>
                <w:szCs w:val="18"/>
              </w:rPr>
              <w:t>Crohn’s disease</w:t>
            </w:r>
          </w:p>
        </w:tc>
      </w:tr>
      <w:tr w:rsidR="00295470" w:rsidRPr="0062746A" w14:paraId="010189F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67A0058B"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Indication:</w:t>
            </w:r>
            <w:r w:rsidRPr="003174A9">
              <w:rPr>
                <w:rFonts w:ascii="Arial Narrow" w:hAnsi="Arial Narrow"/>
                <w:sz w:val="18"/>
                <w:szCs w:val="18"/>
              </w:rPr>
              <w:t xml:space="preserve"> Severe Crohn’s disease</w:t>
            </w:r>
          </w:p>
        </w:tc>
      </w:tr>
      <w:tr w:rsidR="00295470" w:rsidRPr="000E445F" w14:paraId="153CC1E0"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3317058D" w14:textId="77777777" w:rsidR="00295470" w:rsidRPr="003174A9" w:rsidRDefault="00295470" w:rsidP="00BB385C">
            <w:pPr>
              <w:pStyle w:val="KMC16-Tablecontent"/>
              <w:spacing w:after="0"/>
              <w:ind w:left="-108"/>
              <w:rPr>
                <w:b/>
                <w:color w:val="auto"/>
                <w:sz w:val="18"/>
                <w:szCs w:val="18"/>
              </w:rPr>
            </w:pPr>
            <w:r w:rsidRPr="003174A9">
              <w:rPr>
                <w:b/>
                <w:color w:val="auto"/>
                <w:sz w:val="18"/>
                <w:szCs w:val="18"/>
              </w:rPr>
              <w:t>Treatment Phase: Continuing treatment with subcutaneous form or switching from intravenous form to subcutaneous form</w:t>
            </w:r>
          </w:p>
        </w:tc>
      </w:tr>
      <w:tr w:rsidR="00295470" w:rsidRPr="0062746A" w14:paraId="6179907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6E67093" w14:textId="77777777" w:rsidR="00295470" w:rsidRPr="003174A9" w:rsidRDefault="00295470" w:rsidP="00BB385C">
            <w:pPr>
              <w:pStyle w:val="KMC16-Tablecontent"/>
              <w:spacing w:before="0" w:after="0"/>
              <w:rPr>
                <w:b/>
                <w:color w:val="auto"/>
                <w:sz w:val="18"/>
                <w:szCs w:val="18"/>
              </w:rPr>
            </w:pPr>
            <w:r w:rsidRPr="003174A9">
              <w:rPr>
                <w:b/>
                <w:color w:val="auto"/>
                <w:sz w:val="18"/>
                <w:szCs w:val="18"/>
              </w:rPr>
              <w:t xml:space="preserve">Treatment criteria: </w:t>
            </w:r>
          </w:p>
        </w:tc>
      </w:tr>
      <w:tr w:rsidR="00295470" w:rsidRPr="0062746A" w14:paraId="2BE274A3"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FA79A98" w14:textId="77777777" w:rsidR="00295470" w:rsidRPr="003174A9" w:rsidRDefault="00295470" w:rsidP="00BB385C">
            <w:pPr>
              <w:rPr>
                <w:rFonts w:ascii="Arial Narrow" w:hAnsi="Arial Narrow"/>
                <w:b/>
                <w:bCs/>
                <w:sz w:val="18"/>
                <w:szCs w:val="18"/>
              </w:rPr>
            </w:pPr>
            <w:r w:rsidRPr="003174A9">
              <w:rPr>
                <w:rFonts w:ascii="Arial Narrow" w:hAnsi="Arial Narrow"/>
                <w:bCs/>
                <w:sz w:val="18"/>
                <w:szCs w:val="18"/>
              </w:rPr>
              <w:t>Must be treated by a gastroenterologist; or</w:t>
            </w:r>
          </w:p>
        </w:tc>
      </w:tr>
      <w:tr w:rsidR="00295470" w:rsidRPr="0062746A" w14:paraId="30D1270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9A16CA1" w14:textId="77777777" w:rsidR="00295470" w:rsidRPr="003174A9" w:rsidRDefault="00295470" w:rsidP="00BB385C">
            <w:pPr>
              <w:rPr>
                <w:rFonts w:ascii="Arial Narrow" w:hAnsi="Arial Narrow"/>
                <w:b/>
                <w:bCs/>
                <w:sz w:val="18"/>
                <w:szCs w:val="18"/>
              </w:rPr>
            </w:pPr>
            <w:r w:rsidRPr="003174A9">
              <w:rPr>
                <w:rFonts w:ascii="Arial Narrow" w:hAnsi="Arial Narrow"/>
                <w:bCs/>
                <w:sz w:val="18"/>
                <w:szCs w:val="18"/>
              </w:rPr>
              <w:t>Must be treated by a consultant physician [internal medicine specialising in gastroenterology]; or</w:t>
            </w:r>
          </w:p>
        </w:tc>
      </w:tr>
      <w:tr w:rsidR="00295470" w:rsidRPr="0062746A" w14:paraId="6BC3D721"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2D3A091" w14:textId="77777777" w:rsidR="00295470" w:rsidRPr="003174A9" w:rsidRDefault="00295470" w:rsidP="00BB385C">
            <w:pPr>
              <w:rPr>
                <w:rFonts w:ascii="Arial Narrow" w:hAnsi="Arial Narrow"/>
                <w:b/>
                <w:bCs/>
                <w:sz w:val="18"/>
                <w:szCs w:val="18"/>
              </w:rPr>
            </w:pPr>
            <w:r w:rsidRPr="003174A9">
              <w:rPr>
                <w:rFonts w:ascii="Arial Narrow" w:hAnsi="Arial Narrow"/>
                <w:bCs/>
                <w:sz w:val="18"/>
                <w:szCs w:val="18"/>
              </w:rPr>
              <w:t>Must be treated by a consultant physician [general medicine specialising in gastroenterology]</w:t>
            </w:r>
          </w:p>
        </w:tc>
      </w:tr>
      <w:tr w:rsidR="00295470" w:rsidRPr="0062746A" w14:paraId="3451D60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32101E0"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 xml:space="preserve">CClinical criteria: </w:t>
            </w:r>
          </w:p>
        </w:tc>
      </w:tr>
      <w:tr w:rsidR="00295470" w:rsidRPr="000E445F" w14:paraId="018076F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428B9FDB" w14:textId="77777777" w:rsidR="00295470" w:rsidRPr="003174A9" w:rsidRDefault="00295470" w:rsidP="00BB385C">
            <w:pPr>
              <w:pStyle w:val="KMC16-Tablecontent"/>
              <w:spacing w:after="0"/>
              <w:ind w:left="-108"/>
              <w:rPr>
                <w:color w:val="auto"/>
                <w:sz w:val="18"/>
                <w:szCs w:val="18"/>
              </w:rPr>
            </w:pPr>
            <w:r w:rsidRPr="003174A9">
              <w:rPr>
                <w:color w:val="auto"/>
                <w:sz w:val="18"/>
                <w:szCs w:val="18"/>
              </w:rPr>
              <w:t>Patient must have received</w:t>
            </w:r>
            <w:r w:rsidRPr="003174A9">
              <w:rPr>
                <w:rFonts w:ascii="Open Sans" w:hAnsi="Open Sans" w:cs="Open Sans"/>
                <w:color w:val="auto"/>
                <w:sz w:val="22"/>
                <w:shd w:val="clear" w:color="auto" w:fill="FFFFFF"/>
                <w:lang w:val="en-AU" w:eastAsia="en-AU"/>
              </w:rPr>
              <w:t xml:space="preserve"> </w:t>
            </w:r>
            <w:r w:rsidRPr="003174A9">
              <w:rPr>
                <w:color w:val="auto"/>
                <w:sz w:val="18"/>
                <w:szCs w:val="18"/>
                <w:lang w:val="en-AU"/>
              </w:rPr>
              <w:t>this drug as their most recent course of PBS-subsidised biological medicine treatment for this condition</w:t>
            </w:r>
            <w:r w:rsidRPr="003174A9">
              <w:rPr>
                <w:color w:val="auto"/>
                <w:sz w:val="18"/>
                <w:szCs w:val="18"/>
              </w:rPr>
              <w:t>; OR</w:t>
            </w:r>
          </w:p>
        </w:tc>
      </w:tr>
      <w:tr w:rsidR="00295470" w:rsidRPr="0062746A" w14:paraId="4CA1B07F"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85FC1FC"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 xml:space="preserve">CClinical criteria: </w:t>
            </w:r>
          </w:p>
        </w:tc>
      </w:tr>
      <w:tr w:rsidR="00295470" w:rsidRPr="000E445F" w14:paraId="0BB12E4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1FCD62B" w14:textId="77777777" w:rsidR="00295470" w:rsidRPr="003174A9" w:rsidRDefault="00295470" w:rsidP="00BB385C">
            <w:pPr>
              <w:pStyle w:val="KMC16-Tablecontent"/>
              <w:spacing w:after="0"/>
              <w:ind w:left="-108" w:firstLine="34"/>
              <w:rPr>
                <w:color w:val="auto"/>
                <w:sz w:val="18"/>
                <w:szCs w:val="18"/>
                <w:lang w:val="en-AU"/>
              </w:rPr>
            </w:pPr>
            <w:r w:rsidRPr="003174A9">
              <w:rPr>
                <w:color w:val="auto"/>
                <w:sz w:val="18"/>
                <w:szCs w:val="18"/>
                <w:lang w:val="en-AU"/>
              </w:rPr>
              <w:t>Patient must have received this drug in the intravenous form as their most recent course of PBS-subsidised biological medicine for this condition under the infliximab intravenous form continuing treatment restriction</w:t>
            </w:r>
          </w:p>
        </w:tc>
      </w:tr>
      <w:tr w:rsidR="00295470" w:rsidRPr="000E445F" w14:paraId="15EDF095"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7482631" w14:textId="77777777" w:rsidR="00295470" w:rsidRPr="003174A9" w:rsidRDefault="00295470" w:rsidP="00BB385C">
            <w:pPr>
              <w:pStyle w:val="KMC16-Tablecontent"/>
              <w:spacing w:after="0"/>
              <w:ind w:hanging="108"/>
              <w:rPr>
                <w:b/>
                <w:color w:val="auto"/>
                <w:sz w:val="18"/>
                <w:szCs w:val="18"/>
                <w:lang w:val="en-AU"/>
              </w:rPr>
            </w:pPr>
            <w:r w:rsidRPr="003174A9">
              <w:rPr>
                <w:b/>
                <w:color w:val="auto"/>
                <w:sz w:val="18"/>
                <w:szCs w:val="18"/>
                <w:lang w:val="en-AU"/>
              </w:rPr>
              <w:t>AND</w:t>
            </w:r>
          </w:p>
        </w:tc>
      </w:tr>
      <w:tr w:rsidR="00295470" w:rsidRPr="0062746A" w14:paraId="1D81349E"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433423E"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 xml:space="preserve">CClinical criteria: </w:t>
            </w:r>
          </w:p>
        </w:tc>
      </w:tr>
      <w:tr w:rsidR="00295470" w:rsidRPr="000E445F" w14:paraId="3BB3E66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0CC610D" w14:textId="77777777" w:rsidR="00295470" w:rsidRPr="003174A9" w:rsidRDefault="00295470" w:rsidP="00BB385C">
            <w:pPr>
              <w:pStyle w:val="KMC16-Tablecontent"/>
              <w:spacing w:after="0"/>
              <w:ind w:hanging="108"/>
              <w:rPr>
                <w:b/>
                <w:color w:val="auto"/>
                <w:sz w:val="18"/>
                <w:szCs w:val="18"/>
              </w:rPr>
            </w:pPr>
            <w:r w:rsidRPr="003174A9">
              <w:rPr>
                <w:color w:val="auto"/>
                <w:sz w:val="18"/>
                <w:szCs w:val="18"/>
                <w:lang w:val="en-AU"/>
              </w:rPr>
              <w:t>Patient must not receive more than 24 weeks of treatment under this restriction</w:t>
            </w:r>
          </w:p>
        </w:tc>
      </w:tr>
      <w:tr w:rsidR="00295470" w:rsidRPr="000E445F" w14:paraId="0CAF6BA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7F9B87A3" w14:textId="77777777" w:rsidR="00295470" w:rsidRPr="003174A9" w:rsidRDefault="00295470" w:rsidP="00BB385C">
            <w:pPr>
              <w:pStyle w:val="KMC16-Tablecontent"/>
              <w:spacing w:after="0"/>
              <w:ind w:hanging="108"/>
              <w:rPr>
                <w:b/>
                <w:color w:val="auto"/>
                <w:sz w:val="18"/>
                <w:szCs w:val="18"/>
                <w:lang w:val="en-AU"/>
              </w:rPr>
            </w:pPr>
            <w:r w:rsidRPr="003174A9">
              <w:rPr>
                <w:b/>
                <w:color w:val="auto"/>
                <w:sz w:val="18"/>
                <w:szCs w:val="18"/>
                <w:lang w:val="en-AU"/>
              </w:rPr>
              <w:t>AND</w:t>
            </w:r>
          </w:p>
        </w:tc>
      </w:tr>
      <w:tr w:rsidR="00295470" w:rsidRPr="0062746A" w14:paraId="0B96A659"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40C2C89B"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 xml:space="preserve">CClinical criteria: </w:t>
            </w:r>
          </w:p>
        </w:tc>
      </w:tr>
      <w:tr w:rsidR="00295470" w:rsidRPr="000E445F" w14:paraId="7C65F686"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2D78551D" w14:textId="77777777" w:rsidR="00295470" w:rsidRPr="003174A9" w:rsidRDefault="00295470" w:rsidP="00BB385C">
            <w:pPr>
              <w:pStyle w:val="KMC16-Tablecontent"/>
              <w:spacing w:after="0"/>
              <w:ind w:left="-108"/>
              <w:rPr>
                <w:i/>
                <w:color w:val="auto"/>
                <w:sz w:val="18"/>
                <w:szCs w:val="18"/>
              </w:rPr>
            </w:pPr>
            <w:r w:rsidRPr="003174A9">
              <w:rPr>
                <w:color w:val="auto"/>
                <w:sz w:val="18"/>
                <w:szCs w:val="18"/>
              </w:rPr>
              <w:t>Patient must have an adequate response to this drug defined as a reduction in Crohn’s Disease Activity Index (CDAI) Score to a level no greater than 150 if assessed by CDAI or if affected by extensive small intestine disease;</w:t>
            </w:r>
          </w:p>
        </w:tc>
      </w:tr>
      <w:tr w:rsidR="00295470" w:rsidRPr="000E445F" w14:paraId="5B02636B"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EAF6D56" w14:textId="77777777" w:rsidR="00295470" w:rsidRPr="003174A9" w:rsidRDefault="00295470" w:rsidP="00BB385C">
            <w:pPr>
              <w:pStyle w:val="KMC16-Tablecontent"/>
              <w:spacing w:after="0"/>
              <w:ind w:hanging="108"/>
              <w:rPr>
                <w:b/>
                <w:i/>
                <w:color w:val="auto"/>
                <w:sz w:val="18"/>
                <w:szCs w:val="18"/>
                <w:lang w:val="en-AU"/>
              </w:rPr>
            </w:pPr>
            <w:r w:rsidRPr="003174A9">
              <w:rPr>
                <w:b/>
                <w:i/>
                <w:color w:val="auto"/>
                <w:sz w:val="18"/>
                <w:szCs w:val="18"/>
                <w:lang w:val="en-AU"/>
              </w:rPr>
              <w:t>AND</w:t>
            </w:r>
          </w:p>
        </w:tc>
      </w:tr>
      <w:tr w:rsidR="00295470" w:rsidRPr="0062746A" w14:paraId="53DB24C5"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5ACDE5C"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 xml:space="preserve">CClinical criteria: </w:t>
            </w:r>
          </w:p>
        </w:tc>
      </w:tr>
      <w:tr w:rsidR="00295470" w:rsidRPr="0062746A" w14:paraId="422118BA"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91E7FFF"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disease or is an ostomy patient.</w:t>
            </w:r>
          </w:p>
        </w:tc>
      </w:tr>
      <w:tr w:rsidR="00295470" w:rsidRPr="000E445F" w14:paraId="46BB5EB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ABE6F2A"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AND</w:t>
            </w:r>
          </w:p>
        </w:tc>
      </w:tr>
      <w:tr w:rsidR="00295470" w:rsidRPr="000E445F" w14:paraId="5719149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1D2CB499"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Population criteria:</w:t>
            </w:r>
          </w:p>
        </w:tc>
      </w:tr>
      <w:tr w:rsidR="00295470" w:rsidRPr="00D551A5" w14:paraId="6D56380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36E759" w14:textId="77777777" w:rsidR="00295470" w:rsidRPr="003174A9" w:rsidRDefault="00295470" w:rsidP="00BB385C">
            <w:pPr>
              <w:ind w:left="-108"/>
              <w:rPr>
                <w:rFonts w:ascii="Arial Narrow" w:hAnsi="Arial Narrow"/>
                <w:sz w:val="18"/>
                <w:szCs w:val="18"/>
              </w:rPr>
            </w:pPr>
            <w:r w:rsidRPr="003174A9">
              <w:rPr>
                <w:rFonts w:ascii="Arial Narrow" w:hAnsi="Arial Narrow"/>
                <w:sz w:val="18"/>
                <w:szCs w:val="18"/>
              </w:rPr>
              <w:t>Patient must be aged 18 years or older</w:t>
            </w:r>
          </w:p>
        </w:tc>
      </w:tr>
      <w:tr w:rsidR="00295470" w:rsidRPr="00D551A5" w14:paraId="3A389E67"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FAFE6DE"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Prescribing Instruction:</w:t>
            </w:r>
          </w:p>
        </w:tc>
      </w:tr>
      <w:tr w:rsidR="00295470" w:rsidRPr="00D551A5" w14:paraId="1374F50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921A166" w14:textId="77777777" w:rsidR="00295470" w:rsidRPr="003174A9" w:rsidRDefault="00295470" w:rsidP="00BB385C">
            <w:pPr>
              <w:spacing w:after="150" w:line="300" w:lineRule="atLeast"/>
              <w:ind w:left="-108"/>
              <w:rPr>
                <w:rFonts w:ascii="Arial Narrow" w:hAnsi="Arial Narrow" w:cs="Arial Narrow"/>
                <w:iCs/>
                <w:sz w:val="18"/>
                <w:szCs w:val="18"/>
              </w:rPr>
            </w:pPr>
            <w:r w:rsidRPr="003174A9">
              <w:rPr>
                <w:rFonts w:ascii="Arial Narrow" w:hAnsi="Arial Narrow" w:cs="Arial Narrow"/>
                <w:iCs/>
                <w:sz w:val="18"/>
                <w:szCs w:val="18"/>
              </w:rPr>
              <w:t>Applications for authorisation must be made in writing and must include:</w:t>
            </w:r>
          </w:p>
          <w:p w14:paraId="0A398094" w14:textId="77777777" w:rsidR="00295470" w:rsidRPr="003174A9" w:rsidRDefault="00295470" w:rsidP="00BB385C">
            <w:pPr>
              <w:rPr>
                <w:rFonts w:ascii="Arial Narrow" w:hAnsi="Arial Narrow" w:cs="Arial Narrow"/>
                <w:iCs/>
                <w:sz w:val="18"/>
                <w:szCs w:val="18"/>
              </w:rPr>
            </w:pPr>
            <w:r w:rsidRPr="003174A9">
              <w:rPr>
                <w:rFonts w:ascii="Arial Narrow" w:hAnsi="Arial Narrow" w:cs="Arial Narrow"/>
                <w:iCs/>
                <w:sz w:val="18"/>
                <w:szCs w:val="18"/>
              </w:rPr>
              <w:t>(a) a completed authority prescription form; and</w:t>
            </w:r>
          </w:p>
          <w:p w14:paraId="5B065BEC" w14:textId="77777777" w:rsidR="00295470" w:rsidRPr="003174A9" w:rsidRDefault="00295470" w:rsidP="00BB385C">
            <w:pPr>
              <w:rPr>
                <w:rFonts w:ascii="Arial Narrow" w:hAnsi="Arial Narrow" w:cs="Arial Narrow"/>
                <w:iCs/>
                <w:sz w:val="18"/>
                <w:szCs w:val="18"/>
              </w:rPr>
            </w:pPr>
            <w:r w:rsidRPr="003174A9">
              <w:rPr>
                <w:rFonts w:ascii="Arial Narrow" w:hAnsi="Arial Narrow" w:cs="Arial Narrow"/>
                <w:iCs/>
                <w:sz w:val="18"/>
                <w:szCs w:val="18"/>
              </w:rPr>
              <w:t xml:space="preserve">(b) a completed Crohn Disease PBS Authority Application Form which includes the following: </w:t>
            </w:r>
          </w:p>
          <w:p w14:paraId="1E014261" w14:textId="77777777" w:rsidR="00295470" w:rsidRPr="003174A9" w:rsidRDefault="00295470" w:rsidP="00BB385C">
            <w:pPr>
              <w:rPr>
                <w:rFonts w:ascii="Arial Narrow" w:hAnsi="Arial Narrow" w:cs="Arial Narrow"/>
                <w:iCs/>
                <w:sz w:val="18"/>
                <w:szCs w:val="18"/>
              </w:rPr>
            </w:pPr>
            <w:r w:rsidRPr="003174A9">
              <w:rPr>
                <w:rFonts w:ascii="Arial Narrow" w:hAnsi="Arial Narrow" w:cs="Arial Narrow"/>
                <w:iCs/>
                <w:sz w:val="18"/>
                <w:szCs w:val="18"/>
              </w:rPr>
              <w:t xml:space="preserve">(i) the completed Crohn Disease Activity Index (CDAI) Score calculation sheet including the date of the assessment of the patient's condition, if relevant; or </w:t>
            </w:r>
          </w:p>
          <w:p w14:paraId="315C4E51" w14:textId="77777777" w:rsidR="00295470" w:rsidRPr="003174A9" w:rsidRDefault="00295470" w:rsidP="00BB385C">
            <w:pPr>
              <w:rPr>
                <w:rFonts w:ascii="Arial Narrow" w:hAnsi="Arial Narrow" w:cs="Arial Narrow"/>
                <w:iCs/>
                <w:sz w:val="18"/>
                <w:szCs w:val="18"/>
              </w:rPr>
            </w:pPr>
            <w:r w:rsidRPr="003174A9">
              <w:rPr>
                <w:rFonts w:ascii="Arial Narrow" w:hAnsi="Arial Narrow" w:cs="Arial Narrow"/>
                <w:iCs/>
                <w:sz w:val="18"/>
                <w:szCs w:val="18"/>
              </w:rPr>
              <w:t xml:space="preserve">(ii) the reports and dates of the pathology test or diagnostic imaging test(s) used to assess response to therapy for patients with short gut syndrome, extensive small intestine disease or an ostomy, if relevant; and </w:t>
            </w:r>
          </w:p>
          <w:p w14:paraId="3D35536A" w14:textId="77777777" w:rsidR="00295470" w:rsidRPr="003174A9" w:rsidRDefault="00295470" w:rsidP="00BB385C">
            <w:pPr>
              <w:rPr>
                <w:rFonts w:ascii="Arial Narrow" w:hAnsi="Arial Narrow" w:cs="Arial Narrow"/>
                <w:iCs/>
                <w:sz w:val="18"/>
                <w:szCs w:val="18"/>
              </w:rPr>
            </w:pPr>
            <w:r w:rsidRPr="003174A9">
              <w:rPr>
                <w:rFonts w:ascii="Arial Narrow" w:hAnsi="Arial Narrow" w:cs="Arial Narrow"/>
                <w:iCs/>
                <w:sz w:val="18"/>
                <w:szCs w:val="18"/>
              </w:rPr>
              <w:t>(iii) the date of clinical assessment.</w:t>
            </w:r>
          </w:p>
          <w:p w14:paraId="41CDE91E" w14:textId="77777777" w:rsidR="00295470" w:rsidRPr="003174A9" w:rsidRDefault="00295470" w:rsidP="00BB385C">
            <w:pPr>
              <w:pStyle w:val="KMC16-Tablecontent"/>
              <w:spacing w:after="0"/>
              <w:ind w:hanging="108"/>
              <w:rPr>
                <w:b/>
                <w:color w:val="auto"/>
                <w:sz w:val="18"/>
                <w:szCs w:val="18"/>
              </w:rPr>
            </w:pPr>
          </w:p>
        </w:tc>
      </w:tr>
      <w:tr w:rsidR="00295470" w:rsidRPr="00D551A5" w14:paraId="051F53F5"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8E99C56" w14:textId="77777777" w:rsidR="00295470" w:rsidRPr="003174A9" w:rsidRDefault="00295470" w:rsidP="00BB385C">
            <w:pPr>
              <w:pStyle w:val="KMC16-Tablecontent"/>
              <w:spacing w:after="0"/>
              <w:ind w:hanging="108"/>
              <w:rPr>
                <w:b/>
                <w:color w:val="auto"/>
                <w:sz w:val="18"/>
                <w:szCs w:val="18"/>
              </w:rPr>
            </w:pPr>
            <w:r w:rsidRPr="003174A9">
              <w:rPr>
                <w:b/>
                <w:color w:val="auto"/>
                <w:sz w:val="18"/>
                <w:szCs w:val="18"/>
              </w:rPr>
              <w:t>Prescribing Instruction:</w:t>
            </w:r>
          </w:p>
        </w:tc>
      </w:tr>
      <w:tr w:rsidR="00295470" w:rsidRPr="0062746A" w14:paraId="622CEA31"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DE480C6" w14:textId="77777777" w:rsidR="00295470" w:rsidRPr="003174A9" w:rsidRDefault="00295470" w:rsidP="00776C60">
            <w:pPr>
              <w:rPr>
                <w:rFonts w:ascii="Arial Narrow" w:hAnsi="Arial Narrow" w:cs="Open Sans"/>
                <w:bCs/>
                <w:sz w:val="18"/>
                <w:szCs w:val="18"/>
                <w:bdr w:val="none" w:sz="0" w:space="0" w:color="auto" w:frame="1"/>
              </w:rPr>
            </w:pPr>
            <w:r w:rsidRPr="003174A9">
              <w:rPr>
                <w:rFonts w:ascii="Arial Narrow" w:hAnsi="Arial Narrow" w:cs="Open Sans"/>
                <w:bCs/>
                <w:sz w:val="18"/>
                <w:szCs w:val="18"/>
                <w:bdr w:val="none" w:sz="0" w:space="0" w:color="auto" w:frame="1"/>
              </w:rPr>
              <w:t xml:space="preserve">An application for the continuing treatment must be accompanied with the assessment of response conducted following a minimum of 12 weeks of therapy and no later than 4 weeks from </w:t>
            </w:r>
            <w:r w:rsidRPr="003174A9">
              <w:rPr>
                <w:rFonts w:ascii="Arial Narrow" w:hAnsi="Arial Narrow" w:cs="Arial Narrow"/>
                <w:iCs/>
                <w:sz w:val="18"/>
                <w:szCs w:val="18"/>
              </w:rPr>
              <w:t>the date of completion</w:t>
            </w:r>
            <w:r w:rsidRPr="003174A9">
              <w:rPr>
                <w:rFonts w:ascii="Arial Narrow" w:hAnsi="Arial Narrow" w:cs="Arial Narrow"/>
                <w:i/>
                <w:iCs/>
                <w:sz w:val="18"/>
                <w:szCs w:val="18"/>
              </w:rPr>
              <w:t xml:space="preserve"> </w:t>
            </w:r>
            <w:r w:rsidRPr="003174A9">
              <w:rPr>
                <w:rFonts w:ascii="Arial Narrow" w:hAnsi="Arial Narrow" w:cs="Arial Narrow"/>
                <w:iCs/>
                <w:sz w:val="18"/>
                <w:szCs w:val="18"/>
              </w:rPr>
              <w:t>of</w:t>
            </w:r>
            <w:r w:rsidRPr="003174A9">
              <w:rPr>
                <w:rFonts w:ascii="Arial Narrow" w:hAnsi="Arial Narrow" w:cs="Open Sans"/>
                <w:bCs/>
                <w:sz w:val="18"/>
                <w:szCs w:val="18"/>
                <w:bdr w:val="none" w:sz="0" w:space="0" w:color="auto" w:frame="1"/>
              </w:rPr>
              <w:t xml:space="preserve"> treatment. This will enable ongoing treatment for those who meet the continuing restriction for PBS-subsidised treatment.</w:t>
            </w:r>
          </w:p>
        </w:tc>
      </w:tr>
      <w:tr w:rsidR="00295470" w:rsidRPr="00B738AF" w14:paraId="4A334DC9"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702157D4" w14:textId="77777777" w:rsidR="00295470" w:rsidRPr="003174A9" w:rsidRDefault="00295470" w:rsidP="00BB385C">
            <w:pPr>
              <w:jc w:val="left"/>
              <w:rPr>
                <w:rFonts w:ascii="Arial Narrow" w:hAnsi="Arial Narrow"/>
                <w:b/>
                <w:sz w:val="18"/>
                <w:szCs w:val="18"/>
              </w:rPr>
            </w:pPr>
            <w:r w:rsidRPr="003174A9">
              <w:rPr>
                <w:rFonts w:ascii="Arial Narrow" w:hAnsi="Arial Narrow"/>
                <w:b/>
                <w:sz w:val="18"/>
                <w:szCs w:val="18"/>
              </w:rPr>
              <w:lastRenderedPageBreak/>
              <w:t>Prescribing Instructions:</w:t>
            </w:r>
          </w:p>
        </w:tc>
      </w:tr>
      <w:tr w:rsidR="00295470" w:rsidRPr="00B738AF" w14:paraId="70558F9C"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D3BF5E8" w14:textId="77777777" w:rsidR="00295470" w:rsidRPr="003174A9" w:rsidRDefault="00295470" w:rsidP="00776C60">
            <w:pPr>
              <w:jc w:val="left"/>
              <w:rPr>
                <w:rFonts w:ascii="Arial Narrow" w:hAnsi="Arial Narrow"/>
                <w:sz w:val="18"/>
                <w:szCs w:val="18"/>
              </w:rPr>
            </w:pPr>
            <w:r w:rsidRPr="003174A9">
              <w:rPr>
                <w:rFonts w:ascii="Arial Narrow" w:hAnsi="Arial Narrow"/>
                <w:sz w:val="18"/>
                <w:szCs w:val="18"/>
              </w:rPr>
              <w:t xml:space="preserve">Where a response assessment is not conducted within </w:t>
            </w:r>
            <w:r w:rsidRPr="003174A9">
              <w:rPr>
                <w:rFonts w:ascii="Arial Narrow" w:hAnsi="Arial Narrow" w:cs="Arial Narrow"/>
                <w:iCs/>
                <w:sz w:val="18"/>
                <w:szCs w:val="18"/>
              </w:rPr>
              <w:t xml:space="preserve">the required </w:t>
            </w:r>
            <w:r w:rsidRPr="003174A9">
              <w:rPr>
                <w:rFonts w:ascii="Arial Narrow" w:hAnsi="Arial Narrow"/>
                <w:sz w:val="18"/>
                <w:szCs w:val="18"/>
              </w:rPr>
              <w:t>timeframe, the patient will be deemed to have failed to respond to treatment with this drug, unless the patient has experienced a serious adverse reaction of a severity resulting in the necessity for permanent withdrawal of treatment.</w:t>
            </w:r>
          </w:p>
        </w:tc>
      </w:tr>
      <w:tr w:rsidR="00295470" w:rsidRPr="0062746A" w14:paraId="67B9BFE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D7334B5"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36D8F48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C04951A" w14:textId="77777777" w:rsidR="00295470" w:rsidRPr="003174A9" w:rsidRDefault="00295470" w:rsidP="00BB385C">
            <w:pPr>
              <w:jc w:val="left"/>
              <w:rPr>
                <w:rFonts w:ascii="Arial Narrow" w:hAnsi="Arial Narrow"/>
                <w:sz w:val="18"/>
                <w:szCs w:val="18"/>
              </w:rPr>
            </w:pPr>
            <w:r w:rsidRPr="003174A9">
              <w:rPr>
                <w:rFonts w:ascii="Arial Narrow" w:hAnsi="Arial Narrow"/>
                <w:sz w:val="18"/>
                <w:szCs w:val="18"/>
              </w:rPr>
              <w:t xml:space="preserve">If a patient fails to demonstrate a response to treatment with this drug they will not be eligible to receive further PBS-subsidised treatment with this drug for this condition </w:t>
            </w:r>
            <w:r w:rsidRPr="003174A9">
              <w:rPr>
                <w:rFonts w:ascii="Arial Narrow" w:hAnsi="Arial Narrow"/>
                <w:i/>
                <w:sz w:val="18"/>
                <w:szCs w:val="18"/>
              </w:rPr>
              <w:t>in this treatment cycle</w:t>
            </w:r>
            <w:r w:rsidRPr="003174A9">
              <w:rPr>
                <w:rFonts w:ascii="Arial Narrow" w:hAnsi="Arial Narrow"/>
                <w:sz w:val="18"/>
                <w:szCs w:val="18"/>
              </w:rPr>
              <w:t xml:space="preserve">. Serious adverse reaction of a severity resulting in the necessity for permanent withdrawal of treatment is not considered as a treatment failure. </w:t>
            </w:r>
          </w:p>
        </w:tc>
      </w:tr>
      <w:tr w:rsidR="00295470" w:rsidRPr="0062746A" w14:paraId="156D39AC"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C293F46"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2CE3EEE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A4A3BC7" w14:textId="77777777" w:rsidR="00295470" w:rsidRPr="003174A9" w:rsidRDefault="00295470" w:rsidP="00BB385C">
            <w:pPr>
              <w:jc w:val="left"/>
              <w:rPr>
                <w:rFonts w:ascii="Arial Narrow" w:hAnsi="Arial Narrow"/>
                <w:sz w:val="18"/>
                <w:szCs w:val="18"/>
              </w:rPr>
            </w:pPr>
            <w:r w:rsidRPr="003174A9">
              <w:rPr>
                <w:rFonts w:ascii="Arial Narrow" w:hAnsi="Arial Narrow"/>
                <w:sz w:val="18"/>
                <w:szCs w:val="18"/>
              </w:rPr>
              <w:t xml:space="preserve">Patients are eligible to receive continuing treatment with this drug in courses of up to 24 weeks providing they continue to sustain the response. </w:t>
            </w:r>
          </w:p>
        </w:tc>
      </w:tr>
      <w:tr w:rsidR="00295470" w:rsidRPr="0062746A" w14:paraId="3F0BE91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F51C553"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6C08C7BF"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46F97BA2" w14:textId="77777777" w:rsidR="00295470" w:rsidRPr="003174A9" w:rsidRDefault="00295470" w:rsidP="00BB385C">
            <w:pPr>
              <w:jc w:val="left"/>
              <w:rPr>
                <w:rFonts w:ascii="Arial Narrow" w:hAnsi="Arial Narrow"/>
                <w:sz w:val="18"/>
                <w:szCs w:val="18"/>
              </w:rPr>
            </w:pPr>
            <w:r w:rsidRPr="003174A9">
              <w:rPr>
                <w:rFonts w:ascii="Arial Narrow" w:hAnsi="Arial Narrow"/>
                <w:sz w:val="18"/>
                <w:szCs w:val="18"/>
              </w:rP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r>
      <w:tr w:rsidR="00295470" w:rsidRPr="0062746A" w14:paraId="6AFC736F"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7E3D8AF"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071CE83E"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71E55C90" w14:textId="77777777" w:rsidR="00295470" w:rsidRPr="003174A9" w:rsidRDefault="00295470" w:rsidP="00BB385C">
            <w:pPr>
              <w:jc w:val="left"/>
              <w:rPr>
                <w:rFonts w:ascii="Arial Narrow" w:hAnsi="Arial Narrow"/>
                <w:sz w:val="18"/>
                <w:szCs w:val="18"/>
              </w:rPr>
            </w:pPr>
            <w:r w:rsidRPr="003174A9">
              <w:rPr>
                <w:rFonts w:ascii="Arial Narrow" w:hAnsi="Arial Narrow"/>
                <w:sz w:val="18"/>
                <w:szCs w:val="18"/>
              </w:rPr>
              <w:t xml:space="preserve">At the time of the authority application, medical practitioners should request sufficient quantity for up to 24 weeks of treatment under this restriction. </w:t>
            </w:r>
          </w:p>
        </w:tc>
      </w:tr>
      <w:tr w:rsidR="00295470" w:rsidRPr="0062746A" w14:paraId="3A5C43D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7B064399"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6C7852DA"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0A24687" w14:textId="77777777" w:rsidR="00295470" w:rsidRPr="003174A9" w:rsidRDefault="00295470" w:rsidP="00BB385C">
            <w:pPr>
              <w:spacing w:after="150"/>
              <w:rPr>
                <w:rFonts w:ascii="Arial Narrow" w:hAnsi="Arial Narrow" w:cs="Arial Narrow"/>
                <w:iCs/>
                <w:sz w:val="18"/>
                <w:szCs w:val="18"/>
              </w:rPr>
            </w:pPr>
            <w:r w:rsidRPr="003174A9">
              <w:rPr>
                <w:rFonts w:ascii="Arial Narrow" w:hAnsi="Arial Narrow" w:cs="Arial Narrow"/>
                <w:iCs/>
                <w:sz w:val="18"/>
                <w:szCs w:val="18"/>
              </w:rPr>
              <w:t xml:space="preserve">Up to a maximum of 5 repeats will be authorised. </w:t>
            </w:r>
          </w:p>
        </w:tc>
      </w:tr>
      <w:tr w:rsidR="00295470" w:rsidRPr="0062746A" w14:paraId="6B63120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F0F5CAC"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B738AF" w14:paraId="5486F0E2"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2B713FF" w14:textId="77777777" w:rsidR="00295470" w:rsidRPr="003174A9" w:rsidRDefault="00295470" w:rsidP="00BB385C">
            <w:pPr>
              <w:spacing w:after="150"/>
              <w:rPr>
                <w:rFonts w:ascii="Arial Narrow" w:hAnsi="Arial Narrow" w:cs="Arial Narrow"/>
                <w:iCs/>
                <w:sz w:val="18"/>
                <w:szCs w:val="18"/>
              </w:rPr>
            </w:pPr>
            <w:r w:rsidRPr="003174A9">
              <w:rPr>
                <w:rFonts w:ascii="Arial Narrow" w:hAnsi="Arial Narrow" w:cs="Arial Narrow"/>
                <w:iCs/>
                <w:sz w:val="18"/>
                <w:szCs w:val="18"/>
              </w:rPr>
              <w:t xml:space="preserve">If fewer than 5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 </w:t>
            </w:r>
          </w:p>
        </w:tc>
      </w:tr>
      <w:tr w:rsidR="00295470" w:rsidRPr="00962058" w14:paraId="76538748"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57D3E05F"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Administrative Advice:</w:t>
            </w:r>
            <w:r w:rsidRPr="003174A9">
              <w:rPr>
                <w:rFonts w:ascii="Arial Narrow" w:hAnsi="Arial Narrow"/>
                <w:sz w:val="18"/>
                <w:szCs w:val="18"/>
              </w:rPr>
              <w:t xml:space="preserve"> No increase in the maximum quantity or number of units may be authorised.</w:t>
            </w:r>
          </w:p>
        </w:tc>
      </w:tr>
      <w:tr w:rsidR="00295470" w:rsidRPr="00962058" w14:paraId="450C66D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7D79CF23"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Administrative Advice:</w:t>
            </w:r>
            <w:r w:rsidRPr="003174A9">
              <w:rPr>
                <w:rFonts w:ascii="Arial Narrow" w:hAnsi="Arial Narrow"/>
                <w:sz w:val="18"/>
                <w:szCs w:val="18"/>
              </w:rPr>
              <w:t xml:space="preserve"> No increase in the maximum number of repeats may be authorised.</w:t>
            </w:r>
          </w:p>
        </w:tc>
      </w:tr>
      <w:tr w:rsidR="00295470" w:rsidRPr="00B738AF" w14:paraId="1E763C58"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7D1A943" w14:textId="77777777" w:rsidR="00295470" w:rsidRPr="003174A9" w:rsidRDefault="00295470" w:rsidP="00BB385C">
            <w:pPr>
              <w:rPr>
                <w:rFonts w:ascii="Arial Narrow" w:hAnsi="Arial Narrow"/>
                <w:b/>
                <w:sz w:val="18"/>
                <w:szCs w:val="18"/>
              </w:rPr>
            </w:pPr>
            <w:r w:rsidRPr="003174A9">
              <w:rPr>
                <w:rFonts w:ascii="Arial Narrow" w:hAnsi="Arial Narrow"/>
                <w:b/>
                <w:sz w:val="18"/>
                <w:szCs w:val="18"/>
              </w:rPr>
              <w:t>Administrative Advice:</w:t>
            </w:r>
          </w:p>
          <w:p w14:paraId="11572571" w14:textId="77777777" w:rsidR="00295470" w:rsidRPr="003174A9" w:rsidRDefault="00295470" w:rsidP="00BB385C">
            <w:pPr>
              <w:rPr>
                <w:rFonts w:ascii="Arial Narrow" w:hAnsi="Arial Narrow"/>
                <w:b/>
                <w:sz w:val="18"/>
                <w:szCs w:val="18"/>
              </w:rPr>
            </w:pPr>
          </w:p>
          <w:p w14:paraId="57441912"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Any queries concerning the arrangements to prescribe may be directed to Services Australia on 1800 700 270 (hours of operation 8 a.m. to 5 p.m. EST Monday to Friday).</w:t>
            </w:r>
          </w:p>
          <w:p w14:paraId="6A82AA24" w14:textId="77777777" w:rsidR="00295470" w:rsidRPr="003174A9" w:rsidRDefault="00295470" w:rsidP="00BB385C">
            <w:pPr>
              <w:rPr>
                <w:rFonts w:ascii="Arial Narrow" w:hAnsi="Arial Narrow"/>
                <w:sz w:val="18"/>
                <w:szCs w:val="18"/>
              </w:rPr>
            </w:pPr>
          </w:p>
          <w:p w14:paraId="31C628C8"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14:paraId="1A17443F" w14:textId="77777777" w:rsidR="00295470" w:rsidRPr="003174A9" w:rsidRDefault="00295470" w:rsidP="00BB385C">
            <w:pPr>
              <w:rPr>
                <w:rFonts w:ascii="Arial Narrow" w:hAnsi="Arial Narrow"/>
                <w:sz w:val="18"/>
                <w:szCs w:val="18"/>
              </w:rPr>
            </w:pPr>
          </w:p>
          <w:p w14:paraId="09A1D239"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Applications for authority to prescribe should be submitted online using the form upload facility in Health Professional Online Services (HPOS) at www.servicesaustralia.gov.au/hpos</w:t>
            </w:r>
          </w:p>
          <w:p w14:paraId="200A8410" w14:textId="77777777" w:rsidR="00295470" w:rsidRPr="003174A9" w:rsidRDefault="00295470" w:rsidP="00BB385C">
            <w:pPr>
              <w:rPr>
                <w:rFonts w:ascii="Arial Narrow" w:hAnsi="Arial Narrow"/>
                <w:sz w:val="18"/>
                <w:szCs w:val="18"/>
              </w:rPr>
            </w:pPr>
          </w:p>
          <w:p w14:paraId="4E792BDC"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Or mailed to:</w:t>
            </w:r>
          </w:p>
          <w:p w14:paraId="19946CCB"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Services Australia</w:t>
            </w:r>
          </w:p>
          <w:p w14:paraId="6E1E615D"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Complex Drugs</w:t>
            </w:r>
          </w:p>
          <w:p w14:paraId="1E8A20C7"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Reply Paid 9826</w:t>
            </w:r>
          </w:p>
          <w:p w14:paraId="34182CAA" w14:textId="77777777" w:rsidR="00295470" w:rsidRPr="003174A9" w:rsidRDefault="00295470" w:rsidP="00BB385C">
            <w:pPr>
              <w:spacing w:after="150"/>
              <w:rPr>
                <w:rFonts w:ascii="Arial Narrow" w:hAnsi="Arial Narrow" w:cs="Arial Narrow"/>
                <w:iCs/>
                <w:sz w:val="18"/>
                <w:szCs w:val="18"/>
              </w:rPr>
            </w:pPr>
            <w:r w:rsidRPr="003174A9">
              <w:rPr>
                <w:rFonts w:ascii="Arial Narrow" w:hAnsi="Arial Narrow"/>
                <w:sz w:val="18"/>
                <w:szCs w:val="18"/>
              </w:rPr>
              <w:t>HOBART TAS 7001</w:t>
            </w:r>
          </w:p>
        </w:tc>
      </w:tr>
    </w:tbl>
    <w:p w14:paraId="38F5B37E" w14:textId="77777777" w:rsidR="00F122E0" w:rsidRDefault="00F122E0" w:rsidP="00F122E0">
      <w:pPr>
        <w:rPr>
          <w:rFonts w:ascii="Arial Narrow" w:hAnsi="Arial Narrow"/>
          <w:b/>
          <w:sz w:val="18"/>
          <w:szCs w:val="18"/>
          <w:lang w:val="en-GB"/>
        </w:rPr>
      </w:pPr>
    </w:p>
    <w:p w14:paraId="44F3B31A" w14:textId="77777777" w:rsidR="00F122E0" w:rsidRDefault="00F122E0" w:rsidP="00F122E0">
      <w:pPr>
        <w:rPr>
          <w:rFonts w:ascii="Arial Narrow" w:hAnsi="Arial Narrow"/>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60C28D34"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542ACD7A"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lastRenderedPageBreak/>
              <w:t>Name, Restriction,</w:t>
            </w:r>
          </w:p>
          <w:p w14:paraId="0919A3C8"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37ACD6B2"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7CB5367D"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4EF852B8"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278A39AF"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7CD3A412"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5E4A3AE7"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330EB269"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22AFE334"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50ABF72A"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7035E5B7"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EBA870E"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34DBFB61" w14:textId="77777777" w:rsidR="00F122E0" w:rsidRPr="00776C60" w:rsidRDefault="00F122E0" w:rsidP="00BB385C">
            <w:pPr>
              <w:keepNext/>
              <w:ind w:left="-108"/>
              <w:jc w:val="center"/>
              <w:rPr>
                <w:rFonts w:ascii="Arial Narrow" w:hAnsi="Arial Narrow"/>
                <w:sz w:val="18"/>
                <w:szCs w:val="18"/>
              </w:rPr>
            </w:pPr>
            <w:r w:rsidRPr="00776C60">
              <w:rPr>
                <w:rFonts w:ascii="Arial Narrow" w:hAnsi="Arial Narrow"/>
                <w:sz w:val="18"/>
                <w:szCs w:val="18"/>
              </w:rPr>
              <w:t xml:space="preserve"> 0</w:t>
            </w:r>
          </w:p>
        </w:tc>
        <w:tc>
          <w:tcPr>
            <w:tcW w:w="506" w:type="pct"/>
            <w:tcBorders>
              <w:top w:val="single" w:sz="4" w:space="0" w:color="auto"/>
              <w:left w:val="single" w:sz="4" w:space="0" w:color="auto"/>
              <w:bottom w:val="single" w:sz="4" w:space="0" w:color="auto"/>
              <w:right w:val="single" w:sz="4" w:space="0" w:color="auto"/>
            </w:tcBorders>
            <w:hideMark/>
          </w:tcPr>
          <w:p w14:paraId="7647832A"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307FD4AD"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76F9E69D"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55DF3D83"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70479C7C"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064B2F58"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0D6404D6"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511A2C41" w14:textId="77777777" w:rsidR="00F122E0" w:rsidRPr="00776C60" w:rsidRDefault="00F122E0" w:rsidP="00BB385C">
            <w:pPr>
              <w:keepNext/>
              <w:ind w:left="-108"/>
              <w:jc w:val="center"/>
              <w:rPr>
                <w:rFonts w:ascii="Arial Narrow" w:hAnsi="Arial Narrow"/>
                <w:sz w:val="18"/>
                <w:szCs w:val="18"/>
              </w:rPr>
            </w:pPr>
            <w:r w:rsidRPr="00776C60">
              <w:rPr>
                <w:rFonts w:ascii="Arial Narrow" w:hAnsi="Arial Narrow"/>
                <w:sz w:val="18"/>
                <w:szCs w:val="18"/>
              </w:rPr>
              <w:t>0</w:t>
            </w:r>
          </w:p>
        </w:tc>
        <w:tc>
          <w:tcPr>
            <w:tcW w:w="506" w:type="pct"/>
            <w:tcBorders>
              <w:top w:val="single" w:sz="4" w:space="0" w:color="auto"/>
              <w:left w:val="single" w:sz="4" w:space="0" w:color="auto"/>
              <w:bottom w:val="single" w:sz="4" w:space="0" w:color="auto"/>
              <w:right w:val="single" w:sz="4" w:space="0" w:color="auto"/>
            </w:tcBorders>
            <w:hideMark/>
          </w:tcPr>
          <w:p w14:paraId="7420A163"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22DC42C3"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tbl>
      <w:tblPr>
        <w:tblpPr w:leftFromText="180" w:rightFromText="180" w:vertAnchor="text" w:horzAnchor="margin" w:tblpY="4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295470" w:rsidRPr="0062746A" w14:paraId="639CD72F" w14:textId="77777777" w:rsidTr="00295470">
        <w:tc>
          <w:tcPr>
            <w:tcW w:w="5000" w:type="pct"/>
            <w:tcBorders>
              <w:top w:val="single" w:sz="4" w:space="0" w:color="auto"/>
              <w:left w:val="single" w:sz="4" w:space="0" w:color="auto"/>
              <w:bottom w:val="single" w:sz="4" w:space="0" w:color="auto"/>
              <w:right w:val="single" w:sz="4" w:space="0" w:color="auto"/>
            </w:tcBorders>
          </w:tcPr>
          <w:p w14:paraId="6C110294" w14:textId="77777777" w:rsidR="00295470" w:rsidRPr="003174A9" w:rsidRDefault="00295470" w:rsidP="00BB385C">
            <w:pPr>
              <w:rPr>
                <w:rFonts w:ascii="Arial Narrow" w:hAnsi="Arial Narrow"/>
                <w:sz w:val="18"/>
                <w:szCs w:val="18"/>
              </w:rPr>
            </w:pPr>
            <w:r w:rsidRPr="003174A9">
              <w:rPr>
                <w:rFonts w:ascii="Arial Narrow" w:hAnsi="Arial Narrow"/>
                <w:b/>
                <w:sz w:val="18"/>
                <w:szCs w:val="18"/>
              </w:rPr>
              <w:t xml:space="preserve">Category / Program:   </w:t>
            </w:r>
            <w:r w:rsidRPr="003174A9">
              <w:rPr>
                <w:rFonts w:ascii="Arial Narrow" w:hAnsi="Arial Narrow"/>
                <w:sz w:val="18"/>
                <w:szCs w:val="18"/>
              </w:rPr>
              <w:t xml:space="preserve">GENERAL – General Schedule (Code GE) </w:t>
            </w:r>
          </w:p>
        </w:tc>
      </w:tr>
      <w:tr w:rsidR="00295470" w:rsidRPr="0062746A" w14:paraId="4FB6FEF4" w14:textId="77777777" w:rsidTr="00295470">
        <w:trPr>
          <w:trHeight w:val="240"/>
        </w:trPr>
        <w:tc>
          <w:tcPr>
            <w:tcW w:w="5000" w:type="pct"/>
            <w:tcBorders>
              <w:top w:val="single" w:sz="4" w:space="0" w:color="auto"/>
              <w:left w:val="single" w:sz="4" w:space="0" w:color="auto"/>
              <w:bottom w:val="single" w:sz="4" w:space="0" w:color="auto"/>
              <w:right w:val="single" w:sz="4" w:space="0" w:color="auto"/>
            </w:tcBorders>
          </w:tcPr>
          <w:p w14:paraId="12F803D0" w14:textId="77777777" w:rsidR="00295470" w:rsidRPr="003174A9" w:rsidRDefault="00295470" w:rsidP="00BB385C">
            <w:pPr>
              <w:rPr>
                <w:rFonts w:ascii="Arial Narrow" w:hAnsi="Arial Narrow"/>
                <w:b/>
                <w:sz w:val="18"/>
                <w:szCs w:val="18"/>
              </w:rPr>
            </w:pPr>
            <w:r w:rsidRPr="003174A9">
              <w:rPr>
                <w:rFonts w:ascii="Arial Narrow" w:hAnsi="Arial Narrow"/>
                <w:b/>
                <w:sz w:val="18"/>
                <w:szCs w:val="18"/>
              </w:rPr>
              <w:t xml:space="preserve">Prescriber type:   </w:t>
            </w:r>
            <w:r w:rsidRPr="003174A9">
              <w:rPr>
                <w:rFonts w:ascii="Arial Narrow" w:hAnsi="Arial Narrow"/>
                <w:sz w:val="18"/>
                <w:szCs w:val="18"/>
              </w:rPr>
              <w:fldChar w:fldCharType="begin">
                <w:ffData>
                  <w:name w:val="Check1"/>
                  <w:enabled/>
                  <w:calcOnExit w:val="0"/>
                  <w:checkBox>
                    <w:sizeAuto/>
                    <w:default w:val="0"/>
                  </w:checkBox>
                </w:ffData>
              </w:fldChar>
            </w:r>
            <w:r w:rsidRPr="003174A9">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3174A9">
              <w:rPr>
                <w:rFonts w:ascii="Arial Narrow" w:hAnsi="Arial Narrow"/>
                <w:sz w:val="18"/>
                <w:szCs w:val="18"/>
              </w:rPr>
              <w:fldChar w:fldCharType="end"/>
            </w:r>
            <w:r w:rsidRPr="003174A9">
              <w:rPr>
                <w:rFonts w:ascii="Arial Narrow" w:hAnsi="Arial Narrow"/>
                <w:sz w:val="18"/>
                <w:szCs w:val="18"/>
              </w:rPr>
              <w:t xml:space="preserve">Dental    </w:t>
            </w:r>
            <w:r w:rsidRPr="003174A9">
              <w:rPr>
                <w:rFonts w:ascii="Arial Narrow" w:hAnsi="Arial Narrow"/>
                <w:sz w:val="18"/>
                <w:szCs w:val="18"/>
              </w:rPr>
              <w:fldChar w:fldCharType="begin">
                <w:ffData>
                  <w:name w:val=""/>
                  <w:enabled/>
                  <w:calcOnExit w:val="0"/>
                  <w:checkBox>
                    <w:sizeAuto/>
                    <w:default w:val="1"/>
                  </w:checkBox>
                </w:ffData>
              </w:fldChar>
            </w:r>
            <w:r w:rsidRPr="003174A9">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3174A9">
              <w:rPr>
                <w:rFonts w:ascii="Arial Narrow" w:hAnsi="Arial Narrow"/>
                <w:sz w:val="18"/>
                <w:szCs w:val="18"/>
              </w:rPr>
              <w:fldChar w:fldCharType="end"/>
            </w:r>
            <w:r w:rsidRPr="003174A9">
              <w:rPr>
                <w:rFonts w:ascii="Arial Narrow" w:hAnsi="Arial Narrow"/>
                <w:sz w:val="18"/>
                <w:szCs w:val="18"/>
              </w:rPr>
              <w:t xml:space="preserve">Medical Practitioners    </w:t>
            </w:r>
            <w:r w:rsidRPr="003174A9">
              <w:rPr>
                <w:rFonts w:ascii="Arial Narrow" w:hAnsi="Arial Narrow"/>
                <w:sz w:val="18"/>
                <w:szCs w:val="18"/>
              </w:rPr>
              <w:fldChar w:fldCharType="begin">
                <w:ffData>
                  <w:name w:val="Check3"/>
                  <w:enabled/>
                  <w:calcOnExit w:val="0"/>
                  <w:checkBox>
                    <w:sizeAuto/>
                    <w:default w:val="0"/>
                  </w:checkBox>
                </w:ffData>
              </w:fldChar>
            </w:r>
            <w:r w:rsidRPr="003174A9">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3174A9">
              <w:rPr>
                <w:rFonts w:ascii="Arial Narrow" w:hAnsi="Arial Narrow"/>
                <w:sz w:val="18"/>
                <w:szCs w:val="18"/>
              </w:rPr>
              <w:fldChar w:fldCharType="end"/>
            </w:r>
            <w:r w:rsidRPr="003174A9">
              <w:rPr>
                <w:rFonts w:ascii="Arial Narrow" w:hAnsi="Arial Narrow"/>
                <w:sz w:val="18"/>
                <w:szCs w:val="18"/>
              </w:rPr>
              <w:t xml:space="preserve">Nurse practitioners     </w:t>
            </w:r>
            <w:r w:rsidRPr="003174A9">
              <w:rPr>
                <w:rFonts w:ascii="Arial Narrow" w:hAnsi="Arial Narrow"/>
                <w:sz w:val="18"/>
                <w:szCs w:val="18"/>
              </w:rPr>
              <w:fldChar w:fldCharType="begin">
                <w:ffData>
                  <w:name w:val=""/>
                  <w:enabled/>
                  <w:calcOnExit w:val="0"/>
                  <w:checkBox>
                    <w:sizeAuto/>
                    <w:default w:val="0"/>
                  </w:checkBox>
                </w:ffData>
              </w:fldChar>
            </w:r>
            <w:r w:rsidRPr="003174A9">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3174A9">
              <w:rPr>
                <w:rFonts w:ascii="Arial Narrow" w:hAnsi="Arial Narrow"/>
                <w:sz w:val="18"/>
                <w:szCs w:val="18"/>
              </w:rPr>
              <w:fldChar w:fldCharType="end"/>
            </w:r>
            <w:r w:rsidRPr="003174A9">
              <w:rPr>
                <w:rFonts w:ascii="Arial Narrow" w:hAnsi="Arial Narrow"/>
                <w:sz w:val="18"/>
                <w:szCs w:val="18"/>
              </w:rPr>
              <w:t xml:space="preserve">Optometrists    </w:t>
            </w:r>
            <w:r w:rsidRPr="003174A9">
              <w:rPr>
                <w:rFonts w:ascii="Arial Narrow" w:hAnsi="Arial Narrow"/>
                <w:sz w:val="18"/>
                <w:szCs w:val="18"/>
              </w:rPr>
              <w:fldChar w:fldCharType="begin">
                <w:ffData>
                  <w:name w:val="Check5"/>
                  <w:enabled/>
                  <w:calcOnExit w:val="0"/>
                  <w:checkBox>
                    <w:sizeAuto/>
                    <w:default w:val="0"/>
                  </w:checkBox>
                </w:ffData>
              </w:fldChar>
            </w:r>
            <w:r w:rsidRPr="003174A9">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3174A9">
              <w:rPr>
                <w:rFonts w:ascii="Arial Narrow" w:hAnsi="Arial Narrow"/>
                <w:sz w:val="18"/>
                <w:szCs w:val="18"/>
              </w:rPr>
              <w:fldChar w:fldCharType="end"/>
            </w:r>
            <w:r w:rsidRPr="003174A9">
              <w:rPr>
                <w:rFonts w:ascii="Arial Narrow" w:hAnsi="Arial Narrow"/>
                <w:sz w:val="18"/>
                <w:szCs w:val="18"/>
              </w:rPr>
              <w:t>Midwives</w:t>
            </w:r>
          </w:p>
        </w:tc>
      </w:tr>
      <w:tr w:rsidR="00295470" w:rsidRPr="0062746A" w14:paraId="1FAF21ED" w14:textId="77777777" w:rsidTr="00295470">
        <w:tc>
          <w:tcPr>
            <w:tcW w:w="5000" w:type="pct"/>
            <w:tcBorders>
              <w:top w:val="single" w:sz="4" w:space="0" w:color="auto"/>
              <w:left w:val="single" w:sz="4" w:space="0" w:color="auto"/>
              <w:bottom w:val="single" w:sz="4" w:space="0" w:color="auto"/>
              <w:right w:val="single" w:sz="4" w:space="0" w:color="auto"/>
            </w:tcBorders>
          </w:tcPr>
          <w:p w14:paraId="3A5FBFEA" w14:textId="77777777" w:rsidR="00295470" w:rsidRPr="003174A9" w:rsidRDefault="00295470" w:rsidP="00BB385C">
            <w:pPr>
              <w:rPr>
                <w:rFonts w:ascii="Arial Narrow" w:eastAsia="Calibri" w:hAnsi="Arial Narrow"/>
                <w:sz w:val="18"/>
                <w:szCs w:val="18"/>
              </w:rPr>
            </w:pPr>
            <w:r w:rsidRPr="003174A9">
              <w:rPr>
                <w:rFonts w:ascii="Arial Narrow" w:hAnsi="Arial Narrow"/>
                <w:b/>
                <w:sz w:val="18"/>
                <w:szCs w:val="18"/>
              </w:rPr>
              <w:t xml:space="preserve">Restriction Type – </w:t>
            </w:r>
            <w:r w:rsidRPr="003174A9">
              <w:rPr>
                <w:rFonts w:ascii="Arial Narrow" w:eastAsia="Calibri" w:hAnsi="Arial Narrow"/>
                <w:sz w:val="18"/>
                <w:szCs w:val="18"/>
              </w:rPr>
              <w:fldChar w:fldCharType="begin">
                <w:ffData>
                  <w:name w:val=""/>
                  <w:enabled/>
                  <w:calcOnExit w:val="0"/>
                  <w:checkBox>
                    <w:sizeAuto/>
                    <w:default w:val="1"/>
                  </w:checkBox>
                </w:ffData>
              </w:fldChar>
            </w:r>
            <w:r w:rsidRPr="003174A9">
              <w:rPr>
                <w:rFonts w:ascii="Arial Narrow" w:eastAsia="Calibri" w:hAnsi="Arial Narrow"/>
                <w:sz w:val="18"/>
                <w:szCs w:val="18"/>
              </w:rPr>
              <w:instrText xml:space="preserve"> FORMCHECKBOX </w:instrText>
            </w:r>
            <w:r w:rsidR="00E515FB">
              <w:rPr>
                <w:rFonts w:ascii="Arial Narrow" w:eastAsia="Calibri" w:hAnsi="Arial Narrow"/>
                <w:sz w:val="18"/>
                <w:szCs w:val="18"/>
              </w:rPr>
            </w:r>
            <w:r w:rsidR="00E515FB">
              <w:rPr>
                <w:rFonts w:ascii="Arial Narrow" w:eastAsia="Calibri" w:hAnsi="Arial Narrow"/>
                <w:sz w:val="18"/>
                <w:szCs w:val="18"/>
              </w:rPr>
              <w:fldChar w:fldCharType="separate"/>
            </w:r>
            <w:r w:rsidRPr="003174A9">
              <w:rPr>
                <w:rFonts w:ascii="Arial Narrow" w:eastAsia="Calibri" w:hAnsi="Arial Narrow"/>
                <w:sz w:val="18"/>
                <w:szCs w:val="18"/>
              </w:rPr>
              <w:fldChar w:fldCharType="end"/>
            </w:r>
            <w:r w:rsidRPr="003174A9">
              <w:rPr>
                <w:rFonts w:ascii="Arial Narrow" w:eastAsia="Calibri" w:hAnsi="Arial Narrow"/>
                <w:sz w:val="18"/>
                <w:szCs w:val="18"/>
              </w:rPr>
              <w:t xml:space="preserve"> Authority Required – immediate/real time assessment by Medicare (telephone/online/emergency)</w:t>
            </w:r>
          </w:p>
          <w:p w14:paraId="065255B8" w14:textId="77777777" w:rsidR="00295470" w:rsidRPr="003174A9" w:rsidRDefault="00295470" w:rsidP="00BB385C">
            <w:pPr>
              <w:rPr>
                <w:rFonts w:ascii="Arial Narrow" w:eastAsia="Calibri" w:hAnsi="Arial Narrow"/>
                <w:sz w:val="18"/>
                <w:szCs w:val="18"/>
              </w:rPr>
            </w:pPr>
          </w:p>
        </w:tc>
      </w:tr>
      <w:tr w:rsidR="00295470" w:rsidRPr="0062746A" w14:paraId="72C22E20" w14:textId="77777777" w:rsidTr="00295470">
        <w:tc>
          <w:tcPr>
            <w:tcW w:w="5000" w:type="pct"/>
            <w:vAlign w:val="center"/>
          </w:tcPr>
          <w:p w14:paraId="1CB54FC6"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 xml:space="preserve">Severity: </w:t>
            </w:r>
            <w:r w:rsidRPr="003174A9">
              <w:rPr>
                <w:rFonts w:ascii="Arial Narrow" w:hAnsi="Arial Narrow"/>
                <w:sz w:val="18"/>
                <w:szCs w:val="18"/>
              </w:rPr>
              <w:t>Severe</w:t>
            </w:r>
          </w:p>
        </w:tc>
      </w:tr>
      <w:tr w:rsidR="00295470" w:rsidRPr="0062746A" w14:paraId="5D28D413" w14:textId="77777777" w:rsidTr="00295470">
        <w:tc>
          <w:tcPr>
            <w:tcW w:w="5000" w:type="pct"/>
            <w:vAlign w:val="center"/>
          </w:tcPr>
          <w:p w14:paraId="1E70819B"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 xml:space="preserve">Condition: </w:t>
            </w:r>
            <w:r w:rsidRPr="003174A9">
              <w:rPr>
                <w:rFonts w:ascii="Arial Narrow" w:hAnsi="Arial Narrow"/>
                <w:sz w:val="18"/>
                <w:szCs w:val="18"/>
              </w:rPr>
              <w:t>Crohn’s disease</w:t>
            </w:r>
          </w:p>
        </w:tc>
      </w:tr>
      <w:tr w:rsidR="00295470" w:rsidRPr="0062746A" w14:paraId="3BA47422" w14:textId="77777777" w:rsidTr="00295470">
        <w:tc>
          <w:tcPr>
            <w:tcW w:w="5000" w:type="pct"/>
            <w:vAlign w:val="center"/>
            <w:hideMark/>
          </w:tcPr>
          <w:p w14:paraId="025CC2A9"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Indication:</w:t>
            </w:r>
            <w:r w:rsidRPr="003174A9">
              <w:rPr>
                <w:rFonts w:ascii="Arial Narrow" w:hAnsi="Arial Narrow"/>
                <w:sz w:val="18"/>
                <w:szCs w:val="18"/>
              </w:rPr>
              <w:t xml:space="preserve"> Severe Crohn’s disease</w:t>
            </w:r>
          </w:p>
        </w:tc>
      </w:tr>
      <w:tr w:rsidR="00295470" w:rsidRPr="0062746A" w14:paraId="63C1248D" w14:textId="77777777" w:rsidTr="00295470">
        <w:tc>
          <w:tcPr>
            <w:tcW w:w="5000" w:type="pct"/>
            <w:vAlign w:val="center"/>
            <w:hideMark/>
          </w:tcPr>
          <w:p w14:paraId="2F0812AC"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Treatment Phase:</w:t>
            </w:r>
            <w:r w:rsidRPr="003174A9">
              <w:rPr>
                <w:rFonts w:ascii="Arial Narrow" w:hAnsi="Arial Narrow"/>
                <w:sz w:val="18"/>
                <w:szCs w:val="18"/>
              </w:rPr>
              <w:t xml:space="preserve"> </w:t>
            </w:r>
            <w:r w:rsidRPr="003174A9">
              <w:rPr>
                <w:b/>
                <w:sz w:val="18"/>
                <w:szCs w:val="18"/>
              </w:rPr>
              <w:t xml:space="preserve"> </w:t>
            </w:r>
            <w:r w:rsidRPr="003174A9">
              <w:rPr>
                <w:rFonts w:ascii="Arial Narrow" w:hAnsi="Arial Narrow"/>
                <w:b/>
                <w:sz w:val="18"/>
                <w:szCs w:val="18"/>
              </w:rPr>
              <w:t>Initial treatment or continuing treatment with subcutaneous form - Balance of supply</w:t>
            </w:r>
          </w:p>
        </w:tc>
      </w:tr>
      <w:tr w:rsidR="00295470" w:rsidRPr="0062746A" w14:paraId="4C7D3576" w14:textId="77777777" w:rsidTr="00295470">
        <w:tc>
          <w:tcPr>
            <w:tcW w:w="5000" w:type="pct"/>
            <w:vAlign w:val="center"/>
          </w:tcPr>
          <w:p w14:paraId="03A42DC9"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Treatment criteria:</w:t>
            </w:r>
          </w:p>
        </w:tc>
      </w:tr>
      <w:tr w:rsidR="00295470" w:rsidRPr="0062746A" w14:paraId="068E7A0D" w14:textId="77777777" w:rsidTr="00295470">
        <w:tc>
          <w:tcPr>
            <w:tcW w:w="5000" w:type="pct"/>
            <w:vAlign w:val="center"/>
          </w:tcPr>
          <w:p w14:paraId="7A78C79B" w14:textId="77777777" w:rsidR="00295470" w:rsidRPr="003174A9" w:rsidRDefault="00295470" w:rsidP="00BB385C">
            <w:pPr>
              <w:rPr>
                <w:rFonts w:ascii="Arial Narrow" w:hAnsi="Arial Narrow"/>
                <w:bCs/>
                <w:sz w:val="18"/>
                <w:szCs w:val="18"/>
              </w:rPr>
            </w:pPr>
            <w:r w:rsidRPr="003174A9">
              <w:rPr>
                <w:rFonts w:ascii="Arial Narrow" w:hAnsi="Arial Narrow"/>
                <w:bCs/>
                <w:sz w:val="18"/>
                <w:szCs w:val="18"/>
              </w:rPr>
              <w:t>Must be treated by a gastroenterologist; or</w:t>
            </w:r>
          </w:p>
        </w:tc>
      </w:tr>
      <w:tr w:rsidR="00295470" w:rsidRPr="0062746A" w14:paraId="77FA8E32" w14:textId="77777777" w:rsidTr="00295470">
        <w:tc>
          <w:tcPr>
            <w:tcW w:w="5000" w:type="pct"/>
            <w:vAlign w:val="center"/>
          </w:tcPr>
          <w:p w14:paraId="22ECF833" w14:textId="77777777" w:rsidR="00295470" w:rsidRPr="003174A9" w:rsidRDefault="00295470" w:rsidP="00BB385C">
            <w:pPr>
              <w:rPr>
                <w:rFonts w:ascii="Arial Narrow" w:hAnsi="Arial Narrow"/>
                <w:bCs/>
                <w:sz w:val="18"/>
                <w:szCs w:val="18"/>
              </w:rPr>
            </w:pPr>
            <w:r w:rsidRPr="003174A9">
              <w:rPr>
                <w:rFonts w:ascii="Arial Narrow" w:hAnsi="Arial Narrow"/>
                <w:bCs/>
                <w:sz w:val="18"/>
                <w:szCs w:val="18"/>
              </w:rPr>
              <w:t>Must be treated by a consultant physician [internal medicine specialising in gastroenterology]; or</w:t>
            </w:r>
          </w:p>
        </w:tc>
      </w:tr>
      <w:tr w:rsidR="00295470" w:rsidRPr="0062746A" w14:paraId="1CBEECAC" w14:textId="77777777" w:rsidTr="00295470">
        <w:tc>
          <w:tcPr>
            <w:tcW w:w="5000" w:type="pct"/>
            <w:vAlign w:val="center"/>
          </w:tcPr>
          <w:p w14:paraId="622E13EA" w14:textId="77777777" w:rsidR="00295470" w:rsidRPr="003174A9" w:rsidRDefault="00295470" w:rsidP="00BB385C">
            <w:pPr>
              <w:rPr>
                <w:rFonts w:ascii="Arial Narrow" w:hAnsi="Arial Narrow"/>
                <w:bCs/>
                <w:sz w:val="18"/>
                <w:szCs w:val="18"/>
              </w:rPr>
            </w:pPr>
            <w:r w:rsidRPr="003174A9">
              <w:rPr>
                <w:rFonts w:ascii="Arial Narrow" w:hAnsi="Arial Narrow"/>
                <w:bCs/>
                <w:sz w:val="18"/>
                <w:szCs w:val="18"/>
              </w:rPr>
              <w:t>Must be treated by a consultant physician [general medicine specialising in gastroenterology]</w:t>
            </w:r>
          </w:p>
        </w:tc>
      </w:tr>
      <w:tr w:rsidR="00295470" w:rsidRPr="0062746A" w14:paraId="4CF39A1C" w14:textId="77777777" w:rsidTr="00295470">
        <w:tc>
          <w:tcPr>
            <w:tcW w:w="5000" w:type="pct"/>
            <w:vAlign w:val="center"/>
          </w:tcPr>
          <w:p w14:paraId="638A5534" w14:textId="77777777" w:rsidR="00295470" w:rsidRPr="003174A9" w:rsidRDefault="00295470" w:rsidP="00BB385C">
            <w:pPr>
              <w:rPr>
                <w:rFonts w:ascii="Arial Narrow" w:hAnsi="Arial Narrow"/>
                <w:b/>
                <w:bCs/>
                <w:sz w:val="18"/>
                <w:szCs w:val="18"/>
              </w:rPr>
            </w:pPr>
            <w:r w:rsidRPr="003174A9">
              <w:rPr>
                <w:rFonts w:ascii="Arial Narrow" w:hAnsi="Arial Narrow"/>
                <w:b/>
                <w:bCs/>
                <w:sz w:val="18"/>
                <w:szCs w:val="18"/>
              </w:rPr>
              <w:t>AND</w:t>
            </w:r>
          </w:p>
        </w:tc>
      </w:tr>
      <w:tr w:rsidR="00295470" w:rsidRPr="0062746A" w14:paraId="23191DF6" w14:textId="77777777" w:rsidTr="00295470">
        <w:tc>
          <w:tcPr>
            <w:tcW w:w="5000" w:type="pct"/>
            <w:vAlign w:val="center"/>
            <w:hideMark/>
          </w:tcPr>
          <w:p w14:paraId="386C056E"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Clinical criteria:</w:t>
            </w:r>
          </w:p>
        </w:tc>
      </w:tr>
      <w:tr w:rsidR="00295470" w:rsidRPr="0062746A" w14:paraId="15B78DBC" w14:textId="77777777" w:rsidTr="00295470">
        <w:tc>
          <w:tcPr>
            <w:tcW w:w="5000" w:type="pct"/>
            <w:hideMark/>
          </w:tcPr>
          <w:p w14:paraId="159F2768" w14:textId="77777777" w:rsidR="00295470" w:rsidRPr="003174A9" w:rsidRDefault="00295470" w:rsidP="00BB385C">
            <w:pPr>
              <w:pStyle w:val="CommentText"/>
              <w:rPr>
                <w:rFonts w:ascii="Arial Narrow" w:hAnsi="Arial Narrow"/>
                <w:sz w:val="18"/>
                <w:szCs w:val="18"/>
              </w:rPr>
            </w:pPr>
            <w:r w:rsidRPr="003174A9">
              <w:rPr>
                <w:rFonts w:ascii="Arial Narrow" w:hAnsi="Arial Narrow"/>
                <w:sz w:val="18"/>
                <w:szCs w:val="18"/>
              </w:rPr>
              <w:t>Patient must have received insufficient therapy with this drug under the Initial treatment with subcutaneous form to complete 14 to 16 weeks treatment; OR</w:t>
            </w:r>
          </w:p>
        </w:tc>
      </w:tr>
      <w:tr w:rsidR="00295470" w:rsidRPr="0062746A" w14:paraId="50763185" w14:textId="77777777" w:rsidTr="00295470">
        <w:tc>
          <w:tcPr>
            <w:tcW w:w="5000" w:type="pct"/>
          </w:tcPr>
          <w:p w14:paraId="3DC52DAE" w14:textId="77777777" w:rsidR="00295470" w:rsidRPr="003174A9" w:rsidRDefault="00295470" w:rsidP="00BB385C">
            <w:pPr>
              <w:pStyle w:val="CommentText"/>
              <w:rPr>
                <w:rFonts w:ascii="Arial Narrow" w:hAnsi="Arial Narrow"/>
                <w:sz w:val="18"/>
                <w:szCs w:val="18"/>
              </w:rPr>
            </w:pPr>
            <w:r w:rsidRPr="003174A9">
              <w:rPr>
                <w:rFonts w:ascii="Arial Narrow" w:hAnsi="Arial Narrow"/>
                <w:b/>
                <w:bCs/>
                <w:sz w:val="18"/>
                <w:szCs w:val="18"/>
              </w:rPr>
              <w:t>Clinical criteria:</w:t>
            </w:r>
          </w:p>
        </w:tc>
      </w:tr>
      <w:tr w:rsidR="00295470" w:rsidRPr="0062746A" w14:paraId="51BED00A" w14:textId="77777777" w:rsidTr="00295470">
        <w:tc>
          <w:tcPr>
            <w:tcW w:w="5000" w:type="pct"/>
          </w:tcPr>
          <w:p w14:paraId="615695D4" w14:textId="77777777" w:rsidR="00295470" w:rsidRPr="003174A9" w:rsidRDefault="00295470" w:rsidP="00BB385C">
            <w:pPr>
              <w:pStyle w:val="CommentText"/>
              <w:rPr>
                <w:rFonts w:ascii="Arial Narrow" w:hAnsi="Arial Narrow"/>
                <w:sz w:val="18"/>
                <w:szCs w:val="18"/>
              </w:rPr>
            </w:pPr>
            <w:r w:rsidRPr="003174A9">
              <w:rPr>
                <w:rFonts w:ascii="Arial Narrow" w:hAnsi="Arial Narrow"/>
                <w:sz w:val="18"/>
                <w:szCs w:val="18"/>
              </w:rPr>
              <w:t xml:space="preserve">Patient must have received insufficient therapy with this drug under the Continuing treatment to complete 24 weeks of treatment; </w:t>
            </w:r>
          </w:p>
        </w:tc>
      </w:tr>
      <w:tr w:rsidR="00295470" w:rsidRPr="0062746A" w14:paraId="4F0C3735" w14:textId="77777777" w:rsidTr="00295470">
        <w:tc>
          <w:tcPr>
            <w:tcW w:w="5000" w:type="pct"/>
          </w:tcPr>
          <w:p w14:paraId="203FEA4C" w14:textId="77777777" w:rsidR="00295470" w:rsidRPr="003174A9" w:rsidRDefault="00295470" w:rsidP="00BB385C">
            <w:pPr>
              <w:pStyle w:val="CommentText"/>
              <w:rPr>
                <w:rFonts w:ascii="Arial Narrow" w:hAnsi="Arial Narrow"/>
                <w:b/>
                <w:sz w:val="18"/>
                <w:szCs w:val="18"/>
              </w:rPr>
            </w:pPr>
            <w:r w:rsidRPr="003174A9">
              <w:rPr>
                <w:rFonts w:ascii="Arial Narrow" w:hAnsi="Arial Narrow"/>
                <w:b/>
                <w:sz w:val="18"/>
                <w:szCs w:val="18"/>
              </w:rPr>
              <w:t>AND</w:t>
            </w:r>
          </w:p>
        </w:tc>
      </w:tr>
      <w:tr w:rsidR="00295470" w:rsidRPr="0062746A" w14:paraId="24D5C532" w14:textId="77777777" w:rsidTr="00295470">
        <w:tc>
          <w:tcPr>
            <w:tcW w:w="5000" w:type="pct"/>
          </w:tcPr>
          <w:p w14:paraId="22AEBEAD" w14:textId="77777777" w:rsidR="00295470" w:rsidRPr="003174A9" w:rsidRDefault="00295470" w:rsidP="00BB385C">
            <w:pPr>
              <w:pStyle w:val="CommentText"/>
              <w:rPr>
                <w:rFonts w:ascii="Arial Narrow" w:hAnsi="Arial Narrow"/>
                <w:sz w:val="18"/>
                <w:szCs w:val="18"/>
              </w:rPr>
            </w:pPr>
            <w:r w:rsidRPr="003174A9">
              <w:rPr>
                <w:rFonts w:ascii="Arial Narrow" w:hAnsi="Arial Narrow"/>
                <w:b/>
                <w:bCs/>
                <w:sz w:val="18"/>
                <w:szCs w:val="18"/>
              </w:rPr>
              <w:t>Clinical criteria:</w:t>
            </w:r>
          </w:p>
        </w:tc>
      </w:tr>
      <w:tr w:rsidR="00295470" w:rsidRPr="00C337E5" w14:paraId="2D9ED5FF" w14:textId="77777777" w:rsidTr="00295470">
        <w:tc>
          <w:tcPr>
            <w:tcW w:w="5000" w:type="pct"/>
          </w:tcPr>
          <w:p w14:paraId="37FADA8B" w14:textId="77777777" w:rsidR="00295470" w:rsidRPr="003174A9" w:rsidRDefault="00295470" w:rsidP="00BB385C">
            <w:pPr>
              <w:pStyle w:val="CommentText"/>
              <w:rPr>
                <w:rFonts w:ascii="Arial Narrow" w:hAnsi="Arial Narrow"/>
                <w:sz w:val="18"/>
                <w:szCs w:val="18"/>
              </w:rPr>
            </w:pPr>
            <w:r w:rsidRPr="003174A9">
              <w:rPr>
                <w:rFonts w:ascii="Arial Narrow" w:hAnsi="Arial Narrow"/>
                <w:sz w:val="18"/>
                <w:szCs w:val="18"/>
              </w:rPr>
              <w:t>The treatment must provide no more than the balance of doses up to 14 to 16 weeks therapy available under Initial treatment – subcutaneous form; OR</w:t>
            </w:r>
          </w:p>
        </w:tc>
      </w:tr>
      <w:tr w:rsidR="00295470" w:rsidRPr="0062746A" w14:paraId="0F67197D" w14:textId="77777777" w:rsidTr="00295470">
        <w:tc>
          <w:tcPr>
            <w:tcW w:w="5000" w:type="pct"/>
          </w:tcPr>
          <w:p w14:paraId="418466C3" w14:textId="77777777" w:rsidR="00295470" w:rsidRPr="003174A9" w:rsidRDefault="00295470" w:rsidP="00BB385C">
            <w:pPr>
              <w:pStyle w:val="CommentText"/>
              <w:rPr>
                <w:rFonts w:ascii="Arial Narrow" w:hAnsi="Arial Narrow"/>
                <w:b/>
                <w:sz w:val="18"/>
                <w:szCs w:val="18"/>
              </w:rPr>
            </w:pPr>
            <w:r w:rsidRPr="003174A9">
              <w:rPr>
                <w:rFonts w:ascii="Arial Narrow" w:hAnsi="Arial Narrow"/>
                <w:b/>
                <w:sz w:val="18"/>
                <w:szCs w:val="18"/>
              </w:rPr>
              <w:t>Clinical criteria:</w:t>
            </w:r>
          </w:p>
        </w:tc>
      </w:tr>
      <w:tr w:rsidR="00295470" w:rsidRPr="00C337E5" w14:paraId="7E57F5FC" w14:textId="77777777" w:rsidTr="00295470">
        <w:tc>
          <w:tcPr>
            <w:tcW w:w="5000" w:type="pct"/>
          </w:tcPr>
          <w:p w14:paraId="0149914D" w14:textId="77777777" w:rsidR="00295470" w:rsidRPr="003174A9" w:rsidRDefault="00295470" w:rsidP="00BB385C">
            <w:pPr>
              <w:pStyle w:val="CommentText"/>
              <w:rPr>
                <w:rFonts w:ascii="Arial Narrow" w:hAnsi="Arial Narrow"/>
                <w:sz w:val="18"/>
                <w:szCs w:val="18"/>
              </w:rPr>
            </w:pPr>
            <w:r w:rsidRPr="003174A9">
              <w:rPr>
                <w:rFonts w:ascii="Arial Narrow" w:hAnsi="Arial Narrow"/>
                <w:sz w:val="18"/>
                <w:szCs w:val="18"/>
              </w:rPr>
              <w:t>The treatment must provide no more than the balance of up to 24 weeks therapy available under Continuing treatment – subcutaneous form</w:t>
            </w:r>
          </w:p>
        </w:tc>
      </w:tr>
      <w:tr w:rsidR="00295470" w:rsidRPr="0062746A" w14:paraId="721B46DD" w14:textId="77777777" w:rsidTr="00295470">
        <w:tc>
          <w:tcPr>
            <w:tcW w:w="5000" w:type="pct"/>
            <w:vAlign w:val="center"/>
            <w:hideMark/>
          </w:tcPr>
          <w:p w14:paraId="0F84BB8A"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AND</w:t>
            </w:r>
          </w:p>
        </w:tc>
      </w:tr>
      <w:tr w:rsidR="00295470" w:rsidRPr="0062746A" w14:paraId="486C3D92" w14:textId="77777777" w:rsidTr="00295470">
        <w:tc>
          <w:tcPr>
            <w:tcW w:w="5000" w:type="pct"/>
            <w:vAlign w:val="center"/>
            <w:hideMark/>
          </w:tcPr>
          <w:p w14:paraId="1B7A9329"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Population criteria:</w:t>
            </w:r>
          </w:p>
        </w:tc>
      </w:tr>
      <w:tr w:rsidR="00295470" w:rsidRPr="0062746A" w14:paraId="69E28416" w14:textId="77777777" w:rsidTr="00295470">
        <w:tc>
          <w:tcPr>
            <w:tcW w:w="5000" w:type="pct"/>
            <w:vAlign w:val="center"/>
            <w:hideMark/>
          </w:tcPr>
          <w:p w14:paraId="7B82F449" w14:textId="77777777" w:rsidR="00295470" w:rsidRPr="003174A9" w:rsidRDefault="00295470" w:rsidP="00BB385C">
            <w:pPr>
              <w:rPr>
                <w:rFonts w:ascii="Arial Narrow" w:hAnsi="Arial Narrow"/>
                <w:sz w:val="18"/>
                <w:szCs w:val="18"/>
              </w:rPr>
            </w:pPr>
            <w:r w:rsidRPr="003174A9">
              <w:rPr>
                <w:rFonts w:ascii="Arial Narrow" w:hAnsi="Arial Narrow"/>
                <w:sz w:val="18"/>
                <w:szCs w:val="18"/>
              </w:rPr>
              <w:t>Patient must be aged 18 years or older.</w:t>
            </w:r>
          </w:p>
        </w:tc>
      </w:tr>
      <w:tr w:rsidR="00295470" w:rsidRPr="0062746A" w14:paraId="3281F346" w14:textId="77777777" w:rsidTr="00295470">
        <w:tc>
          <w:tcPr>
            <w:tcW w:w="5000" w:type="pct"/>
            <w:tcBorders>
              <w:bottom w:val="single" w:sz="4" w:space="0" w:color="auto"/>
            </w:tcBorders>
            <w:vAlign w:val="center"/>
          </w:tcPr>
          <w:p w14:paraId="31F22BAA" w14:textId="77777777" w:rsidR="00295470" w:rsidRPr="003174A9" w:rsidRDefault="00295470" w:rsidP="00BB385C">
            <w:pPr>
              <w:rPr>
                <w:rFonts w:ascii="Arial Narrow" w:hAnsi="Arial Narrow"/>
                <w:sz w:val="18"/>
                <w:szCs w:val="18"/>
              </w:rPr>
            </w:pPr>
            <w:r w:rsidRPr="003174A9">
              <w:rPr>
                <w:rFonts w:ascii="Arial Narrow" w:hAnsi="Arial Narrow"/>
                <w:b/>
                <w:bCs/>
                <w:sz w:val="18"/>
                <w:szCs w:val="18"/>
              </w:rPr>
              <w:t>Prescribing Instructions:</w:t>
            </w:r>
          </w:p>
        </w:tc>
      </w:tr>
      <w:tr w:rsidR="00295470" w:rsidRPr="0062746A" w14:paraId="4B97B505" w14:textId="77777777" w:rsidTr="00295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Ex>
        <w:tc>
          <w:tcPr>
            <w:tcW w:w="5000" w:type="pct"/>
            <w:tcBorders>
              <w:top w:val="single" w:sz="4" w:space="0" w:color="auto"/>
              <w:left w:val="single" w:sz="4" w:space="0" w:color="auto"/>
              <w:bottom w:val="single" w:sz="4" w:space="0" w:color="auto"/>
              <w:right w:val="single" w:sz="4" w:space="0" w:color="auto"/>
            </w:tcBorders>
            <w:vAlign w:val="center"/>
          </w:tcPr>
          <w:p w14:paraId="3E5E8817" w14:textId="77777777" w:rsidR="00295470" w:rsidRPr="003174A9" w:rsidRDefault="00295470" w:rsidP="00BB385C">
            <w:pPr>
              <w:ind w:hanging="103"/>
              <w:rPr>
                <w:rFonts w:ascii="Arial Narrow" w:hAnsi="Arial Narrow"/>
                <w:b/>
                <w:sz w:val="18"/>
                <w:szCs w:val="18"/>
              </w:rPr>
            </w:pPr>
            <w:r w:rsidRPr="003174A9">
              <w:rPr>
                <w:rFonts w:ascii="Arial Narrow" w:hAnsi="Arial Narrow"/>
                <w:b/>
                <w:bCs/>
                <w:sz w:val="18"/>
                <w:szCs w:val="18"/>
              </w:rPr>
              <w:t>Administrative Advice:</w:t>
            </w:r>
            <w:r w:rsidRPr="003174A9">
              <w:rPr>
                <w:rFonts w:ascii="Arial Narrow" w:hAnsi="Arial Narrow"/>
                <w:sz w:val="18"/>
                <w:szCs w:val="18"/>
              </w:rPr>
              <w:t xml:space="preserve"> No increase in the maximum quantity or number of units may be authorised.</w:t>
            </w:r>
          </w:p>
        </w:tc>
      </w:tr>
      <w:tr w:rsidR="00295470" w:rsidRPr="00F84F11" w14:paraId="566842CE" w14:textId="77777777" w:rsidTr="00295470">
        <w:trPr>
          <w:trHeight w:val="723"/>
        </w:trPr>
        <w:tc>
          <w:tcPr>
            <w:tcW w:w="5000" w:type="pct"/>
            <w:tcBorders>
              <w:top w:val="single" w:sz="4" w:space="0" w:color="auto"/>
            </w:tcBorders>
            <w:vAlign w:val="center"/>
            <w:hideMark/>
          </w:tcPr>
          <w:p w14:paraId="1608526B" w14:textId="77777777" w:rsidR="00295470" w:rsidRPr="003174A9" w:rsidRDefault="00295470" w:rsidP="00BB385C">
            <w:pPr>
              <w:jc w:val="left"/>
              <w:rPr>
                <w:rFonts w:ascii="Arial Narrow" w:hAnsi="Arial Narrow"/>
                <w:b/>
                <w:sz w:val="18"/>
                <w:szCs w:val="18"/>
              </w:rPr>
            </w:pPr>
            <w:r w:rsidRPr="003174A9">
              <w:rPr>
                <w:rFonts w:ascii="Arial Narrow" w:hAnsi="Arial Narrow"/>
                <w:b/>
                <w:sz w:val="18"/>
                <w:szCs w:val="18"/>
              </w:rPr>
              <w:t>Administrative Advice:</w:t>
            </w:r>
          </w:p>
          <w:p w14:paraId="584E7EEE" w14:textId="77777777" w:rsidR="00295470" w:rsidRPr="003174A9" w:rsidRDefault="00295470" w:rsidP="00BB385C">
            <w:pPr>
              <w:jc w:val="left"/>
              <w:rPr>
                <w:rFonts w:ascii="Arial Narrow" w:hAnsi="Arial Narrow"/>
                <w:sz w:val="18"/>
                <w:szCs w:val="18"/>
              </w:rPr>
            </w:pPr>
            <w:r w:rsidRPr="003174A9">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78D7CA93" w14:textId="77777777" w:rsidR="00F122E0" w:rsidRDefault="00F122E0" w:rsidP="00F122E0">
      <w:pPr>
        <w:jc w:val="left"/>
        <w:rPr>
          <w:rFonts w:asciiTheme="minorHAnsi" w:hAnsiTheme="minorHAnsi"/>
          <w:bCs/>
          <w:snapToGrid w:val="0"/>
        </w:rPr>
      </w:pPr>
    </w:p>
    <w:p w14:paraId="09835F45" w14:textId="77777777" w:rsidR="00F122E0" w:rsidRDefault="00F122E0" w:rsidP="00F122E0">
      <w:pPr>
        <w:jc w:val="left"/>
        <w:rPr>
          <w:rFonts w:asciiTheme="minorHAnsi" w:hAnsiTheme="minorHAnsi"/>
          <w:bCs/>
          <w:snapToGrid w:val="0"/>
        </w:rPr>
      </w:pPr>
    </w:p>
    <w:p w14:paraId="0FEA82E8" w14:textId="77777777" w:rsidR="00F122E0" w:rsidRPr="0062746A" w:rsidRDefault="00F122E0" w:rsidP="00F122E0">
      <w:pPr>
        <w:keepNext/>
        <w:keepLines/>
      </w:pPr>
      <w:r w:rsidRPr="0062746A">
        <w:rPr>
          <w:rFonts w:ascii="Arial Narrow" w:hAnsi="Arial Narrow"/>
          <w:b/>
          <w:sz w:val="18"/>
          <w:szCs w:val="18"/>
          <w:lang w:val="en-GB"/>
        </w:rPr>
        <w:lastRenderedPageBreak/>
        <w:t>Moderate to severe ulcerative colitis</w:t>
      </w:r>
    </w:p>
    <w:p w14:paraId="32ACB189" w14:textId="77777777" w:rsidR="00F122E0" w:rsidRPr="008A6B2A" w:rsidRDefault="00F122E0" w:rsidP="00F122E0">
      <w:pPr>
        <w:keepNext/>
        <w:keepLines/>
        <w:rPr>
          <w:rFonts w:ascii="Arial Narrow" w:hAnsi="Arial Narrow"/>
          <w:b/>
          <w:sz w:val="18"/>
          <w:szCs w:val="18"/>
          <w:u w:val="single"/>
        </w:rPr>
      </w:pPr>
      <w:r w:rsidRPr="008A6B2A">
        <w:rPr>
          <w:rFonts w:ascii="Arial Narrow" w:hAnsi="Arial Narrow"/>
          <w:b/>
          <w:sz w:val="18"/>
          <w:szCs w:val="18"/>
          <w:u w:val="single"/>
        </w:rPr>
        <w:t>Initial treatment</w:t>
      </w:r>
      <w:r w:rsidR="002E3A12" w:rsidRPr="008A6B2A">
        <w:rPr>
          <w:rFonts w:ascii="Arial Narrow" w:hAnsi="Arial Narrow"/>
          <w:b/>
          <w:sz w:val="18"/>
          <w:szCs w:val="18"/>
          <w:u w:val="single"/>
        </w:rPr>
        <w:t>, Continuing trea</w:t>
      </w:r>
      <w:r w:rsidRPr="008A6B2A">
        <w:rPr>
          <w:rFonts w:ascii="Arial Narrow" w:hAnsi="Arial Narrow"/>
          <w:b/>
          <w:sz w:val="18"/>
          <w:szCs w:val="18"/>
          <w:u w:val="single"/>
        </w:rPr>
        <w:t>tment and Balance of supply</w:t>
      </w:r>
    </w:p>
    <w:p w14:paraId="2623918A" w14:textId="77777777" w:rsidR="00F122E0" w:rsidRPr="0062746A" w:rsidRDefault="00F122E0" w:rsidP="00F122E0">
      <w:pPr>
        <w:keepNext/>
        <w:keepLines/>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440FB847"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3D931A86" w14:textId="77777777" w:rsidR="00F122E0" w:rsidRDefault="00F122E0" w:rsidP="00BB385C">
            <w:pPr>
              <w:keepNext/>
              <w:keepLines/>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4F6D53C8" w14:textId="77777777" w:rsidR="00F122E0" w:rsidRDefault="00F122E0" w:rsidP="00BB385C">
            <w:pPr>
              <w:keepNext/>
              <w:keepLines/>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3033F5FA"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547034E3"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6FA9C3BA"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5EC6998D"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03FD8E1E" w14:textId="77777777" w:rsidR="00F122E0" w:rsidRDefault="00F122E0" w:rsidP="00BB385C">
            <w:pPr>
              <w:keepNext/>
              <w:keepLines/>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3141CAD9" w14:textId="77777777" w:rsidR="00F122E0" w:rsidRDefault="00F122E0" w:rsidP="00BB385C">
            <w:pPr>
              <w:keepNext/>
              <w:keepLines/>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2DAB873E"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2A1D66A4" w14:textId="77777777" w:rsidR="00F122E0" w:rsidRDefault="00F122E0" w:rsidP="00BB385C">
            <w:pPr>
              <w:keepNext/>
              <w:keepLines/>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44F77C2B"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6563483F" w14:textId="77777777" w:rsidR="00F122E0" w:rsidRDefault="00F122E0" w:rsidP="00BB385C">
            <w:pPr>
              <w:keepNext/>
              <w:keepLines/>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2CD795CB" w14:textId="77777777" w:rsidR="00F122E0" w:rsidRDefault="00F122E0" w:rsidP="00BB385C">
            <w:pPr>
              <w:keepNext/>
              <w:keepLines/>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659A5EB7"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6E3087BE" w14:textId="77777777" w:rsidR="00F122E0" w:rsidRDefault="00F122E0" w:rsidP="00BB385C">
            <w:pPr>
              <w:keepNext/>
              <w:keepLines/>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56D46820" w14:textId="77777777" w:rsidR="00F122E0" w:rsidRDefault="00F122E0" w:rsidP="00BB385C">
            <w:pPr>
              <w:keepNext/>
              <w:keepLines/>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7F6DAE96"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2870136A" w14:textId="77777777" w:rsidR="00F122E0" w:rsidRDefault="00F122E0" w:rsidP="00BB385C">
            <w:pPr>
              <w:keepNext/>
              <w:keepLines/>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6EA5A4B1"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63AC1CAD" w14:textId="77777777" w:rsidR="00F122E0" w:rsidRDefault="00F122E0" w:rsidP="00BB385C">
            <w:pPr>
              <w:keepNext/>
              <w:keepLines/>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CD4F4C9"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70BF97FC" w14:textId="77777777" w:rsidR="00F122E0" w:rsidRDefault="00F122E0" w:rsidP="00BB385C">
            <w:pPr>
              <w:keepNext/>
              <w:keepLines/>
              <w:ind w:left="-108"/>
              <w:jc w:val="center"/>
              <w:rPr>
                <w:rFonts w:ascii="Arial Narrow" w:hAnsi="Arial Narrow"/>
                <w:sz w:val="18"/>
                <w:szCs w:val="18"/>
              </w:rPr>
            </w:pPr>
            <w:r>
              <w:rPr>
                <w:rFonts w:ascii="Arial Narrow" w:hAnsi="Arial Narrow"/>
                <w:sz w:val="18"/>
                <w:szCs w:val="18"/>
              </w:rPr>
              <w:t>2</w:t>
            </w:r>
          </w:p>
        </w:tc>
        <w:tc>
          <w:tcPr>
            <w:tcW w:w="506" w:type="pct"/>
            <w:tcBorders>
              <w:top w:val="single" w:sz="4" w:space="0" w:color="auto"/>
              <w:left w:val="single" w:sz="4" w:space="0" w:color="auto"/>
              <w:bottom w:val="single" w:sz="4" w:space="0" w:color="auto"/>
              <w:right w:val="single" w:sz="4" w:space="0" w:color="auto"/>
            </w:tcBorders>
            <w:hideMark/>
          </w:tcPr>
          <w:p w14:paraId="01369E01" w14:textId="77777777" w:rsidR="00F122E0" w:rsidRDefault="00F122E0" w:rsidP="00BB385C">
            <w:pPr>
              <w:keepNext/>
              <w:keepLines/>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27583ECB" w14:textId="77777777" w:rsidR="00F122E0" w:rsidRDefault="00F122E0" w:rsidP="00BB385C">
            <w:pPr>
              <w:keepNext/>
              <w:keepLines/>
              <w:rPr>
                <w:rFonts w:ascii="Arial Narrow" w:hAnsi="Arial Narrow"/>
                <w:sz w:val="18"/>
                <w:szCs w:val="18"/>
              </w:rPr>
            </w:pPr>
            <w:r>
              <w:rPr>
                <w:rFonts w:ascii="Arial Narrow" w:hAnsi="Arial Narrow"/>
                <w:sz w:val="18"/>
                <w:szCs w:val="18"/>
              </w:rPr>
              <w:t>Celltrion Healthcare Australia Pty Ltd</w:t>
            </w:r>
          </w:p>
        </w:tc>
      </w:tr>
    </w:tbl>
    <w:p w14:paraId="2DCFA8B7" w14:textId="77777777" w:rsidR="00F122E0" w:rsidRDefault="00F122E0" w:rsidP="00F122E0">
      <w:pPr>
        <w:spacing w:after="160" w:line="259" w:lineRule="auto"/>
        <w:jc w:val="left"/>
        <w:rPr>
          <w:rFonts w:ascii="Arial Narrow" w:hAnsi="Arial Narrow"/>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95470" w:rsidRPr="0062746A" w14:paraId="11E0F516" w14:textId="77777777" w:rsidTr="00295470">
        <w:tc>
          <w:tcPr>
            <w:tcW w:w="5000" w:type="pct"/>
          </w:tcPr>
          <w:p w14:paraId="12884C39" w14:textId="77777777" w:rsidR="00295470" w:rsidRPr="0062746A" w:rsidRDefault="00295470" w:rsidP="00BB385C">
            <w:pPr>
              <w:rPr>
                <w:rFonts w:ascii="Arial Narrow" w:hAnsi="Arial Narrow"/>
                <w:sz w:val="18"/>
                <w:szCs w:val="18"/>
              </w:rPr>
            </w:pPr>
            <w:r w:rsidRPr="0062746A">
              <w:rPr>
                <w:rFonts w:ascii="Arial Narrow" w:hAnsi="Arial Narrow"/>
                <w:b/>
                <w:sz w:val="18"/>
                <w:szCs w:val="18"/>
              </w:rPr>
              <w:t>Category / Program</w:t>
            </w:r>
            <w:r w:rsidRPr="0062746A">
              <w:rPr>
                <w:rFonts w:ascii="Arial Narrow" w:hAnsi="Arial Narrow"/>
                <w:sz w:val="18"/>
                <w:szCs w:val="18"/>
              </w:rPr>
              <w:t>: GENERAL – General Schedule (Code GE)</w:t>
            </w:r>
          </w:p>
        </w:tc>
      </w:tr>
      <w:tr w:rsidR="00295470" w:rsidRPr="0062746A" w14:paraId="39440D86" w14:textId="77777777" w:rsidTr="00295470">
        <w:tc>
          <w:tcPr>
            <w:tcW w:w="5000" w:type="pct"/>
          </w:tcPr>
          <w:p w14:paraId="7E270051" w14:textId="77777777" w:rsidR="00295470" w:rsidRPr="0062746A" w:rsidRDefault="00295470" w:rsidP="00BB385C">
            <w:pPr>
              <w:rPr>
                <w:rFonts w:ascii="Arial Narrow" w:hAnsi="Arial Narrow"/>
                <w:sz w:val="18"/>
                <w:szCs w:val="18"/>
              </w:rPr>
            </w:pPr>
            <w:r w:rsidRPr="0062746A">
              <w:rPr>
                <w:rFonts w:ascii="Arial Narrow" w:hAnsi="Arial Narrow"/>
                <w:b/>
                <w:sz w:val="18"/>
                <w:szCs w:val="18"/>
              </w:rPr>
              <w:t>Prescriber Type(s)</w:t>
            </w:r>
            <w:r w:rsidRPr="0062746A">
              <w:rPr>
                <w:rFonts w:ascii="Arial Narrow" w:hAnsi="Arial Narrow"/>
                <w:sz w:val="18"/>
                <w:szCs w:val="18"/>
              </w:rPr>
              <w:t>: Medical Practitioners</w:t>
            </w:r>
          </w:p>
        </w:tc>
      </w:tr>
      <w:tr w:rsidR="00295470" w:rsidRPr="0062746A" w14:paraId="419D5D8A" w14:textId="77777777" w:rsidTr="00295470">
        <w:tc>
          <w:tcPr>
            <w:tcW w:w="5000" w:type="pct"/>
          </w:tcPr>
          <w:p w14:paraId="02C7AF51" w14:textId="77777777" w:rsidR="00295470" w:rsidRPr="0062746A" w:rsidRDefault="00295470" w:rsidP="00BB385C">
            <w:pPr>
              <w:rPr>
                <w:rFonts w:ascii="Arial Narrow" w:hAnsi="Arial Narrow"/>
                <w:sz w:val="18"/>
                <w:szCs w:val="18"/>
              </w:rPr>
            </w:pPr>
            <w:r w:rsidRPr="0062746A">
              <w:rPr>
                <w:rFonts w:ascii="Arial Narrow" w:hAnsi="Arial Narrow"/>
                <w:b/>
                <w:sz w:val="18"/>
                <w:szCs w:val="18"/>
              </w:rPr>
              <w:t>PBS Indication</w:t>
            </w:r>
            <w:r w:rsidRPr="0062746A">
              <w:rPr>
                <w:rFonts w:ascii="Arial Narrow" w:hAnsi="Arial Narrow"/>
                <w:sz w:val="18"/>
                <w:szCs w:val="18"/>
              </w:rPr>
              <w:t>: Moderate to severe ulcerative colitis</w:t>
            </w:r>
          </w:p>
        </w:tc>
      </w:tr>
      <w:tr w:rsidR="00295470" w:rsidRPr="0062746A" w14:paraId="0493154B" w14:textId="77777777" w:rsidTr="00295470">
        <w:tc>
          <w:tcPr>
            <w:tcW w:w="5000" w:type="pct"/>
          </w:tcPr>
          <w:p w14:paraId="4D1A49EE" w14:textId="77777777" w:rsidR="00295470" w:rsidRPr="0062746A" w:rsidRDefault="00295470" w:rsidP="00BB385C">
            <w:pPr>
              <w:rPr>
                <w:rFonts w:ascii="Arial Narrow" w:hAnsi="Arial Narrow"/>
                <w:sz w:val="18"/>
                <w:szCs w:val="18"/>
              </w:rPr>
            </w:pPr>
            <w:r w:rsidRPr="0062746A">
              <w:rPr>
                <w:rFonts w:ascii="Arial Narrow" w:hAnsi="Arial Narrow"/>
                <w:b/>
                <w:sz w:val="18"/>
                <w:szCs w:val="18"/>
              </w:rPr>
              <w:t>Treatment phase</w:t>
            </w:r>
            <w:r w:rsidRPr="0062746A">
              <w:rPr>
                <w:rFonts w:ascii="Arial Narrow" w:hAnsi="Arial Narrow"/>
                <w:sz w:val="18"/>
                <w:szCs w:val="18"/>
              </w:rPr>
              <w:t xml:space="preserve"> : </w:t>
            </w:r>
            <w:r w:rsidRPr="002E3A12">
              <w:rPr>
                <w:rFonts w:ascii="Arial Narrow" w:hAnsi="Arial Narrow"/>
                <w:b/>
                <w:sz w:val="18"/>
                <w:szCs w:val="18"/>
              </w:rPr>
              <w:t>Initial treatment with subcutaneous form at weeks 6, 8, 10, 12, 14 and 16</w:t>
            </w:r>
          </w:p>
        </w:tc>
      </w:tr>
      <w:tr w:rsidR="00295470" w:rsidRPr="0062746A" w14:paraId="5899E1D6" w14:textId="77777777" w:rsidTr="00295470">
        <w:tc>
          <w:tcPr>
            <w:tcW w:w="5000" w:type="pct"/>
          </w:tcPr>
          <w:p w14:paraId="19A48BF4" w14:textId="77777777" w:rsidR="00295470" w:rsidRPr="00302C97" w:rsidRDefault="00295470" w:rsidP="00BB385C">
            <w:pPr>
              <w:rPr>
                <w:rFonts w:ascii="Arial Narrow" w:eastAsia="Calibri" w:hAnsi="Arial Narrow"/>
                <w:sz w:val="18"/>
                <w:szCs w:val="18"/>
              </w:rPr>
            </w:pPr>
            <w:r w:rsidRPr="00302C97">
              <w:rPr>
                <w:rFonts w:ascii="Arial Narrow" w:hAnsi="Arial Narrow"/>
                <w:b/>
                <w:sz w:val="18"/>
                <w:szCs w:val="18"/>
              </w:rPr>
              <w:t>Restriction Type</w:t>
            </w:r>
            <w:r w:rsidRPr="00302C97">
              <w:rPr>
                <w:rFonts w:ascii="Arial Narrow" w:hAnsi="Arial Narrow"/>
                <w:sz w:val="18"/>
                <w:szCs w:val="18"/>
              </w:rPr>
              <w:t xml:space="preserve">: Authority required - </w:t>
            </w:r>
            <w:r w:rsidRPr="00302C97">
              <w:rPr>
                <w:rFonts w:ascii="Arial Narrow" w:hAnsi="Arial Narrow"/>
                <w:bCs/>
                <w:sz w:val="18"/>
                <w:szCs w:val="18"/>
              </w:rPr>
              <w:t>non-immediate/delayed assessment by Services Australia (in-writing only via mail/postal service or electronic upload to Hobart)</w:t>
            </w:r>
          </w:p>
        </w:tc>
      </w:tr>
      <w:tr w:rsidR="00295470" w:rsidRPr="0062746A" w14:paraId="27313581" w14:textId="77777777" w:rsidTr="00295470">
        <w:tc>
          <w:tcPr>
            <w:tcW w:w="5000" w:type="pct"/>
          </w:tcPr>
          <w:p w14:paraId="2279B28C" w14:textId="77777777" w:rsidR="00295470" w:rsidRPr="0062746A" w:rsidRDefault="00295470" w:rsidP="00BB385C">
            <w:pPr>
              <w:rPr>
                <w:rFonts w:ascii="Arial Narrow" w:hAnsi="Arial Narrow"/>
                <w:sz w:val="18"/>
                <w:szCs w:val="18"/>
              </w:rPr>
            </w:pPr>
            <w:r w:rsidRPr="0062746A">
              <w:rPr>
                <w:rFonts w:ascii="Arial Narrow" w:hAnsi="Arial Narrow"/>
                <w:b/>
                <w:sz w:val="18"/>
                <w:szCs w:val="18"/>
              </w:rPr>
              <w:t>Treatment criteria:</w:t>
            </w:r>
          </w:p>
          <w:p w14:paraId="31C37C9A" w14:textId="77777777" w:rsidR="00295470" w:rsidRPr="0062746A" w:rsidRDefault="00295470" w:rsidP="00BB385C">
            <w:pPr>
              <w:rPr>
                <w:rFonts w:ascii="Arial Narrow" w:hAnsi="Arial Narrow"/>
                <w:sz w:val="18"/>
                <w:szCs w:val="18"/>
              </w:rPr>
            </w:pPr>
            <w:r w:rsidRPr="0062746A">
              <w:rPr>
                <w:rFonts w:ascii="Arial Narrow" w:hAnsi="Arial Narrow"/>
                <w:sz w:val="18"/>
                <w:szCs w:val="18"/>
              </w:rPr>
              <w:t>Must be treated by a gastroenterologist (code 87); or</w:t>
            </w:r>
          </w:p>
          <w:p w14:paraId="338FEE52" w14:textId="77777777" w:rsidR="00295470" w:rsidRPr="0062746A" w:rsidRDefault="00295470" w:rsidP="00BB385C">
            <w:pPr>
              <w:rPr>
                <w:rFonts w:ascii="Arial Narrow" w:hAnsi="Arial Narrow"/>
                <w:sz w:val="18"/>
                <w:szCs w:val="18"/>
              </w:rPr>
            </w:pPr>
            <w:r w:rsidRPr="0062746A">
              <w:rPr>
                <w:rFonts w:ascii="Arial Narrow" w:hAnsi="Arial Narrow"/>
                <w:sz w:val="18"/>
                <w:szCs w:val="18"/>
              </w:rPr>
              <w:t>Must be treated by a consultant physician [internal medicine specialising in gastroenterology (code 81)]; or</w:t>
            </w:r>
          </w:p>
          <w:p w14:paraId="33B6997B" w14:textId="77777777" w:rsidR="00295470" w:rsidRPr="0062746A" w:rsidRDefault="00295470" w:rsidP="00BB385C">
            <w:pPr>
              <w:rPr>
                <w:rFonts w:ascii="Arial Narrow" w:hAnsi="Arial Narrow"/>
                <w:sz w:val="18"/>
                <w:szCs w:val="18"/>
              </w:rPr>
            </w:pPr>
            <w:r w:rsidRPr="0062746A">
              <w:rPr>
                <w:rFonts w:ascii="Arial Narrow" w:hAnsi="Arial Narrow"/>
                <w:sz w:val="18"/>
                <w:szCs w:val="18"/>
              </w:rPr>
              <w:t>Must be treated by a consultant physician [general medicine specialising in gastroenterology (code 82)]</w:t>
            </w:r>
          </w:p>
          <w:p w14:paraId="7F2AC76A" w14:textId="77777777" w:rsidR="00295470" w:rsidRPr="0062746A" w:rsidRDefault="00295470" w:rsidP="00BB385C">
            <w:pPr>
              <w:rPr>
                <w:rFonts w:ascii="Arial Narrow" w:hAnsi="Arial Narrow"/>
                <w:sz w:val="18"/>
                <w:szCs w:val="18"/>
              </w:rPr>
            </w:pPr>
          </w:p>
        </w:tc>
      </w:tr>
      <w:tr w:rsidR="00295470" w:rsidRPr="0062746A" w14:paraId="5F98B345" w14:textId="77777777" w:rsidTr="00295470">
        <w:tc>
          <w:tcPr>
            <w:tcW w:w="5000" w:type="pct"/>
          </w:tcPr>
          <w:p w14:paraId="25DE636A" w14:textId="77777777" w:rsidR="00295470" w:rsidRPr="003614B7" w:rsidRDefault="00295470" w:rsidP="00BB385C">
            <w:pPr>
              <w:rPr>
                <w:rFonts w:ascii="Arial Narrow" w:hAnsi="Arial Narrow"/>
                <w:sz w:val="18"/>
                <w:szCs w:val="18"/>
              </w:rPr>
            </w:pPr>
            <w:r w:rsidRPr="0062746A">
              <w:rPr>
                <w:rFonts w:ascii="Arial Narrow" w:hAnsi="Arial Narrow"/>
                <w:b/>
                <w:sz w:val="18"/>
                <w:szCs w:val="18"/>
              </w:rPr>
              <w:t>Clinical criteria</w:t>
            </w:r>
            <w:r>
              <w:rPr>
                <w:rFonts w:ascii="Arial Narrow" w:hAnsi="Arial Narrow"/>
                <w:b/>
                <w:sz w:val="18"/>
                <w:szCs w:val="18"/>
              </w:rPr>
              <w:t>:</w:t>
            </w:r>
          </w:p>
        </w:tc>
      </w:tr>
      <w:tr w:rsidR="00295470" w:rsidRPr="000E445F" w14:paraId="3F42A8DD" w14:textId="77777777" w:rsidTr="00295470">
        <w:trPr>
          <w:trHeight w:val="284"/>
        </w:trPr>
        <w:tc>
          <w:tcPr>
            <w:tcW w:w="5000" w:type="pct"/>
          </w:tcPr>
          <w:p w14:paraId="00224F23" w14:textId="77777777" w:rsidR="00295470" w:rsidRPr="00302C97" w:rsidRDefault="00295470" w:rsidP="00BB385C">
            <w:pPr>
              <w:pStyle w:val="KMC16-Tablecontent"/>
              <w:spacing w:after="0"/>
              <w:rPr>
                <w:sz w:val="18"/>
                <w:szCs w:val="18"/>
              </w:rPr>
            </w:pPr>
            <w:r w:rsidRPr="00302C97">
              <w:rPr>
                <w:sz w:val="18"/>
                <w:szCs w:val="18"/>
              </w:rPr>
              <w:t>Patient must have received 2 intravenous infusions with this drug for this condition at weeks 0 and 2 under Initial 1 (new patient); OR</w:t>
            </w:r>
          </w:p>
        </w:tc>
      </w:tr>
      <w:tr w:rsidR="00295470" w:rsidRPr="0062746A" w14:paraId="0526C061" w14:textId="77777777" w:rsidTr="00295470">
        <w:tc>
          <w:tcPr>
            <w:tcW w:w="5000" w:type="pct"/>
          </w:tcPr>
          <w:p w14:paraId="7B54F422" w14:textId="77777777" w:rsidR="00295470" w:rsidRPr="00302C97" w:rsidRDefault="00295470" w:rsidP="00BB385C">
            <w:pPr>
              <w:rPr>
                <w:rFonts w:ascii="Arial Narrow" w:hAnsi="Arial Narrow"/>
                <w:sz w:val="18"/>
                <w:szCs w:val="18"/>
              </w:rPr>
            </w:pPr>
            <w:r w:rsidRPr="00302C97">
              <w:rPr>
                <w:rFonts w:ascii="Arial Narrow" w:hAnsi="Arial Narrow"/>
                <w:b/>
                <w:sz w:val="18"/>
                <w:szCs w:val="18"/>
              </w:rPr>
              <w:t>Clinical criteria:</w:t>
            </w:r>
          </w:p>
        </w:tc>
      </w:tr>
      <w:tr w:rsidR="00295470" w:rsidRPr="000E445F" w14:paraId="66724687" w14:textId="77777777" w:rsidTr="00295470">
        <w:trPr>
          <w:trHeight w:val="284"/>
        </w:trPr>
        <w:tc>
          <w:tcPr>
            <w:tcW w:w="5000" w:type="pct"/>
          </w:tcPr>
          <w:p w14:paraId="3AAEFED0" w14:textId="77777777" w:rsidR="00295470" w:rsidRPr="00302C97" w:rsidRDefault="00295470" w:rsidP="00BB385C">
            <w:pPr>
              <w:pStyle w:val="KMC16-Tablecontent"/>
              <w:spacing w:after="0"/>
              <w:rPr>
                <w:sz w:val="18"/>
                <w:szCs w:val="18"/>
              </w:rPr>
            </w:pPr>
            <w:r w:rsidRPr="00302C97">
              <w:rPr>
                <w:sz w:val="18"/>
                <w:szCs w:val="18"/>
              </w:rPr>
              <w:t>Patient must have received 2 intravenous infusions with this drug for this condition at weeks 0 and 2 under Initial 2 (</w:t>
            </w:r>
            <w:r w:rsidRPr="00302C97">
              <w:rPr>
                <w:sz w:val="18"/>
                <w:szCs w:val="18"/>
                <w:lang w:val="en-AU"/>
              </w:rPr>
              <w:t>change or re-commencement of treatment after a break in biological medicine of less than 24 months); OR</w:t>
            </w:r>
          </w:p>
        </w:tc>
      </w:tr>
      <w:tr w:rsidR="00295470" w:rsidRPr="0062746A" w14:paraId="6C34E8D9" w14:textId="77777777" w:rsidTr="00295470">
        <w:tc>
          <w:tcPr>
            <w:tcW w:w="5000" w:type="pct"/>
          </w:tcPr>
          <w:p w14:paraId="4908A87F" w14:textId="77777777" w:rsidR="00295470" w:rsidRPr="003614B7" w:rsidRDefault="00295470" w:rsidP="00BB385C">
            <w:pPr>
              <w:rPr>
                <w:rFonts w:ascii="Arial Narrow" w:hAnsi="Arial Narrow"/>
                <w:sz w:val="18"/>
                <w:szCs w:val="18"/>
              </w:rPr>
            </w:pPr>
            <w:r w:rsidRPr="0062746A">
              <w:rPr>
                <w:rFonts w:ascii="Arial Narrow" w:hAnsi="Arial Narrow"/>
                <w:b/>
                <w:sz w:val="18"/>
                <w:szCs w:val="18"/>
              </w:rPr>
              <w:t>Clinical criteria</w:t>
            </w:r>
            <w:r>
              <w:rPr>
                <w:rFonts w:ascii="Arial Narrow" w:hAnsi="Arial Narrow"/>
                <w:b/>
                <w:sz w:val="18"/>
                <w:szCs w:val="18"/>
              </w:rPr>
              <w:t>:</w:t>
            </w:r>
          </w:p>
        </w:tc>
      </w:tr>
      <w:tr w:rsidR="00295470" w:rsidRPr="000E445F" w14:paraId="59839FE0" w14:textId="77777777" w:rsidTr="00295470">
        <w:trPr>
          <w:trHeight w:val="284"/>
        </w:trPr>
        <w:tc>
          <w:tcPr>
            <w:tcW w:w="5000" w:type="pct"/>
          </w:tcPr>
          <w:p w14:paraId="44D5CF6F" w14:textId="77777777" w:rsidR="00295470" w:rsidRPr="00302C97" w:rsidRDefault="00295470" w:rsidP="00BB385C">
            <w:pPr>
              <w:pStyle w:val="KMC16-Tablecontent"/>
              <w:spacing w:after="0"/>
              <w:rPr>
                <w:sz w:val="18"/>
                <w:szCs w:val="18"/>
              </w:rPr>
            </w:pPr>
            <w:r w:rsidRPr="00302C97">
              <w:rPr>
                <w:sz w:val="18"/>
                <w:szCs w:val="18"/>
              </w:rPr>
              <w:t>Patient must have received 2 intravenous infusions with this drug for this condition at weeks 0 and 2 under Initial 3 (recommencement of treatment after a break in biological medicine of more than 5 years)</w:t>
            </w:r>
          </w:p>
        </w:tc>
      </w:tr>
      <w:tr w:rsidR="00295470" w:rsidRPr="000E445F" w14:paraId="78C4B527" w14:textId="77777777" w:rsidTr="00295470">
        <w:trPr>
          <w:trHeight w:val="284"/>
        </w:trPr>
        <w:tc>
          <w:tcPr>
            <w:tcW w:w="5000" w:type="pct"/>
          </w:tcPr>
          <w:p w14:paraId="29994A50" w14:textId="77777777" w:rsidR="00295470" w:rsidRPr="00302C97" w:rsidRDefault="00295470" w:rsidP="00BB385C">
            <w:pPr>
              <w:pStyle w:val="KMC16-Tablecontent"/>
              <w:spacing w:after="0"/>
              <w:rPr>
                <w:b/>
                <w:sz w:val="18"/>
                <w:szCs w:val="18"/>
              </w:rPr>
            </w:pPr>
            <w:r w:rsidRPr="00302C97">
              <w:rPr>
                <w:b/>
                <w:sz w:val="18"/>
                <w:szCs w:val="18"/>
              </w:rPr>
              <w:t>AND</w:t>
            </w:r>
          </w:p>
        </w:tc>
      </w:tr>
      <w:tr w:rsidR="00295470" w:rsidRPr="00D551A5" w14:paraId="77F6A5F8" w14:textId="77777777" w:rsidTr="00295470">
        <w:trPr>
          <w:trHeight w:val="284"/>
        </w:trPr>
        <w:tc>
          <w:tcPr>
            <w:tcW w:w="5000" w:type="pct"/>
            <w:shd w:val="clear" w:color="auto" w:fill="auto"/>
          </w:tcPr>
          <w:p w14:paraId="2D668E0F" w14:textId="77777777" w:rsidR="00295470" w:rsidRPr="00302C97" w:rsidRDefault="00295470" w:rsidP="00BB385C">
            <w:pPr>
              <w:pStyle w:val="KMC16-Tablecontent"/>
              <w:spacing w:after="0"/>
              <w:rPr>
                <w:b/>
                <w:sz w:val="18"/>
                <w:szCs w:val="18"/>
              </w:rPr>
            </w:pPr>
            <w:r w:rsidRPr="00302C97">
              <w:rPr>
                <w:b/>
                <w:sz w:val="18"/>
                <w:szCs w:val="18"/>
              </w:rPr>
              <w:t>Population criteria:</w:t>
            </w:r>
          </w:p>
          <w:p w14:paraId="526496B6" w14:textId="77777777" w:rsidR="00295470" w:rsidRPr="00302C97" w:rsidRDefault="00295470" w:rsidP="00BB385C">
            <w:pPr>
              <w:pStyle w:val="KMC16-Tablecontent"/>
              <w:rPr>
                <w:sz w:val="18"/>
                <w:szCs w:val="18"/>
              </w:rPr>
            </w:pPr>
            <w:r w:rsidRPr="00302C97">
              <w:rPr>
                <w:sz w:val="18"/>
                <w:szCs w:val="18"/>
              </w:rPr>
              <w:t>Patient must be aged 18 years or older</w:t>
            </w:r>
          </w:p>
        </w:tc>
      </w:tr>
      <w:tr w:rsidR="00295470" w:rsidRPr="00D551A5" w14:paraId="534DB59D" w14:textId="77777777" w:rsidTr="00295470">
        <w:trPr>
          <w:trHeight w:val="284"/>
        </w:trPr>
        <w:tc>
          <w:tcPr>
            <w:tcW w:w="5000" w:type="pct"/>
            <w:shd w:val="clear" w:color="auto" w:fill="auto"/>
          </w:tcPr>
          <w:p w14:paraId="4C4A23D6" w14:textId="77777777" w:rsidR="00295470" w:rsidRPr="00302C97" w:rsidRDefault="00295470" w:rsidP="00BB385C">
            <w:pPr>
              <w:pStyle w:val="KMC16-Tablecontent"/>
              <w:rPr>
                <w:b/>
                <w:sz w:val="18"/>
                <w:szCs w:val="18"/>
              </w:rPr>
            </w:pPr>
            <w:r w:rsidRPr="00302C97">
              <w:rPr>
                <w:b/>
                <w:sz w:val="18"/>
                <w:szCs w:val="18"/>
              </w:rPr>
              <w:t>Prescribing Instructions:</w:t>
            </w:r>
          </w:p>
        </w:tc>
      </w:tr>
      <w:tr w:rsidR="00295470" w:rsidRPr="000E445F" w14:paraId="07D5AD12" w14:textId="77777777" w:rsidTr="00295470">
        <w:trPr>
          <w:trHeight w:val="284"/>
        </w:trPr>
        <w:tc>
          <w:tcPr>
            <w:tcW w:w="5000" w:type="pct"/>
          </w:tcPr>
          <w:p w14:paraId="673D1EF3" w14:textId="77777777" w:rsidR="00295470" w:rsidRPr="00302C97"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302C97">
              <w:rPr>
                <w:rFonts w:ascii="Arial Narrow" w:eastAsiaTheme="minorHAnsi" w:hAnsi="Arial Narrow" w:cs="Arial"/>
                <w:color w:val="000000"/>
                <w:sz w:val="18"/>
                <w:szCs w:val="18"/>
                <w:lang w:eastAsia="en-US"/>
              </w:rPr>
              <w:t>The authority application must be made in writing and must include:</w:t>
            </w:r>
          </w:p>
          <w:p w14:paraId="2ED94518" w14:textId="77777777" w:rsidR="00295470" w:rsidRPr="00302C97"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302C97">
              <w:rPr>
                <w:rFonts w:ascii="Arial Narrow" w:eastAsiaTheme="minorHAnsi" w:hAnsi="Arial Narrow" w:cs="Arial"/>
                <w:color w:val="000000"/>
                <w:sz w:val="18"/>
                <w:szCs w:val="18"/>
                <w:lang w:eastAsia="en-US"/>
              </w:rPr>
              <w:t>(1) a completed authority prescription form(s); and</w:t>
            </w:r>
          </w:p>
          <w:p w14:paraId="603C6403" w14:textId="77777777" w:rsidR="00295470" w:rsidRPr="00302C97" w:rsidRDefault="00295470" w:rsidP="00BB385C">
            <w:pPr>
              <w:pStyle w:val="NormalWeb"/>
              <w:shd w:val="clear" w:color="auto" w:fill="FFFFFF"/>
              <w:spacing w:before="0" w:after="40"/>
              <w:textAlignment w:val="baseline"/>
              <w:rPr>
                <w:rFonts w:ascii="Arial Narrow" w:eastAsiaTheme="minorHAnsi" w:hAnsi="Arial Narrow" w:cs="Arial"/>
                <w:color w:val="000000"/>
                <w:sz w:val="18"/>
                <w:szCs w:val="18"/>
                <w:lang w:eastAsia="en-US"/>
              </w:rPr>
            </w:pPr>
            <w:r w:rsidRPr="00302C97">
              <w:rPr>
                <w:rFonts w:ascii="Arial Narrow" w:eastAsiaTheme="minorHAnsi" w:hAnsi="Arial Narrow" w:cs="Arial"/>
                <w:color w:val="000000"/>
                <w:sz w:val="18"/>
                <w:szCs w:val="18"/>
                <w:lang w:eastAsia="en-US"/>
              </w:rPr>
              <w:t>(2) a completed Ulcerative Colitis PBS Authority Application Form.</w:t>
            </w:r>
          </w:p>
        </w:tc>
      </w:tr>
      <w:tr w:rsidR="00295470" w:rsidRPr="0062746A" w14:paraId="3480A008" w14:textId="77777777" w:rsidTr="00295470">
        <w:tc>
          <w:tcPr>
            <w:tcW w:w="5000" w:type="pct"/>
          </w:tcPr>
          <w:p w14:paraId="2B5D472F" w14:textId="77777777" w:rsidR="00295470" w:rsidRDefault="00295470" w:rsidP="00BB385C">
            <w:pPr>
              <w:rPr>
                <w:rFonts w:ascii="Arial Narrow" w:hAnsi="Arial Narrow"/>
                <w:i/>
                <w:sz w:val="18"/>
                <w:szCs w:val="18"/>
              </w:rPr>
            </w:pPr>
            <w:r>
              <w:rPr>
                <w:rFonts w:ascii="Arial Narrow" w:hAnsi="Arial Narrow"/>
                <w:b/>
                <w:sz w:val="18"/>
                <w:szCs w:val="18"/>
              </w:rPr>
              <w:t>Prescribing Instructions:</w:t>
            </w:r>
          </w:p>
        </w:tc>
      </w:tr>
      <w:tr w:rsidR="00295470" w:rsidRPr="0062746A" w14:paraId="1004BCC8" w14:textId="77777777" w:rsidTr="00295470">
        <w:tc>
          <w:tcPr>
            <w:tcW w:w="5000" w:type="pct"/>
          </w:tcPr>
          <w:p w14:paraId="45881119" w14:textId="77777777" w:rsidR="00295470" w:rsidRPr="004B6674" w:rsidRDefault="00295470" w:rsidP="00BB385C">
            <w:pPr>
              <w:rPr>
                <w:rFonts w:ascii="Arial Narrow" w:hAnsi="Arial Narrow"/>
                <w:sz w:val="18"/>
                <w:szCs w:val="18"/>
              </w:rPr>
            </w:pPr>
            <w:r w:rsidRPr="004B6674">
              <w:rPr>
                <w:rFonts w:ascii="Arial Narrow" w:hAnsi="Arial Narrow"/>
                <w:bCs/>
                <w:sz w:val="18"/>
                <w:szCs w:val="18"/>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295470" w:rsidRPr="0062746A" w14:paraId="2938B883" w14:textId="77777777" w:rsidTr="00295470">
        <w:tc>
          <w:tcPr>
            <w:tcW w:w="5000" w:type="pct"/>
          </w:tcPr>
          <w:p w14:paraId="20CB1030" w14:textId="77777777" w:rsidR="00295470" w:rsidRPr="004B6674" w:rsidRDefault="00295470" w:rsidP="00BB385C">
            <w:pPr>
              <w:rPr>
                <w:rFonts w:ascii="Arial Narrow" w:hAnsi="Arial Narrow"/>
                <w:bCs/>
                <w:sz w:val="18"/>
                <w:szCs w:val="18"/>
              </w:rPr>
            </w:pPr>
            <w:r>
              <w:rPr>
                <w:rFonts w:ascii="Arial Narrow" w:hAnsi="Arial Narrow"/>
                <w:b/>
                <w:sz w:val="18"/>
                <w:szCs w:val="18"/>
              </w:rPr>
              <w:t>Prescribing Instructions:</w:t>
            </w:r>
          </w:p>
        </w:tc>
      </w:tr>
      <w:tr w:rsidR="00295470" w:rsidRPr="0062746A" w14:paraId="4AB5355A" w14:textId="77777777" w:rsidTr="00295470">
        <w:tc>
          <w:tcPr>
            <w:tcW w:w="5000" w:type="pct"/>
          </w:tcPr>
          <w:p w14:paraId="000B407A" w14:textId="77777777" w:rsidR="00295470" w:rsidRPr="00876640" w:rsidRDefault="00295470" w:rsidP="00BB385C">
            <w:pPr>
              <w:rPr>
                <w:rFonts w:ascii="Arial Narrow" w:hAnsi="Arial Narrow"/>
                <w:bCs/>
                <w:sz w:val="18"/>
                <w:szCs w:val="18"/>
              </w:rPr>
            </w:pPr>
            <w:r w:rsidRPr="0062746A">
              <w:rPr>
                <w:rFonts w:ascii="Arial Narrow" w:hAnsi="Arial Narrow" w:cs="Arial Narrow"/>
                <w:iCs/>
                <w:sz w:val="18"/>
                <w:szCs w:val="18"/>
              </w:rPr>
              <w:t xml:space="preserve">Where a response assessment is not conducted </w:t>
            </w:r>
            <w:r w:rsidRPr="00302C97">
              <w:rPr>
                <w:rFonts w:ascii="Arial Narrow" w:hAnsi="Arial Narrow" w:cs="Arial Narrow"/>
                <w:iCs/>
                <w:sz w:val="18"/>
                <w:szCs w:val="18"/>
              </w:rPr>
              <w:t>within the required timeframe</w:t>
            </w:r>
            <w:r w:rsidRPr="0062746A">
              <w:rPr>
                <w:rFonts w:ascii="Arial Narrow" w:hAnsi="Arial Narrow" w:cs="Arial Narrow"/>
                <w:iCs/>
                <w:sz w:val="18"/>
                <w:szCs w:val="18"/>
              </w:rPr>
              <w:t>, the patient will be deemed to have failed to respond to treatment with this drug, unless the patient has experienced a serious adverse reaction of a severity resulting in the necessity for per</w:t>
            </w:r>
            <w:r>
              <w:rPr>
                <w:rFonts w:ascii="Arial Narrow" w:hAnsi="Arial Narrow" w:cs="Arial Narrow"/>
                <w:iCs/>
                <w:sz w:val="18"/>
                <w:szCs w:val="18"/>
              </w:rPr>
              <w:t>manent withdrawal of treatment.</w:t>
            </w:r>
          </w:p>
        </w:tc>
      </w:tr>
      <w:tr w:rsidR="00295470" w:rsidRPr="00B3476B" w14:paraId="58D29716" w14:textId="77777777" w:rsidTr="00295470">
        <w:tblPrEx>
          <w:tblCellMar>
            <w:top w:w="15" w:type="dxa"/>
            <w:left w:w="15" w:type="dxa"/>
            <w:bottom w:w="15" w:type="dxa"/>
            <w:right w:w="15" w:type="dxa"/>
          </w:tblCellMar>
        </w:tblPrEx>
        <w:tc>
          <w:tcPr>
            <w:tcW w:w="5000" w:type="pct"/>
            <w:vAlign w:val="center"/>
          </w:tcPr>
          <w:p w14:paraId="24CC9DE8" w14:textId="77777777" w:rsidR="00295470" w:rsidRPr="00FC68D8" w:rsidRDefault="00295470" w:rsidP="00BB385C">
            <w:pPr>
              <w:jc w:val="left"/>
              <w:rPr>
                <w:rFonts w:ascii="Arial Narrow" w:hAnsi="Arial Narrow"/>
                <w:b/>
                <w:color w:val="333333"/>
                <w:sz w:val="18"/>
                <w:szCs w:val="18"/>
              </w:rPr>
            </w:pPr>
            <w:r>
              <w:rPr>
                <w:rFonts w:ascii="Arial Narrow" w:hAnsi="Arial Narrow"/>
                <w:b/>
                <w:color w:val="333333"/>
                <w:sz w:val="18"/>
                <w:szCs w:val="18"/>
              </w:rPr>
              <w:t xml:space="preserve">  </w:t>
            </w:r>
            <w:r w:rsidRPr="00FC68D8">
              <w:rPr>
                <w:rFonts w:ascii="Arial Narrow" w:hAnsi="Arial Narrow"/>
                <w:b/>
                <w:color w:val="333333"/>
                <w:sz w:val="18"/>
                <w:szCs w:val="18"/>
              </w:rPr>
              <w:t>Prescribing Instructions:</w:t>
            </w:r>
          </w:p>
        </w:tc>
      </w:tr>
      <w:tr w:rsidR="00295470" w:rsidRPr="00B3476B" w14:paraId="34E0229D" w14:textId="77777777" w:rsidTr="00295470">
        <w:tblPrEx>
          <w:tblCellMar>
            <w:top w:w="15" w:type="dxa"/>
            <w:left w:w="15" w:type="dxa"/>
            <w:bottom w:w="15" w:type="dxa"/>
            <w:right w:w="15" w:type="dxa"/>
          </w:tblCellMar>
        </w:tblPrEx>
        <w:tc>
          <w:tcPr>
            <w:tcW w:w="5000" w:type="pct"/>
            <w:vAlign w:val="center"/>
          </w:tcPr>
          <w:p w14:paraId="21FAFD9D" w14:textId="77777777" w:rsidR="00295470" w:rsidRPr="0062746A" w:rsidRDefault="00295470" w:rsidP="00BB385C">
            <w:pPr>
              <w:spacing w:after="150"/>
              <w:ind w:left="110"/>
              <w:rPr>
                <w:rFonts w:ascii="Arial Narrow" w:hAnsi="Arial Narrow" w:cs="Arial Narrow"/>
                <w:iCs/>
                <w:sz w:val="18"/>
                <w:szCs w:val="18"/>
              </w:rPr>
            </w:pPr>
            <w:r w:rsidRPr="0062746A">
              <w:rPr>
                <w:rFonts w:ascii="Arial Narrow" w:hAnsi="Arial Narrow" w:cs="Arial Narrow"/>
                <w:iCs/>
                <w:sz w:val="18"/>
                <w:szCs w:val="18"/>
              </w:rPr>
              <w:t xml:space="preserve">If a patient fails to demonstrate a response to treatment with this drug they will not be eligible to receive further PBS-subsidised treatment with this drug for this </w:t>
            </w:r>
            <w:r w:rsidRPr="00302C97">
              <w:rPr>
                <w:rFonts w:ascii="Arial Narrow" w:hAnsi="Arial Narrow" w:cs="Arial Narrow"/>
                <w:iCs/>
                <w:sz w:val="18"/>
                <w:szCs w:val="18"/>
              </w:rPr>
              <w:t>condition in this treatment cycle</w:t>
            </w:r>
            <w:r w:rsidRPr="0062746A">
              <w:rPr>
                <w:rFonts w:ascii="Arial Narrow" w:hAnsi="Arial Narrow" w:cs="Arial Narrow"/>
                <w:iCs/>
                <w:sz w:val="18"/>
                <w:szCs w:val="18"/>
              </w:rPr>
              <w:t>. Serious adverse reaction of a severity resulting in the necessity for permanent withdrawal of treatment is not cons</w:t>
            </w:r>
            <w:r>
              <w:rPr>
                <w:rFonts w:ascii="Arial Narrow" w:hAnsi="Arial Narrow" w:cs="Arial Narrow"/>
                <w:iCs/>
                <w:sz w:val="18"/>
                <w:szCs w:val="18"/>
              </w:rPr>
              <w:t xml:space="preserve">idered as a treatment failure. </w:t>
            </w:r>
          </w:p>
        </w:tc>
      </w:tr>
      <w:tr w:rsidR="00295470" w:rsidRPr="00962058" w14:paraId="36782F0B" w14:textId="77777777" w:rsidTr="00295470">
        <w:tblPrEx>
          <w:tblCellMar>
            <w:top w:w="15" w:type="dxa"/>
            <w:left w:w="15" w:type="dxa"/>
            <w:bottom w:w="15" w:type="dxa"/>
            <w:right w:w="15" w:type="dxa"/>
          </w:tblCellMar>
        </w:tblPrEx>
        <w:tc>
          <w:tcPr>
            <w:tcW w:w="5000" w:type="pct"/>
            <w:vAlign w:val="center"/>
            <w:hideMark/>
          </w:tcPr>
          <w:p w14:paraId="159CABD1" w14:textId="77777777" w:rsidR="00295470" w:rsidRPr="00962058" w:rsidRDefault="00295470" w:rsidP="00BB385C">
            <w:pPr>
              <w:rPr>
                <w:rFonts w:ascii="Arial Narrow" w:hAnsi="Arial Narrow"/>
                <w:color w:val="333333"/>
                <w:sz w:val="18"/>
                <w:szCs w:val="18"/>
              </w:rPr>
            </w:pPr>
            <w:r>
              <w:rPr>
                <w:rFonts w:ascii="Arial Narrow" w:hAnsi="Arial Narrow"/>
                <w:b/>
                <w:bCs/>
                <w:color w:val="333333"/>
                <w:sz w:val="18"/>
                <w:szCs w:val="18"/>
              </w:rPr>
              <w:t xml:space="preserve">   </w:t>
            </w:r>
            <w:r w:rsidRPr="00962058">
              <w:rPr>
                <w:rFonts w:ascii="Arial Narrow" w:hAnsi="Arial Narrow"/>
                <w:b/>
                <w:bCs/>
                <w:color w:val="333333"/>
                <w:sz w:val="18"/>
                <w:szCs w:val="18"/>
              </w:rPr>
              <w:t>Administrative Advice:</w:t>
            </w:r>
            <w:r>
              <w:rPr>
                <w:rFonts w:ascii="Arial Narrow" w:hAnsi="Arial Narrow"/>
                <w:color w:val="333333"/>
                <w:sz w:val="18"/>
                <w:szCs w:val="18"/>
              </w:rPr>
              <w:t xml:space="preserve"> </w:t>
            </w:r>
            <w:r w:rsidRPr="00962058">
              <w:rPr>
                <w:rFonts w:ascii="Arial Narrow" w:hAnsi="Arial Narrow"/>
                <w:color w:val="333333"/>
                <w:sz w:val="18"/>
                <w:szCs w:val="18"/>
              </w:rPr>
              <w:t>No increase in the maximum number of repeats may be authorised.</w:t>
            </w:r>
          </w:p>
        </w:tc>
      </w:tr>
      <w:tr w:rsidR="00295470" w:rsidRPr="0062746A" w14:paraId="23F0E939" w14:textId="77777777" w:rsidTr="00295470">
        <w:tc>
          <w:tcPr>
            <w:tcW w:w="5000" w:type="pct"/>
            <w:vAlign w:val="center"/>
          </w:tcPr>
          <w:p w14:paraId="3BB182BA" w14:textId="77777777" w:rsidR="00295470" w:rsidRPr="0062746A" w:rsidRDefault="00295470" w:rsidP="00BB385C">
            <w:pPr>
              <w:rPr>
                <w:rFonts w:ascii="Arial Narrow" w:hAnsi="Arial Narrow"/>
                <w:b/>
                <w:sz w:val="18"/>
                <w:szCs w:val="18"/>
              </w:rPr>
            </w:pPr>
            <w:r>
              <w:rPr>
                <w:rFonts w:ascii="Arial Narrow" w:hAnsi="Arial Narrow"/>
                <w:b/>
                <w:bCs/>
                <w:sz w:val="18"/>
                <w:szCs w:val="18"/>
              </w:rPr>
              <w:t xml:space="preserve"> </w:t>
            </w:r>
            <w:r w:rsidRPr="00660A85">
              <w:rPr>
                <w:rFonts w:ascii="Arial Narrow" w:hAnsi="Arial Narrow"/>
                <w:b/>
                <w:bCs/>
                <w:sz w:val="18"/>
                <w:szCs w:val="18"/>
              </w:rPr>
              <w:t>Administrative Advice:</w:t>
            </w:r>
            <w:r>
              <w:rPr>
                <w:rFonts w:ascii="Arial Narrow" w:hAnsi="Arial Narrow"/>
                <w:sz w:val="18"/>
                <w:szCs w:val="18"/>
              </w:rPr>
              <w:t xml:space="preserve"> </w:t>
            </w:r>
            <w:r w:rsidRPr="00660A85">
              <w:rPr>
                <w:rFonts w:ascii="Arial Narrow" w:hAnsi="Arial Narrow"/>
                <w:sz w:val="18"/>
                <w:szCs w:val="18"/>
              </w:rPr>
              <w:t>No increase in the maximum quantity or number of units may be authorised.</w:t>
            </w:r>
          </w:p>
        </w:tc>
      </w:tr>
      <w:tr w:rsidR="00295470" w:rsidRPr="00B738AF" w14:paraId="447A8F74" w14:textId="77777777" w:rsidTr="00295470">
        <w:tblPrEx>
          <w:tblCellMar>
            <w:top w:w="15" w:type="dxa"/>
            <w:left w:w="15" w:type="dxa"/>
            <w:bottom w:w="15" w:type="dxa"/>
            <w:right w:w="15" w:type="dxa"/>
          </w:tblCellMar>
        </w:tblPrEx>
        <w:tc>
          <w:tcPr>
            <w:tcW w:w="5000" w:type="pct"/>
            <w:vAlign w:val="center"/>
          </w:tcPr>
          <w:p w14:paraId="6C2FE667" w14:textId="77777777" w:rsidR="00295470" w:rsidRDefault="00295470" w:rsidP="00BB385C">
            <w:pPr>
              <w:ind w:left="143"/>
              <w:rPr>
                <w:rFonts w:ascii="Arial Narrow" w:hAnsi="Arial Narrow"/>
                <w:b/>
                <w:color w:val="333333"/>
                <w:sz w:val="18"/>
                <w:szCs w:val="18"/>
              </w:rPr>
            </w:pPr>
            <w:r>
              <w:rPr>
                <w:rFonts w:ascii="Arial Narrow" w:hAnsi="Arial Narrow"/>
                <w:b/>
                <w:color w:val="333333"/>
                <w:sz w:val="18"/>
                <w:szCs w:val="18"/>
              </w:rPr>
              <w:lastRenderedPageBreak/>
              <w:t>Administrative Advice:</w:t>
            </w:r>
          </w:p>
          <w:p w14:paraId="04A6EE30" w14:textId="77777777" w:rsidR="00295470" w:rsidRPr="0062746A" w:rsidRDefault="00295470" w:rsidP="00BB385C">
            <w:pPr>
              <w:ind w:left="143"/>
              <w:rPr>
                <w:rFonts w:ascii="Arial Narrow" w:hAnsi="Arial Narrow"/>
                <w:b/>
                <w:color w:val="333333"/>
                <w:sz w:val="18"/>
                <w:szCs w:val="18"/>
              </w:rPr>
            </w:pPr>
          </w:p>
          <w:p w14:paraId="130C6927"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Any queries concerning the arrangements to prescribe may be directed to Services Australia on 1800 700 270 (hours of operation 8 a.m. to 5 p.m. EST Monday to Friday).</w:t>
            </w:r>
          </w:p>
          <w:p w14:paraId="5E2ABC1B" w14:textId="77777777" w:rsidR="00295470" w:rsidRPr="0062746A" w:rsidRDefault="00295470" w:rsidP="00BB385C">
            <w:pPr>
              <w:ind w:left="143"/>
              <w:rPr>
                <w:rFonts w:ascii="Arial Narrow" w:hAnsi="Arial Narrow"/>
                <w:color w:val="333333"/>
                <w:sz w:val="18"/>
                <w:szCs w:val="18"/>
              </w:rPr>
            </w:pPr>
          </w:p>
          <w:p w14:paraId="287F47D4"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Prescribing information (including Authority Application forms and other relevant documentation as applicable) is available on the Services Australia website at www.servicesaustralia.gov.au</w:t>
            </w:r>
          </w:p>
          <w:p w14:paraId="35F358B2" w14:textId="77777777" w:rsidR="00295470" w:rsidRPr="0062746A" w:rsidRDefault="00295470" w:rsidP="00BB385C">
            <w:pPr>
              <w:ind w:left="143"/>
              <w:rPr>
                <w:rFonts w:ascii="Arial Narrow" w:hAnsi="Arial Narrow"/>
                <w:color w:val="333333"/>
                <w:sz w:val="18"/>
                <w:szCs w:val="18"/>
              </w:rPr>
            </w:pPr>
          </w:p>
          <w:p w14:paraId="539E85D8"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Applications for authority to prescribe should be submitted online using the form upload facility in Health Professional Online Services (HPOS) at www.servicesaustralia.gov.au/hpos</w:t>
            </w:r>
          </w:p>
          <w:p w14:paraId="03819FDD" w14:textId="77777777" w:rsidR="00295470" w:rsidRPr="0062746A" w:rsidRDefault="00295470" w:rsidP="00BB385C">
            <w:pPr>
              <w:ind w:left="143"/>
              <w:rPr>
                <w:rFonts w:ascii="Arial Narrow" w:hAnsi="Arial Narrow"/>
                <w:color w:val="333333"/>
                <w:sz w:val="18"/>
                <w:szCs w:val="18"/>
              </w:rPr>
            </w:pPr>
          </w:p>
          <w:p w14:paraId="1EDEA672"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Or mailed to:</w:t>
            </w:r>
          </w:p>
          <w:p w14:paraId="5EA42FFD"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Services Australia</w:t>
            </w:r>
          </w:p>
          <w:p w14:paraId="5BD1EF2D"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Complex Drugs</w:t>
            </w:r>
          </w:p>
          <w:p w14:paraId="1FD16B44" w14:textId="77777777" w:rsidR="00295470" w:rsidRPr="0062746A" w:rsidRDefault="00295470" w:rsidP="00BB385C">
            <w:pPr>
              <w:ind w:left="143"/>
              <w:rPr>
                <w:rFonts w:ascii="Arial Narrow" w:hAnsi="Arial Narrow"/>
                <w:color w:val="333333"/>
                <w:sz w:val="18"/>
                <w:szCs w:val="18"/>
              </w:rPr>
            </w:pPr>
            <w:r w:rsidRPr="0062746A">
              <w:rPr>
                <w:rFonts w:ascii="Arial Narrow" w:hAnsi="Arial Narrow"/>
                <w:color w:val="333333"/>
                <w:sz w:val="18"/>
                <w:szCs w:val="18"/>
              </w:rPr>
              <w:t>Reply Paid 9826</w:t>
            </w:r>
          </w:p>
          <w:p w14:paraId="400CC1FB" w14:textId="77777777" w:rsidR="00295470" w:rsidRPr="0062746A" w:rsidRDefault="00295470" w:rsidP="00BB385C">
            <w:pPr>
              <w:spacing w:after="150"/>
              <w:ind w:left="143"/>
              <w:rPr>
                <w:rFonts w:ascii="Arial Narrow" w:hAnsi="Arial Narrow" w:cs="Arial Narrow"/>
                <w:iCs/>
                <w:sz w:val="18"/>
                <w:szCs w:val="18"/>
              </w:rPr>
            </w:pPr>
            <w:r w:rsidRPr="0062746A">
              <w:rPr>
                <w:rFonts w:ascii="Arial Narrow" w:hAnsi="Arial Narrow"/>
                <w:color w:val="333333"/>
                <w:sz w:val="18"/>
                <w:szCs w:val="18"/>
              </w:rPr>
              <w:t>HOBART TAS 7001</w:t>
            </w:r>
          </w:p>
        </w:tc>
      </w:tr>
    </w:tbl>
    <w:p w14:paraId="2CDE23BE" w14:textId="77777777" w:rsidR="00F122E0" w:rsidRDefault="00F122E0" w:rsidP="00F122E0">
      <w:pPr>
        <w:spacing w:after="160" w:line="259" w:lineRule="auto"/>
        <w:jc w:val="left"/>
        <w:rPr>
          <w:rFonts w:ascii="Arial Narrow" w:hAnsi="Arial Narrow"/>
          <w:b/>
          <w:sz w:val="18"/>
          <w:szCs w:val="18"/>
          <w:lang w:val="en-GB"/>
        </w:rPr>
      </w:pPr>
    </w:p>
    <w:p w14:paraId="610DF841" w14:textId="77777777" w:rsidR="00F122E0" w:rsidRDefault="00F122E0" w:rsidP="00F122E0">
      <w:pPr>
        <w:rPr>
          <w:rFonts w:ascii="Arial Narrow" w:hAnsi="Arial Narrow"/>
          <w:b/>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7A782A2C"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6FF9B359"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Name, Restriction,</w:t>
            </w:r>
          </w:p>
          <w:p w14:paraId="59624016"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2941756B"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4F425326"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3E7CCB5F"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5492CAEF"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1E802159"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348C03BD"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76BF1D9C"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6EF6C2E2"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0B9F3D55"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7700A8A3"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6F526F58"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4886862B"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6BD5FB8E"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0B2071EC"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1BC2A677"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1CDFD053"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5147D44C"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4BA840C6"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10C9CB9E"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28951E27"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7BB28905"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0B3F7044"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p w14:paraId="1578DAD5" w14:textId="77777777" w:rsidR="00F122E0" w:rsidRDefault="00F122E0" w:rsidP="00F122E0">
      <w:pPr>
        <w:spacing w:after="160" w:line="259" w:lineRule="auto"/>
        <w:jc w:val="left"/>
        <w:rPr>
          <w:rFonts w:ascii="Arial Narrow" w:hAnsi="Arial Narrow"/>
          <w:b/>
          <w:sz w:val="18"/>
          <w:szCs w:val="18"/>
          <w:lang w:val="en-GB"/>
        </w:rPr>
      </w:pPr>
    </w:p>
    <w:tbl>
      <w:tblPr>
        <w:tblW w:w="5000" w:type="pct"/>
        <w:tblLook w:val="04A0" w:firstRow="1" w:lastRow="0" w:firstColumn="1" w:lastColumn="0" w:noHBand="0" w:noVBand="1"/>
      </w:tblPr>
      <w:tblGrid>
        <w:gridCol w:w="9017"/>
      </w:tblGrid>
      <w:tr w:rsidR="00295470" w:rsidRPr="002E3A12" w14:paraId="536481F9"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586FC850" w14:textId="77777777" w:rsidR="00295470" w:rsidRPr="002E3A12" w:rsidRDefault="00295470" w:rsidP="00BB385C">
            <w:pPr>
              <w:pStyle w:val="KMC16-Tablecontent"/>
              <w:spacing w:before="0" w:after="0"/>
              <w:ind w:hanging="108"/>
              <w:rPr>
                <w:b/>
                <w:color w:val="auto"/>
                <w:sz w:val="18"/>
                <w:szCs w:val="18"/>
              </w:rPr>
            </w:pPr>
            <w:r w:rsidRPr="002E3A12">
              <w:rPr>
                <w:b/>
                <w:color w:val="auto"/>
                <w:sz w:val="18"/>
                <w:szCs w:val="18"/>
              </w:rPr>
              <w:t xml:space="preserve">Category / Program: </w:t>
            </w:r>
            <w:r w:rsidRPr="002E3A12">
              <w:rPr>
                <w:rFonts w:cstheme="minorBidi"/>
                <w:color w:val="auto"/>
                <w:sz w:val="18"/>
                <w:szCs w:val="18"/>
              </w:rPr>
              <w:t>General Schedule</w:t>
            </w:r>
          </w:p>
        </w:tc>
      </w:tr>
      <w:tr w:rsidR="00295470" w:rsidRPr="002E3A12" w14:paraId="5C0CB0C3"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hideMark/>
          </w:tcPr>
          <w:p w14:paraId="51DB1049" w14:textId="77777777" w:rsidR="00295470" w:rsidRPr="002E3A12" w:rsidRDefault="00295470" w:rsidP="00BB385C">
            <w:pPr>
              <w:pStyle w:val="KMC16-Tablecontent"/>
              <w:spacing w:before="0" w:after="0"/>
              <w:ind w:hanging="108"/>
              <w:rPr>
                <w:b/>
                <w:color w:val="auto"/>
                <w:sz w:val="18"/>
                <w:szCs w:val="18"/>
              </w:rPr>
            </w:pPr>
            <w:r w:rsidRPr="002E3A12">
              <w:rPr>
                <w:b/>
                <w:color w:val="auto"/>
                <w:sz w:val="18"/>
                <w:szCs w:val="18"/>
              </w:rPr>
              <w:t xml:space="preserve">Prescriber type: </w:t>
            </w:r>
            <w:r w:rsidRPr="002E3A12">
              <w:rPr>
                <w:color w:val="auto"/>
                <w:sz w:val="18"/>
                <w:szCs w:val="18"/>
              </w:rPr>
              <w:fldChar w:fldCharType="begin">
                <w:ffData>
                  <w:name w:val="Check1"/>
                  <w:enabled/>
                  <w:calcOnExit w:val="0"/>
                  <w:checkBox>
                    <w:sizeAuto/>
                    <w:default w:val="0"/>
                  </w:checkBox>
                </w:ffData>
              </w:fldChar>
            </w:r>
            <w:r w:rsidRPr="002E3A12">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2E3A12">
              <w:rPr>
                <w:color w:val="auto"/>
                <w:sz w:val="18"/>
                <w:szCs w:val="18"/>
              </w:rPr>
              <w:fldChar w:fldCharType="end"/>
            </w:r>
            <w:r w:rsidRPr="002E3A12">
              <w:rPr>
                <w:color w:val="auto"/>
                <w:sz w:val="18"/>
                <w:szCs w:val="18"/>
              </w:rPr>
              <w:t xml:space="preserve">Dental  </w:t>
            </w:r>
            <w:r w:rsidRPr="002E3A12">
              <w:rPr>
                <w:color w:val="auto"/>
                <w:sz w:val="18"/>
                <w:szCs w:val="18"/>
              </w:rPr>
              <w:fldChar w:fldCharType="begin">
                <w:ffData>
                  <w:name w:val=""/>
                  <w:enabled/>
                  <w:calcOnExit w:val="0"/>
                  <w:checkBox>
                    <w:sizeAuto/>
                    <w:default w:val="1"/>
                  </w:checkBox>
                </w:ffData>
              </w:fldChar>
            </w:r>
            <w:r w:rsidRPr="002E3A12">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2E3A12">
              <w:rPr>
                <w:color w:val="auto"/>
                <w:sz w:val="18"/>
                <w:szCs w:val="18"/>
              </w:rPr>
              <w:fldChar w:fldCharType="end"/>
            </w:r>
            <w:r w:rsidRPr="002E3A12">
              <w:rPr>
                <w:color w:val="auto"/>
                <w:sz w:val="18"/>
                <w:szCs w:val="18"/>
              </w:rPr>
              <w:t xml:space="preserve">Medical Practitioners  </w:t>
            </w:r>
            <w:r w:rsidRPr="002E3A12">
              <w:rPr>
                <w:color w:val="auto"/>
                <w:sz w:val="18"/>
                <w:szCs w:val="18"/>
              </w:rPr>
              <w:fldChar w:fldCharType="begin">
                <w:ffData>
                  <w:name w:val=""/>
                  <w:enabled/>
                  <w:calcOnExit w:val="0"/>
                  <w:checkBox>
                    <w:sizeAuto/>
                    <w:default w:val="0"/>
                  </w:checkBox>
                </w:ffData>
              </w:fldChar>
            </w:r>
            <w:r w:rsidRPr="002E3A12">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2E3A12">
              <w:rPr>
                <w:color w:val="auto"/>
                <w:sz w:val="18"/>
                <w:szCs w:val="18"/>
              </w:rPr>
              <w:fldChar w:fldCharType="end"/>
            </w:r>
            <w:r w:rsidRPr="002E3A12">
              <w:rPr>
                <w:color w:val="auto"/>
                <w:sz w:val="18"/>
                <w:szCs w:val="18"/>
              </w:rPr>
              <w:t xml:space="preserve">Nurse practitioners </w:t>
            </w:r>
            <w:r w:rsidRPr="002E3A12">
              <w:rPr>
                <w:color w:val="auto"/>
                <w:sz w:val="18"/>
                <w:szCs w:val="18"/>
              </w:rPr>
              <w:fldChar w:fldCharType="begin">
                <w:ffData>
                  <w:name w:val=""/>
                  <w:enabled/>
                  <w:calcOnExit w:val="0"/>
                  <w:checkBox>
                    <w:sizeAuto/>
                    <w:default w:val="0"/>
                  </w:checkBox>
                </w:ffData>
              </w:fldChar>
            </w:r>
            <w:r w:rsidRPr="002E3A12">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2E3A12">
              <w:rPr>
                <w:color w:val="auto"/>
                <w:sz w:val="18"/>
                <w:szCs w:val="18"/>
              </w:rPr>
              <w:fldChar w:fldCharType="end"/>
            </w:r>
            <w:r w:rsidRPr="002E3A12">
              <w:rPr>
                <w:color w:val="auto"/>
                <w:sz w:val="18"/>
                <w:szCs w:val="18"/>
              </w:rPr>
              <w:t xml:space="preserve">Optometrists </w:t>
            </w:r>
            <w:r w:rsidRPr="002E3A12">
              <w:rPr>
                <w:color w:val="auto"/>
                <w:sz w:val="18"/>
                <w:szCs w:val="18"/>
              </w:rPr>
              <w:fldChar w:fldCharType="begin">
                <w:ffData>
                  <w:name w:val="Check5"/>
                  <w:enabled/>
                  <w:calcOnExit w:val="0"/>
                  <w:checkBox>
                    <w:sizeAuto/>
                    <w:default w:val="0"/>
                  </w:checkBox>
                </w:ffData>
              </w:fldChar>
            </w:r>
            <w:r w:rsidRPr="002E3A12">
              <w:rPr>
                <w:color w:val="auto"/>
                <w:sz w:val="18"/>
                <w:szCs w:val="18"/>
              </w:rPr>
              <w:instrText xml:space="preserve"> FORMCHECKBOX </w:instrText>
            </w:r>
            <w:r w:rsidR="00E515FB">
              <w:rPr>
                <w:color w:val="auto"/>
                <w:sz w:val="18"/>
                <w:szCs w:val="18"/>
              </w:rPr>
            </w:r>
            <w:r w:rsidR="00E515FB">
              <w:rPr>
                <w:color w:val="auto"/>
                <w:sz w:val="18"/>
                <w:szCs w:val="18"/>
              </w:rPr>
              <w:fldChar w:fldCharType="separate"/>
            </w:r>
            <w:r w:rsidRPr="002E3A12">
              <w:rPr>
                <w:color w:val="auto"/>
                <w:sz w:val="18"/>
                <w:szCs w:val="18"/>
              </w:rPr>
              <w:fldChar w:fldCharType="end"/>
            </w:r>
            <w:r w:rsidRPr="002E3A12">
              <w:rPr>
                <w:color w:val="auto"/>
                <w:sz w:val="18"/>
                <w:szCs w:val="18"/>
              </w:rPr>
              <w:t>Midwives</w:t>
            </w:r>
          </w:p>
        </w:tc>
      </w:tr>
      <w:tr w:rsidR="00295470" w:rsidRPr="002E3A12" w14:paraId="5EF9CC06" w14:textId="77777777" w:rsidTr="00295470">
        <w:trPr>
          <w:trHeight w:val="427"/>
        </w:trPr>
        <w:tc>
          <w:tcPr>
            <w:tcW w:w="5000" w:type="pct"/>
            <w:tcBorders>
              <w:top w:val="single" w:sz="4" w:space="0" w:color="auto"/>
              <w:left w:val="single" w:sz="4" w:space="0" w:color="auto"/>
              <w:bottom w:val="single" w:sz="4" w:space="0" w:color="auto"/>
              <w:right w:val="single" w:sz="4" w:space="0" w:color="auto"/>
            </w:tcBorders>
          </w:tcPr>
          <w:p w14:paraId="6DE6066C" w14:textId="77777777" w:rsidR="00295470" w:rsidRPr="002E3A12" w:rsidRDefault="00295470" w:rsidP="002E3A12">
            <w:pPr>
              <w:ind w:left="-114"/>
              <w:jc w:val="left"/>
              <w:rPr>
                <w:rFonts w:ascii="Arial Narrow" w:eastAsia="Calibri" w:hAnsi="Arial Narrow"/>
                <w:sz w:val="18"/>
                <w:szCs w:val="18"/>
              </w:rPr>
            </w:pPr>
            <w:r w:rsidRPr="002E3A12">
              <w:rPr>
                <w:rFonts w:ascii="Arial Narrow" w:hAnsi="Arial Narrow"/>
                <w:b/>
                <w:sz w:val="18"/>
                <w:szCs w:val="18"/>
              </w:rPr>
              <w:t>Restriction Method:</w:t>
            </w:r>
            <w:r w:rsidRPr="002E3A12">
              <w:rPr>
                <w:b/>
                <w:sz w:val="18"/>
                <w:szCs w:val="18"/>
              </w:rPr>
              <w:t xml:space="preserve"> </w:t>
            </w:r>
            <w:r w:rsidRPr="002E3A12">
              <w:rPr>
                <w:sz w:val="18"/>
                <w:szCs w:val="18"/>
              </w:rPr>
              <w:fldChar w:fldCharType="begin">
                <w:ffData>
                  <w:name w:val="Check5"/>
                  <w:enabled/>
                  <w:calcOnExit w:val="0"/>
                  <w:checkBox>
                    <w:sizeAuto/>
                    <w:default w:val="1"/>
                  </w:checkBox>
                </w:ffData>
              </w:fldChar>
            </w:r>
            <w:r w:rsidRPr="002E3A12">
              <w:rPr>
                <w:sz w:val="18"/>
                <w:szCs w:val="18"/>
              </w:rPr>
              <w:instrText xml:space="preserve"> FORMCHECKBOX </w:instrText>
            </w:r>
            <w:r w:rsidR="00E515FB">
              <w:rPr>
                <w:sz w:val="18"/>
                <w:szCs w:val="18"/>
              </w:rPr>
            </w:r>
            <w:r w:rsidR="00E515FB">
              <w:rPr>
                <w:sz w:val="18"/>
                <w:szCs w:val="18"/>
              </w:rPr>
              <w:fldChar w:fldCharType="separate"/>
            </w:r>
            <w:r w:rsidRPr="002E3A12">
              <w:rPr>
                <w:sz w:val="18"/>
                <w:szCs w:val="18"/>
              </w:rPr>
              <w:fldChar w:fldCharType="end"/>
            </w:r>
            <w:r w:rsidRPr="002E3A12">
              <w:rPr>
                <w:rFonts w:ascii="Arial Narrow" w:hAnsi="Arial Narrow"/>
                <w:sz w:val="18"/>
                <w:szCs w:val="18"/>
              </w:rPr>
              <w:t>Authority Required –</w:t>
            </w:r>
            <w:r w:rsidRPr="002E3A12">
              <w:rPr>
                <w:rFonts w:ascii="Arial Narrow" w:hAnsi="Arial Narrow"/>
                <w:bCs/>
                <w:sz w:val="18"/>
                <w:szCs w:val="18"/>
              </w:rPr>
              <w:t xml:space="preserve"> </w:t>
            </w:r>
            <w:r w:rsidRPr="002E3A12">
              <w:rPr>
                <w:rFonts w:ascii="Arial Narrow" w:eastAsia="Calibri" w:hAnsi="Arial Narrow"/>
                <w:sz w:val="18"/>
                <w:szCs w:val="18"/>
              </w:rPr>
              <w:t>immediate/real time assessment by Medicare (telephone/online/emergency)</w:t>
            </w:r>
          </w:p>
          <w:p w14:paraId="2C91586B" w14:textId="77777777" w:rsidR="00295470" w:rsidRPr="002E3A12" w:rsidRDefault="00295470" w:rsidP="00BB385C">
            <w:pPr>
              <w:ind w:hanging="108"/>
              <w:rPr>
                <w:rFonts w:ascii="Arial Narrow" w:eastAsia="Calibri" w:hAnsi="Arial Narrow"/>
                <w:sz w:val="18"/>
                <w:szCs w:val="18"/>
              </w:rPr>
            </w:pPr>
          </w:p>
        </w:tc>
      </w:tr>
      <w:tr w:rsidR="00295470" w:rsidRPr="002E3A12" w14:paraId="2C5A913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014E323" w14:textId="77777777" w:rsidR="00295470" w:rsidRPr="002E3A12" w:rsidRDefault="00295470" w:rsidP="00BB385C">
            <w:pPr>
              <w:rPr>
                <w:rFonts w:ascii="Arial Narrow" w:hAnsi="Arial Narrow"/>
                <w:b/>
                <w:bCs/>
                <w:sz w:val="18"/>
                <w:szCs w:val="18"/>
              </w:rPr>
            </w:pPr>
            <w:r w:rsidRPr="002E3A12">
              <w:rPr>
                <w:rFonts w:ascii="Arial Narrow" w:hAnsi="Arial Narrow"/>
                <w:b/>
                <w:bCs/>
                <w:sz w:val="18"/>
                <w:szCs w:val="18"/>
              </w:rPr>
              <w:t xml:space="preserve">Severity: </w:t>
            </w:r>
            <w:r w:rsidRPr="002E3A12">
              <w:rPr>
                <w:rFonts w:ascii="Arial Narrow" w:hAnsi="Arial Narrow"/>
                <w:bCs/>
                <w:sz w:val="18"/>
                <w:szCs w:val="18"/>
              </w:rPr>
              <w:t>Moderate to severe</w:t>
            </w:r>
          </w:p>
        </w:tc>
      </w:tr>
      <w:tr w:rsidR="00295470" w:rsidRPr="002E3A12" w14:paraId="5FEA32F5"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981496A" w14:textId="77777777" w:rsidR="00295470" w:rsidRPr="002E3A12" w:rsidRDefault="00295470" w:rsidP="00BB385C">
            <w:pPr>
              <w:rPr>
                <w:rFonts w:ascii="Arial Narrow" w:hAnsi="Arial Narrow"/>
                <w:b/>
                <w:bCs/>
                <w:sz w:val="18"/>
                <w:szCs w:val="18"/>
              </w:rPr>
            </w:pPr>
            <w:r w:rsidRPr="002E3A12">
              <w:rPr>
                <w:rFonts w:ascii="Arial Narrow" w:hAnsi="Arial Narrow"/>
                <w:b/>
                <w:bCs/>
                <w:sz w:val="18"/>
                <w:szCs w:val="18"/>
              </w:rPr>
              <w:t xml:space="preserve">Condition: </w:t>
            </w:r>
            <w:r w:rsidRPr="002E3A12">
              <w:rPr>
                <w:rFonts w:ascii="Arial Narrow" w:hAnsi="Arial Narrow"/>
                <w:bCs/>
                <w:sz w:val="18"/>
                <w:szCs w:val="18"/>
              </w:rPr>
              <w:t>Ulcerative colitis</w:t>
            </w:r>
          </w:p>
        </w:tc>
      </w:tr>
      <w:tr w:rsidR="00295470" w:rsidRPr="002E3A12" w14:paraId="609825BE"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36B1DDD6" w14:textId="77777777" w:rsidR="00295470" w:rsidRPr="002E3A12" w:rsidRDefault="00295470" w:rsidP="00BB385C">
            <w:pPr>
              <w:rPr>
                <w:rFonts w:ascii="Arial Narrow" w:hAnsi="Arial Narrow"/>
                <w:sz w:val="18"/>
                <w:szCs w:val="18"/>
              </w:rPr>
            </w:pPr>
            <w:r w:rsidRPr="002E3A12">
              <w:rPr>
                <w:rFonts w:ascii="Arial Narrow" w:hAnsi="Arial Narrow"/>
                <w:b/>
                <w:bCs/>
                <w:sz w:val="18"/>
                <w:szCs w:val="18"/>
              </w:rPr>
              <w:t>Indication:</w:t>
            </w:r>
            <w:r w:rsidRPr="002E3A12">
              <w:rPr>
                <w:rFonts w:ascii="Arial Narrow" w:hAnsi="Arial Narrow"/>
                <w:sz w:val="18"/>
                <w:szCs w:val="18"/>
              </w:rPr>
              <w:t xml:space="preserve"> Moderate to severe ulcerative colitis</w:t>
            </w:r>
          </w:p>
        </w:tc>
      </w:tr>
      <w:tr w:rsidR="00295470" w:rsidRPr="002E3A12" w14:paraId="65DCF08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47ECE368" w14:textId="77777777" w:rsidR="00295470" w:rsidRPr="002E3A12" w:rsidRDefault="00295470" w:rsidP="00BB385C">
            <w:pPr>
              <w:pStyle w:val="KMC16-Tablecontent"/>
              <w:spacing w:after="0"/>
              <w:ind w:left="-108"/>
              <w:rPr>
                <w:b/>
                <w:color w:val="auto"/>
                <w:sz w:val="18"/>
                <w:szCs w:val="18"/>
              </w:rPr>
            </w:pPr>
            <w:r w:rsidRPr="002E3A12">
              <w:rPr>
                <w:b/>
                <w:color w:val="auto"/>
                <w:sz w:val="18"/>
                <w:szCs w:val="18"/>
              </w:rPr>
              <w:t xml:space="preserve">Treatment Phase: Continuing treatment with subcutaneous form or switching from intravenous </w:t>
            </w:r>
            <w:r w:rsidRPr="00A86E7E">
              <w:rPr>
                <w:b/>
                <w:color w:val="auto"/>
                <w:sz w:val="18"/>
                <w:szCs w:val="18"/>
              </w:rPr>
              <w:t>form</w:t>
            </w:r>
            <w:r w:rsidRPr="002E3A12">
              <w:rPr>
                <w:b/>
                <w:color w:val="auto"/>
                <w:sz w:val="18"/>
                <w:szCs w:val="18"/>
              </w:rPr>
              <w:t xml:space="preserve"> to subcutaneous form</w:t>
            </w:r>
          </w:p>
        </w:tc>
      </w:tr>
      <w:tr w:rsidR="00295470" w:rsidRPr="002E3A12" w14:paraId="6E789C47"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803A25C" w14:textId="77777777" w:rsidR="00295470" w:rsidRPr="002E3A12" w:rsidRDefault="00295470" w:rsidP="00BB385C">
            <w:pPr>
              <w:pStyle w:val="KMC16-Tablecontent"/>
              <w:spacing w:before="0" w:after="0"/>
              <w:rPr>
                <w:b/>
                <w:color w:val="auto"/>
                <w:sz w:val="18"/>
                <w:szCs w:val="18"/>
              </w:rPr>
            </w:pPr>
            <w:r w:rsidRPr="002E3A12">
              <w:rPr>
                <w:b/>
                <w:color w:val="auto"/>
                <w:sz w:val="18"/>
                <w:szCs w:val="18"/>
              </w:rPr>
              <w:t xml:space="preserve">Treatment criteria: </w:t>
            </w:r>
          </w:p>
        </w:tc>
      </w:tr>
      <w:tr w:rsidR="00295470" w:rsidRPr="002E3A12" w14:paraId="20C59C37"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4104F79" w14:textId="77777777" w:rsidR="00295470" w:rsidRPr="002E3A12" w:rsidRDefault="00295470" w:rsidP="00BB385C">
            <w:pPr>
              <w:rPr>
                <w:rFonts w:ascii="Arial Narrow" w:hAnsi="Arial Narrow"/>
                <w:b/>
                <w:bCs/>
                <w:sz w:val="18"/>
                <w:szCs w:val="18"/>
              </w:rPr>
            </w:pPr>
            <w:r w:rsidRPr="002E3A12">
              <w:rPr>
                <w:rFonts w:ascii="Arial Narrow" w:hAnsi="Arial Narrow"/>
                <w:bCs/>
                <w:sz w:val="18"/>
                <w:szCs w:val="18"/>
              </w:rPr>
              <w:t>Must be treated by a gastroenterologist; or</w:t>
            </w:r>
          </w:p>
        </w:tc>
      </w:tr>
      <w:tr w:rsidR="00295470" w:rsidRPr="002E3A12" w14:paraId="1514D22A"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806B9DA" w14:textId="77777777" w:rsidR="00295470" w:rsidRPr="002E3A12" w:rsidRDefault="00295470" w:rsidP="00BB385C">
            <w:pPr>
              <w:rPr>
                <w:rFonts w:ascii="Arial Narrow" w:hAnsi="Arial Narrow"/>
                <w:b/>
                <w:bCs/>
                <w:sz w:val="18"/>
                <w:szCs w:val="18"/>
              </w:rPr>
            </w:pPr>
            <w:r w:rsidRPr="002E3A12">
              <w:rPr>
                <w:rFonts w:ascii="Arial Narrow" w:hAnsi="Arial Narrow"/>
                <w:bCs/>
                <w:sz w:val="18"/>
                <w:szCs w:val="18"/>
              </w:rPr>
              <w:t>Must be treated by a consultant physician [internal medicine specialising in gastroenterology]; or</w:t>
            </w:r>
          </w:p>
        </w:tc>
      </w:tr>
      <w:tr w:rsidR="00295470" w:rsidRPr="002E3A12" w14:paraId="5EBB73B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ACF534C" w14:textId="77777777" w:rsidR="00295470" w:rsidRPr="002E3A12" w:rsidRDefault="00295470" w:rsidP="00BB385C">
            <w:pPr>
              <w:rPr>
                <w:rFonts w:ascii="Arial Narrow" w:hAnsi="Arial Narrow"/>
                <w:b/>
                <w:bCs/>
                <w:sz w:val="18"/>
                <w:szCs w:val="18"/>
              </w:rPr>
            </w:pPr>
            <w:r w:rsidRPr="002E3A12">
              <w:rPr>
                <w:rFonts w:ascii="Arial Narrow" w:hAnsi="Arial Narrow"/>
                <w:bCs/>
                <w:sz w:val="18"/>
                <w:szCs w:val="18"/>
              </w:rPr>
              <w:t>Must be treated by a consultant physician [general medicine specialising in gastroenterology]</w:t>
            </w:r>
          </w:p>
        </w:tc>
      </w:tr>
      <w:tr w:rsidR="00295470" w:rsidRPr="002E3A12" w14:paraId="2108B3D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853C711"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 xml:space="preserve">CClinical criteria: </w:t>
            </w:r>
          </w:p>
        </w:tc>
      </w:tr>
      <w:tr w:rsidR="00295470" w:rsidRPr="002E3A12" w14:paraId="34C734DC"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5E8F335" w14:textId="77777777" w:rsidR="00295470" w:rsidRPr="002E3A12" w:rsidRDefault="00295470" w:rsidP="00BB385C">
            <w:pPr>
              <w:pStyle w:val="KMC16-Tablecontent"/>
              <w:spacing w:after="0"/>
              <w:ind w:left="-108"/>
              <w:rPr>
                <w:color w:val="auto"/>
                <w:sz w:val="18"/>
                <w:szCs w:val="18"/>
              </w:rPr>
            </w:pPr>
            <w:r w:rsidRPr="002E3A12">
              <w:rPr>
                <w:color w:val="auto"/>
                <w:sz w:val="18"/>
                <w:szCs w:val="18"/>
              </w:rPr>
              <w:t>Patient must have received</w:t>
            </w:r>
            <w:r w:rsidRPr="002E3A12">
              <w:rPr>
                <w:rFonts w:ascii="Open Sans" w:hAnsi="Open Sans" w:cs="Open Sans"/>
                <w:color w:val="auto"/>
                <w:sz w:val="22"/>
                <w:shd w:val="clear" w:color="auto" w:fill="FFFFFF"/>
                <w:lang w:val="en-AU" w:eastAsia="en-AU"/>
              </w:rPr>
              <w:t xml:space="preserve"> </w:t>
            </w:r>
            <w:r w:rsidRPr="002E3A12">
              <w:rPr>
                <w:color w:val="auto"/>
                <w:sz w:val="18"/>
                <w:szCs w:val="18"/>
                <w:lang w:val="en-AU"/>
              </w:rPr>
              <w:t>this drug as their most recent course of PBS-subsidised biological medicine treatment for this condition</w:t>
            </w:r>
            <w:r w:rsidRPr="002E3A12">
              <w:rPr>
                <w:color w:val="auto"/>
                <w:sz w:val="18"/>
                <w:szCs w:val="18"/>
              </w:rPr>
              <w:t>; OR</w:t>
            </w:r>
          </w:p>
        </w:tc>
      </w:tr>
      <w:tr w:rsidR="00295470" w:rsidRPr="002E3A12" w14:paraId="160566F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943B862"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 xml:space="preserve">CClinical criteria: </w:t>
            </w:r>
          </w:p>
        </w:tc>
      </w:tr>
      <w:tr w:rsidR="00295470" w:rsidRPr="002E3A12" w14:paraId="61A81781"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84CB426" w14:textId="77777777" w:rsidR="00295470" w:rsidRPr="002E3A12" w:rsidRDefault="00295470" w:rsidP="00BB385C">
            <w:pPr>
              <w:pStyle w:val="KMC16-Tablecontent"/>
              <w:spacing w:after="0"/>
              <w:ind w:left="-108" w:firstLine="34"/>
              <w:rPr>
                <w:color w:val="auto"/>
                <w:sz w:val="18"/>
                <w:szCs w:val="18"/>
                <w:lang w:val="en-AU"/>
              </w:rPr>
            </w:pPr>
            <w:r w:rsidRPr="002E3A12">
              <w:rPr>
                <w:color w:val="auto"/>
                <w:sz w:val="18"/>
                <w:szCs w:val="18"/>
                <w:lang w:val="en-AU"/>
              </w:rPr>
              <w:t>Patient must have received this drug in the intravenous form as their most recent course of PBS-subsidised biological medicine for this condition under the infliximab intravenous form continuing treatment restriction</w:t>
            </w:r>
          </w:p>
        </w:tc>
      </w:tr>
      <w:tr w:rsidR="00295470" w:rsidRPr="002E3A12" w14:paraId="2E0B944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89A99D1" w14:textId="77777777" w:rsidR="00295470" w:rsidRPr="002E3A12" w:rsidRDefault="00295470" w:rsidP="00BB385C">
            <w:pPr>
              <w:pStyle w:val="KMC16-Tablecontent"/>
              <w:spacing w:after="0"/>
              <w:ind w:hanging="108"/>
              <w:rPr>
                <w:b/>
                <w:color w:val="auto"/>
                <w:sz w:val="18"/>
                <w:szCs w:val="18"/>
                <w:lang w:val="en-AU"/>
              </w:rPr>
            </w:pPr>
            <w:r w:rsidRPr="002E3A12">
              <w:rPr>
                <w:b/>
                <w:color w:val="auto"/>
                <w:sz w:val="18"/>
                <w:szCs w:val="18"/>
                <w:lang w:val="en-AU"/>
              </w:rPr>
              <w:t>AND</w:t>
            </w:r>
          </w:p>
        </w:tc>
      </w:tr>
      <w:tr w:rsidR="00295470" w:rsidRPr="002E3A12" w14:paraId="7139E7B5"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D437DB3"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 xml:space="preserve">CClinical criteria: </w:t>
            </w:r>
          </w:p>
        </w:tc>
      </w:tr>
      <w:tr w:rsidR="00295470" w:rsidRPr="002E3A12" w14:paraId="6BC7D1AD"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557B06FC" w14:textId="77777777" w:rsidR="00295470" w:rsidRPr="002E3A12" w:rsidRDefault="00295470" w:rsidP="00BB385C">
            <w:pPr>
              <w:pStyle w:val="KMC16-Tablecontent"/>
              <w:spacing w:after="0"/>
              <w:ind w:hanging="108"/>
              <w:rPr>
                <w:b/>
                <w:color w:val="auto"/>
                <w:sz w:val="18"/>
                <w:szCs w:val="18"/>
              </w:rPr>
            </w:pPr>
            <w:r w:rsidRPr="002E3A12">
              <w:rPr>
                <w:color w:val="auto"/>
                <w:sz w:val="18"/>
                <w:szCs w:val="18"/>
                <w:lang w:val="en-AU"/>
              </w:rPr>
              <w:t>Patient must not receive more than 24 weeks of treatment under this restriction</w:t>
            </w:r>
          </w:p>
        </w:tc>
      </w:tr>
      <w:tr w:rsidR="00295470" w:rsidRPr="002E3A12" w14:paraId="53D3139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6BC3DBC5" w14:textId="77777777" w:rsidR="00295470" w:rsidRPr="002E3A12" w:rsidRDefault="00295470" w:rsidP="00BB385C">
            <w:pPr>
              <w:pStyle w:val="KMC16-Tablecontent"/>
              <w:spacing w:after="0"/>
              <w:ind w:hanging="108"/>
              <w:rPr>
                <w:b/>
                <w:color w:val="auto"/>
                <w:sz w:val="18"/>
                <w:szCs w:val="18"/>
                <w:lang w:val="en-AU"/>
              </w:rPr>
            </w:pPr>
            <w:r w:rsidRPr="002E3A12">
              <w:rPr>
                <w:b/>
                <w:color w:val="auto"/>
                <w:sz w:val="18"/>
                <w:szCs w:val="18"/>
                <w:lang w:val="en-AU"/>
              </w:rPr>
              <w:t>AND</w:t>
            </w:r>
          </w:p>
        </w:tc>
      </w:tr>
      <w:tr w:rsidR="00295470" w:rsidRPr="002E3A12" w14:paraId="707C8E2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3A29D61"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 xml:space="preserve">CClinical criteria: </w:t>
            </w:r>
          </w:p>
        </w:tc>
      </w:tr>
      <w:tr w:rsidR="00295470" w:rsidRPr="002E3A12" w14:paraId="096260E8"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7566F217" w14:textId="77777777" w:rsidR="00295470" w:rsidRPr="002E3A12" w:rsidRDefault="00295470" w:rsidP="00BB385C">
            <w:pPr>
              <w:rPr>
                <w:rFonts w:ascii="Arial Narrow" w:hAnsi="Arial Narrow"/>
                <w:sz w:val="18"/>
                <w:szCs w:val="18"/>
              </w:rPr>
            </w:pPr>
            <w:r w:rsidRPr="002E3A12">
              <w:rPr>
                <w:rFonts w:ascii="Arial Narrow" w:hAnsi="Arial Narrow"/>
                <w:sz w:val="18"/>
                <w:szCs w:val="18"/>
              </w:rPr>
              <w:lastRenderedPageBreak/>
              <w:t>Patient must have demonstrated or sustained an adequate response to treatment by having a partial Mayo clinic score less than or equal to 2, with no subscore greater than 1 while receiving treatment with this drug,</w:t>
            </w:r>
          </w:p>
        </w:tc>
      </w:tr>
      <w:tr w:rsidR="00295470" w:rsidRPr="002E3A12" w14:paraId="280CA9A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1E2C6433"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AND</w:t>
            </w:r>
          </w:p>
        </w:tc>
      </w:tr>
      <w:tr w:rsidR="00295470" w:rsidRPr="002E3A12" w14:paraId="21FC840D"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tcPr>
          <w:p w14:paraId="08D6580C" w14:textId="77777777" w:rsidR="00295470" w:rsidRPr="002E3A12" w:rsidRDefault="00295470" w:rsidP="00BB385C">
            <w:pPr>
              <w:pStyle w:val="KMC16-Tablecontent"/>
              <w:spacing w:after="0"/>
              <w:ind w:hanging="108"/>
              <w:rPr>
                <w:b/>
                <w:color w:val="auto"/>
                <w:sz w:val="18"/>
                <w:szCs w:val="18"/>
              </w:rPr>
            </w:pPr>
            <w:r w:rsidRPr="002E3A12">
              <w:rPr>
                <w:b/>
                <w:color w:val="auto"/>
                <w:sz w:val="18"/>
                <w:szCs w:val="18"/>
              </w:rPr>
              <w:t>Population criteria:</w:t>
            </w:r>
          </w:p>
        </w:tc>
      </w:tr>
      <w:tr w:rsidR="00295470" w:rsidRPr="002E3A12" w14:paraId="37070E14"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F62A955" w14:textId="77777777" w:rsidR="00295470" w:rsidRPr="002E3A12" w:rsidRDefault="00295470" w:rsidP="00BB385C">
            <w:pPr>
              <w:ind w:left="-108"/>
              <w:rPr>
                <w:rFonts w:ascii="Arial Narrow" w:hAnsi="Arial Narrow"/>
                <w:sz w:val="18"/>
                <w:szCs w:val="18"/>
              </w:rPr>
            </w:pPr>
            <w:r w:rsidRPr="002E3A12">
              <w:rPr>
                <w:rFonts w:ascii="Arial Narrow" w:hAnsi="Arial Narrow"/>
                <w:sz w:val="18"/>
                <w:szCs w:val="18"/>
              </w:rPr>
              <w:t>Patient must be aged 18 years or older</w:t>
            </w:r>
          </w:p>
        </w:tc>
      </w:tr>
      <w:tr w:rsidR="00295470" w:rsidRPr="002E3A12" w14:paraId="21D25F8F"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4B3D3D5" w14:textId="77777777" w:rsidR="00295470" w:rsidRPr="002E3A12" w:rsidRDefault="00295470" w:rsidP="00BB385C">
            <w:pPr>
              <w:pStyle w:val="KMC16-Tablecontent"/>
              <w:spacing w:after="0"/>
              <w:ind w:hanging="108"/>
              <w:rPr>
                <w:b/>
                <w:color w:val="auto"/>
                <w:sz w:val="18"/>
                <w:szCs w:val="18"/>
              </w:rPr>
            </w:pPr>
            <w:r w:rsidRPr="002E3A12">
              <w:rPr>
                <w:b/>
                <w:bCs/>
                <w:color w:val="auto"/>
                <w:sz w:val="18"/>
                <w:szCs w:val="18"/>
              </w:rPr>
              <w:t>Prescribing Instructions:</w:t>
            </w:r>
          </w:p>
        </w:tc>
      </w:tr>
      <w:tr w:rsidR="00295470" w:rsidRPr="002E3A12" w14:paraId="473CF552" w14:textId="77777777" w:rsidTr="00295470">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EA8A7E0" w14:textId="77777777" w:rsidR="00295470" w:rsidRPr="002E3A12" w:rsidRDefault="00295470" w:rsidP="00BB385C">
            <w:pPr>
              <w:pStyle w:val="KMC16-Tablecontent"/>
              <w:spacing w:after="0"/>
              <w:ind w:left="-108"/>
              <w:rPr>
                <w:b/>
                <w:color w:val="auto"/>
                <w:sz w:val="18"/>
                <w:szCs w:val="18"/>
              </w:rPr>
            </w:pPr>
            <w:r w:rsidRPr="002E3A12">
              <w:rPr>
                <w:color w:val="auto"/>
                <w:sz w:val="18"/>
                <w:szCs w:val="18"/>
              </w:rPr>
              <w:t>Patients who have failed to maintain a partial Mayo clinic score less than or equal to 2, with no subscore greater than 1 with continuing treatment with this drug, will not be eligible to receive further PBS-subsidised treatment with this drug.</w:t>
            </w:r>
          </w:p>
        </w:tc>
      </w:tr>
      <w:tr w:rsidR="00295470" w:rsidRPr="002E3A12" w14:paraId="697B030E"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089C266E" w14:textId="77777777" w:rsidR="00295470" w:rsidRPr="002E3A12" w:rsidRDefault="00295470" w:rsidP="00BB385C">
            <w:pPr>
              <w:rPr>
                <w:rFonts w:ascii="Arial Narrow" w:hAnsi="Arial Narrow" w:cs="Open Sans"/>
                <w:bCs/>
                <w:sz w:val="18"/>
                <w:szCs w:val="18"/>
                <w:bdr w:val="none" w:sz="0" w:space="0" w:color="auto" w:frame="1"/>
              </w:rPr>
            </w:pPr>
            <w:r w:rsidRPr="002E3A12">
              <w:rPr>
                <w:rFonts w:ascii="Arial Narrow" w:hAnsi="Arial Narrow"/>
                <w:b/>
                <w:sz w:val="18"/>
                <w:szCs w:val="18"/>
              </w:rPr>
              <w:t>Prescribing Instructions:</w:t>
            </w:r>
          </w:p>
        </w:tc>
      </w:tr>
      <w:tr w:rsidR="00295470" w:rsidRPr="002E3A12" w14:paraId="09B23F9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2F3119A9" w14:textId="77777777" w:rsidR="00295470" w:rsidRPr="002E3A12" w:rsidRDefault="00295470" w:rsidP="00BB385C">
            <w:pPr>
              <w:jc w:val="left"/>
              <w:rPr>
                <w:rFonts w:ascii="Arial Narrow" w:hAnsi="Arial Narrow"/>
                <w:b/>
                <w:sz w:val="18"/>
                <w:szCs w:val="18"/>
              </w:rPr>
            </w:pPr>
            <w:r w:rsidRPr="002E3A12">
              <w:rPr>
                <w:rFonts w:ascii="Arial Narrow" w:hAnsi="Arial Narrow"/>
                <w:sz w:val="18"/>
                <w:szCs w:val="18"/>
              </w:rPr>
              <w:t xml:space="preserve">Patients are eligible to receive continuing treatment with this drug in courses of up to 24 weeks providing they continue to sustain the response. </w:t>
            </w:r>
          </w:p>
        </w:tc>
      </w:tr>
      <w:tr w:rsidR="00295470" w:rsidRPr="002E3A12" w14:paraId="10D45FD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63F2DFF" w14:textId="77777777" w:rsidR="00295470" w:rsidRPr="002E3A12" w:rsidRDefault="00295470" w:rsidP="00BB385C">
            <w:pPr>
              <w:jc w:val="left"/>
              <w:rPr>
                <w:rFonts w:ascii="Arial Narrow" w:hAnsi="Arial Narrow"/>
                <w:sz w:val="18"/>
                <w:szCs w:val="18"/>
              </w:rPr>
            </w:pPr>
            <w:r w:rsidRPr="002E3A12">
              <w:rPr>
                <w:rFonts w:ascii="Arial Narrow" w:hAnsi="Arial Narrow"/>
                <w:b/>
                <w:sz w:val="18"/>
                <w:szCs w:val="18"/>
              </w:rPr>
              <w:t>Prescribing Instructions:</w:t>
            </w:r>
          </w:p>
        </w:tc>
      </w:tr>
      <w:tr w:rsidR="00295470" w:rsidRPr="002E3A12" w14:paraId="610513C4"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E6C6FAD" w14:textId="77777777" w:rsidR="00295470" w:rsidRPr="002E3A12" w:rsidRDefault="00295470" w:rsidP="00BB385C">
            <w:pPr>
              <w:rPr>
                <w:rFonts w:ascii="Arial Narrow" w:hAnsi="Arial Narrow"/>
                <w:sz w:val="18"/>
                <w:szCs w:val="18"/>
              </w:rPr>
            </w:pPr>
            <w:r w:rsidRPr="002E3A12">
              <w:rPr>
                <w:rFonts w:ascii="Arial Narrow" w:hAnsi="Arial Narrow"/>
                <w:sz w:val="18"/>
                <w:szCs w:val="18"/>
              </w:rPr>
              <w:t xml:space="preserve">At the time of the authority application, medical practitioners should request sufficient quantity for up to 24 weeks of treatment under this restriction. </w:t>
            </w:r>
          </w:p>
        </w:tc>
      </w:tr>
      <w:tr w:rsidR="00295470" w:rsidRPr="002E3A12" w14:paraId="5961FAB3"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AD430D4" w14:textId="77777777" w:rsidR="00295470" w:rsidRPr="002E3A12" w:rsidRDefault="00295470" w:rsidP="00BB385C">
            <w:pPr>
              <w:jc w:val="left"/>
              <w:rPr>
                <w:rFonts w:ascii="Arial Narrow" w:hAnsi="Arial Narrow"/>
                <w:sz w:val="18"/>
                <w:szCs w:val="18"/>
              </w:rPr>
            </w:pPr>
            <w:r w:rsidRPr="002E3A12">
              <w:rPr>
                <w:rFonts w:ascii="Arial Narrow" w:hAnsi="Arial Narrow"/>
                <w:b/>
                <w:sz w:val="18"/>
                <w:szCs w:val="18"/>
              </w:rPr>
              <w:t>Prescribing Instructions:</w:t>
            </w:r>
          </w:p>
        </w:tc>
      </w:tr>
      <w:tr w:rsidR="00295470" w:rsidRPr="002E3A12" w14:paraId="6531A13C"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EDB7C05" w14:textId="77777777" w:rsidR="00295470" w:rsidRPr="002E3A12" w:rsidRDefault="00295470" w:rsidP="00BB385C">
            <w:pPr>
              <w:rPr>
                <w:rFonts w:ascii="Arial Narrow" w:hAnsi="Arial Narrow"/>
                <w:sz w:val="18"/>
                <w:szCs w:val="18"/>
              </w:rPr>
            </w:pPr>
            <w:r w:rsidRPr="002E3A12">
              <w:rPr>
                <w:rFonts w:ascii="Arial Narrow" w:hAnsi="Arial Narrow"/>
                <w:sz w:val="18"/>
                <w:szCs w:val="18"/>
              </w:rPr>
              <w:t>Up to a maximum of 5 repeats will be authorised.</w:t>
            </w:r>
          </w:p>
        </w:tc>
      </w:tr>
      <w:tr w:rsidR="00295470" w:rsidRPr="002E3A12" w14:paraId="673A3E3B"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C035755" w14:textId="77777777" w:rsidR="00295470" w:rsidRPr="002E3A12" w:rsidRDefault="00295470" w:rsidP="00BB385C">
            <w:pPr>
              <w:jc w:val="left"/>
              <w:rPr>
                <w:rFonts w:ascii="Arial Narrow" w:hAnsi="Arial Narrow"/>
                <w:sz w:val="18"/>
                <w:szCs w:val="18"/>
              </w:rPr>
            </w:pPr>
            <w:r w:rsidRPr="002E3A12">
              <w:rPr>
                <w:rFonts w:ascii="Arial Narrow" w:hAnsi="Arial Narrow"/>
                <w:b/>
                <w:sz w:val="18"/>
                <w:szCs w:val="18"/>
              </w:rPr>
              <w:t>Prescribing Instructions:</w:t>
            </w:r>
          </w:p>
        </w:tc>
      </w:tr>
      <w:tr w:rsidR="00295470" w:rsidRPr="002E3A12" w14:paraId="79718215"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40723BEB" w14:textId="77777777" w:rsidR="00295470" w:rsidRPr="002E3A12" w:rsidRDefault="00295470" w:rsidP="00BB385C">
            <w:pPr>
              <w:rPr>
                <w:rFonts w:ascii="Arial Narrow" w:hAnsi="Arial Narrow"/>
                <w:sz w:val="18"/>
                <w:szCs w:val="18"/>
              </w:rPr>
            </w:pPr>
            <w:r w:rsidRPr="002E3A12">
              <w:rPr>
                <w:rFonts w:ascii="Arial Narrow" w:hAnsi="Arial Narrow" w:cs="Arial Narrow"/>
                <w:iCs/>
                <w:sz w:val="18"/>
                <w:szCs w:val="18"/>
              </w:rPr>
              <w:t xml:space="preserve">An application for the continuing treatment must be accompanied with the assessment of response conducted following a minimum of 12 weeks of therapy and no later than 4 weeks from </w:t>
            </w:r>
            <w:r w:rsidRPr="002E3A12">
              <w:rPr>
                <w:rFonts w:ascii="Arial Narrow" w:hAnsi="Arial Narrow" w:cs="Arial Narrow"/>
                <w:iCs/>
                <w:strike/>
                <w:sz w:val="18"/>
                <w:szCs w:val="18"/>
              </w:rPr>
              <w:t>cessation of the most recent course</w:t>
            </w:r>
            <w:r w:rsidRPr="002E3A12">
              <w:rPr>
                <w:rFonts w:ascii="Arial Narrow" w:hAnsi="Arial Narrow" w:cs="Arial Narrow"/>
                <w:iCs/>
                <w:sz w:val="18"/>
                <w:szCs w:val="18"/>
              </w:rPr>
              <w:t xml:space="preserve"> </w:t>
            </w:r>
            <w:r w:rsidRPr="002E3A12">
              <w:rPr>
                <w:rFonts w:ascii="Arial Narrow" w:hAnsi="Arial Narrow" w:cs="Arial Narrow"/>
                <w:i/>
                <w:iCs/>
                <w:sz w:val="18"/>
                <w:szCs w:val="18"/>
              </w:rPr>
              <w:t>the</w:t>
            </w:r>
            <w:r w:rsidRPr="002E3A12">
              <w:rPr>
                <w:rFonts w:ascii="Arial Narrow" w:hAnsi="Arial Narrow" w:cs="Arial Narrow"/>
                <w:iCs/>
                <w:sz w:val="18"/>
                <w:szCs w:val="18"/>
              </w:rPr>
              <w:t xml:space="preserve"> </w:t>
            </w:r>
            <w:r w:rsidRPr="002E3A12">
              <w:rPr>
                <w:rFonts w:ascii="Arial Narrow" w:hAnsi="Arial Narrow" w:cs="Arial Narrow"/>
                <w:i/>
                <w:iCs/>
                <w:sz w:val="18"/>
                <w:szCs w:val="18"/>
              </w:rPr>
              <w:t xml:space="preserve">date of completion </w:t>
            </w:r>
            <w:r w:rsidRPr="002E3A12">
              <w:rPr>
                <w:rFonts w:ascii="Arial Narrow" w:hAnsi="Arial Narrow" w:cs="Arial Narrow"/>
                <w:iCs/>
                <w:sz w:val="18"/>
                <w:szCs w:val="18"/>
              </w:rPr>
              <w:t xml:space="preserve">of treatment. This will enable ongoing treatment for those who meet the continuing restriction for PBS-subsidised treatment. </w:t>
            </w:r>
          </w:p>
        </w:tc>
      </w:tr>
      <w:tr w:rsidR="00295470" w:rsidRPr="002E3A12" w14:paraId="76C46C9C"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298460F" w14:textId="77777777" w:rsidR="00295470" w:rsidRPr="002E3A12" w:rsidRDefault="00295470" w:rsidP="00BB385C">
            <w:pPr>
              <w:jc w:val="left"/>
              <w:rPr>
                <w:rFonts w:ascii="Arial Narrow" w:hAnsi="Arial Narrow"/>
                <w:sz w:val="18"/>
                <w:szCs w:val="18"/>
              </w:rPr>
            </w:pPr>
            <w:r w:rsidRPr="002E3A12">
              <w:rPr>
                <w:rFonts w:ascii="Arial Narrow" w:hAnsi="Arial Narrow"/>
                <w:b/>
                <w:sz w:val="18"/>
                <w:szCs w:val="18"/>
              </w:rPr>
              <w:t>Prescribing Instructions:</w:t>
            </w:r>
          </w:p>
        </w:tc>
      </w:tr>
      <w:tr w:rsidR="00295470" w:rsidRPr="002E3A12" w14:paraId="364F270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887A198" w14:textId="77777777" w:rsidR="00295470" w:rsidRPr="002E3A12" w:rsidRDefault="00295470" w:rsidP="00BB385C">
            <w:pPr>
              <w:rPr>
                <w:rFonts w:ascii="Arial Narrow" w:hAnsi="Arial Narrow"/>
                <w:sz w:val="18"/>
                <w:szCs w:val="18"/>
              </w:rPr>
            </w:pPr>
            <w:r w:rsidRPr="002E3A12">
              <w:rPr>
                <w:rFonts w:ascii="Arial Narrow" w:hAnsi="Arial Narrow" w:cs="Arial Narrow"/>
                <w:iCs/>
                <w:sz w:val="18"/>
                <w:szCs w:val="18"/>
              </w:rPr>
              <w:t xml:space="preserve">Where a response assessment is not conducted within </w:t>
            </w:r>
            <w:r w:rsidRPr="002E3A12">
              <w:rPr>
                <w:rFonts w:ascii="Arial Narrow" w:hAnsi="Arial Narrow" w:cs="Arial Narrow"/>
                <w:iCs/>
                <w:strike/>
                <w:sz w:val="18"/>
                <w:szCs w:val="18"/>
              </w:rPr>
              <w:t>this</w:t>
            </w:r>
            <w:r w:rsidRPr="002E3A12">
              <w:rPr>
                <w:rFonts w:ascii="Arial Narrow" w:hAnsi="Arial Narrow" w:cs="Arial Narrow"/>
                <w:iCs/>
                <w:sz w:val="18"/>
                <w:szCs w:val="18"/>
              </w:rPr>
              <w:t xml:space="preserve"> </w:t>
            </w:r>
            <w:r w:rsidRPr="002E3A12">
              <w:rPr>
                <w:rFonts w:ascii="Arial Narrow" w:hAnsi="Arial Narrow" w:cs="Arial Narrow"/>
                <w:i/>
                <w:iCs/>
                <w:sz w:val="18"/>
                <w:szCs w:val="18"/>
              </w:rPr>
              <w:t>the required</w:t>
            </w:r>
            <w:r w:rsidRPr="002E3A12">
              <w:rPr>
                <w:rFonts w:ascii="Arial Narrow" w:hAnsi="Arial Narrow" w:cs="Arial Narrow"/>
                <w:iCs/>
                <w:sz w:val="18"/>
                <w:szCs w:val="18"/>
              </w:rPr>
              <w:t xml:space="preserve"> timeframe, the patient will be deemed to have failed to respond to treatment with this drug, unless the patient has experienced a serious adverse reaction of a severity resulting in the necessity for permanent withdrawal of treatment.</w:t>
            </w:r>
          </w:p>
        </w:tc>
      </w:tr>
      <w:tr w:rsidR="00295470" w:rsidRPr="002E3A12" w14:paraId="4C56DC88"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1599E79B" w14:textId="77777777" w:rsidR="00295470" w:rsidRPr="002E3A12" w:rsidRDefault="00295470" w:rsidP="00BB385C">
            <w:pPr>
              <w:jc w:val="left"/>
              <w:rPr>
                <w:rFonts w:ascii="Arial Narrow" w:hAnsi="Arial Narrow"/>
                <w:sz w:val="18"/>
                <w:szCs w:val="18"/>
              </w:rPr>
            </w:pPr>
            <w:r w:rsidRPr="002E3A12">
              <w:rPr>
                <w:rFonts w:ascii="Arial Narrow" w:hAnsi="Arial Narrow"/>
                <w:b/>
                <w:sz w:val="18"/>
                <w:szCs w:val="18"/>
              </w:rPr>
              <w:t>Prescribing Instructions:</w:t>
            </w:r>
          </w:p>
        </w:tc>
      </w:tr>
      <w:tr w:rsidR="00295470" w:rsidRPr="002E3A12" w14:paraId="18C8D63A"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3B57223A" w14:textId="77777777" w:rsidR="00295470" w:rsidRPr="002E3A12" w:rsidRDefault="00295470" w:rsidP="00BB385C">
            <w:pPr>
              <w:rPr>
                <w:rFonts w:ascii="Arial Narrow" w:hAnsi="Arial Narrow"/>
                <w:sz w:val="18"/>
                <w:szCs w:val="18"/>
              </w:rPr>
            </w:pPr>
            <w:r w:rsidRPr="002E3A12">
              <w:rPr>
                <w:rFonts w:ascii="Arial Narrow" w:hAnsi="Arial Narrow" w:cs="Arial Narrow"/>
                <w:iCs/>
                <w:sz w:val="18"/>
                <w:szCs w:val="18"/>
              </w:rPr>
              <w:t xml:space="preserve">If a patient fails to demonstrate a response to treatment with this drug they will not be eligible to receive further PBS-subsidised treatment with this drug for this condition </w:t>
            </w:r>
            <w:r w:rsidRPr="002E3A12">
              <w:rPr>
                <w:rFonts w:ascii="Arial Narrow" w:hAnsi="Arial Narrow" w:cs="Arial Narrow"/>
                <w:i/>
                <w:iCs/>
                <w:sz w:val="18"/>
                <w:szCs w:val="18"/>
              </w:rPr>
              <w:t>in this treatment cycle</w:t>
            </w:r>
            <w:r w:rsidRPr="002E3A12">
              <w:rPr>
                <w:rFonts w:ascii="Arial Narrow" w:hAnsi="Arial Narrow" w:cs="Arial Narrow"/>
                <w:iCs/>
                <w:sz w:val="18"/>
                <w:szCs w:val="18"/>
              </w:rPr>
              <w:t xml:space="preserve">. Serious adverse reaction of a severity resulting in the necessity for permanent withdrawal of treatment is not considered as a treatment failure. </w:t>
            </w:r>
          </w:p>
        </w:tc>
      </w:tr>
      <w:tr w:rsidR="00295470" w:rsidRPr="002E3A12" w14:paraId="057E3A40"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6BCF29A9" w14:textId="77777777" w:rsidR="00295470" w:rsidRPr="002E3A12" w:rsidRDefault="00295470" w:rsidP="00BB385C">
            <w:pPr>
              <w:jc w:val="left"/>
              <w:rPr>
                <w:rFonts w:ascii="Arial Narrow" w:hAnsi="Arial Narrow"/>
                <w:b/>
                <w:sz w:val="18"/>
                <w:szCs w:val="18"/>
              </w:rPr>
            </w:pPr>
            <w:r w:rsidRPr="002E3A12">
              <w:rPr>
                <w:rFonts w:ascii="Arial Narrow" w:hAnsi="Arial Narrow"/>
                <w:b/>
                <w:sz w:val="18"/>
                <w:szCs w:val="18"/>
              </w:rPr>
              <w:t>Prescribing Instructions:</w:t>
            </w:r>
          </w:p>
        </w:tc>
      </w:tr>
      <w:tr w:rsidR="00295470" w:rsidRPr="002E3A12" w14:paraId="06EEEB79"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568D547C" w14:textId="77777777" w:rsidR="00295470" w:rsidRPr="002E3A12" w:rsidRDefault="00295470" w:rsidP="00BB385C">
            <w:pPr>
              <w:rPr>
                <w:rFonts w:ascii="Arial Narrow" w:hAnsi="Arial Narrow"/>
                <w:sz w:val="18"/>
                <w:szCs w:val="18"/>
              </w:rPr>
            </w:pPr>
            <w:r w:rsidRPr="002E3A12">
              <w:rPr>
                <w:rFonts w:ascii="Arial Narrow" w:hAnsi="Arial Narrow" w:cs="Arial Narrow"/>
                <w:iCs/>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295470" w:rsidRPr="002E3A12" w14:paraId="31E4E4EE"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16CC2CF1" w14:textId="77777777" w:rsidR="00295470" w:rsidRPr="002E3A12" w:rsidRDefault="00295470" w:rsidP="00BB385C">
            <w:pPr>
              <w:rPr>
                <w:rFonts w:ascii="Arial Narrow" w:hAnsi="Arial Narrow"/>
                <w:sz w:val="18"/>
                <w:szCs w:val="18"/>
              </w:rPr>
            </w:pPr>
            <w:r w:rsidRPr="002E3A12">
              <w:rPr>
                <w:rFonts w:ascii="Arial Narrow" w:hAnsi="Arial Narrow"/>
                <w:b/>
                <w:bCs/>
                <w:sz w:val="18"/>
                <w:szCs w:val="18"/>
              </w:rPr>
              <w:t>Administrative Advice:</w:t>
            </w:r>
            <w:r w:rsidRPr="002E3A12">
              <w:rPr>
                <w:rFonts w:ascii="Arial Narrow" w:hAnsi="Arial Narrow"/>
                <w:sz w:val="18"/>
                <w:szCs w:val="18"/>
              </w:rPr>
              <w:t xml:space="preserve"> No increase in the maximum quantity or number of units may be authorised.</w:t>
            </w:r>
          </w:p>
        </w:tc>
      </w:tr>
      <w:tr w:rsidR="00295470" w:rsidRPr="002E3A12" w14:paraId="72CEA57D"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hideMark/>
          </w:tcPr>
          <w:p w14:paraId="352F4DF6" w14:textId="77777777" w:rsidR="00295470" w:rsidRPr="002E3A12" w:rsidRDefault="00295470" w:rsidP="00BB385C">
            <w:pPr>
              <w:rPr>
                <w:rFonts w:ascii="Arial Narrow" w:hAnsi="Arial Narrow"/>
                <w:sz w:val="18"/>
                <w:szCs w:val="18"/>
              </w:rPr>
            </w:pPr>
            <w:r w:rsidRPr="002E3A12">
              <w:rPr>
                <w:rFonts w:ascii="Arial Narrow" w:hAnsi="Arial Narrow"/>
                <w:b/>
                <w:bCs/>
                <w:sz w:val="18"/>
                <w:szCs w:val="18"/>
              </w:rPr>
              <w:t>Administrative Advice:</w:t>
            </w:r>
            <w:r w:rsidRPr="002E3A12">
              <w:rPr>
                <w:rFonts w:ascii="Arial Narrow" w:hAnsi="Arial Narrow"/>
                <w:sz w:val="18"/>
                <w:szCs w:val="18"/>
              </w:rPr>
              <w:t xml:space="preserve"> No increase in the maximum number of repeats may be authorised.</w:t>
            </w:r>
          </w:p>
        </w:tc>
      </w:tr>
      <w:tr w:rsidR="00295470" w:rsidRPr="002E3A12" w14:paraId="6DF12795" w14:textId="77777777" w:rsidTr="00295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5000" w:type="pct"/>
            <w:vAlign w:val="center"/>
          </w:tcPr>
          <w:p w14:paraId="7CAFA56A" w14:textId="77777777" w:rsidR="00295470" w:rsidRPr="002E3A12" w:rsidRDefault="00295470" w:rsidP="00BB385C">
            <w:pPr>
              <w:jc w:val="left"/>
              <w:rPr>
                <w:rFonts w:ascii="Arial Narrow" w:hAnsi="Arial Narrow"/>
                <w:b/>
                <w:sz w:val="18"/>
                <w:szCs w:val="18"/>
              </w:rPr>
            </w:pPr>
            <w:r w:rsidRPr="002E3A12">
              <w:rPr>
                <w:rFonts w:ascii="Arial Narrow" w:hAnsi="Arial Narrow"/>
                <w:b/>
                <w:sz w:val="18"/>
                <w:szCs w:val="18"/>
              </w:rPr>
              <w:t>Administrative Advice:</w:t>
            </w:r>
          </w:p>
          <w:p w14:paraId="7969E132" w14:textId="77777777" w:rsidR="00295470" w:rsidRPr="002E3A12" w:rsidRDefault="00295470" w:rsidP="00BB385C">
            <w:pPr>
              <w:spacing w:after="150"/>
              <w:rPr>
                <w:rFonts w:ascii="Arial Narrow" w:hAnsi="Arial Narrow" w:cs="Arial Narrow"/>
                <w:iCs/>
                <w:sz w:val="18"/>
                <w:szCs w:val="18"/>
              </w:rPr>
            </w:pPr>
            <w:r w:rsidRPr="002E3A12">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57887909" w14:textId="77777777" w:rsidR="00F122E0" w:rsidRDefault="00F122E0" w:rsidP="00F122E0">
      <w:pPr>
        <w:spacing w:after="160" w:line="259" w:lineRule="auto"/>
        <w:jc w:val="left"/>
        <w:rPr>
          <w:rFonts w:ascii="Arial Narrow" w:hAnsi="Arial Narrow"/>
          <w:b/>
          <w:sz w:val="18"/>
          <w:szCs w:val="18"/>
          <w:lang w:val="en-GB"/>
        </w:rPr>
      </w:pPr>
    </w:p>
    <w:p w14:paraId="29983C7E" w14:textId="77777777" w:rsidR="00993E4F" w:rsidRDefault="00993E4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F122E0" w14:paraId="78F7CBA9" w14:textId="77777777" w:rsidTr="00BB385C">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505568AB"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lastRenderedPageBreak/>
              <w:t>Name, Restriction,</w:t>
            </w:r>
          </w:p>
          <w:p w14:paraId="779D391E" w14:textId="77777777" w:rsidR="00F122E0" w:rsidRDefault="00F122E0" w:rsidP="00BB385C">
            <w:pPr>
              <w:keepNext/>
              <w:ind w:left="-108"/>
              <w:rPr>
                <w:rFonts w:ascii="Arial Narrow" w:hAnsi="Arial Narrow"/>
                <w:b/>
                <w:color w:val="000000" w:themeColor="text1"/>
                <w:sz w:val="18"/>
                <w:szCs w:val="18"/>
              </w:rPr>
            </w:pPr>
            <w:r>
              <w:rPr>
                <w:rFonts w:ascii="Arial Narrow" w:hAnsi="Arial Narrow"/>
                <w:b/>
                <w:color w:val="000000" w:themeColor="text1"/>
                <w:sz w:val="18"/>
                <w:szCs w:val="18"/>
              </w:rPr>
              <w:t>Manner of administration and form</w:t>
            </w:r>
          </w:p>
        </w:tc>
        <w:tc>
          <w:tcPr>
            <w:tcW w:w="471" w:type="pct"/>
            <w:tcBorders>
              <w:top w:val="single" w:sz="4" w:space="0" w:color="auto"/>
              <w:left w:val="single" w:sz="4" w:space="0" w:color="auto"/>
              <w:bottom w:val="single" w:sz="4" w:space="0" w:color="auto"/>
              <w:right w:val="single" w:sz="4" w:space="0" w:color="auto"/>
            </w:tcBorders>
            <w:hideMark/>
          </w:tcPr>
          <w:p w14:paraId="65A51B4C"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0A1525ED"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685CBD7A"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48DDDCFE"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№.of</w:t>
            </w:r>
          </w:p>
          <w:p w14:paraId="0273D6CA" w14:textId="77777777" w:rsidR="00F122E0" w:rsidRDefault="00F122E0" w:rsidP="00BB385C">
            <w:pPr>
              <w:keepNext/>
              <w:ind w:left="-108"/>
              <w:jc w:val="center"/>
              <w:rPr>
                <w:rFonts w:ascii="Arial Narrow" w:hAnsi="Arial Narrow"/>
                <w:b/>
                <w:color w:val="000000" w:themeColor="text1"/>
                <w:sz w:val="18"/>
                <w:szCs w:val="18"/>
              </w:rPr>
            </w:pPr>
            <w:r>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3103C70B" w14:textId="77777777" w:rsidR="00F122E0" w:rsidRDefault="00F122E0" w:rsidP="00BB385C">
            <w:pPr>
              <w:keepNext/>
              <w:rPr>
                <w:rFonts w:ascii="Arial Narrow" w:hAnsi="Arial Narrow"/>
                <w:b/>
                <w:color w:val="000000" w:themeColor="text1"/>
                <w:sz w:val="18"/>
                <w:szCs w:val="18"/>
                <w:lang w:val="fr-FR"/>
              </w:rPr>
            </w:pPr>
            <w:r>
              <w:rPr>
                <w:rFonts w:ascii="Arial Narrow" w:hAnsi="Arial Narrow"/>
                <w:b/>
                <w:color w:val="000000" w:themeColor="text1"/>
                <w:sz w:val="18"/>
                <w:szCs w:val="18"/>
              </w:rPr>
              <w:t>Proprietary Name and Manufacturer</w:t>
            </w:r>
          </w:p>
        </w:tc>
      </w:tr>
      <w:tr w:rsidR="00F122E0" w14:paraId="1336242F"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554CFAFE" w14:textId="77777777" w:rsidR="00F122E0" w:rsidRDefault="00F122E0" w:rsidP="00BB385C">
            <w:pPr>
              <w:keepNext/>
              <w:ind w:left="-108"/>
              <w:rPr>
                <w:rFonts w:ascii="Arial Narrow" w:hAnsi="Arial Narrow"/>
                <w:color w:val="000000" w:themeColor="text1"/>
                <w:sz w:val="18"/>
                <w:szCs w:val="18"/>
              </w:rPr>
            </w:pPr>
            <w:r>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0545D1FF"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6295D071"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286A70B8" w14:textId="77777777" w:rsidR="00F122E0" w:rsidRDefault="00F122E0" w:rsidP="00BB385C">
            <w:pPr>
              <w:keepNext/>
              <w:ind w:left="-108"/>
              <w:jc w:val="center"/>
              <w:rPr>
                <w:rFonts w:ascii="Arial Narrow" w:hAnsi="Arial Narrow"/>
                <w:color w:val="000000" w:themeColor="text1"/>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16730B61" w14:textId="77777777" w:rsidR="00F122E0" w:rsidRPr="00A44A65" w:rsidRDefault="00F122E0" w:rsidP="00BB385C">
            <w:pPr>
              <w:keepNext/>
              <w:ind w:left="-108"/>
              <w:jc w:val="center"/>
              <w:rPr>
                <w:rFonts w:ascii="Arial Narrow" w:hAnsi="Arial Narrow"/>
                <w:sz w:val="18"/>
                <w:szCs w:val="18"/>
              </w:rPr>
            </w:pPr>
            <w:r w:rsidRPr="00A44A65">
              <w:rPr>
                <w:rFonts w:ascii="Arial Narrow" w:hAnsi="Arial Narrow"/>
                <w:sz w:val="18"/>
                <w:szCs w:val="18"/>
              </w:rPr>
              <w:t xml:space="preserve"> 0</w:t>
            </w:r>
          </w:p>
        </w:tc>
        <w:tc>
          <w:tcPr>
            <w:tcW w:w="506" w:type="pct"/>
            <w:tcBorders>
              <w:top w:val="single" w:sz="4" w:space="0" w:color="auto"/>
              <w:left w:val="single" w:sz="4" w:space="0" w:color="auto"/>
              <w:bottom w:val="single" w:sz="4" w:space="0" w:color="auto"/>
              <w:right w:val="single" w:sz="4" w:space="0" w:color="auto"/>
            </w:tcBorders>
            <w:hideMark/>
          </w:tcPr>
          <w:p w14:paraId="5688351F"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426AB888" w14:textId="77777777" w:rsidR="00F122E0" w:rsidRDefault="00F122E0" w:rsidP="00BB385C">
            <w:pPr>
              <w:keepNext/>
              <w:rPr>
                <w:rFonts w:ascii="Arial Narrow" w:hAnsi="Arial Narrow"/>
                <w:color w:val="000000" w:themeColor="text1"/>
                <w:sz w:val="18"/>
                <w:szCs w:val="18"/>
              </w:rPr>
            </w:pPr>
            <w:r>
              <w:rPr>
                <w:rFonts w:ascii="Arial Narrow" w:hAnsi="Arial Narrow"/>
                <w:sz w:val="18"/>
                <w:szCs w:val="18"/>
              </w:rPr>
              <w:t>Celltrion Healthcare Australia Pty Ltd</w:t>
            </w:r>
          </w:p>
        </w:tc>
      </w:tr>
      <w:tr w:rsidR="00F122E0" w14:paraId="7733E55A" w14:textId="77777777" w:rsidTr="00BB385C">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1F16CC55" w14:textId="77777777" w:rsidR="00F122E0" w:rsidRDefault="00F122E0" w:rsidP="00BB385C">
            <w:pPr>
              <w:keepNext/>
              <w:ind w:left="-108"/>
              <w:rPr>
                <w:rFonts w:ascii="Arial Narrow" w:hAnsi="Arial Narrow" w:cstheme="minorHAnsi"/>
                <w:sz w:val="18"/>
                <w:szCs w:val="18"/>
              </w:rPr>
            </w:pPr>
            <w:r>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48A9A7A1"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2F90A1A8" w14:textId="77777777" w:rsidR="00F122E0" w:rsidRDefault="00F122E0" w:rsidP="00BB385C">
            <w:pPr>
              <w:keepNext/>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A967F86" w14:textId="77777777" w:rsidR="00F122E0" w:rsidRDefault="00F122E0" w:rsidP="00BB385C">
            <w:pPr>
              <w:keepNext/>
              <w:ind w:left="-108"/>
              <w:jc w:val="center"/>
              <w:rPr>
                <w:rFonts w:ascii="Arial Narrow" w:hAnsi="Arial Narrow"/>
                <w:sz w:val="18"/>
                <w:szCs w:val="18"/>
              </w:rPr>
            </w:pPr>
            <w:r>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5AA71B2F" w14:textId="77777777" w:rsidR="00F122E0" w:rsidRPr="00A44A65" w:rsidRDefault="00F122E0" w:rsidP="00BB385C">
            <w:pPr>
              <w:keepNext/>
              <w:ind w:left="-108"/>
              <w:jc w:val="center"/>
              <w:rPr>
                <w:rFonts w:ascii="Arial Narrow" w:hAnsi="Arial Narrow"/>
                <w:sz w:val="18"/>
                <w:szCs w:val="18"/>
              </w:rPr>
            </w:pPr>
            <w:r w:rsidRPr="00A44A65">
              <w:rPr>
                <w:rFonts w:ascii="Arial Narrow" w:hAnsi="Arial Narrow"/>
                <w:sz w:val="18"/>
                <w:szCs w:val="18"/>
              </w:rPr>
              <w:t>0</w:t>
            </w:r>
          </w:p>
        </w:tc>
        <w:tc>
          <w:tcPr>
            <w:tcW w:w="506" w:type="pct"/>
            <w:tcBorders>
              <w:top w:val="single" w:sz="4" w:space="0" w:color="auto"/>
              <w:left w:val="single" w:sz="4" w:space="0" w:color="auto"/>
              <w:bottom w:val="single" w:sz="4" w:space="0" w:color="auto"/>
              <w:right w:val="single" w:sz="4" w:space="0" w:color="auto"/>
            </w:tcBorders>
            <w:hideMark/>
          </w:tcPr>
          <w:p w14:paraId="57CABC4E" w14:textId="77777777" w:rsidR="00F122E0" w:rsidRDefault="00F122E0" w:rsidP="00BB385C">
            <w:pPr>
              <w:keepNext/>
              <w:rPr>
                <w:rFonts w:ascii="Arial Narrow" w:hAnsi="Arial Narrow"/>
                <w:sz w:val="18"/>
                <w:szCs w:val="18"/>
              </w:rPr>
            </w:pPr>
            <w:r>
              <w:rPr>
                <w:rFonts w:ascii="Arial Narrow" w:hAnsi="Arial Narrow"/>
                <w:sz w:val="18"/>
                <w:szCs w:val="18"/>
              </w:rPr>
              <w:t>Remsima</w:t>
            </w:r>
            <w:r>
              <w:rPr>
                <w:rFonts w:ascii="Arial Narrow" w:hAnsi="Arial Narrow"/>
                <w:sz w:val="18"/>
                <w:szCs w:val="18"/>
                <w:vertAlign w:val="superscript"/>
                <w:lang w:val="en-US"/>
              </w:rPr>
              <w:t xml:space="preserve">® </w:t>
            </w:r>
            <w:r>
              <w:rPr>
                <w:rFonts w:ascii="Arial Narrow" w:hAnsi="Arial Narrow"/>
                <w:sz w:val="18"/>
                <w:szCs w:val="18"/>
                <w:lang w:val="en-US"/>
              </w:rPr>
              <w:t>SC</w:t>
            </w:r>
          </w:p>
        </w:tc>
        <w:tc>
          <w:tcPr>
            <w:tcW w:w="789" w:type="pct"/>
            <w:tcBorders>
              <w:top w:val="single" w:sz="4" w:space="0" w:color="auto"/>
              <w:left w:val="single" w:sz="4" w:space="0" w:color="auto"/>
              <w:bottom w:val="single" w:sz="4" w:space="0" w:color="auto"/>
              <w:right w:val="single" w:sz="4" w:space="0" w:color="auto"/>
            </w:tcBorders>
            <w:hideMark/>
          </w:tcPr>
          <w:p w14:paraId="17A6DB33" w14:textId="77777777" w:rsidR="00F122E0" w:rsidRDefault="00F122E0" w:rsidP="00BB385C">
            <w:pPr>
              <w:keepNext/>
              <w:rPr>
                <w:rFonts w:ascii="Arial Narrow" w:hAnsi="Arial Narrow"/>
                <w:sz w:val="18"/>
                <w:szCs w:val="18"/>
              </w:rPr>
            </w:pPr>
            <w:r>
              <w:rPr>
                <w:rFonts w:ascii="Arial Narrow" w:hAnsi="Arial Narrow"/>
                <w:sz w:val="18"/>
                <w:szCs w:val="18"/>
              </w:rPr>
              <w:t>Celltrion Healthcare Australia Pty Ltd</w:t>
            </w:r>
          </w:p>
        </w:tc>
      </w:tr>
    </w:tbl>
    <w:tbl>
      <w:tblPr>
        <w:tblpPr w:leftFromText="180" w:rightFromText="180" w:vertAnchor="text" w:horzAnchor="margin" w:tblpY="4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295470" w:rsidRPr="0062746A" w14:paraId="23D29011" w14:textId="77777777" w:rsidTr="00295470">
        <w:tc>
          <w:tcPr>
            <w:tcW w:w="5000" w:type="pct"/>
            <w:tcBorders>
              <w:top w:val="single" w:sz="4" w:space="0" w:color="auto"/>
              <w:left w:val="single" w:sz="4" w:space="0" w:color="auto"/>
              <w:bottom w:val="single" w:sz="4" w:space="0" w:color="auto"/>
              <w:right w:val="single" w:sz="4" w:space="0" w:color="auto"/>
            </w:tcBorders>
          </w:tcPr>
          <w:p w14:paraId="1CF2A5E2" w14:textId="77777777" w:rsidR="00295470" w:rsidRPr="000067C2" w:rsidRDefault="00295470" w:rsidP="00BB385C">
            <w:pPr>
              <w:rPr>
                <w:rFonts w:ascii="Arial Narrow" w:hAnsi="Arial Narrow"/>
                <w:sz w:val="18"/>
                <w:szCs w:val="18"/>
              </w:rPr>
            </w:pPr>
            <w:r w:rsidRPr="000067C2">
              <w:rPr>
                <w:rFonts w:ascii="Arial Narrow" w:hAnsi="Arial Narrow"/>
                <w:b/>
                <w:sz w:val="18"/>
                <w:szCs w:val="18"/>
              </w:rPr>
              <w:t xml:space="preserve">Category / Program:   </w:t>
            </w:r>
            <w:r w:rsidRPr="000067C2">
              <w:rPr>
                <w:rFonts w:ascii="Arial Narrow" w:hAnsi="Arial Narrow"/>
                <w:sz w:val="18"/>
                <w:szCs w:val="18"/>
              </w:rPr>
              <w:t xml:space="preserve">GENERAL – General Schedule (Code GE) </w:t>
            </w:r>
          </w:p>
        </w:tc>
      </w:tr>
      <w:tr w:rsidR="00295470" w:rsidRPr="0062746A" w14:paraId="3A72CB66" w14:textId="77777777" w:rsidTr="00295470">
        <w:trPr>
          <w:trHeight w:val="240"/>
        </w:trPr>
        <w:tc>
          <w:tcPr>
            <w:tcW w:w="5000" w:type="pct"/>
            <w:tcBorders>
              <w:top w:val="single" w:sz="4" w:space="0" w:color="auto"/>
              <w:left w:val="single" w:sz="4" w:space="0" w:color="auto"/>
              <w:bottom w:val="single" w:sz="4" w:space="0" w:color="auto"/>
              <w:right w:val="single" w:sz="4" w:space="0" w:color="auto"/>
            </w:tcBorders>
          </w:tcPr>
          <w:p w14:paraId="5FEDA228" w14:textId="77777777" w:rsidR="00295470" w:rsidRPr="000067C2" w:rsidRDefault="00295470" w:rsidP="00BB385C">
            <w:pPr>
              <w:rPr>
                <w:rFonts w:ascii="Arial Narrow" w:hAnsi="Arial Narrow"/>
                <w:b/>
                <w:sz w:val="18"/>
                <w:szCs w:val="18"/>
              </w:rPr>
            </w:pPr>
            <w:r w:rsidRPr="000067C2">
              <w:rPr>
                <w:rFonts w:ascii="Arial Narrow" w:hAnsi="Arial Narrow"/>
                <w:b/>
                <w:sz w:val="18"/>
                <w:szCs w:val="18"/>
              </w:rPr>
              <w:t xml:space="preserve">Prescriber type:   </w:t>
            </w:r>
            <w:r w:rsidRPr="000067C2">
              <w:rPr>
                <w:rFonts w:ascii="Arial Narrow" w:hAnsi="Arial Narrow"/>
                <w:sz w:val="18"/>
                <w:szCs w:val="18"/>
              </w:rPr>
              <w:fldChar w:fldCharType="begin">
                <w:ffData>
                  <w:name w:val="Check1"/>
                  <w:enabled/>
                  <w:calcOnExit w:val="0"/>
                  <w:checkBox>
                    <w:sizeAuto/>
                    <w:default w:val="0"/>
                  </w:checkBox>
                </w:ffData>
              </w:fldChar>
            </w:r>
            <w:r w:rsidRPr="000067C2">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0067C2">
              <w:rPr>
                <w:rFonts w:ascii="Arial Narrow" w:hAnsi="Arial Narrow"/>
                <w:sz w:val="18"/>
                <w:szCs w:val="18"/>
              </w:rPr>
              <w:fldChar w:fldCharType="end"/>
            </w:r>
            <w:r w:rsidRPr="000067C2">
              <w:rPr>
                <w:rFonts w:ascii="Arial Narrow" w:hAnsi="Arial Narrow"/>
                <w:sz w:val="18"/>
                <w:szCs w:val="18"/>
              </w:rPr>
              <w:t xml:space="preserve">Dental    </w:t>
            </w:r>
            <w:r w:rsidRPr="000067C2">
              <w:rPr>
                <w:rFonts w:ascii="Arial Narrow" w:hAnsi="Arial Narrow"/>
                <w:sz w:val="18"/>
                <w:szCs w:val="18"/>
              </w:rPr>
              <w:fldChar w:fldCharType="begin">
                <w:ffData>
                  <w:name w:val=""/>
                  <w:enabled/>
                  <w:calcOnExit w:val="0"/>
                  <w:checkBox>
                    <w:sizeAuto/>
                    <w:default w:val="1"/>
                  </w:checkBox>
                </w:ffData>
              </w:fldChar>
            </w:r>
            <w:r w:rsidRPr="000067C2">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0067C2">
              <w:rPr>
                <w:rFonts w:ascii="Arial Narrow" w:hAnsi="Arial Narrow"/>
                <w:sz w:val="18"/>
                <w:szCs w:val="18"/>
              </w:rPr>
              <w:fldChar w:fldCharType="end"/>
            </w:r>
            <w:r w:rsidRPr="000067C2">
              <w:rPr>
                <w:rFonts w:ascii="Arial Narrow" w:hAnsi="Arial Narrow"/>
                <w:sz w:val="18"/>
                <w:szCs w:val="18"/>
              </w:rPr>
              <w:t xml:space="preserve">Medical Practitioners    </w:t>
            </w:r>
            <w:r w:rsidRPr="000067C2">
              <w:rPr>
                <w:rFonts w:ascii="Arial Narrow" w:hAnsi="Arial Narrow"/>
                <w:sz w:val="18"/>
                <w:szCs w:val="18"/>
              </w:rPr>
              <w:fldChar w:fldCharType="begin">
                <w:ffData>
                  <w:name w:val="Check3"/>
                  <w:enabled/>
                  <w:calcOnExit w:val="0"/>
                  <w:checkBox>
                    <w:sizeAuto/>
                    <w:default w:val="0"/>
                  </w:checkBox>
                </w:ffData>
              </w:fldChar>
            </w:r>
            <w:r w:rsidRPr="000067C2">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0067C2">
              <w:rPr>
                <w:rFonts w:ascii="Arial Narrow" w:hAnsi="Arial Narrow"/>
                <w:sz w:val="18"/>
                <w:szCs w:val="18"/>
              </w:rPr>
              <w:fldChar w:fldCharType="end"/>
            </w:r>
            <w:r w:rsidRPr="000067C2">
              <w:rPr>
                <w:rFonts w:ascii="Arial Narrow" w:hAnsi="Arial Narrow"/>
                <w:sz w:val="18"/>
                <w:szCs w:val="18"/>
              </w:rPr>
              <w:t xml:space="preserve">Nurse practitioners     </w:t>
            </w:r>
            <w:r w:rsidRPr="000067C2">
              <w:rPr>
                <w:rFonts w:ascii="Arial Narrow" w:hAnsi="Arial Narrow"/>
                <w:sz w:val="18"/>
                <w:szCs w:val="18"/>
              </w:rPr>
              <w:fldChar w:fldCharType="begin">
                <w:ffData>
                  <w:name w:val=""/>
                  <w:enabled/>
                  <w:calcOnExit w:val="0"/>
                  <w:checkBox>
                    <w:sizeAuto/>
                    <w:default w:val="0"/>
                  </w:checkBox>
                </w:ffData>
              </w:fldChar>
            </w:r>
            <w:r w:rsidRPr="000067C2">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0067C2">
              <w:rPr>
                <w:rFonts w:ascii="Arial Narrow" w:hAnsi="Arial Narrow"/>
                <w:sz w:val="18"/>
                <w:szCs w:val="18"/>
              </w:rPr>
              <w:fldChar w:fldCharType="end"/>
            </w:r>
            <w:r w:rsidRPr="000067C2">
              <w:rPr>
                <w:rFonts w:ascii="Arial Narrow" w:hAnsi="Arial Narrow"/>
                <w:sz w:val="18"/>
                <w:szCs w:val="18"/>
              </w:rPr>
              <w:t xml:space="preserve">Optometrists    </w:t>
            </w:r>
            <w:r w:rsidRPr="000067C2">
              <w:rPr>
                <w:rFonts w:ascii="Arial Narrow" w:hAnsi="Arial Narrow"/>
                <w:sz w:val="18"/>
                <w:szCs w:val="18"/>
              </w:rPr>
              <w:fldChar w:fldCharType="begin">
                <w:ffData>
                  <w:name w:val="Check5"/>
                  <w:enabled/>
                  <w:calcOnExit w:val="0"/>
                  <w:checkBox>
                    <w:sizeAuto/>
                    <w:default w:val="0"/>
                  </w:checkBox>
                </w:ffData>
              </w:fldChar>
            </w:r>
            <w:r w:rsidRPr="000067C2">
              <w:rPr>
                <w:rFonts w:ascii="Arial Narrow" w:hAnsi="Arial Narrow"/>
                <w:sz w:val="18"/>
                <w:szCs w:val="18"/>
              </w:rPr>
              <w:instrText xml:space="preserve"> FORMCHECKBOX </w:instrText>
            </w:r>
            <w:r w:rsidR="00E515FB">
              <w:rPr>
                <w:rFonts w:ascii="Arial Narrow" w:hAnsi="Arial Narrow"/>
                <w:sz w:val="18"/>
                <w:szCs w:val="18"/>
              </w:rPr>
            </w:r>
            <w:r w:rsidR="00E515FB">
              <w:rPr>
                <w:rFonts w:ascii="Arial Narrow" w:hAnsi="Arial Narrow"/>
                <w:sz w:val="18"/>
                <w:szCs w:val="18"/>
              </w:rPr>
              <w:fldChar w:fldCharType="separate"/>
            </w:r>
            <w:r w:rsidRPr="000067C2">
              <w:rPr>
                <w:rFonts w:ascii="Arial Narrow" w:hAnsi="Arial Narrow"/>
                <w:sz w:val="18"/>
                <w:szCs w:val="18"/>
              </w:rPr>
              <w:fldChar w:fldCharType="end"/>
            </w:r>
            <w:r w:rsidRPr="000067C2">
              <w:rPr>
                <w:rFonts w:ascii="Arial Narrow" w:hAnsi="Arial Narrow"/>
                <w:sz w:val="18"/>
                <w:szCs w:val="18"/>
              </w:rPr>
              <w:t>Midwives</w:t>
            </w:r>
          </w:p>
        </w:tc>
      </w:tr>
      <w:tr w:rsidR="00295470" w:rsidRPr="0062746A" w14:paraId="5BA2932E" w14:textId="77777777" w:rsidTr="00295470">
        <w:tc>
          <w:tcPr>
            <w:tcW w:w="5000" w:type="pct"/>
            <w:tcBorders>
              <w:top w:val="single" w:sz="4" w:space="0" w:color="auto"/>
              <w:left w:val="single" w:sz="4" w:space="0" w:color="auto"/>
              <w:bottom w:val="single" w:sz="4" w:space="0" w:color="auto"/>
              <w:right w:val="single" w:sz="4" w:space="0" w:color="auto"/>
            </w:tcBorders>
          </w:tcPr>
          <w:p w14:paraId="60F1CCFD" w14:textId="77777777" w:rsidR="00295470" w:rsidRPr="000067C2" w:rsidRDefault="00295470" w:rsidP="00BB385C">
            <w:pPr>
              <w:rPr>
                <w:rFonts w:ascii="Arial Narrow" w:eastAsia="Calibri" w:hAnsi="Arial Narrow"/>
                <w:sz w:val="18"/>
                <w:szCs w:val="18"/>
              </w:rPr>
            </w:pPr>
            <w:r w:rsidRPr="000067C2">
              <w:rPr>
                <w:rFonts w:ascii="Arial Narrow" w:hAnsi="Arial Narrow"/>
                <w:b/>
                <w:sz w:val="18"/>
                <w:szCs w:val="18"/>
              </w:rPr>
              <w:t xml:space="preserve">Restriction Type – </w:t>
            </w:r>
            <w:r w:rsidRPr="000067C2">
              <w:rPr>
                <w:rFonts w:ascii="Arial Narrow" w:eastAsia="Calibri" w:hAnsi="Arial Narrow"/>
                <w:sz w:val="18"/>
                <w:szCs w:val="18"/>
              </w:rPr>
              <w:fldChar w:fldCharType="begin">
                <w:ffData>
                  <w:name w:val=""/>
                  <w:enabled/>
                  <w:calcOnExit w:val="0"/>
                  <w:checkBox>
                    <w:sizeAuto/>
                    <w:default w:val="1"/>
                  </w:checkBox>
                </w:ffData>
              </w:fldChar>
            </w:r>
            <w:r w:rsidRPr="000067C2">
              <w:rPr>
                <w:rFonts w:ascii="Arial Narrow" w:eastAsia="Calibri" w:hAnsi="Arial Narrow"/>
                <w:sz w:val="18"/>
                <w:szCs w:val="18"/>
              </w:rPr>
              <w:instrText xml:space="preserve"> FORMCHECKBOX </w:instrText>
            </w:r>
            <w:r w:rsidR="00E515FB">
              <w:rPr>
                <w:rFonts w:ascii="Arial Narrow" w:eastAsia="Calibri" w:hAnsi="Arial Narrow"/>
                <w:sz w:val="18"/>
                <w:szCs w:val="18"/>
              </w:rPr>
            </w:r>
            <w:r w:rsidR="00E515FB">
              <w:rPr>
                <w:rFonts w:ascii="Arial Narrow" w:eastAsia="Calibri" w:hAnsi="Arial Narrow"/>
                <w:sz w:val="18"/>
                <w:szCs w:val="18"/>
              </w:rPr>
              <w:fldChar w:fldCharType="separate"/>
            </w:r>
            <w:r w:rsidRPr="000067C2">
              <w:rPr>
                <w:rFonts w:ascii="Arial Narrow" w:eastAsia="Calibri" w:hAnsi="Arial Narrow"/>
                <w:sz w:val="18"/>
                <w:szCs w:val="18"/>
              </w:rPr>
              <w:fldChar w:fldCharType="end"/>
            </w:r>
            <w:r w:rsidRPr="000067C2">
              <w:rPr>
                <w:rFonts w:ascii="Arial Narrow" w:eastAsia="Calibri" w:hAnsi="Arial Narrow"/>
                <w:sz w:val="18"/>
                <w:szCs w:val="18"/>
              </w:rPr>
              <w:t xml:space="preserve"> Authority Required – immediate/real time assessment by Medicare (telephone/online/emergency)</w:t>
            </w:r>
          </w:p>
          <w:p w14:paraId="3751E3F2" w14:textId="77777777" w:rsidR="00295470" w:rsidRPr="000067C2" w:rsidRDefault="00295470" w:rsidP="00BB385C">
            <w:pPr>
              <w:rPr>
                <w:rFonts w:ascii="Arial Narrow" w:eastAsia="Calibri" w:hAnsi="Arial Narrow"/>
                <w:sz w:val="18"/>
                <w:szCs w:val="18"/>
              </w:rPr>
            </w:pPr>
          </w:p>
        </w:tc>
      </w:tr>
      <w:tr w:rsidR="00295470" w:rsidRPr="0062746A" w14:paraId="058625B5" w14:textId="77777777" w:rsidTr="00295470">
        <w:tc>
          <w:tcPr>
            <w:tcW w:w="5000" w:type="pct"/>
            <w:vAlign w:val="center"/>
          </w:tcPr>
          <w:p w14:paraId="06F52481" w14:textId="77777777" w:rsidR="00295470" w:rsidRPr="000067C2" w:rsidRDefault="00295470" w:rsidP="00BB385C">
            <w:pPr>
              <w:rPr>
                <w:rFonts w:ascii="Arial Narrow" w:hAnsi="Arial Narrow"/>
                <w:b/>
                <w:bCs/>
                <w:sz w:val="18"/>
                <w:szCs w:val="18"/>
              </w:rPr>
            </w:pPr>
            <w:r w:rsidRPr="000067C2">
              <w:rPr>
                <w:rFonts w:ascii="Arial Narrow" w:hAnsi="Arial Narrow"/>
                <w:b/>
                <w:bCs/>
                <w:sz w:val="18"/>
                <w:szCs w:val="18"/>
              </w:rPr>
              <w:t xml:space="preserve">Severity: </w:t>
            </w:r>
            <w:r w:rsidRPr="000067C2">
              <w:rPr>
                <w:rFonts w:ascii="Arial Narrow" w:hAnsi="Arial Narrow"/>
                <w:bCs/>
                <w:sz w:val="18"/>
                <w:szCs w:val="18"/>
              </w:rPr>
              <w:t>Moderate to severe</w:t>
            </w:r>
          </w:p>
        </w:tc>
      </w:tr>
      <w:tr w:rsidR="00295470" w:rsidRPr="0062746A" w14:paraId="5F57BC84" w14:textId="77777777" w:rsidTr="00295470">
        <w:tc>
          <w:tcPr>
            <w:tcW w:w="5000" w:type="pct"/>
            <w:vAlign w:val="center"/>
          </w:tcPr>
          <w:p w14:paraId="0661571E" w14:textId="77777777" w:rsidR="00295470" w:rsidRPr="000067C2" w:rsidRDefault="00295470" w:rsidP="00BB385C">
            <w:pPr>
              <w:rPr>
                <w:rFonts w:ascii="Arial Narrow" w:hAnsi="Arial Narrow"/>
                <w:b/>
                <w:bCs/>
                <w:sz w:val="18"/>
                <w:szCs w:val="18"/>
              </w:rPr>
            </w:pPr>
            <w:r w:rsidRPr="000067C2">
              <w:rPr>
                <w:rFonts w:ascii="Arial Narrow" w:hAnsi="Arial Narrow"/>
                <w:b/>
                <w:bCs/>
                <w:sz w:val="18"/>
                <w:szCs w:val="18"/>
              </w:rPr>
              <w:t xml:space="preserve">Condition: </w:t>
            </w:r>
            <w:r w:rsidRPr="000067C2">
              <w:rPr>
                <w:rFonts w:ascii="Arial Narrow" w:hAnsi="Arial Narrow"/>
                <w:bCs/>
                <w:sz w:val="18"/>
                <w:szCs w:val="18"/>
              </w:rPr>
              <w:t>Ulcerative colitis</w:t>
            </w:r>
          </w:p>
        </w:tc>
      </w:tr>
      <w:tr w:rsidR="00295470" w:rsidRPr="0062746A" w14:paraId="33219BDA" w14:textId="77777777" w:rsidTr="00295470">
        <w:tc>
          <w:tcPr>
            <w:tcW w:w="5000" w:type="pct"/>
            <w:vAlign w:val="center"/>
            <w:hideMark/>
          </w:tcPr>
          <w:p w14:paraId="43E7EAA5"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Indication:</w:t>
            </w:r>
            <w:r w:rsidRPr="000067C2">
              <w:rPr>
                <w:rFonts w:ascii="Arial Narrow" w:hAnsi="Arial Narrow"/>
                <w:sz w:val="18"/>
                <w:szCs w:val="18"/>
              </w:rPr>
              <w:t xml:space="preserve"> Moderate to severe ulcerative colitis</w:t>
            </w:r>
          </w:p>
        </w:tc>
      </w:tr>
      <w:tr w:rsidR="00295470" w:rsidRPr="0062746A" w14:paraId="5347500C" w14:textId="77777777" w:rsidTr="00295470">
        <w:tc>
          <w:tcPr>
            <w:tcW w:w="5000" w:type="pct"/>
            <w:vAlign w:val="center"/>
            <w:hideMark/>
          </w:tcPr>
          <w:p w14:paraId="2B64C0DB"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Treatment Phase:</w:t>
            </w:r>
            <w:r w:rsidRPr="000067C2">
              <w:rPr>
                <w:rFonts w:ascii="Arial Narrow" w:hAnsi="Arial Narrow"/>
                <w:sz w:val="18"/>
                <w:szCs w:val="18"/>
              </w:rPr>
              <w:t xml:space="preserve"> </w:t>
            </w:r>
            <w:r w:rsidRPr="000067C2">
              <w:rPr>
                <w:rFonts w:ascii="Arial Narrow" w:hAnsi="Arial Narrow"/>
                <w:b/>
                <w:i/>
                <w:sz w:val="18"/>
                <w:szCs w:val="18"/>
              </w:rPr>
              <w:t xml:space="preserve"> </w:t>
            </w:r>
            <w:r w:rsidRPr="000067C2">
              <w:rPr>
                <w:rFonts w:ascii="Arial Narrow" w:hAnsi="Arial Narrow"/>
                <w:b/>
                <w:sz w:val="18"/>
                <w:szCs w:val="18"/>
              </w:rPr>
              <w:t>Initial treatment or continuing treatment with subcutaneous form - Balance of supply</w:t>
            </w:r>
          </w:p>
        </w:tc>
      </w:tr>
      <w:tr w:rsidR="00295470" w:rsidRPr="0062746A" w14:paraId="57E733DE" w14:textId="77777777" w:rsidTr="00295470">
        <w:tc>
          <w:tcPr>
            <w:tcW w:w="5000" w:type="pct"/>
            <w:vAlign w:val="center"/>
          </w:tcPr>
          <w:p w14:paraId="71D6C8EE" w14:textId="77777777" w:rsidR="00295470" w:rsidRPr="000067C2" w:rsidRDefault="00295470" w:rsidP="00BB385C">
            <w:pPr>
              <w:rPr>
                <w:rFonts w:ascii="Arial Narrow" w:hAnsi="Arial Narrow"/>
                <w:b/>
                <w:bCs/>
                <w:sz w:val="18"/>
                <w:szCs w:val="18"/>
              </w:rPr>
            </w:pPr>
            <w:r w:rsidRPr="000067C2">
              <w:rPr>
                <w:rFonts w:ascii="Arial Narrow" w:hAnsi="Arial Narrow"/>
                <w:b/>
                <w:bCs/>
                <w:sz w:val="18"/>
                <w:szCs w:val="18"/>
              </w:rPr>
              <w:t>Treatment criteria:</w:t>
            </w:r>
          </w:p>
        </w:tc>
      </w:tr>
      <w:tr w:rsidR="00295470" w:rsidRPr="0062746A" w14:paraId="1645F54A" w14:textId="77777777" w:rsidTr="00295470">
        <w:tc>
          <w:tcPr>
            <w:tcW w:w="5000" w:type="pct"/>
            <w:vAlign w:val="center"/>
          </w:tcPr>
          <w:p w14:paraId="5BBDAA95" w14:textId="77777777" w:rsidR="00295470" w:rsidRPr="000067C2" w:rsidRDefault="00295470" w:rsidP="00BB385C">
            <w:pPr>
              <w:rPr>
                <w:rFonts w:ascii="Arial Narrow" w:hAnsi="Arial Narrow"/>
                <w:bCs/>
                <w:sz w:val="18"/>
                <w:szCs w:val="18"/>
              </w:rPr>
            </w:pPr>
            <w:r w:rsidRPr="000067C2">
              <w:rPr>
                <w:rFonts w:ascii="Arial Narrow" w:hAnsi="Arial Narrow"/>
                <w:bCs/>
                <w:sz w:val="18"/>
                <w:szCs w:val="18"/>
              </w:rPr>
              <w:t>Must be treated by a gastroenterologist; or</w:t>
            </w:r>
          </w:p>
        </w:tc>
      </w:tr>
      <w:tr w:rsidR="00295470" w:rsidRPr="0062746A" w14:paraId="6C776CD4" w14:textId="77777777" w:rsidTr="00295470">
        <w:tc>
          <w:tcPr>
            <w:tcW w:w="5000" w:type="pct"/>
            <w:vAlign w:val="center"/>
          </w:tcPr>
          <w:p w14:paraId="14DFE596" w14:textId="77777777" w:rsidR="00295470" w:rsidRPr="000067C2" w:rsidRDefault="00295470" w:rsidP="00BB385C">
            <w:pPr>
              <w:rPr>
                <w:rFonts w:ascii="Arial Narrow" w:hAnsi="Arial Narrow"/>
                <w:bCs/>
                <w:sz w:val="18"/>
                <w:szCs w:val="18"/>
              </w:rPr>
            </w:pPr>
            <w:r w:rsidRPr="000067C2">
              <w:rPr>
                <w:rFonts w:ascii="Arial Narrow" w:hAnsi="Arial Narrow"/>
                <w:bCs/>
                <w:sz w:val="18"/>
                <w:szCs w:val="18"/>
              </w:rPr>
              <w:t>Must be treated by a consultant physician [internal medicine specialising in gastroenterology]; or</w:t>
            </w:r>
          </w:p>
        </w:tc>
      </w:tr>
      <w:tr w:rsidR="00295470" w:rsidRPr="0062746A" w14:paraId="0495BB72" w14:textId="77777777" w:rsidTr="00295470">
        <w:tc>
          <w:tcPr>
            <w:tcW w:w="5000" w:type="pct"/>
            <w:vAlign w:val="center"/>
          </w:tcPr>
          <w:p w14:paraId="3C96E9D7" w14:textId="77777777" w:rsidR="00295470" w:rsidRPr="000067C2" w:rsidRDefault="00295470" w:rsidP="00BB385C">
            <w:pPr>
              <w:rPr>
                <w:rFonts w:ascii="Arial Narrow" w:hAnsi="Arial Narrow"/>
                <w:bCs/>
                <w:sz w:val="18"/>
                <w:szCs w:val="18"/>
              </w:rPr>
            </w:pPr>
            <w:r w:rsidRPr="000067C2">
              <w:rPr>
                <w:rFonts w:ascii="Arial Narrow" w:hAnsi="Arial Narrow"/>
                <w:bCs/>
                <w:sz w:val="18"/>
                <w:szCs w:val="18"/>
              </w:rPr>
              <w:t>Must be treated by a consultant physician [general medicine specialising in gastroenterology]</w:t>
            </w:r>
          </w:p>
        </w:tc>
      </w:tr>
      <w:tr w:rsidR="00295470" w:rsidRPr="0062746A" w14:paraId="0880AC53" w14:textId="77777777" w:rsidTr="00295470">
        <w:tc>
          <w:tcPr>
            <w:tcW w:w="5000" w:type="pct"/>
            <w:vAlign w:val="center"/>
          </w:tcPr>
          <w:p w14:paraId="7F44ABD3" w14:textId="77777777" w:rsidR="00295470" w:rsidRPr="000067C2" w:rsidRDefault="00295470" w:rsidP="00BB385C">
            <w:pPr>
              <w:rPr>
                <w:rFonts w:ascii="Arial Narrow" w:hAnsi="Arial Narrow"/>
                <w:b/>
                <w:bCs/>
                <w:sz w:val="18"/>
                <w:szCs w:val="18"/>
              </w:rPr>
            </w:pPr>
            <w:r w:rsidRPr="000067C2">
              <w:rPr>
                <w:rFonts w:ascii="Arial Narrow" w:hAnsi="Arial Narrow"/>
                <w:b/>
                <w:bCs/>
                <w:sz w:val="18"/>
                <w:szCs w:val="18"/>
              </w:rPr>
              <w:t>AND</w:t>
            </w:r>
          </w:p>
        </w:tc>
      </w:tr>
      <w:tr w:rsidR="00295470" w:rsidRPr="0062746A" w14:paraId="301F6248" w14:textId="77777777" w:rsidTr="00295470">
        <w:tc>
          <w:tcPr>
            <w:tcW w:w="5000" w:type="pct"/>
            <w:vAlign w:val="center"/>
            <w:hideMark/>
          </w:tcPr>
          <w:p w14:paraId="4B5FAA91"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Clinical criteria:</w:t>
            </w:r>
          </w:p>
        </w:tc>
      </w:tr>
      <w:tr w:rsidR="00295470" w:rsidRPr="0062746A" w14:paraId="02F9DF5A" w14:textId="77777777" w:rsidTr="00295470">
        <w:tc>
          <w:tcPr>
            <w:tcW w:w="5000" w:type="pct"/>
            <w:hideMark/>
          </w:tcPr>
          <w:p w14:paraId="3F0A2352" w14:textId="77777777" w:rsidR="00295470" w:rsidRPr="000067C2" w:rsidRDefault="00295470" w:rsidP="00BB385C">
            <w:pPr>
              <w:pStyle w:val="CommentText"/>
              <w:rPr>
                <w:rFonts w:ascii="Arial Narrow" w:hAnsi="Arial Narrow"/>
                <w:sz w:val="18"/>
                <w:szCs w:val="18"/>
              </w:rPr>
            </w:pPr>
            <w:r w:rsidRPr="000067C2">
              <w:rPr>
                <w:rFonts w:ascii="Arial Narrow" w:hAnsi="Arial Narrow"/>
                <w:sz w:val="18"/>
                <w:szCs w:val="18"/>
              </w:rPr>
              <w:t>Patient must have received insufficient therapy with this drug under the Initial treatment with subcutaneous form to complete 14 to 16 weeks treatment; OR</w:t>
            </w:r>
          </w:p>
        </w:tc>
      </w:tr>
      <w:tr w:rsidR="00295470" w:rsidRPr="0062746A" w14:paraId="08DD2167" w14:textId="77777777" w:rsidTr="00295470">
        <w:tc>
          <w:tcPr>
            <w:tcW w:w="5000" w:type="pct"/>
          </w:tcPr>
          <w:p w14:paraId="46FA3C03" w14:textId="77777777" w:rsidR="00295470" w:rsidRPr="000067C2" w:rsidRDefault="00295470" w:rsidP="00BB385C">
            <w:pPr>
              <w:pStyle w:val="CommentText"/>
              <w:rPr>
                <w:rFonts w:ascii="Arial Narrow" w:hAnsi="Arial Narrow"/>
                <w:sz w:val="18"/>
                <w:szCs w:val="18"/>
              </w:rPr>
            </w:pPr>
            <w:r w:rsidRPr="000067C2">
              <w:rPr>
                <w:rFonts w:ascii="Arial Narrow" w:hAnsi="Arial Narrow"/>
                <w:b/>
                <w:bCs/>
                <w:sz w:val="18"/>
                <w:szCs w:val="18"/>
              </w:rPr>
              <w:t>Clinical criteria:</w:t>
            </w:r>
          </w:p>
        </w:tc>
      </w:tr>
      <w:tr w:rsidR="00295470" w:rsidRPr="0062746A" w14:paraId="76EE0BAE" w14:textId="77777777" w:rsidTr="00295470">
        <w:tc>
          <w:tcPr>
            <w:tcW w:w="5000" w:type="pct"/>
          </w:tcPr>
          <w:p w14:paraId="26571C86" w14:textId="77777777" w:rsidR="00295470" w:rsidRPr="000067C2" w:rsidRDefault="00295470" w:rsidP="00BB385C">
            <w:pPr>
              <w:pStyle w:val="CommentText"/>
              <w:rPr>
                <w:rFonts w:ascii="Arial Narrow" w:hAnsi="Arial Narrow"/>
                <w:sz w:val="18"/>
                <w:szCs w:val="18"/>
              </w:rPr>
            </w:pPr>
            <w:r w:rsidRPr="000067C2">
              <w:rPr>
                <w:rFonts w:ascii="Arial Narrow" w:hAnsi="Arial Narrow"/>
                <w:sz w:val="18"/>
                <w:szCs w:val="18"/>
              </w:rPr>
              <w:t xml:space="preserve">Patient must have received insufficient therapy with this drug under the Continuing treatment to complete 24 weeks of treatment; </w:t>
            </w:r>
          </w:p>
        </w:tc>
      </w:tr>
      <w:tr w:rsidR="00295470" w:rsidRPr="0062746A" w14:paraId="1820A9F3" w14:textId="77777777" w:rsidTr="00295470">
        <w:tc>
          <w:tcPr>
            <w:tcW w:w="5000" w:type="pct"/>
          </w:tcPr>
          <w:p w14:paraId="25430B99" w14:textId="77777777" w:rsidR="00295470" w:rsidRPr="000067C2" w:rsidRDefault="00295470" w:rsidP="00BB385C">
            <w:pPr>
              <w:pStyle w:val="CommentText"/>
              <w:rPr>
                <w:rFonts w:ascii="Arial Narrow" w:hAnsi="Arial Narrow"/>
                <w:b/>
                <w:sz w:val="18"/>
                <w:szCs w:val="18"/>
              </w:rPr>
            </w:pPr>
            <w:r w:rsidRPr="000067C2">
              <w:rPr>
                <w:rFonts w:ascii="Arial Narrow" w:hAnsi="Arial Narrow"/>
                <w:b/>
                <w:sz w:val="18"/>
                <w:szCs w:val="18"/>
              </w:rPr>
              <w:t>AND</w:t>
            </w:r>
          </w:p>
        </w:tc>
      </w:tr>
      <w:tr w:rsidR="00295470" w:rsidRPr="0062746A" w14:paraId="701CE537" w14:textId="77777777" w:rsidTr="00295470">
        <w:tc>
          <w:tcPr>
            <w:tcW w:w="5000" w:type="pct"/>
          </w:tcPr>
          <w:p w14:paraId="3824A00D" w14:textId="77777777" w:rsidR="00295470" w:rsidRPr="000067C2" w:rsidRDefault="00295470" w:rsidP="00BB385C">
            <w:pPr>
              <w:pStyle w:val="CommentText"/>
              <w:rPr>
                <w:rFonts w:ascii="Arial Narrow" w:hAnsi="Arial Narrow"/>
                <w:sz w:val="18"/>
                <w:szCs w:val="18"/>
              </w:rPr>
            </w:pPr>
            <w:r w:rsidRPr="000067C2">
              <w:rPr>
                <w:rFonts w:ascii="Arial Narrow" w:hAnsi="Arial Narrow"/>
                <w:b/>
                <w:bCs/>
                <w:sz w:val="18"/>
                <w:szCs w:val="18"/>
              </w:rPr>
              <w:t>Clinical criteria:</w:t>
            </w:r>
          </w:p>
        </w:tc>
      </w:tr>
      <w:tr w:rsidR="00295470" w:rsidRPr="00C337E5" w14:paraId="4FAC10A7" w14:textId="77777777" w:rsidTr="00295470">
        <w:tc>
          <w:tcPr>
            <w:tcW w:w="5000" w:type="pct"/>
          </w:tcPr>
          <w:p w14:paraId="1F926EA9" w14:textId="77777777" w:rsidR="00295470" w:rsidRPr="000067C2" w:rsidRDefault="00295470" w:rsidP="00BB385C">
            <w:pPr>
              <w:pStyle w:val="CommentText"/>
              <w:rPr>
                <w:rFonts w:ascii="Arial Narrow" w:hAnsi="Arial Narrow"/>
                <w:sz w:val="18"/>
                <w:szCs w:val="18"/>
              </w:rPr>
            </w:pPr>
            <w:r w:rsidRPr="000067C2">
              <w:rPr>
                <w:rFonts w:ascii="Arial Narrow" w:hAnsi="Arial Narrow"/>
                <w:sz w:val="18"/>
                <w:szCs w:val="18"/>
              </w:rPr>
              <w:t>The treatment must provide no more than the balance of doses up to 14 to 16 weeks therapy available under Initial treatment – subcutaneous form; OR</w:t>
            </w:r>
          </w:p>
        </w:tc>
      </w:tr>
      <w:tr w:rsidR="00295470" w:rsidRPr="0062746A" w14:paraId="1B8CEE1A" w14:textId="77777777" w:rsidTr="00295470">
        <w:tc>
          <w:tcPr>
            <w:tcW w:w="5000" w:type="pct"/>
          </w:tcPr>
          <w:p w14:paraId="1707A68B" w14:textId="77777777" w:rsidR="00295470" w:rsidRPr="000067C2" w:rsidRDefault="00295470" w:rsidP="00BB385C">
            <w:pPr>
              <w:pStyle w:val="CommentText"/>
              <w:rPr>
                <w:rFonts w:ascii="Arial Narrow" w:hAnsi="Arial Narrow"/>
                <w:b/>
                <w:sz w:val="18"/>
                <w:szCs w:val="18"/>
              </w:rPr>
            </w:pPr>
            <w:r w:rsidRPr="000067C2">
              <w:rPr>
                <w:rFonts w:ascii="Arial Narrow" w:hAnsi="Arial Narrow"/>
                <w:b/>
                <w:sz w:val="18"/>
                <w:szCs w:val="18"/>
              </w:rPr>
              <w:t>Clinical criteria:</w:t>
            </w:r>
          </w:p>
        </w:tc>
      </w:tr>
      <w:tr w:rsidR="00295470" w:rsidRPr="00C337E5" w14:paraId="27B9932C" w14:textId="77777777" w:rsidTr="00295470">
        <w:tc>
          <w:tcPr>
            <w:tcW w:w="5000" w:type="pct"/>
          </w:tcPr>
          <w:p w14:paraId="0897197D" w14:textId="77777777" w:rsidR="00295470" w:rsidRPr="000067C2" w:rsidRDefault="00295470" w:rsidP="00BB385C">
            <w:pPr>
              <w:pStyle w:val="CommentText"/>
              <w:rPr>
                <w:rFonts w:ascii="Arial Narrow" w:hAnsi="Arial Narrow"/>
                <w:sz w:val="18"/>
                <w:szCs w:val="18"/>
              </w:rPr>
            </w:pPr>
            <w:r w:rsidRPr="000067C2">
              <w:rPr>
                <w:rFonts w:ascii="Arial Narrow" w:hAnsi="Arial Narrow"/>
                <w:sz w:val="18"/>
                <w:szCs w:val="18"/>
              </w:rPr>
              <w:t>The treatment must provide no more than the balance of up to 24 weeks therapy available under Continuing treatment – subcutaneous form</w:t>
            </w:r>
          </w:p>
        </w:tc>
      </w:tr>
      <w:tr w:rsidR="00295470" w:rsidRPr="0062746A" w14:paraId="325512CD" w14:textId="77777777" w:rsidTr="00295470">
        <w:tc>
          <w:tcPr>
            <w:tcW w:w="5000" w:type="pct"/>
            <w:vAlign w:val="center"/>
            <w:hideMark/>
          </w:tcPr>
          <w:p w14:paraId="154FD2C2"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AND</w:t>
            </w:r>
          </w:p>
        </w:tc>
      </w:tr>
      <w:tr w:rsidR="00295470" w:rsidRPr="0062746A" w14:paraId="30E4EF4C" w14:textId="77777777" w:rsidTr="00295470">
        <w:tc>
          <w:tcPr>
            <w:tcW w:w="5000" w:type="pct"/>
            <w:vAlign w:val="center"/>
            <w:hideMark/>
          </w:tcPr>
          <w:p w14:paraId="04BF1067"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Population criteria:</w:t>
            </w:r>
          </w:p>
        </w:tc>
      </w:tr>
      <w:tr w:rsidR="00295470" w:rsidRPr="0062746A" w14:paraId="459178EC" w14:textId="77777777" w:rsidTr="00295470">
        <w:tc>
          <w:tcPr>
            <w:tcW w:w="5000" w:type="pct"/>
            <w:vAlign w:val="center"/>
            <w:hideMark/>
          </w:tcPr>
          <w:p w14:paraId="59BD1312" w14:textId="77777777" w:rsidR="00295470" w:rsidRPr="000067C2" w:rsidRDefault="00295470" w:rsidP="00BB385C">
            <w:pPr>
              <w:rPr>
                <w:rFonts w:ascii="Arial Narrow" w:hAnsi="Arial Narrow"/>
                <w:sz w:val="18"/>
                <w:szCs w:val="18"/>
              </w:rPr>
            </w:pPr>
            <w:r w:rsidRPr="000067C2">
              <w:rPr>
                <w:rFonts w:ascii="Arial Narrow" w:hAnsi="Arial Narrow"/>
                <w:sz w:val="18"/>
                <w:szCs w:val="18"/>
              </w:rPr>
              <w:t>Patient must be aged 18 years or older.</w:t>
            </w:r>
          </w:p>
        </w:tc>
      </w:tr>
      <w:tr w:rsidR="00295470" w:rsidRPr="0062746A" w14:paraId="31F05CF2" w14:textId="77777777" w:rsidTr="00295470">
        <w:tc>
          <w:tcPr>
            <w:tcW w:w="5000" w:type="pct"/>
            <w:tcBorders>
              <w:bottom w:val="single" w:sz="4" w:space="0" w:color="auto"/>
            </w:tcBorders>
            <w:vAlign w:val="center"/>
          </w:tcPr>
          <w:p w14:paraId="78D8D856" w14:textId="77777777" w:rsidR="00295470" w:rsidRPr="000067C2" w:rsidRDefault="00295470" w:rsidP="00BB385C">
            <w:pPr>
              <w:rPr>
                <w:rFonts w:ascii="Arial Narrow" w:hAnsi="Arial Narrow"/>
                <w:sz w:val="18"/>
                <w:szCs w:val="18"/>
              </w:rPr>
            </w:pPr>
            <w:r w:rsidRPr="000067C2">
              <w:rPr>
                <w:rFonts w:ascii="Arial Narrow" w:hAnsi="Arial Narrow"/>
                <w:b/>
                <w:bCs/>
                <w:sz w:val="18"/>
                <w:szCs w:val="18"/>
              </w:rPr>
              <w:t>Prescribing Instructions:</w:t>
            </w:r>
          </w:p>
        </w:tc>
      </w:tr>
      <w:tr w:rsidR="00295470" w:rsidRPr="0062746A" w14:paraId="10A0A912" w14:textId="77777777" w:rsidTr="002954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Ex>
        <w:tc>
          <w:tcPr>
            <w:tcW w:w="5000" w:type="pct"/>
            <w:tcBorders>
              <w:top w:val="single" w:sz="4" w:space="0" w:color="auto"/>
              <w:left w:val="single" w:sz="4" w:space="0" w:color="auto"/>
              <w:bottom w:val="single" w:sz="4" w:space="0" w:color="auto"/>
              <w:right w:val="single" w:sz="4" w:space="0" w:color="auto"/>
            </w:tcBorders>
            <w:vAlign w:val="center"/>
          </w:tcPr>
          <w:p w14:paraId="6D2A7392" w14:textId="77777777" w:rsidR="00295470" w:rsidRPr="000067C2" w:rsidRDefault="00295470" w:rsidP="00BB385C">
            <w:pPr>
              <w:ind w:hanging="103"/>
              <w:rPr>
                <w:rFonts w:ascii="Arial Narrow" w:hAnsi="Arial Narrow"/>
                <w:b/>
                <w:sz w:val="18"/>
                <w:szCs w:val="18"/>
              </w:rPr>
            </w:pPr>
            <w:r w:rsidRPr="000067C2">
              <w:rPr>
                <w:rFonts w:ascii="Arial Narrow" w:hAnsi="Arial Narrow"/>
                <w:b/>
                <w:bCs/>
                <w:sz w:val="18"/>
                <w:szCs w:val="18"/>
              </w:rPr>
              <w:t>Administrative Advice:</w:t>
            </w:r>
            <w:r w:rsidRPr="000067C2">
              <w:rPr>
                <w:rFonts w:ascii="Arial Narrow" w:hAnsi="Arial Narrow"/>
                <w:sz w:val="18"/>
                <w:szCs w:val="18"/>
              </w:rPr>
              <w:t xml:space="preserve"> No increase in the maximum quantity or number of units may be authorised.</w:t>
            </w:r>
          </w:p>
        </w:tc>
      </w:tr>
      <w:tr w:rsidR="00295470" w:rsidRPr="00F84F11" w14:paraId="40AF3AF9" w14:textId="77777777" w:rsidTr="00295470">
        <w:trPr>
          <w:trHeight w:val="723"/>
        </w:trPr>
        <w:tc>
          <w:tcPr>
            <w:tcW w:w="5000" w:type="pct"/>
            <w:tcBorders>
              <w:top w:val="single" w:sz="4" w:space="0" w:color="auto"/>
            </w:tcBorders>
            <w:vAlign w:val="center"/>
            <w:hideMark/>
          </w:tcPr>
          <w:p w14:paraId="7E82C2EB" w14:textId="77777777" w:rsidR="00295470" w:rsidRPr="000067C2" w:rsidRDefault="00295470" w:rsidP="00BB385C">
            <w:pPr>
              <w:jc w:val="left"/>
              <w:rPr>
                <w:rFonts w:ascii="Arial Narrow" w:hAnsi="Arial Narrow"/>
                <w:b/>
                <w:sz w:val="18"/>
                <w:szCs w:val="18"/>
              </w:rPr>
            </w:pPr>
            <w:r w:rsidRPr="000067C2">
              <w:rPr>
                <w:rFonts w:ascii="Arial Narrow" w:hAnsi="Arial Narrow"/>
                <w:b/>
                <w:sz w:val="18"/>
                <w:szCs w:val="18"/>
              </w:rPr>
              <w:t>Administrative Advice:</w:t>
            </w:r>
          </w:p>
          <w:p w14:paraId="797CB817" w14:textId="77777777" w:rsidR="00295470" w:rsidRPr="000067C2" w:rsidRDefault="00295470" w:rsidP="00BB385C">
            <w:pPr>
              <w:jc w:val="left"/>
              <w:rPr>
                <w:rFonts w:ascii="Arial Narrow" w:hAnsi="Arial Narrow"/>
                <w:sz w:val="18"/>
                <w:szCs w:val="18"/>
              </w:rPr>
            </w:pPr>
            <w:r w:rsidRPr="000067C2">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1D763C99" w14:textId="77777777" w:rsidR="00F122E0" w:rsidRDefault="00F122E0" w:rsidP="00F122E0">
      <w:pPr>
        <w:jc w:val="left"/>
        <w:rPr>
          <w:rFonts w:asciiTheme="minorHAnsi" w:hAnsiTheme="minorHAnsi"/>
          <w:bCs/>
          <w:snapToGrid w:val="0"/>
        </w:rPr>
      </w:pPr>
    </w:p>
    <w:p w14:paraId="5BFF80C3" w14:textId="77777777" w:rsidR="00FB659A" w:rsidRDefault="00F122E0" w:rsidP="00F60782">
      <w:pPr>
        <w:pStyle w:val="3-BodyText"/>
        <w:numPr>
          <w:ilvl w:val="0"/>
          <w:numId w:val="0"/>
        </w:numPr>
        <w:rPr>
          <w:rFonts w:cs="Calibri"/>
          <w:b/>
          <w:i/>
        </w:rPr>
      </w:pPr>
      <w:r w:rsidRPr="004E025C">
        <w:rPr>
          <w:rFonts w:cs="Calibri"/>
          <w:b/>
          <w:i/>
        </w:rPr>
        <w:t>This restriction may be subject to further review. Should there be any changes made to the restriction the Sponsor will be informed.</w:t>
      </w:r>
    </w:p>
    <w:p w14:paraId="73FBA81B" w14:textId="77777777" w:rsidR="00994E01" w:rsidRPr="00994E01" w:rsidRDefault="00994E01" w:rsidP="00994E01">
      <w:pPr>
        <w:pStyle w:val="2-SectionHeading"/>
      </w:pPr>
      <w:r w:rsidRPr="00994E01">
        <w:t>Context for Decision</w:t>
      </w:r>
    </w:p>
    <w:p w14:paraId="186D09E6" w14:textId="77777777" w:rsidR="00994E01" w:rsidRPr="007129F2" w:rsidRDefault="00994E01" w:rsidP="00994E01">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w:t>
      </w:r>
      <w:r w:rsidRPr="007129F2">
        <w:rPr>
          <w:rFonts w:asciiTheme="minorHAnsi" w:hAnsiTheme="minorHAnsi"/>
          <w:bCs/>
          <w:lang w:val="en-GB"/>
        </w:rPr>
        <w:lastRenderedPageBreak/>
        <w:t>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A217A39" w14:textId="77777777" w:rsidR="00994E01" w:rsidRPr="00C07617" w:rsidRDefault="00994E01" w:rsidP="00994E01">
      <w:pPr>
        <w:pStyle w:val="2-SectionHeading"/>
        <w:rPr>
          <w:b w:val="0"/>
        </w:rPr>
      </w:pPr>
      <w:r w:rsidRPr="00994E01">
        <w:t>Sponsor’s Comment</w:t>
      </w:r>
    </w:p>
    <w:p w14:paraId="615AA2FD" w14:textId="77777777" w:rsidR="00A71E3B" w:rsidRDefault="00AF5C8F" w:rsidP="003A6946">
      <w:pPr>
        <w:pStyle w:val="3-BodyText"/>
        <w:numPr>
          <w:ilvl w:val="0"/>
          <w:numId w:val="0"/>
        </w:numPr>
        <w:ind w:left="720"/>
        <w:rPr>
          <w:bCs/>
          <w:lang w:val="en-GB"/>
        </w:rPr>
      </w:pPr>
      <w:r w:rsidRPr="00AF5C8F">
        <w:rPr>
          <w:bCs/>
          <w:lang w:val="en-GB"/>
        </w:rPr>
        <w:t>The Sponsor will continue to work with the PBAC to provide infliximab SC for ankylosing spondylitis, severe active psoriatic arthritis, severe chronic plaque psoriasis and complex refractory fistulising Crohn’s disease.</w:t>
      </w:r>
    </w:p>
    <w:p w14:paraId="6D2BAC48" w14:textId="77777777" w:rsidR="00A71E3B" w:rsidRDefault="00A71E3B">
      <w:pPr>
        <w:jc w:val="left"/>
        <w:rPr>
          <w:rFonts w:asciiTheme="minorHAnsi" w:hAnsiTheme="minorHAnsi"/>
          <w:bCs/>
          <w:snapToGrid w:val="0"/>
          <w:lang w:val="en-GB"/>
        </w:rPr>
      </w:pPr>
      <w:r>
        <w:rPr>
          <w:bCs/>
          <w:lang w:val="en-GB"/>
        </w:rPr>
        <w:br w:type="page"/>
      </w:r>
    </w:p>
    <w:p w14:paraId="3F7D4755" w14:textId="77777777" w:rsidR="00A71E3B" w:rsidRPr="00EA5DF1" w:rsidRDefault="00A71E3B" w:rsidP="00A71E3B">
      <w:pPr>
        <w:pStyle w:val="3-BodyText"/>
        <w:numPr>
          <w:ilvl w:val="0"/>
          <w:numId w:val="0"/>
        </w:numPr>
        <w:rPr>
          <w:rFonts w:eastAsia="Calibri"/>
          <w:b/>
          <w:color w:val="FF0000"/>
          <w:sz w:val="32"/>
          <w:szCs w:val="28"/>
        </w:rPr>
      </w:pPr>
      <w:r w:rsidRPr="00EA5DF1">
        <w:rPr>
          <w:rFonts w:eastAsia="Calibri"/>
          <w:b/>
          <w:color w:val="FF0000"/>
          <w:sz w:val="32"/>
          <w:szCs w:val="28"/>
        </w:rPr>
        <w:lastRenderedPageBreak/>
        <w:t>Addendum to the November 2020 PBAC Minutes:</w:t>
      </w:r>
    </w:p>
    <w:p w14:paraId="4426676A" w14:textId="77777777" w:rsidR="00A71E3B" w:rsidRPr="00EA5DF1" w:rsidRDefault="00A71E3B" w:rsidP="00A71E3B">
      <w:pPr>
        <w:pStyle w:val="2-SectionHeading"/>
        <w:numPr>
          <w:ilvl w:val="0"/>
          <w:numId w:val="1"/>
        </w:numPr>
        <w:rPr>
          <w:rFonts w:eastAsia="Calibri"/>
        </w:rPr>
      </w:pPr>
      <w:r w:rsidRPr="00EA5DF1">
        <w:rPr>
          <w:rFonts w:eastAsia="Calibri"/>
        </w:rPr>
        <w:t>PBAC Outcome</w:t>
      </w:r>
    </w:p>
    <w:p w14:paraId="105A17B1" w14:textId="77777777" w:rsidR="00A71E3B" w:rsidRPr="00EA5DF1" w:rsidRDefault="00A71E3B" w:rsidP="00A71E3B">
      <w:pPr>
        <w:pStyle w:val="3-BodyText"/>
        <w:rPr>
          <w:rFonts w:eastAsia="Calibri"/>
        </w:rPr>
      </w:pPr>
      <w:r w:rsidRPr="00EA5DF1">
        <w:rPr>
          <w:sz w:val="22"/>
          <w:szCs w:val="22"/>
        </w:rPr>
        <w:t xml:space="preserve">A grandfathering provision for IFX SC is required for </w:t>
      </w:r>
      <w:r w:rsidR="001D49F5">
        <w:rPr>
          <w:sz w:val="22"/>
          <w:szCs w:val="22"/>
        </w:rPr>
        <w:t>&lt; 500</w:t>
      </w:r>
      <w:r w:rsidR="001D49F5" w:rsidRPr="00EA5DF1">
        <w:rPr>
          <w:sz w:val="22"/>
          <w:szCs w:val="22"/>
        </w:rPr>
        <w:t xml:space="preserve"> </w:t>
      </w:r>
      <w:r w:rsidRPr="00EA5DF1">
        <w:rPr>
          <w:sz w:val="22"/>
          <w:szCs w:val="22"/>
        </w:rPr>
        <w:t>patients in a Patient Familiarisation Program.</w:t>
      </w:r>
    </w:p>
    <w:p w14:paraId="6B4B8E08" w14:textId="77777777" w:rsidR="00A71E3B" w:rsidRPr="00EA5DF1" w:rsidRDefault="00A71E3B" w:rsidP="00A71E3B">
      <w:pPr>
        <w:pStyle w:val="2-SectionHeading"/>
        <w:numPr>
          <w:ilvl w:val="0"/>
          <w:numId w:val="1"/>
        </w:numPr>
      </w:pPr>
      <w:r w:rsidRPr="00EA5DF1">
        <w:rPr>
          <w:rFonts w:eastAsia="Calibri"/>
        </w:rPr>
        <w:t>Recommended listing</w:t>
      </w:r>
    </w:p>
    <w:p w14:paraId="4C94B39B" w14:textId="77777777" w:rsidR="00A71E3B" w:rsidRPr="00EA5DF1" w:rsidRDefault="00A71E3B" w:rsidP="00A71E3B">
      <w:pPr>
        <w:pStyle w:val="3-BodyText"/>
      </w:pPr>
      <w:r w:rsidRPr="00EA5DF1">
        <w:t>Add new item:</w:t>
      </w:r>
    </w:p>
    <w:p w14:paraId="7FBB0DF5" w14:textId="77777777" w:rsidR="00A71E3B" w:rsidRPr="00EA5DF1" w:rsidRDefault="00A71E3B" w:rsidP="00A71E3B">
      <w:r w:rsidRPr="00EA5DF1">
        <w:rPr>
          <w:rFonts w:ascii="Arial Narrow" w:hAnsi="Arial Narrow"/>
          <w:b/>
          <w:sz w:val="18"/>
          <w:szCs w:val="18"/>
        </w:rPr>
        <w:t>Severe active rheumatoid arthritis</w:t>
      </w:r>
    </w:p>
    <w:p w14:paraId="4613693D" w14:textId="77777777" w:rsidR="00A71E3B" w:rsidRPr="00EA5DF1" w:rsidRDefault="00A71E3B" w:rsidP="00A71E3B">
      <w:pPr>
        <w:rPr>
          <w:rFonts w:ascii="Arial Narrow" w:hAnsi="Arial Narrow"/>
          <w:b/>
          <w:sz w:val="18"/>
          <w:szCs w:val="18"/>
          <w:u w:val="single"/>
        </w:rPr>
      </w:pPr>
      <w:r w:rsidRPr="00EA5DF1">
        <w:rPr>
          <w:rFonts w:ascii="Arial Narrow" w:hAnsi="Arial Narrow"/>
          <w:b/>
          <w:sz w:val="18"/>
          <w:szCs w:val="18"/>
          <w:u w:val="single"/>
        </w:rPr>
        <w:t xml:space="preserve">Initial treatment restriction (Grandfather patient) </w:t>
      </w:r>
    </w:p>
    <w:p w14:paraId="71B91F1A" w14:textId="77777777" w:rsidR="00A71E3B" w:rsidRPr="00EA5DF1" w:rsidRDefault="00A71E3B" w:rsidP="00A71E3B">
      <w:p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A71E3B" w:rsidRPr="00EA5DF1" w14:paraId="30CBFC8B" w14:textId="77777777" w:rsidTr="0029145A">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65EB0F65" w14:textId="77777777" w:rsidR="00A71E3B" w:rsidRPr="00EA5DF1" w:rsidRDefault="00A71E3B" w:rsidP="0029145A">
            <w:pPr>
              <w:keepNext/>
              <w:keepLines/>
              <w:ind w:left="-108"/>
              <w:rPr>
                <w:rFonts w:ascii="Arial Narrow" w:hAnsi="Arial Narrow"/>
                <w:b/>
                <w:color w:val="000000" w:themeColor="text1"/>
                <w:sz w:val="18"/>
                <w:szCs w:val="18"/>
              </w:rPr>
            </w:pPr>
            <w:r w:rsidRPr="00EA5DF1">
              <w:rPr>
                <w:rFonts w:ascii="Arial Narrow" w:hAnsi="Arial Narrow"/>
                <w:b/>
                <w:color w:val="000000" w:themeColor="text1"/>
                <w:sz w:val="18"/>
                <w:szCs w:val="18"/>
              </w:rPr>
              <w:t xml:space="preserve">MEDICINAL PRODUCT </w:t>
            </w:r>
          </w:p>
          <w:p w14:paraId="05BA85B7" w14:textId="77777777" w:rsidR="00A71E3B" w:rsidRPr="00EA5DF1" w:rsidRDefault="00A71E3B" w:rsidP="0029145A">
            <w:pPr>
              <w:keepNext/>
              <w:ind w:left="-108"/>
              <w:rPr>
                <w:rFonts w:ascii="Arial Narrow" w:hAnsi="Arial Narrow"/>
                <w:b/>
                <w:color w:val="000000" w:themeColor="text1"/>
                <w:sz w:val="18"/>
                <w:szCs w:val="18"/>
              </w:rPr>
            </w:pPr>
            <w:r w:rsidRPr="00EA5DF1">
              <w:rPr>
                <w:rFonts w:ascii="Arial Narrow" w:hAnsi="Arial Narrow"/>
                <w:b/>
                <w:color w:val="000000" w:themeColor="text1"/>
                <w:sz w:val="18"/>
                <w:szCs w:val="18"/>
              </w:rPr>
              <w:t>medicinal product pack (MPP)</w:t>
            </w:r>
          </w:p>
        </w:tc>
        <w:tc>
          <w:tcPr>
            <w:tcW w:w="471" w:type="pct"/>
            <w:tcBorders>
              <w:top w:val="single" w:sz="4" w:space="0" w:color="auto"/>
              <w:left w:val="single" w:sz="4" w:space="0" w:color="auto"/>
              <w:bottom w:val="single" w:sz="4" w:space="0" w:color="auto"/>
              <w:right w:val="single" w:sz="4" w:space="0" w:color="auto"/>
            </w:tcBorders>
            <w:hideMark/>
          </w:tcPr>
          <w:p w14:paraId="5FA85FCC" w14:textId="77777777" w:rsidR="00A71E3B" w:rsidRPr="00EA5DF1" w:rsidRDefault="00A71E3B" w:rsidP="0029145A">
            <w:pPr>
              <w:keepNext/>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596FF64A" w14:textId="77777777" w:rsidR="00A71E3B" w:rsidRPr="00EA5DF1" w:rsidRDefault="00A71E3B" w:rsidP="0029145A">
            <w:pPr>
              <w:keepNext/>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37486547" w14:textId="77777777" w:rsidR="00A71E3B" w:rsidRPr="00EA5DF1" w:rsidRDefault="00A71E3B" w:rsidP="0029145A">
            <w:pPr>
              <w:keepNext/>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6F6219F3" w14:textId="77777777" w:rsidR="00A71E3B" w:rsidRPr="00EA5DF1" w:rsidRDefault="00A71E3B" w:rsidP="0029145A">
            <w:pPr>
              <w:keepNext/>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№.of</w:t>
            </w:r>
          </w:p>
          <w:p w14:paraId="218A7238" w14:textId="77777777" w:rsidR="00A71E3B" w:rsidRPr="00EA5DF1" w:rsidRDefault="00A71E3B" w:rsidP="0029145A">
            <w:pPr>
              <w:keepNext/>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574C9A65" w14:textId="77777777" w:rsidR="00A71E3B" w:rsidRPr="00EA5DF1" w:rsidRDefault="00A71E3B" w:rsidP="0029145A">
            <w:pPr>
              <w:keepNext/>
              <w:rPr>
                <w:rFonts w:ascii="Arial Narrow" w:hAnsi="Arial Narrow"/>
                <w:b/>
                <w:color w:val="000000" w:themeColor="text1"/>
                <w:sz w:val="18"/>
                <w:szCs w:val="18"/>
              </w:rPr>
            </w:pPr>
            <w:r w:rsidRPr="00EA5DF1">
              <w:rPr>
                <w:rFonts w:ascii="Arial Narrow" w:hAnsi="Arial Narrow"/>
                <w:b/>
                <w:color w:val="000000" w:themeColor="text1"/>
                <w:sz w:val="18"/>
                <w:szCs w:val="18"/>
              </w:rPr>
              <w:t>Proprietary Name and Manufacturer</w:t>
            </w:r>
          </w:p>
        </w:tc>
      </w:tr>
      <w:tr w:rsidR="00A71E3B" w:rsidRPr="00EA5DF1" w14:paraId="674B048E"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1CA430E6" w14:textId="77777777" w:rsidR="00A71E3B" w:rsidRPr="00EA5DF1" w:rsidRDefault="00A71E3B" w:rsidP="0029145A">
            <w:pPr>
              <w:keepNext/>
              <w:ind w:left="-108"/>
              <w:rPr>
                <w:rFonts w:ascii="Arial Narrow" w:hAnsi="Arial Narrow"/>
                <w:color w:val="000000" w:themeColor="text1"/>
                <w:sz w:val="18"/>
                <w:szCs w:val="18"/>
              </w:rPr>
            </w:pPr>
            <w:r w:rsidRPr="00EA5DF1">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61F49735" w14:textId="77777777" w:rsidR="00A71E3B" w:rsidRPr="00EA5DF1" w:rsidRDefault="00A71E3B" w:rsidP="0029145A">
            <w:pPr>
              <w:keepNext/>
              <w:ind w:left="-108"/>
              <w:jc w:val="center"/>
              <w:rPr>
                <w:rFonts w:ascii="Arial Narrow" w:hAnsi="Arial Narrow"/>
                <w:sz w:val="18"/>
                <w:szCs w:val="18"/>
              </w:rPr>
            </w:pPr>
            <w:r w:rsidRPr="00EA5DF1">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7F59BA2C" w14:textId="77777777" w:rsidR="00A71E3B" w:rsidRPr="00EA5DF1" w:rsidRDefault="00A71E3B" w:rsidP="0029145A">
            <w:pPr>
              <w:keepNext/>
              <w:jc w:val="center"/>
              <w:rPr>
                <w:rFonts w:ascii="Arial Narrow" w:hAnsi="Arial Narrow"/>
                <w:color w:val="000000" w:themeColor="text1"/>
                <w:sz w:val="18"/>
                <w:szCs w:val="18"/>
              </w:rPr>
            </w:pPr>
            <w:r w:rsidRPr="00EA5DF1">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304815BC" w14:textId="77777777" w:rsidR="00A71E3B" w:rsidRPr="00EA5DF1" w:rsidRDefault="00A71E3B" w:rsidP="0029145A">
            <w:pPr>
              <w:keepNext/>
              <w:ind w:left="-108"/>
              <w:jc w:val="center"/>
              <w:rPr>
                <w:rFonts w:ascii="Arial Narrow" w:hAnsi="Arial Narrow"/>
                <w:color w:val="000000" w:themeColor="text1"/>
                <w:sz w:val="18"/>
                <w:szCs w:val="18"/>
              </w:rPr>
            </w:pPr>
            <w:r w:rsidRPr="00EA5DF1">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58768890" w14:textId="77777777" w:rsidR="00A71E3B" w:rsidRPr="00EA5DF1" w:rsidRDefault="00A71E3B" w:rsidP="0029145A">
            <w:pPr>
              <w:keepNext/>
              <w:ind w:left="-108"/>
              <w:jc w:val="center"/>
              <w:rPr>
                <w:rFonts w:ascii="Arial Narrow" w:hAnsi="Arial Narrow"/>
                <w:sz w:val="18"/>
                <w:szCs w:val="18"/>
              </w:rPr>
            </w:pPr>
            <w:r w:rsidRPr="00EA5DF1">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5661F027" w14:textId="77777777" w:rsidR="00A71E3B" w:rsidRPr="00EA5DF1" w:rsidRDefault="00A71E3B" w:rsidP="0029145A">
            <w:pPr>
              <w:keepNext/>
              <w:rPr>
                <w:rFonts w:ascii="Arial Narrow" w:hAnsi="Arial Narrow"/>
                <w:color w:val="000000" w:themeColor="text1"/>
                <w:sz w:val="18"/>
                <w:szCs w:val="18"/>
              </w:rPr>
            </w:pPr>
            <w:r w:rsidRPr="00EA5DF1">
              <w:rPr>
                <w:rFonts w:ascii="Arial Narrow" w:hAnsi="Arial Narrow"/>
                <w:sz w:val="18"/>
                <w:szCs w:val="18"/>
              </w:rPr>
              <w:t>Remsima</w:t>
            </w:r>
            <w:r w:rsidRPr="00EA5DF1">
              <w:rPr>
                <w:rFonts w:ascii="Arial Narrow" w:hAnsi="Arial Narrow"/>
                <w:sz w:val="18"/>
                <w:szCs w:val="18"/>
                <w:vertAlign w:val="superscript"/>
              </w:rPr>
              <w:t xml:space="preserve">® </w:t>
            </w:r>
            <w:r w:rsidRPr="00EA5DF1">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0646DAF8" w14:textId="77777777" w:rsidR="00A71E3B" w:rsidRPr="00EA5DF1" w:rsidRDefault="00A71E3B" w:rsidP="0029145A">
            <w:pPr>
              <w:keepNext/>
              <w:rPr>
                <w:rFonts w:ascii="Arial Narrow" w:hAnsi="Arial Narrow"/>
                <w:color w:val="000000" w:themeColor="text1"/>
                <w:sz w:val="18"/>
                <w:szCs w:val="18"/>
              </w:rPr>
            </w:pPr>
            <w:r w:rsidRPr="00EA5DF1">
              <w:rPr>
                <w:rFonts w:ascii="Arial Narrow" w:hAnsi="Arial Narrow"/>
                <w:sz w:val="18"/>
                <w:szCs w:val="18"/>
              </w:rPr>
              <w:t>Celltrion Healthcare Australia Pty Ltd</w:t>
            </w:r>
          </w:p>
        </w:tc>
      </w:tr>
      <w:tr w:rsidR="00A71E3B" w:rsidRPr="00EA5DF1" w14:paraId="5A6DA27B"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43FA98B9" w14:textId="77777777" w:rsidR="00A71E3B" w:rsidRPr="00EA5DF1" w:rsidRDefault="00A71E3B" w:rsidP="0029145A">
            <w:pPr>
              <w:keepNext/>
              <w:ind w:left="-108"/>
              <w:rPr>
                <w:rFonts w:ascii="Arial Narrow" w:hAnsi="Arial Narrow" w:cstheme="minorHAnsi"/>
                <w:sz w:val="18"/>
                <w:szCs w:val="18"/>
              </w:rPr>
            </w:pPr>
            <w:r w:rsidRPr="00EA5DF1">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7FC1C293" w14:textId="77777777" w:rsidR="00A71E3B" w:rsidRPr="00EA5DF1" w:rsidRDefault="00A71E3B" w:rsidP="0029145A">
            <w:pPr>
              <w:keepNext/>
              <w:ind w:left="-108"/>
              <w:jc w:val="center"/>
              <w:rPr>
                <w:rFonts w:ascii="Arial Narrow" w:hAnsi="Arial Narrow"/>
                <w:sz w:val="18"/>
                <w:szCs w:val="18"/>
              </w:rPr>
            </w:pPr>
            <w:r w:rsidRPr="00EA5DF1">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47528BA5" w14:textId="77777777" w:rsidR="00A71E3B" w:rsidRPr="00EA5DF1" w:rsidRDefault="00A71E3B" w:rsidP="0029145A">
            <w:pPr>
              <w:keepNext/>
              <w:jc w:val="center"/>
              <w:rPr>
                <w:rFonts w:ascii="Arial Narrow" w:hAnsi="Arial Narrow"/>
                <w:color w:val="000000" w:themeColor="text1"/>
                <w:sz w:val="18"/>
                <w:szCs w:val="18"/>
              </w:rPr>
            </w:pPr>
            <w:r w:rsidRPr="00EA5DF1">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44C417BA" w14:textId="77777777" w:rsidR="00A71E3B" w:rsidRPr="00EA5DF1" w:rsidRDefault="00A71E3B" w:rsidP="0029145A">
            <w:pPr>
              <w:keepNext/>
              <w:ind w:left="-108"/>
              <w:jc w:val="center"/>
              <w:rPr>
                <w:rFonts w:ascii="Arial Narrow" w:hAnsi="Arial Narrow"/>
                <w:sz w:val="18"/>
                <w:szCs w:val="18"/>
              </w:rPr>
            </w:pPr>
            <w:r w:rsidRPr="00EA5DF1">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31CF0BCB" w14:textId="77777777" w:rsidR="00A71E3B" w:rsidRPr="00EA5DF1" w:rsidRDefault="00A71E3B" w:rsidP="0029145A">
            <w:pPr>
              <w:keepNext/>
              <w:ind w:left="-108"/>
              <w:jc w:val="center"/>
              <w:rPr>
                <w:rFonts w:ascii="Arial Narrow" w:hAnsi="Arial Narrow"/>
                <w:sz w:val="18"/>
                <w:szCs w:val="18"/>
              </w:rPr>
            </w:pPr>
            <w:r w:rsidRPr="00EA5DF1">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6F0440B0" w14:textId="77777777" w:rsidR="00A71E3B" w:rsidRPr="00EA5DF1" w:rsidRDefault="00A71E3B" w:rsidP="0029145A">
            <w:pPr>
              <w:keepNext/>
              <w:rPr>
                <w:rFonts w:ascii="Arial Narrow" w:hAnsi="Arial Narrow"/>
                <w:sz w:val="18"/>
                <w:szCs w:val="18"/>
              </w:rPr>
            </w:pPr>
            <w:r w:rsidRPr="00EA5DF1">
              <w:rPr>
                <w:rFonts w:ascii="Arial Narrow" w:hAnsi="Arial Narrow"/>
                <w:sz w:val="18"/>
                <w:szCs w:val="18"/>
              </w:rPr>
              <w:t>Remsima</w:t>
            </w:r>
            <w:r w:rsidRPr="00EA5DF1">
              <w:rPr>
                <w:rFonts w:ascii="Arial Narrow" w:hAnsi="Arial Narrow"/>
                <w:sz w:val="18"/>
                <w:szCs w:val="18"/>
                <w:vertAlign w:val="superscript"/>
              </w:rPr>
              <w:t xml:space="preserve">® </w:t>
            </w:r>
            <w:r w:rsidRPr="00EA5DF1">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113286E4" w14:textId="77777777" w:rsidR="00A71E3B" w:rsidRPr="00EA5DF1" w:rsidRDefault="00A71E3B" w:rsidP="0029145A">
            <w:pPr>
              <w:keepNext/>
              <w:rPr>
                <w:rFonts w:ascii="Arial Narrow" w:hAnsi="Arial Narrow"/>
                <w:sz w:val="18"/>
                <w:szCs w:val="18"/>
              </w:rPr>
            </w:pPr>
            <w:r w:rsidRPr="00EA5DF1">
              <w:rPr>
                <w:rFonts w:ascii="Arial Narrow" w:hAnsi="Arial Narrow"/>
                <w:sz w:val="18"/>
                <w:szCs w:val="18"/>
              </w:rPr>
              <w:t>Celltrion Healthcare Australia Pty Ltd</w:t>
            </w:r>
          </w:p>
        </w:tc>
      </w:tr>
    </w:tbl>
    <w:p w14:paraId="3AFF37BA" w14:textId="77777777" w:rsidR="00A71E3B" w:rsidRPr="00EA5DF1" w:rsidRDefault="00A71E3B" w:rsidP="00A71E3B"/>
    <w:tbl>
      <w:tblPr>
        <w:tblW w:w="5000" w:type="pct"/>
        <w:tblLook w:val="04A0" w:firstRow="1" w:lastRow="0" w:firstColumn="1" w:lastColumn="0" w:noHBand="0" w:noVBand="1"/>
      </w:tblPr>
      <w:tblGrid>
        <w:gridCol w:w="9017"/>
      </w:tblGrid>
      <w:tr w:rsidR="00A71E3B" w:rsidRPr="00EA5DF1" w14:paraId="4C74A524"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6C09BBC0" w14:textId="77777777" w:rsidR="00A71E3B" w:rsidRPr="00EA5DF1" w:rsidRDefault="00A71E3B" w:rsidP="0029145A">
            <w:pPr>
              <w:pStyle w:val="KMC16-Tablecontent"/>
              <w:spacing w:before="0" w:after="0"/>
              <w:rPr>
                <w:b/>
                <w:sz w:val="18"/>
                <w:szCs w:val="18"/>
                <w:lang w:val="en-AU"/>
              </w:rPr>
            </w:pPr>
            <w:r w:rsidRPr="00EA5DF1">
              <w:rPr>
                <w:b/>
                <w:sz w:val="18"/>
                <w:szCs w:val="18"/>
                <w:lang w:val="en-AU"/>
              </w:rPr>
              <w:t xml:space="preserve">Category / Program: </w:t>
            </w:r>
            <w:r w:rsidRPr="00EA5DF1">
              <w:rPr>
                <w:rFonts w:cstheme="minorBidi"/>
                <w:sz w:val="18"/>
                <w:szCs w:val="18"/>
                <w:lang w:val="en-AU"/>
              </w:rPr>
              <w:t>General Schedule</w:t>
            </w:r>
          </w:p>
        </w:tc>
      </w:tr>
      <w:tr w:rsidR="00A71E3B" w:rsidRPr="00EA5DF1" w14:paraId="69117D85"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31F0419A" w14:textId="77777777" w:rsidR="00A71E3B" w:rsidRPr="00EA5DF1" w:rsidRDefault="00A71E3B" w:rsidP="0029145A">
            <w:pPr>
              <w:pStyle w:val="KMC16-Tablecontent"/>
              <w:spacing w:before="0" w:after="0"/>
              <w:rPr>
                <w:b/>
                <w:sz w:val="18"/>
                <w:szCs w:val="18"/>
                <w:lang w:val="en-AU"/>
              </w:rPr>
            </w:pPr>
            <w:r w:rsidRPr="00EA5DF1">
              <w:rPr>
                <w:b/>
                <w:sz w:val="18"/>
                <w:szCs w:val="18"/>
                <w:lang w:val="en-AU"/>
              </w:rPr>
              <w:t xml:space="preserve">Prescriber type: </w:t>
            </w:r>
            <w:r w:rsidRPr="00EA5DF1">
              <w:rPr>
                <w:sz w:val="18"/>
                <w:szCs w:val="18"/>
                <w:lang w:val="en-AU"/>
              </w:rPr>
              <w:fldChar w:fldCharType="begin">
                <w:ffData>
                  <w:name w:val=""/>
                  <w:enabled/>
                  <w:calcOnExit w:val="0"/>
                  <w:checkBox>
                    <w:sizeAuto/>
                    <w:default w:val="1"/>
                  </w:checkBox>
                </w:ffData>
              </w:fldChar>
            </w:r>
            <w:r w:rsidRPr="00EA5DF1">
              <w:rPr>
                <w:sz w:val="18"/>
                <w:szCs w:val="18"/>
                <w:lang w:val="en-AU"/>
              </w:rPr>
              <w:instrText xml:space="preserve"> FORMCHECKBOX </w:instrText>
            </w:r>
            <w:r w:rsidR="00E515FB">
              <w:rPr>
                <w:sz w:val="18"/>
                <w:szCs w:val="18"/>
                <w:lang w:val="en-AU"/>
              </w:rPr>
            </w:r>
            <w:r w:rsidR="00E515FB">
              <w:rPr>
                <w:sz w:val="18"/>
                <w:szCs w:val="18"/>
                <w:lang w:val="en-AU"/>
              </w:rPr>
              <w:fldChar w:fldCharType="separate"/>
            </w:r>
            <w:r w:rsidRPr="00EA5DF1">
              <w:rPr>
                <w:sz w:val="18"/>
                <w:szCs w:val="18"/>
                <w:lang w:val="en-AU"/>
              </w:rPr>
              <w:fldChar w:fldCharType="end"/>
            </w:r>
            <w:r w:rsidRPr="00EA5DF1">
              <w:rPr>
                <w:sz w:val="18"/>
                <w:szCs w:val="18"/>
                <w:lang w:val="en-AU"/>
              </w:rPr>
              <w:t xml:space="preserve">Medical Practitioners  </w:t>
            </w:r>
          </w:p>
        </w:tc>
      </w:tr>
      <w:tr w:rsidR="00A71E3B" w:rsidRPr="00EA5DF1" w14:paraId="0258B30C"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5F094995" w14:textId="77777777" w:rsidR="00A71E3B" w:rsidRPr="00EA5DF1" w:rsidRDefault="00A71E3B" w:rsidP="0029145A">
            <w:pPr>
              <w:rPr>
                <w:rFonts w:ascii="Arial Narrow" w:eastAsia="Calibri" w:hAnsi="Arial Narrow"/>
                <w:sz w:val="18"/>
                <w:szCs w:val="18"/>
              </w:rPr>
            </w:pPr>
            <w:r w:rsidRPr="00EA5DF1">
              <w:rPr>
                <w:b/>
                <w:sz w:val="18"/>
                <w:szCs w:val="18"/>
              </w:rPr>
              <w:t xml:space="preserve">Restriction Method: </w:t>
            </w:r>
            <w:r w:rsidRPr="00EA5DF1">
              <w:rPr>
                <w:sz w:val="18"/>
                <w:szCs w:val="18"/>
              </w:rPr>
              <w:fldChar w:fldCharType="begin">
                <w:ffData>
                  <w:name w:val="Check5"/>
                  <w:enabled/>
                  <w:calcOnExit w:val="0"/>
                  <w:checkBox>
                    <w:sizeAuto/>
                    <w:default w:val="1"/>
                  </w:checkBox>
                </w:ffData>
              </w:fldChar>
            </w:r>
            <w:r w:rsidRPr="00EA5DF1">
              <w:rPr>
                <w:sz w:val="18"/>
                <w:szCs w:val="18"/>
              </w:rPr>
              <w:instrText xml:space="preserve"> FORMCHECKBOX </w:instrText>
            </w:r>
            <w:r w:rsidR="00E515FB">
              <w:rPr>
                <w:sz w:val="18"/>
                <w:szCs w:val="18"/>
              </w:rPr>
            </w:r>
            <w:r w:rsidR="00E515FB">
              <w:rPr>
                <w:sz w:val="18"/>
                <w:szCs w:val="18"/>
              </w:rPr>
              <w:fldChar w:fldCharType="separate"/>
            </w:r>
            <w:r w:rsidRPr="00EA5DF1">
              <w:rPr>
                <w:sz w:val="18"/>
                <w:szCs w:val="18"/>
              </w:rPr>
              <w:fldChar w:fldCharType="end"/>
            </w:r>
            <w:r w:rsidRPr="00EA5DF1">
              <w:rPr>
                <w:rFonts w:ascii="Arial Narrow" w:hAnsi="Arial Narrow"/>
                <w:sz w:val="18"/>
                <w:szCs w:val="18"/>
              </w:rPr>
              <w:t>Authority Required –</w:t>
            </w:r>
            <w:r w:rsidRPr="00EA5DF1">
              <w:rPr>
                <w:rFonts w:ascii="Arial Narrow" w:hAnsi="Arial Narrow"/>
                <w:bCs/>
                <w:sz w:val="18"/>
                <w:szCs w:val="18"/>
              </w:rPr>
              <w:t xml:space="preserve"> non-immediate/delayed assessment by Services Australia (in-writing only via mail/postal service or electronic upload/digital submission)</w:t>
            </w:r>
          </w:p>
        </w:tc>
      </w:tr>
      <w:tr w:rsidR="00A71E3B" w:rsidRPr="00EA5DF1" w14:paraId="76E8937C"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1FD985A3" w14:textId="77777777" w:rsidR="00A71E3B" w:rsidRPr="00EA5DF1" w:rsidRDefault="00A71E3B" w:rsidP="0029145A">
            <w:pPr>
              <w:pStyle w:val="KMC16-Tablecontent"/>
              <w:spacing w:before="0" w:after="0"/>
              <w:rPr>
                <w:rFonts w:cs="Times New Roman"/>
                <w:sz w:val="18"/>
                <w:szCs w:val="18"/>
                <w:lang w:val="en-AU"/>
              </w:rPr>
            </w:pPr>
            <w:r w:rsidRPr="00EA5DF1">
              <w:rPr>
                <w:b/>
                <w:sz w:val="18"/>
                <w:szCs w:val="18"/>
                <w:lang w:val="en-AU"/>
              </w:rPr>
              <w:t xml:space="preserve">Severity: </w:t>
            </w:r>
            <w:r w:rsidRPr="00EA5DF1">
              <w:rPr>
                <w:rFonts w:cs="Times New Roman"/>
                <w:sz w:val="18"/>
                <w:szCs w:val="18"/>
                <w:lang w:val="en-AU"/>
              </w:rPr>
              <w:t>Severe active</w:t>
            </w:r>
          </w:p>
        </w:tc>
      </w:tr>
      <w:tr w:rsidR="00A71E3B" w:rsidRPr="00EA5DF1" w14:paraId="5FD382D5"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536EE1A6" w14:textId="77777777" w:rsidR="00A71E3B" w:rsidRPr="00EA5DF1" w:rsidRDefault="00A71E3B" w:rsidP="0029145A">
            <w:pPr>
              <w:rPr>
                <w:rFonts w:ascii="Arial Narrow" w:hAnsi="Arial Narrow" w:cstheme="minorBidi"/>
                <w:color w:val="222222"/>
                <w:sz w:val="18"/>
                <w:szCs w:val="18"/>
              </w:rPr>
            </w:pPr>
            <w:r w:rsidRPr="00EA5DF1">
              <w:rPr>
                <w:rFonts w:ascii="Arial Narrow" w:hAnsi="Arial Narrow"/>
                <w:b/>
                <w:sz w:val="18"/>
                <w:szCs w:val="18"/>
              </w:rPr>
              <w:t>Condition:</w:t>
            </w:r>
            <w:r w:rsidRPr="00EA5DF1">
              <w:rPr>
                <w:b/>
                <w:sz w:val="18"/>
                <w:szCs w:val="18"/>
              </w:rPr>
              <w:t xml:space="preserve"> </w:t>
            </w:r>
            <w:r w:rsidRPr="00EA5DF1">
              <w:rPr>
                <w:rFonts w:ascii="Arial Narrow" w:hAnsi="Arial Narrow"/>
                <w:color w:val="222222"/>
                <w:sz w:val="18"/>
                <w:szCs w:val="18"/>
              </w:rPr>
              <w:t>rheumatoid arthritis</w:t>
            </w:r>
          </w:p>
        </w:tc>
      </w:tr>
      <w:tr w:rsidR="00A71E3B" w:rsidRPr="00EA5DF1" w14:paraId="0256F0DF"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504F03F0" w14:textId="77777777" w:rsidR="00A71E3B" w:rsidRPr="00EA5DF1" w:rsidRDefault="00A71E3B" w:rsidP="0029145A">
            <w:pPr>
              <w:pStyle w:val="KMC16-Tablecontent"/>
              <w:spacing w:before="0" w:after="0"/>
              <w:rPr>
                <w:sz w:val="18"/>
                <w:szCs w:val="18"/>
                <w:lang w:val="en-AU"/>
              </w:rPr>
            </w:pPr>
            <w:r w:rsidRPr="00EA5DF1">
              <w:rPr>
                <w:b/>
                <w:sz w:val="18"/>
                <w:szCs w:val="18"/>
                <w:lang w:val="en-AU"/>
              </w:rPr>
              <w:t xml:space="preserve">PBS Indication: </w:t>
            </w:r>
            <w:r w:rsidRPr="00EA5DF1">
              <w:rPr>
                <w:rFonts w:cs="Times New Roman"/>
                <w:sz w:val="18"/>
                <w:szCs w:val="18"/>
                <w:lang w:val="en-AU"/>
              </w:rPr>
              <w:t>Severe active rheumatoid arthritis</w:t>
            </w:r>
          </w:p>
        </w:tc>
      </w:tr>
      <w:tr w:rsidR="00A71E3B" w:rsidRPr="00EA5DF1" w14:paraId="3E984B40"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5C6356F4" w14:textId="77777777" w:rsidR="00A71E3B" w:rsidRPr="00EA5DF1" w:rsidRDefault="00A71E3B" w:rsidP="0029145A">
            <w:pPr>
              <w:pStyle w:val="KMC16-Tablecontent"/>
              <w:spacing w:before="0" w:after="0"/>
              <w:rPr>
                <w:b/>
                <w:sz w:val="18"/>
                <w:szCs w:val="18"/>
                <w:lang w:val="en-AU"/>
              </w:rPr>
            </w:pPr>
            <w:r w:rsidRPr="00EA5DF1">
              <w:rPr>
                <w:b/>
                <w:sz w:val="18"/>
                <w:szCs w:val="18"/>
                <w:lang w:val="en-AU"/>
              </w:rPr>
              <w:t xml:space="preserve">Treatment criteria: </w:t>
            </w:r>
          </w:p>
          <w:p w14:paraId="6A0BB478" w14:textId="77777777" w:rsidR="00A71E3B" w:rsidRPr="00EA5DF1" w:rsidRDefault="00A71E3B" w:rsidP="0029145A">
            <w:pPr>
              <w:pStyle w:val="KMC16-Tablecontent"/>
              <w:spacing w:before="0" w:after="0"/>
              <w:rPr>
                <w:sz w:val="18"/>
                <w:szCs w:val="18"/>
                <w:lang w:val="en-AU"/>
              </w:rPr>
            </w:pPr>
            <w:r w:rsidRPr="00EA5DF1">
              <w:rPr>
                <w:sz w:val="18"/>
                <w:szCs w:val="18"/>
                <w:lang w:val="en-AU"/>
              </w:rPr>
              <w:t>Must be treated by a rheumatologist; OR</w:t>
            </w:r>
          </w:p>
          <w:p w14:paraId="5E174AAA" w14:textId="77777777" w:rsidR="00A71E3B" w:rsidRPr="00EA5DF1" w:rsidRDefault="00A71E3B" w:rsidP="0029145A">
            <w:pPr>
              <w:pStyle w:val="KMC16-Tablecontent"/>
              <w:spacing w:before="0" w:after="0"/>
              <w:rPr>
                <w:rFonts w:cs="Times New Roman"/>
                <w:sz w:val="18"/>
                <w:szCs w:val="18"/>
                <w:lang w:val="en-AU"/>
              </w:rPr>
            </w:pPr>
            <w:r w:rsidRPr="00EA5DF1">
              <w:rPr>
                <w:sz w:val="18"/>
                <w:szCs w:val="18"/>
                <w:lang w:val="en-AU"/>
              </w:rPr>
              <w:t>Must be treated by a clinical immunologist with expertise in the management of rheumatoid arthritis.</w:t>
            </w:r>
          </w:p>
        </w:tc>
      </w:tr>
      <w:tr w:rsidR="00A71E3B" w:rsidRPr="00EA5DF1" w14:paraId="528D2167"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738BBAE0" w14:textId="77777777" w:rsidR="00A71E3B" w:rsidRPr="00EA5DF1" w:rsidRDefault="00A71E3B" w:rsidP="0029145A">
            <w:pPr>
              <w:pStyle w:val="KMC16-Tablecontent"/>
              <w:spacing w:after="0"/>
              <w:rPr>
                <w:b/>
                <w:color w:val="auto"/>
                <w:sz w:val="18"/>
                <w:szCs w:val="18"/>
                <w:lang w:val="en-AU"/>
              </w:rPr>
            </w:pPr>
            <w:r w:rsidRPr="00EA5DF1">
              <w:rPr>
                <w:b/>
                <w:color w:val="auto"/>
                <w:sz w:val="18"/>
                <w:szCs w:val="18"/>
                <w:lang w:val="en-AU"/>
              </w:rPr>
              <w:t>Treatment Phase: Initial PBS-subsidised treatment (</w:t>
            </w:r>
            <w:r w:rsidRPr="00EA5DF1">
              <w:rPr>
                <w:b/>
                <w:bCs/>
                <w:color w:val="auto"/>
                <w:sz w:val="18"/>
                <w:szCs w:val="18"/>
                <w:lang w:val="en-AU"/>
              </w:rPr>
              <w:t>Grandfather patient) -</w:t>
            </w:r>
            <w:r w:rsidRPr="00EA5DF1">
              <w:rPr>
                <w:rFonts w:ascii="Arial" w:hAnsi="Arial"/>
                <w:b/>
                <w:bCs/>
                <w:color w:val="auto"/>
                <w:sz w:val="17"/>
                <w:szCs w:val="17"/>
                <w:lang w:val="en-AU"/>
              </w:rPr>
              <w:t xml:space="preserve"> </w:t>
            </w:r>
            <w:r w:rsidRPr="00EA5DF1">
              <w:rPr>
                <w:b/>
                <w:color w:val="auto"/>
                <w:sz w:val="18"/>
                <w:szCs w:val="18"/>
                <w:lang w:val="en-AU"/>
              </w:rPr>
              <w:t xml:space="preserve">subcutaneous form </w:t>
            </w:r>
          </w:p>
        </w:tc>
      </w:tr>
      <w:tr w:rsidR="00A71E3B" w:rsidRPr="00EA5DF1" w14:paraId="4B6180FD"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0B475A57" w14:textId="77777777" w:rsidR="00A71E3B" w:rsidRPr="00EA5DF1" w:rsidRDefault="00A71E3B" w:rsidP="0029145A">
            <w:pPr>
              <w:pStyle w:val="KMC16-Tablecontent"/>
              <w:spacing w:after="0"/>
              <w:rPr>
                <w:b/>
                <w:sz w:val="18"/>
                <w:szCs w:val="18"/>
                <w:lang w:val="en-AU"/>
              </w:rPr>
            </w:pPr>
            <w:r w:rsidRPr="00EA5DF1">
              <w:rPr>
                <w:b/>
                <w:sz w:val="18"/>
                <w:szCs w:val="18"/>
                <w:lang w:val="en-AU"/>
              </w:rPr>
              <w:t xml:space="preserve">Clinical criteria: </w:t>
            </w:r>
          </w:p>
        </w:tc>
      </w:tr>
      <w:tr w:rsidR="00A71E3B" w:rsidRPr="00EA5DF1" w14:paraId="31BF213B"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769E4B64"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Patient must have previously received non-PBS subsidised treatment with this drug with the subcutaneous form for this condition prior to [1 Month 20XX, insert listing date here]</w:t>
            </w:r>
            <w:r w:rsidRPr="00EA5DF1">
              <w:rPr>
                <w:i/>
                <w:color w:val="auto"/>
                <w:sz w:val="18"/>
                <w:szCs w:val="18"/>
                <w:lang w:val="en-AU"/>
              </w:rPr>
              <w:t xml:space="preserve"> </w:t>
            </w:r>
          </w:p>
        </w:tc>
      </w:tr>
      <w:tr w:rsidR="00A71E3B" w:rsidRPr="00EA5DF1" w14:paraId="20E1AE16"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0C6AAF7A" w14:textId="77777777" w:rsidR="00A71E3B" w:rsidRPr="00EA5DF1" w:rsidRDefault="00A71E3B" w:rsidP="0029145A">
            <w:pPr>
              <w:pStyle w:val="KMC16-Tablecontent"/>
              <w:spacing w:after="0"/>
              <w:rPr>
                <w:b/>
                <w:color w:val="auto"/>
                <w:sz w:val="18"/>
                <w:szCs w:val="18"/>
                <w:lang w:val="en-AU"/>
              </w:rPr>
            </w:pPr>
            <w:r w:rsidRPr="00EA5DF1">
              <w:rPr>
                <w:b/>
                <w:color w:val="auto"/>
                <w:sz w:val="18"/>
                <w:szCs w:val="18"/>
                <w:lang w:val="en-AU"/>
              </w:rPr>
              <w:t>AND</w:t>
            </w:r>
          </w:p>
          <w:p w14:paraId="73DA8308"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 xml:space="preserve">Patient must have previously received induction treatment consisting of 2 doses with this drug for this condition in the intravenous form </w:t>
            </w:r>
          </w:p>
        </w:tc>
      </w:tr>
      <w:tr w:rsidR="00A71E3B" w:rsidRPr="00EA5DF1" w14:paraId="62594C34"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CE0564A" w14:textId="77777777" w:rsidR="00A71E3B" w:rsidRPr="00EA5DF1" w:rsidRDefault="00A71E3B" w:rsidP="0029145A">
            <w:pPr>
              <w:pStyle w:val="KMC16-Tablecontent"/>
              <w:spacing w:after="0"/>
              <w:rPr>
                <w:b/>
                <w:color w:val="auto"/>
                <w:sz w:val="18"/>
                <w:szCs w:val="18"/>
                <w:lang w:val="en-AU"/>
              </w:rPr>
            </w:pPr>
            <w:r w:rsidRPr="00EA5DF1">
              <w:rPr>
                <w:b/>
                <w:color w:val="auto"/>
                <w:sz w:val="18"/>
                <w:szCs w:val="18"/>
                <w:lang w:val="en-AU"/>
              </w:rPr>
              <w:t>AND</w:t>
            </w:r>
          </w:p>
          <w:p w14:paraId="155B15A0"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Patient must be receiving treatment with this drug for this condition at the time of application</w:t>
            </w:r>
          </w:p>
        </w:tc>
      </w:tr>
      <w:tr w:rsidR="00A71E3B" w:rsidRPr="00EA5DF1" w14:paraId="1EB80E1F"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6CD3FC2" w14:textId="77777777" w:rsidR="00A71E3B" w:rsidRPr="00EA5DF1" w:rsidRDefault="00A71E3B" w:rsidP="0029145A">
            <w:pPr>
              <w:pStyle w:val="KMC16-Tablecontent"/>
              <w:spacing w:after="0"/>
              <w:rPr>
                <w:b/>
                <w:color w:val="auto"/>
                <w:sz w:val="18"/>
                <w:szCs w:val="18"/>
                <w:lang w:val="en-AU"/>
              </w:rPr>
            </w:pPr>
            <w:r w:rsidRPr="00EA5DF1">
              <w:rPr>
                <w:b/>
                <w:color w:val="auto"/>
                <w:sz w:val="18"/>
                <w:szCs w:val="18"/>
                <w:lang w:val="en-AU"/>
              </w:rPr>
              <w:t>AND</w:t>
            </w:r>
          </w:p>
          <w:p w14:paraId="5B13B949"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Patient must have failed to achieve,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p>
        </w:tc>
      </w:tr>
      <w:tr w:rsidR="00A71E3B" w:rsidRPr="00EA5DF1" w14:paraId="79A67491"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602849F"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w:t>
            </w:r>
            <w:r w:rsidRPr="00EA5DF1">
              <w:rPr>
                <w:color w:val="auto"/>
                <w:sz w:val="18"/>
                <w:szCs w:val="18"/>
                <w:lang w:val="en-AU"/>
              </w:rPr>
              <w:lastRenderedPageBreak/>
              <w:t>continuous treatment with each of at least 2 of the following DMARDs: (i) hydroxychloroquine at a dose of at least 200 mg daily; and/or (ii) leflunomide at a dose of at least 10 mg daily; and/or (iii) sulfasalazine at a dose of at least 2 g daily; OR</w:t>
            </w:r>
          </w:p>
        </w:tc>
      </w:tr>
      <w:tr w:rsidR="00A71E3B" w:rsidRPr="00EA5DF1" w14:paraId="0F8F8894"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01D2D059" w14:textId="39727F4E" w:rsidR="00A71E3B" w:rsidRPr="00EA5DF1" w:rsidRDefault="00A71E3B" w:rsidP="0029145A">
            <w:pPr>
              <w:pStyle w:val="KMC16-Tablecontent"/>
              <w:spacing w:after="0"/>
              <w:rPr>
                <w:color w:val="auto"/>
                <w:sz w:val="18"/>
                <w:szCs w:val="18"/>
                <w:lang w:val="en-AU"/>
              </w:rPr>
            </w:pPr>
            <w:r w:rsidRPr="00EA5DF1">
              <w:rPr>
                <w:color w:val="auto"/>
                <w:sz w:val="18"/>
                <w:szCs w:val="18"/>
                <w:lang w:val="en-AU"/>
              </w:rPr>
              <w:lastRenderedPageBreak/>
              <w:t xml:space="preserve">Patient must have failed, in the 24 months immediately prior to the date of the application, to achieve an adequate response to a trial of at least </w:t>
            </w:r>
            <w:r w:rsidRPr="00E3132C">
              <w:rPr>
                <w:strike/>
                <w:color w:val="auto"/>
                <w:sz w:val="18"/>
                <w:szCs w:val="18"/>
                <w:lang w:val="en-AU"/>
              </w:rPr>
              <w:t xml:space="preserve">6 </w:t>
            </w:r>
            <w:r w:rsidRPr="00EA5DF1">
              <w:rPr>
                <w:i/>
                <w:color w:val="auto"/>
                <w:sz w:val="18"/>
                <w:szCs w:val="18"/>
                <w:lang w:val="en-AU"/>
              </w:rPr>
              <w:t xml:space="preserve">3 </w:t>
            </w:r>
            <w:r w:rsidRPr="00EA5DF1">
              <w:rPr>
                <w:color w:val="auto"/>
                <w:sz w:val="18"/>
                <w:szCs w:val="18"/>
                <w:lang w:val="en-AU"/>
              </w:rPr>
              <w:t xml:space="preserve">months of continuous intensive treatment with </w:t>
            </w:r>
            <w:r w:rsidRPr="00EA5DF1">
              <w:rPr>
                <w:i/>
                <w:color w:val="auto"/>
                <w:sz w:val="18"/>
                <w:szCs w:val="18"/>
                <w:lang w:val="en-AU"/>
              </w:rPr>
              <w:t xml:space="preserve">a </w:t>
            </w:r>
            <w:r w:rsidRPr="00EA5DF1">
              <w:rPr>
                <w:color w:val="auto"/>
                <w:sz w:val="18"/>
                <w:szCs w:val="18"/>
                <w:lang w:val="en-AU"/>
              </w:rPr>
              <w:t>DMARD</w:t>
            </w:r>
            <w:r w:rsidRPr="004F574E">
              <w:rPr>
                <w:strike/>
                <w:color w:val="auto"/>
                <w:sz w:val="18"/>
                <w:szCs w:val="18"/>
                <w:lang w:val="en-AU"/>
              </w:rPr>
              <w:t>s which, if</w:t>
            </w:r>
            <w:r w:rsidRPr="00EA5DF1">
              <w:rPr>
                <w:i/>
                <w:color w:val="auto"/>
                <w:sz w:val="18"/>
                <w:szCs w:val="18"/>
                <w:lang w:val="en-AU"/>
              </w:rPr>
              <w:t xml:space="preserve"> where 2</w:t>
            </w:r>
            <w:r w:rsidRPr="00EA5DF1">
              <w:rPr>
                <w:color w:val="auto"/>
                <w:sz w:val="18"/>
                <w:szCs w:val="18"/>
                <w:lang w:val="en-AU"/>
              </w:rPr>
              <w:t xml:space="preserve"> </w:t>
            </w:r>
            <w:r w:rsidRPr="00E3132C">
              <w:rPr>
                <w:strike/>
                <w:color w:val="auto"/>
                <w:sz w:val="18"/>
                <w:szCs w:val="18"/>
                <w:lang w:val="en-AU"/>
              </w:rPr>
              <w:t xml:space="preserve">3 </w:t>
            </w:r>
            <w:r w:rsidRPr="004F574E">
              <w:rPr>
                <w:strike/>
                <w:color w:val="auto"/>
                <w:sz w:val="18"/>
                <w:szCs w:val="18"/>
                <w:lang w:val="en-AU"/>
              </w:rPr>
              <w:t>or more</w:t>
            </w:r>
            <w:r w:rsidRPr="00EA5DF1">
              <w:rPr>
                <w:color w:val="auto"/>
                <w:sz w:val="18"/>
                <w:szCs w:val="18"/>
                <w:lang w:val="en-AU"/>
              </w:rPr>
              <w:t xml:space="preserve"> of</w:t>
            </w:r>
            <w:r w:rsidRPr="00EA5DF1">
              <w:rPr>
                <w:i/>
                <w:color w:val="auto"/>
                <w:sz w:val="18"/>
                <w:szCs w:val="18"/>
                <w:lang w:val="en-AU"/>
              </w:rPr>
              <w:t>:</w:t>
            </w:r>
            <w:r w:rsidRPr="00EA5DF1">
              <w:rPr>
                <w:color w:val="auto"/>
                <w:sz w:val="18"/>
                <w:szCs w:val="18"/>
                <w:lang w:val="en-AU"/>
              </w:rPr>
              <w:t xml:space="preserve"> </w:t>
            </w:r>
            <w:r w:rsidRPr="00E3132C">
              <w:rPr>
                <w:strike/>
                <w:color w:val="auto"/>
                <w:sz w:val="18"/>
                <w:szCs w:val="18"/>
                <w:lang w:val="en-AU"/>
              </w:rPr>
              <w:t xml:space="preserve">methotrexate, </w:t>
            </w:r>
            <w:r w:rsidRPr="00EA5DF1">
              <w:rPr>
                <w:i/>
                <w:color w:val="auto"/>
                <w:sz w:val="18"/>
                <w:szCs w:val="18"/>
                <w:lang w:val="en-AU"/>
              </w:rPr>
              <w:t xml:space="preserve">(i) </w:t>
            </w:r>
            <w:r w:rsidRPr="00EA5DF1">
              <w:rPr>
                <w:color w:val="auto"/>
                <w:sz w:val="18"/>
                <w:szCs w:val="18"/>
                <w:lang w:val="en-AU"/>
              </w:rPr>
              <w:t xml:space="preserve">hydroxychloroquine, </w:t>
            </w:r>
            <w:r w:rsidRPr="00EA5DF1">
              <w:rPr>
                <w:i/>
                <w:color w:val="auto"/>
                <w:sz w:val="18"/>
                <w:szCs w:val="18"/>
                <w:lang w:val="en-AU"/>
              </w:rPr>
              <w:t xml:space="preserve">(ii) </w:t>
            </w:r>
            <w:r w:rsidRPr="00EA5DF1">
              <w:rPr>
                <w:color w:val="auto"/>
                <w:sz w:val="18"/>
                <w:szCs w:val="18"/>
                <w:lang w:val="en-AU"/>
              </w:rPr>
              <w:t xml:space="preserve">leflunomide, </w:t>
            </w:r>
            <w:r w:rsidRPr="00EA5DF1">
              <w:rPr>
                <w:i/>
                <w:color w:val="auto"/>
                <w:sz w:val="18"/>
                <w:szCs w:val="18"/>
                <w:lang w:val="en-AU"/>
              </w:rPr>
              <w:t xml:space="preserve">(iii) </w:t>
            </w:r>
            <w:r w:rsidRPr="00EA5DF1">
              <w:rPr>
                <w:color w:val="auto"/>
                <w:sz w:val="18"/>
                <w:szCs w:val="18"/>
                <w:lang w:val="en-AU"/>
              </w:rPr>
              <w:t xml:space="preserve">sulfasalazine, are </w:t>
            </w:r>
            <w:r w:rsidRPr="00EA5DF1">
              <w:rPr>
                <w:i/>
                <w:color w:val="auto"/>
                <w:sz w:val="18"/>
                <w:szCs w:val="18"/>
                <w:lang w:val="en-AU"/>
              </w:rPr>
              <w:t xml:space="preserve">either </w:t>
            </w:r>
            <w:r w:rsidRPr="00EA5DF1">
              <w:rPr>
                <w:color w:val="auto"/>
                <w:sz w:val="18"/>
                <w:szCs w:val="18"/>
                <w:lang w:val="en-AU"/>
              </w:rPr>
              <w:t>contraindicated according to the relevant TGA-approved Product Information or</w:t>
            </w:r>
            <w:r w:rsidRPr="004F574E">
              <w:rPr>
                <w:i/>
                <w:strike/>
                <w:color w:val="auto"/>
                <w:sz w:val="18"/>
                <w:szCs w:val="18"/>
                <w:lang w:val="en-AU"/>
              </w:rPr>
              <w:t>/</w:t>
            </w:r>
            <w:r w:rsidRPr="00EA5DF1">
              <w:rPr>
                <w:color w:val="auto"/>
                <w:sz w:val="18"/>
                <w:szCs w:val="18"/>
                <w:lang w:val="en-AU"/>
              </w:rPr>
              <w:t>cannot be tolerated at the doses specified above in addition to having a contraindication or intolerance to methotrexate: remaining tolerated DMARD must be trialled at a minimum dose as mentioned above; or</w:t>
            </w:r>
          </w:p>
        </w:tc>
      </w:tr>
      <w:tr w:rsidR="00A71E3B" w:rsidRPr="00EA5DF1" w14:paraId="4B50178D"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077499F" w14:textId="77777777" w:rsidR="00A71E3B" w:rsidRPr="00EA5DF1" w:rsidRDefault="00A71E3B" w:rsidP="0029145A">
            <w:pPr>
              <w:pStyle w:val="KMC16-Tablecontent"/>
              <w:spacing w:after="0"/>
              <w:rPr>
                <w:color w:val="auto"/>
                <w:sz w:val="18"/>
                <w:szCs w:val="18"/>
                <w:lang w:val="en-AU"/>
              </w:rPr>
            </w:pPr>
            <w:r w:rsidRPr="00EA5DF1">
              <w:rPr>
                <w:rFonts w:cstheme="majorHAnsi"/>
                <w:sz w:val="18"/>
                <w:szCs w:val="18"/>
                <w:lang w:val="en-AU"/>
              </w:rPr>
              <w:t>Patient must have a contraindication/severe intolerance to each of: (i) methotrexate, (ii) hydroxychloroquine, (iii) leflunomide, (iv) sulfasalazine; in such cases, provide details for each of the contraindications/severe intolerances claimed in the authority application.</w:t>
            </w:r>
          </w:p>
        </w:tc>
      </w:tr>
      <w:tr w:rsidR="00A71E3B" w:rsidRPr="00EA5DF1" w14:paraId="3C976F69"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5AA45E4D" w14:textId="77777777" w:rsidR="00A71E3B" w:rsidRPr="00EA5DF1" w:rsidRDefault="00A71E3B" w:rsidP="0029145A">
            <w:pPr>
              <w:pStyle w:val="KMC16-Tablecontent"/>
              <w:spacing w:after="0"/>
              <w:rPr>
                <w:b/>
                <w:color w:val="auto"/>
                <w:sz w:val="18"/>
                <w:szCs w:val="18"/>
                <w:lang w:val="en-AU"/>
              </w:rPr>
            </w:pPr>
            <w:r w:rsidRPr="00EA5DF1">
              <w:rPr>
                <w:b/>
                <w:color w:val="auto"/>
                <w:sz w:val="18"/>
                <w:szCs w:val="18"/>
                <w:lang w:val="en-AU"/>
              </w:rPr>
              <w:t>AND</w:t>
            </w:r>
          </w:p>
          <w:p w14:paraId="6EC2A742" w14:textId="77777777" w:rsidR="00A71E3B" w:rsidRPr="00EA5DF1" w:rsidRDefault="00A71E3B" w:rsidP="0029145A">
            <w:pPr>
              <w:pStyle w:val="KMC16-Tablecontent"/>
              <w:spacing w:after="0"/>
              <w:rPr>
                <w:color w:val="auto"/>
                <w:sz w:val="18"/>
                <w:szCs w:val="18"/>
                <w:lang w:val="en-AU"/>
              </w:rPr>
            </w:pPr>
            <w:r w:rsidRPr="00EA5DF1">
              <w:rPr>
                <w:color w:val="auto"/>
                <w:sz w:val="18"/>
                <w:szCs w:val="18"/>
                <w:lang w:val="en-AU"/>
              </w:rPr>
              <w:t>Patient must not have already failed , or ceased to respond to, PBS-subsidised biological medicine treatment for this condition 5 times</w:t>
            </w:r>
          </w:p>
        </w:tc>
      </w:tr>
      <w:tr w:rsidR="00A71E3B" w:rsidRPr="00EA5DF1" w14:paraId="0FCA8B6B"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899E04B" w14:textId="77777777" w:rsidR="00A71E3B" w:rsidRPr="00EA5DF1" w:rsidRDefault="00A71E3B" w:rsidP="0029145A">
            <w:pPr>
              <w:pStyle w:val="KMC16-Tablecontent"/>
              <w:spacing w:after="0"/>
              <w:rPr>
                <w:b/>
                <w:sz w:val="18"/>
                <w:szCs w:val="18"/>
                <w:lang w:val="en-AU"/>
              </w:rPr>
            </w:pPr>
            <w:r w:rsidRPr="00EA5DF1">
              <w:rPr>
                <w:b/>
                <w:sz w:val="18"/>
                <w:szCs w:val="18"/>
                <w:lang w:val="en-AU"/>
              </w:rPr>
              <w:t>AND</w:t>
            </w:r>
          </w:p>
          <w:p w14:paraId="623E6C38" w14:textId="77777777" w:rsidR="00A71E3B" w:rsidRPr="00EA5DF1" w:rsidRDefault="00A71E3B" w:rsidP="0029145A">
            <w:pPr>
              <w:pStyle w:val="KMC16-Tablecontent"/>
              <w:spacing w:after="0"/>
              <w:rPr>
                <w:b/>
                <w:sz w:val="18"/>
                <w:szCs w:val="18"/>
                <w:lang w:val="en-AU"/>
              </w:rPr>
            </w:pPr>
            <w:r w:rsidRPr="00EA5DF1">
              <w:rPr>
                <w:sz w:val="18"/>
                <w:szCs w:val="18"/>
                <w:lang w:val="en-AU"/>
              </w:rPr>
              <w:t xml:space="preserve">Patient must have demonstrated an adequate response to treatment with this drug </w:t>
            </w:r>
            <w:r w:rsidRPr="00EA5DF1">
              <w:rPr>
                <w:i/>
                <w:sz w:val="18"/>
                <w:szCs w:val="18"/>
                <w:lang w:val="en-AU"/>
              </w:rPr>
              <w:t>OR</w:t>
            </w:r>
          </w:p>
        </w:tc>
      </w:tr>
      <w:tr w:rsidR="00A71E3B" w:rsidRPr="00EA5DF1" w14:paraId="5F5751A1"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68535100" w14:textId="77777777" w:rsidR="00A71E3B" w:rsidRPr="00EA5DF1" w:rsidRDefault="00A71E3B" w:rsidP="0029145A">
            <w:pPr>
              <w:pStyle w:val="KMC16-Tablecontent"/>
              <w:spacing w:after="0"/>
              <w:rPr>
                <w:b/>
                <w:sz w:val="18"/>
                <w:szCs w:val="18"/>
                <w:lang w:val="en-AU"/>
              </w:rPr>
            </w:pPr>
            <w:r w:rsidRPr="00EA5DF1">
              <w:rPr>
                <w:sz w:val="18"/>
                <w:szCs w:val="18"/>
                <w:lang w:val="en-AU"/>
              </w:rPr>
              <w:t>Patient must have demonstrated an adequate response to treatment with this drug in the intravenous form</w:t>
            </w:r>
          </w:p>
        </w:tc>
      </w:tr>
      <w:tr w:rsidR="00A71E3B" w:rsidRPr="00EA5DF1" w14:paraId="345BB300"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33E36528" w14:textId="77777777" w:rsidR="00A71E3B" w:rsidRPr="00EA5DF1" w:rsidRDefault="00A71E3B" w:rsidP="0029145A">
            <w:pPr>
              <w:pStyle w:val="KMC16-Tablecontent"/>
              <w:spacing w:after="0"/>
              <w:rPr>
                <w:b/>
                <w:sz w:val="18"/>
                <w:szCs w:val="18"/>
                <w:lang w:val="en-AU"/>
              </w:rPr>
            </w:pPr>
            <w:r w:rsidRPr="00EA5DF1">
              <w:rPr>
                <w:b/>
                <w:sz w:val="18"/>
                <w:szCs w:val="18"/>
                <w:lang w:val="en-AU"/>
              </w:rPr>
              <w:t>AND</w:t>
            </w:r>
          </w:p>
          <w:p w14:paraId="35AC76F0" w14:textId="77777777" w:rsidR="00A71E3B" w:rsidRPr="00EA5DF1" w:rsidRDefault="00A71E3B" w:rsidP="0029145A">
            <w:pPr>
              <w:pStyle w:val="KMC16-Tablecontent"/>
              <w:spacing w:after="0"/>
              <w:rPr>
                <w:sz w:val="18"/>
                <w:szCs w:val="18"/>
                <w:lang w:val="en-AU"/>
              </w:rPr>
            </w:pPr>
            <w:r w:rsidRPr="00EA5DF1">
              <w:rPr>
                <w:sz w:val="18"/>
                <w:szCs w:val="18"/>
                <w:lang w:val="en-AU"/>
              </w:rPr>
              <w:t>The treatment must be given concomitantly with methotrexate at a dose of at least 7.5 mg weekly</w:t>
            </w:r>
          </w:p>
        </w:tc>
      </w:tr>
      <w:tr w:rsidR="00A71E3B" w:rsidRPr="00EA5DF1" w14:paraId="4246B97C"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3CEECA5C" w14:textId="77777777" w:rsidR="00A71E3B" w:rsidRPr="00EA5DF1" w:rsidRDefault="00A71E3B" w:rsidP="0029145A">
            <w:pPr>
              <w:pStyle w:val="KMC16-Tablecontent"/>
              <w:spacing w:after="0"/>
              <w:rPr>
                <w:b/>
                <w:sz w:val="18"/>
                <w:szCs w:val="18"/>
                <w:lang w:val="en-AU"/>
              </w:rPr>
            </w:pPr>
            <w:r w:rsidRPr="00EA5DF1">
              <w:rPr>
                <w:b/>
                <w:sz w:val="18"/>
                <w:szCs w:val="18"/>
                <w:lang w:val="en-AU"/>
              </w:rPr>
              <w:t>AND</w:t>
            </w:r>
          </w:p>
          <w:p w14:paraId="2FD61094" w14:textId="77777777" w:rsidR="00A71E3B" w:rsidRPr="00EA5DF1" w:rsidRDefault="00A71E3B" w:rsidP="0029145A">
            <w:pPr>
              <w:pStyle w:val="KMC16-Tablecontent"/>
              <w:spacing w:after="0"/>
              <w:rPr>
                <w:b/>
                <w:sz w:val="18"/>
                <w:szCs w:val="18"/>
                <w:lang w:val="en-AU"/>
              </w:rPr>
            </w:pPr>
            <w:r w:rsidRPr="00EA5DF1">
              <w:rPr>
                <w:sz w:val="18"/>
                <w:szCs w:val="18"/>
                <w:lang w:val="en-AU"/>
              </w:rPr>
              <w:t>Patient must not receive more than 24 weeks of treatment under this restriction</w:t>
            </w:r>
          </w:p>
        </w:tc>
      </w:tr>
      <w:tr w:rsidR="00A71E3B" w:rsidRPr="00EA5DF1" w14:paraId="1D377EE8"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2E469AF9" w14:textId="77777777" w:rsidR="00A71E3B" w:rsidRPr="00EA5DF1" w:rsidRDefault="00A71E3B" w:rsidP="0029145A">
            <w:pPr>
              <w:pStyle w:val="KMC16-Tablecontent"/>
              <w:spacing w:after="0"/>
              <w:rPr>
                <w:b/>
                <w:sz w:val="18"/>
                <w:szCs w:val="18"/>
                <w:lang w:val="en-AU"/>
              </w:rPr>
            </w:pPr>
            <w:r w:rsidRPr="00EA5DF1">
              <w:rPr>
                <w:b/>
                <w:sz w:val="18"/>
                <w:szCs w:val="18"/>
                <w:lang w:val="en-AU"/>
              </w:rPr>
              <w:t>AND</w:t>
            </w:r>
          </w:p>
          <w:p w14:paraId="65B3FC86" w14:textId="77777777" w:rsidR="00A71E3B" w:rsidRPr="00EA5DF1" w:rsidRDefault="00A71E3B" w:rsidP="0029145A">
            <w:pPr>
              <w:pStyle w:val="KMC16-Tablecontent"/>
              <w:spacing w:after="0"/>
              <w:rPr>
                <w:b/>
                <w:sz w:val="18"/>
                <w:szCs w:val="18"/>
                <w:lang w:val="en-AU"/>
              </w:rPr>
            </w:pPr>
            <w:r w:rsidRPr="00EA5DF1">
              <w:rPr>
                <w:b/>
                <w:sz w:val="18"/>
                <w:szCs w:val="18"/>
                <w:lang w:val="en-AU"/>
              </w:rPr>
              <w:t>Population criteria:</w:t>
            </w:r>
          </w:p>
          <w:p w14:paraId="44EB981E" w14:textId="77777777" w:rsidR="00A71E3B" w:rsidRPr="00EA5DF1" w:rsidRDefault="00A71E3B" w:rsidP="0029145A">
            <w:pPr>
              <w:pStyle w:val="KMC16-Tablecontent"/>
              <w:rPr>
                <w:sz w:val="18"/>
                <w:szCs w:val="18"/>
                <w:lang w:val="en-AU"/>
              </w:rPr>
            </w:pPr>
            <w:r w:rsidRPr="00EA5DF1">
              <w:rPr>
                <w:sz w:val="18"/>
                <w:szCs w:val="18"/>
                <w:lang w:val="en-AU"/>
              </w:rPr>
              <w:t>Patient must be aged 18 years or older</w:t>
            </w:r>
          </w:p>
        </w:tc>
      </w:tr>
      <w:tr w:rsidR="00A71E3B" w:rsidRPr="00EA5DF1" w14:paraId="383222E0"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750C531C" w14:textId="77777777" w:rsidR="00A71E3B" w:rsidRPr="00EA5DF1" w:rsidRDefault="00A71E3B" w:rsidP="0029145A">
            <w:pPr>
              <w:pStyle w:val="KMC16-Tablecontent"/>
              <w:rPr>
                <w:b/>
                <w:sz w:val="18"/>
                <w:szCs w:val="18"/>
                <w:lang w:val="en-AU"/>
              </w:rPr>
            </w:pPr>
            <w:r w:rsidRPr="00EA5DF1">
              <w:rPr>
                <w:b/>
                <w:sz w:val="18"/>
                <w:szCs w:val="18"/>
                <w:lang w:val="en-AU"/>
              </w:rPr>
              <w:t>Prescribing Instruction:</w:t>
            </w:r>
          </w:p>
          <w:p w14:paraId="74DD484A" w14:textId="77777777" w:rsidR="00A71E3B" w:rsidRPr="00EA5DF1" w:rsidRDefault="00A71E3B" w:rsidP="0029145A">
            <w:pPr>
              <w:pStyle w:val="KMC16-Tablecontent"/>
              <w:rPr>
                <w:sz w:val="18"/>
                <w:szCs w:val="18"/>
                <w:lang w:val="en-AU"/>
              </w:rPr>
            </w:pPr>
            <w:r w:rsidRPr="00EA5DF1">
              <w:rPr>
                <w:sz w:val="18"/>
                <w:szCs w:val="18"/>
                <w:lang w:val="en-AU"/>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682B271B" w14:textId="77777777" w:rsidR="00A71E3B" w:rsidRPr="00EA5DF1" w:rsidRDefault="00A71E3B" w:rsidP="0029145A">
            <w:pPr>
              <w:pStyle w:val="KMC16-Tablecontent"/>
              <w:rPr>
                <w:sz w:val="18"/>
                <w:szCs w:val="18"/>
                <w:lang w:val="en-AU"/>
              </w:rPr>
            </w:pPr>
          </w:p>
          <w:p w14:paraId="5A882A1F" w14:textId="77777777" w:rsidR="00A71E3B" w:rsidRPr="00EA5DF1" w:rsidRDefault="00A71E3B" w:rsidP="0029145A">
            <w:pPr>
              <w:pStyle w:val="KMC16-Tablecontent"/>
              <w:rPr>
                <w:sz w:val="18"/>
                <w:szCs w:val="18"/>
                <w:lang w:val="en-AU"/>
              </w:rPr>
            </w:pPr>
            <w:r w:rsidRPr="00EA5DF1">
              <w:rPr>
                <w:sz w:val="18"/>
                <w:szCs w:val="18"/>
                <w:lang w:val="en-AU"/>
              </w:rPr>
              <w:t>The application must include details of the DMARDs trialled, their doses and duration of treatment, and all relevant contraindications and/or intolerances including severity.</w:t>
            </w:r>
          </w:p>
          <w:p w14:paraId="34C4D602" w14:textId="77777777" w:rsidR="00A71E3B" w:rsidRPr="00EA5DF1" w:rsidRDefault="00A71E3B" w:rsidP="0029145A">
            <w:pPr>
              <w:pStyle w:val="KMC16-Tablecontent"/>
              <w:rPr>
                <w:sz w:val="18"/>
                <w:szCs w:val="18"/>
                <w:lang w:val="en-AU"/>
              </w:rPr>
            </w:pPr>
          </w:p>
          <w:p w14:paraId="7E52D008" w14:textId="77777777" w:rsidR="00A71E3B" w:rsidRPr="00EA5DF1" w:rsidRDefault="00A71E3B" w:rsidP="0029145A">
            <w:pPr>
              <w:pStyle w:val="KMC16-Tablecontent"/>
              <w:rPr>
                <w:sz w:val="18"/>
                <w:szCs w:val="18"/>
                <w:lang w:val="en-AU"/>
              </w:rPr>
            </w:pPr>
            <w:r w:rsidRPr="00EA5DF1">
              <w:rPr>
                <w:sz w:val="18"/>
                <w:szCs w:val="18"/>
                <w:lang w:val="en-AU"/>
              </w:rPr>
              <w:t>The requirement to trial at least 2 DMARDs for periods of at least 3 months each can be met using single agents sequentially or by using one or more combinations of DMARDs.</w:t>
            </w:r>
          </w:p>
          <w:p w14:paraId="4A03C3C8" w14:textId="77777777" w:rsidR="00A71E3B" w:rsidRPr="00EA5DF1" w:rsidRDefault="00A71E3B" w:rsidP="0029145A">
            <w:pPr>
              <w:pStyle w:val="KMC16-Tablecontent"/>
              <w:rPr>
                <w:sz w:val="18"/>
                <w:szCs w:val="18"/>
                <w:lang w:val="en-AU"/>
              </w:rPr>
            </w:pPr>
          </w:p>
          <w:p w14:paraId="0D7AB9AF" w14:textId="77777777" w:rsidR="00A71E3B" w:rsidRPr="00EA5DF1" w:rsidRDefault="00A71E3B" w:rsidP="0029145A">
            <w:pPr>
              <w:pStyle w:val="KMC16-Tablecontent"/>
              <w:spacing w:after="0"/>
              <w:rPr>
                <w:b/>
                <w:sz w:val="18"/>
                <w:szCs w:val="18"/>
                <w:lang w:val="en-AU"/>
              </w:rPr>
            </w:pPr>
            <w:r w:rsidRPr="00EA5DF1">
              <w:rPr>
                <w:sz w:val="18"/>
                <w:szCs w:val="18"/>
                <w:lang w:val="en-AU"/>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tc>
      </w:tr>
      <w:tr w:rsidR="00A71E3B" w:rsidRPr="00EA5DF1" w14:paraId="55DDC674"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7670BCF8" w14:textId="77777777" w:rsidR="00A71E3B" w:rsidRPr="00EA5DF1" w:rsidRDefault="00A71E3B" w:rsidP="0029145A">
            <w:pPr>
              <w:pStyle w:val="KMC16-Tablecontent"/>
              <w:spacing w:after="0"/>
              <w:rPr>
                <w:b/>
                <w:sz w:val="18"/>
                <w:szCs w:val="18"/>
                <w:lang w:val="en-AU"/>
              </w:rPr>
            </w:pPr>
            <w:r w:rsidRPr="00EA5DF1">
              <w:rPr>
                <w:b/>
                <w:sz w:val="18"/>
                <w:szCs w:val="18"/>
                <w:lang w:val="en-AU"/>
              </w:rPr>
              <w:t>Prescribing Instruction:</w:t>
            </w:r>
          </w:p>
          <w:p w14:paraId="5E0E6EE0" w14:textId="77777777" w:rsidR="00A71E3B" w:rsidRPr="00EA5DF1" w:rsidRDefault="00A71E3B" w:rsidP="0029145A">
            <w:pPr>
              <w:pStyle w:val="KMC16-Tablecontent"/>
              <w:rPr>
                <w:sz w:val="18"/>
                <w:szCs w:val="18"/>
                <w:lang w:val="en-AU"/>
              </w:rPr>
            </w:pPr>
            <w:r w:rsidRPr="00EA5DF1">
              <w:rPr>
                <w:sz w:val="18"/>
                <w:szCs w:val="18"/>
                <w:lang w:val="en-AU"/>
              </w:rPr>
              <w:t>An adequate response to treatment is defined as:</w:t>
            </w:r>
          </w:p>
          <w:p w14:paraId="6AC08015" w14:textId="77777777" w:rsidR="00A71E3B" w:rsidRPr="00EA5DF1" w:rsidRDefault="00A71E3B" w:rsidP="0029145A">
            <w:pPr>
              <w:pStyle w:val="KMC16-Tablecontent"/>
              <w:rPr>
                <w:sz w:val="18"/>
                <w:szCs w:val="18"/>
                <w:lang w:val="en-AU"/>
              </w:rPr>
            </w:pPr>
            <w:r w:rsidRPr="00EA5DF1">
              <w:rPr>
                <w:sz w:val="18"/>
                <w:szCs w:val="18"/>
                <w:lang w:val="en-AU"/>
              </w:rPr>
              <w:t>an ESR no greater than 25 mm per hour or a CRP level no greater than 15 mg per L or either marker reduced by at least 20% from baseline;</w:t>
            </w:r>
          </w:p>
          <w:p w14:paraId="75FE975E" w14:textId="77777777" w:rsidR="00A71E3B" w:rsidRPr="00EA5DF1" w:rsidRDefault="00A71E3B" w:rsidP="0029145A">
            <w:pPr>
              <w:pStyle w:val="KMC16-Tablecontent"/>
              <w:rPr>
                <w:sz w:val="18"/>
                <w:szCs w:val="18"/>
                <w:lang w:val="en-AU"/>
              </w:rPr>
            </w:pPr>
            <w:r w:rsidRPr="00EA5DF1">
              <w:rPr>
                <w:sz w:val="18"/>
                <w:szCs w:val="18"/>
                <w:lang w:val="en-AU"/>
              </w:rPr>
              <w:t>AND either of the following:</w:t>
            </w:r>
          </w:p>
          <w:p w14:paraId="4301E703" w14:textId="77777777" w:rsidR="00A71E3B" w:rsidRPr="00EA5DF1" w:rsidRDefault="00A71E3B" w:rsidP="0029145A">
            <w:pPr>
              <w:pStyle w:val="KMC16-Tablecontent"/>
              <w:rPr>
                <w:sz w:val="18"/>
                <w:szCs w:val="18"/>
                <w:lang w:val="en-AU"/>
              </w:rPr>
            </w:pPr>
            <w:r w:rsidRPr="00EA5DF1">
              <w:rPr>
                <w:sz w:val="18"/>
                <w:szCs w:val="18"/>
                <w:lang w:val="en-AU"/>
              </w:rPr>
              <w:t>(a) a reduction in the total active (swollen and tender) joint count by at least 50% from baseline, where baseline is at least 20 active joints; or</w:t>
            </w:r>
          </w:p>
          <w:p w14:paraId="3B082D4A" w14:textId="77777777" w:rsidR="00A71E3B" w:rsidRPr="00EA5DF1" w:rsidRDefault="00A71E3B" w:rsidP="0029145A">
            <w:pPr>
              <w:pStyle w:val="KMC16-Tablecontent"/>
              <w:rPr>
                <w:sz w:val="18"/>
                <w:szCs w:val="18"/>
                <w:lang w:val="en-AU"/>
              </w:rPr>
            </w:pPr>
            <w:r w:rsidRPr="00EA5DF1">
              <w:rPr>
                <w:sz w:val="18"/>
                <w:szCs w:val="18"/>
                <w:lang w:val="en-AU"/>
              </w:rPr>
              <w:t>(b) a reduction in the number of the following active joints, from at least 4, by at least 50%:</w:t>
            </w:r>
          </w:p>
          <w:p w14:paraId="43BE497F" w14:textId="77777777" w:rsidR="00A71E3B" w:rsidRPr="00EA5DF1" w:rsidRDefault="00A71E3B" w:rsidP="0029145A">
            <w:pPr>
              <w:pStyle w:val="KMC16-Tablecontent"/>
              <w:rPr>
                <w:sz w:val="18"/>
                <w:szCs w:val="18"/>
                <w:lang w:val="en-AU"/>
              </w:rPr>
            </w:pPr>
            <w:r w:rsidRPr="00EA5DF1">
              <w:rPr>
                <w:sz w:val="18"/>
                <w:szCs w:val="18"/>
                <w:lang w:val="en-AU"/>
              </w:rPr>
              <w:t>(i) elbow, wrist, knee and/or ankle (assessed as swollen and tender); and/or</w:t>
            </w:r>
          </w:p>
          <w:p w14:paraId="76167044" w14:textId="77777777" w:rsidR="00A71E3B" w:rsidRPr="00EA5DF1" w:rsidRDefault="00A71E3B" w:rsidP="0029145A">
            <w:pPr>
              <w:pStyle w:val="KMC16-Tablecontent"/>
              <w:rPr>
                <w:sz w:val="18"/>
                <w:szCs w:val="18"/>
                <w:lang w:val="en-AU"/>
              </w:rPr>
            </w:pPr>
            <w:r w:rsidRPr="00EA5DF1">
              <w:rPr>
                <w:sz w:val="18"/>
                <w:szCs w:val="18"/>
                <w:lang w:val="en-AU"/>
              </w:rPr>
              <w:t>(ii) shoulder and/or hip (assessed as pain in passive movement and restriction of passive movement, where pain and limitation of movement are due to active disease and not irreversible damage such as joint destruction or bony overgrowth).</w:t>
            </w:r>
          </w:p>
        </w:tc>
      </w:tr>
      <w:tr w:rsidR="00A71E3B" w:rsidRPr="00EA5DF1" w14:paraId="6AC21C55"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381343C1" w14:textId="77777777" w:rsidR="00A71E3B" w:rsidRPr="00EA5DF1" w:rsidRDefault="00A71E3B" w:rsidP="0029145A">
            <w:pPr>
              <w:pStyle w:val="KMC16-Tablecontent"/>
              <w:keepNext/>
              <w:keepLines/>
              <w:spacing w:after="0"/>
              <w:rPr>
                <w:b/>
                <w:sz w:val="18"/>
                <w:szCs w:val="18"/>
                <w:lang w:val="en-AU"/>
              </w:rPr>
            </w:pPr>
            <w:r w:rsidRPr="00EA5DF1">
              <w:rPr>
                <w:b/>
                <w:sz w:val="18"/>
                <w:szCs w:val="18"/>
                <w:lang w:val="en-AU"/>
              </w:rPr>
              <w:t>Prescribing Instruction:</w:t>
            </w:r>
          </w:p>
          <w:p w14:paraId="561B275E" w14:textId="77777777" w:rsidR="00A71E3B" w:rsidRPr="00EA5DF1" w:rsidRDefault="00A71E3B" w:rsidP="0029145A">
            <w:pPr>
              <w:pStyle w:val="KMC16-Tablecontent"/>
              <w:keepNext/>
              <w:keepLines/>
              <w:spacing w:after="0"/>
              <w:rPr>
                <w:sz w:val="18"/>
                <w:szCs w:val="18"/>
                <w:lang w:val="en-AU"/>
              </w:rPr>
            </w:pPr>
            <w:r w:rsidRPr="00EA5DF1">
              <w:rPr>
                <w:sz w:val="18"/>
                <w:szCs w:val="18"/>
                <w:lang w:val="en-AU"/>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A71E3B" w:rsidRPr="00EA5DF1" w14:paraId="66F20E30"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33C5EB41" w14:textId="77777777" w:rsidR="00A71E3B" w:rsidRPr="00EA5DF1" w:rsidRDefault="00A71E3B" w:rsidP="0029145A">
            <w:pPr>
              <w:pStyle w:val="KMC16-Tablecontent"/>
              <w:rPr>
                <w:b/>
                <w:sz w:val="18"/>
                <w:szCs w:val="18"/>
                <w:lang w:val="en-AU"/>
              </w:rPr>
            </w:pPr>
            <w:r w:rsidRPr="00EA5DF1">
              <w:rPr>
                <w:b/>
                <w:sz w:val="18"/>
                <w:szCs w:val="18"/>
                <w:lang w:val="en-AU"/>
              </w:rPr>
              <w:t>Prescribing Instruction:</w:t>
            </w:r>
          </w:p>
          <w:p w14:paraId="4ADEF88D" w14:textId="77777777" w:rsidR="00A71E3B" w:rsidRPr="00EA5DF1" w:rsidRDefault="00A71E3B" w:rsidP="0029145A">
            <w:pPr>
              <w:pStyle w:val="KMC16-Tablecontent"/>
              <w:rPr>
                <w:sz w:val="18"/>
                <w:szCs w:val="18"/>
                <w:lang w:val="en-AU"/>
              </w:rPr>
            </w:pPr>
            <w:r w:rsidRPr="00EA5DF1">
              <w:rPr>
                <w:sz w:val="18"/>
                <w:szCs w:val="18"/>
                <w:lang w:val="en-AU"/>
              </w:rPr>
              <w:lastRenderedPageBreak/>
              <w:t>All applications for treatment with this drug for this condition under this restriction must include baseline joint count and ESR and/or CRP as determined at the completion of a 6 month intensive DMARD trial but prior to ceasing DMARD therapy, and measurement of response to the prior course of non-PBS-subsidised therapy with this drug. This assessment must be submitted no later than 4 weeks from the cessation of that treatment course.</w:t>
            </w:r>
          </w:p>
        </w:tc>
      </w:tr>
      <w:tr w:rsidR="00A71E3B" w:rsidRPr="00EA5DF1" w14:paraId="6B07718A"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6F1746E3" w14:textId="77777777" w:rsidR="00A71E3B" w:rsidRPr="00EA5DF1" w:rsidRDefault="00A71E3B" w:rsidP="0029145A">
            <w:pPr>
              <w:pStyle w:val="KMC16-Tablecontent"/>
              <w:rPr>
                <w:b/>
                <w:sz w:val="18"/>
                <w:szCs w:val="18"/>
                <w:lang w:val="en-AU"/>
              </w:rPr>
            </w:pPr>
            <w:r w:rsidRPr="00EA5DF1">
              <w:rPr>
                <w:sz w:val="18"/>
                <w:szCs w:val="18"/>
                <w:lang w:val="en-AU"/>
              </w:rPr>
              <w:lastRenderedPageBreak/>
              <w:t>A Grandfathered patient may qualify for PBS-subsidised treatment under this restriction once only. For continuing PBS-subsidised treatment, a Grandfathered patient must qualify under the continuing treatment criteria.</w:t>
            </w:r>
          </w:p>
        </w:tc>
      </w:tr>
      <w:tr w:rsidR="00A71E3B" w:rsidRPr="00EA5DF1" w14:paraId="53F8BFFF"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79BBDBC" w14:textId="77777777" w:rsidR="00A71E3B" w:rsidRPr="00EA5DF1" w:rsidRDefault="00A71E3B" w:rsidP="0029145A">
            <w:pPr>
              <w:pStyle w:val="KMC16-Tablecontent"/>
              <w:spacing w:after="0"/>
              <w:rPr>
                <w:b/>
                <w:sz w:val="18"/>
                <w:szCs w:val="18"/>
                <w:lang w:val="en-AU"/>
              </w:rPr>
            </w:pPr>
            <w:r w:rsidRPr="00EA5DF1">
              <w:rPr>
                <w:b/>
                <w:sz w:val="18"/>
                <w:szCs w:val="18"/>
                <w:lang w:val="en-AU"/>
              </w:rPr>
              <w:t>Prescribing Instruction:</w:t>
            </w:r>
          </w:p>
          <w:p w14:paraId="4CCA9FDA" w14:textId="77777777" w:rsidR="00A71E3B" w:rsidRPr="00EA5DF1" w:rsidRDefault="00A71E3B" w:rsidP="0029145A">
            <w:pPr>
              <w:pStyle w:val="KMC16-Tablecontent"/>
              <w:rPr>
                <w:sz w:val="18"/>
                <w:szCs w:val="18"/>
                <w:lang w:val="en-AU"/>
              </w:rPr>
            </w:pPr>
            <w:r w:rsidRPr="00EA5DF1">
              <w:rPr>
                <w:sz w:val="18"/>
                <w:szCs w:val="18"/>
                <w:lang w:val="en-AU"/>
              </w:rPr>
              <w:t>The authority application must be made in writing and must include:</w:t>
            </w:r>
          </w:p>
          <w:p w14:paraId="14633DC6" w14:textId="77777777" w:rsidR="00A71E3B" w:rsidRPr="00EA5DF1" w:rsidRDefault="00A71E3B" w:rsidP="0029145A">
            <w:pPr>
              <w:pStyle w:val="KMC16-Tablecontent"/>
              <w:rPr>
                <w:sz w:val="18"/>
                <w:szCs w:val="18"/>
                <w:lang w:val="en-AU"/>
              </w:rPr>
            </w:pPr>
            <w:r w:rsidRPr="00EA5DF1">
              <w:rPr>
                <w:sz w:val="18"/>
                <w:szCs w:val="18"/>
                <w:lang w:val="en-AU"/>
              </w:rPr>
              <w:t>(1) a completed authority prescription form(s); and</w:t>
            </w:r>
          </w:p>
          <w:p w14:paraId="3E4584A9" w14:textId="77777777" w:rsidR="00A71E3B" w:rsidRPr="00EA5DF1" w:rsidRDefault="00A71E3B" w:rsidP="0029145A">
            <w:pPr>
              <w:pStyle w:val="KMC16-Tablecontent"/>
              <w:rPr>
                <w:sz w:val="18"/>
                <w:szCs w:val="18"/>
                <w:lang w:val="en-AU"/>
              </w:rPr>
            </w:pPr>
            <w:r w:rsidRPr="00EA5DF1">
              <w:rPr>
                <w:sz w:val="18"/>
                <w:szCs w:val="18"/>
                <w:lang w:val="en-AU"/>
              </w:rPr>
              <w:t>(2) a completed Rheumatoid Arthritis PBS Authority Application Form.</w:t>
            </w:r>
          </w:p>
          <w:p w14:paraId="0BFF15EC" w14:textId="77777777" w:rsidR="00A71E3B" w:rsidRPr="00EA5DF1" w:rsidRDefault="00A71E3B" w:rsidP="0029145A">
            <w:pPr>
              <w:pStyle w:val="KMC16-Tablecontent"/>
              <w:spacing w:after="0"/>
              <w:rPr>
                <w:sz w:val="18"/>
                <w:szCs w:val="18"/>
                <w:lang w:val="en-AU"/>
              </w:rPr>
            </w:pPr>
          </w:p>
        </w:tc>
      </w:tr>
      <w:tr w:rsidR="00A71E3B" w:rsidRPr="00EA5DF1" w14:paraId="26907328"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08EA7B7F" w14:textId="77777777" w:rsidR="00A71E3B" w:rsidRPr="008D5FA0" w:rsidRDefault="00A71E3B" w:rsidP="0029145A">
            <w:pPr>
              <w:pStyle w:val="KMC16-Tablecontent"/>
              <w:spacing w:after="0"/>
              <w:rPr>
                <w:b/>
                <w:color w:val="auto"/>
                <w:sz w:val="18"/>
                <w:szCs w:val="18"/>
                <w:lang w:val="en-AU"/>
              </w:rPr>
            </w:pPr>
            <w:r w:rsidRPr="008D5FA0">
              <w:rPr>
                <w:color w:val="auto"/>
                <w:sz w:val="18"/>
                <w:szCs w:val="18"/>
                <w:lang w:val="en-AU" w:eastAsia="en-AU"/>
              </w:rPr>
              <w:t>The patient remains eligible to receive continuing treatment with the same biological medicine</w:t>
            </w:r>
            <w:r w:rsidRPr="008D5FA0">
              <w:rPr>
                <w:i/>
                <w:color w:val="auto"/>
                <w:sz w:val="18"/>
                <w:szCs w:val="18"/>
                <w:lang w:val="en-AU" w:eastAsia="en-AU"/>
              </w:rPr>
              <w:t xml:space="preserve"> </w:t>
            </w:r>
            <w:r w:rsidRPr="008D5FA0">
              <w:rPr>
                <w:color w:val="auto"/>
                <w:sz w:val="18"/>
                <w:szCs w:val="18"/>
                <w:lang w:val="en-AU" w:eastAsia="en-AU"/>
              </w:rPr>
              <w:t xml:space="preserve">in courses of up to 24 weeks providing they continue to sustain </w:t>
            </w:r>
            <w:r w:rsidRPr="008D5FA0">
              <w:rPr>
                <w:i/>
                <w:color w:val="auto"/>
                <w:sz w:val="18"/>
                <w:szCs w:val="18"/>
                <w:lang w:val="en-AU" w:eastAsia="en-AU"/>
              </w:rPr>
              <w:t>an adequate</w:t>
            </w:r>
            <w:r w:rsidRPr="008D5FA0">
              <w:rPr>
                <w:color w:val="auto"/>
                <w:sz w:val="18"/>
                <w:szCs w:val="18"/>
                <w:lang w:val="en-AU" w:eastAsia="en-AU"/>
              </w:rPr>
              <w:t xml:space="preserve"> response. It is recommended that a patient be reviewed in the month prior to completing their current course of treatment.</w:t>
            </w:r>
          </w:p>
        </w:tc>
      </w:tr>
      <w:tr w:rsidR="00A71E3B" w:rsidRPr="00EA5DF1" w14:paraId="736C52AD"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0E9E8BF8" w14:textId="77777777" w:rsidR="00A71E3B" w:rsidRPr="008D5FA0" w:rsidRDefault="00A71E3B" w:rsidP="0029145A">
            <w:pPr>
              <w:pStyle w:val="KMC16-Tablecontent"/>
              <w:spacing w:after="0"/>
              <w:rPr>
                <w:color w:val="auto"/>
                <w:sz w:val="18"/>
                <w:szCs w:val="18"/>
                <w:lang w:val="en-AU" w:eastAsia="en-AU"/>
              </w:rPr>
            </w:pPr>
            <w:r w:rsidRPr="008D5FA0">
              <w:rPr>
                <w:color w:val="auto"/>
                <w:sz w:val="18"/>
                <w:szCs w:val="18"/>
                <w:lang w:val="en-AU" w:eastAsia="en-AU"/>
              </w:rPr>
              <w:t>Where a response assessment is not provided, the patient will be deemed to have failed to respond to treatment with this drug, unless the patient has experienced serious adverse reaction of a severity resulting in the necessity for permanent withdrawal of treatment.</w:t>
            </w:r>
          </w:p>
        </w:tc>
      </w:tr>
      <w:tr w:rsidR="00A71E3B" w:rsidRPr="00EA5DF1" w14:paraId="04E06C18"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1DACAFC9" w14:textId="77777777" w:rsidR="00A71E3B" w:rsidRPr="008D5FA0" w:rsidRDefault="00A71E3B" w:rsidP="0029145A">
            <w:pPr>
              <w:pStyle w:val="KMC16-Tablecontent"/>
              <w:spacing w:after="0"/>
              <w:rPr>
                <w:color w:val="auto"/>
                <w:sz w:val="18"/>
                <w:szCs w:val="18"/>
                <w:lang w:val="en-AU" w:eastAsia="en-AU"/>
              </w:rPr>
            </w:pPr>
            <w:r w:rsidRPr="008D5FA0">
              <w:rPr>
                <w:color w:val="auto"/>
                <w:sz w:val="18"/>
                <w:szCs w:val="18"/>
                <w:lang w:val="en-AU" w:eastAsia="en-AU"/>
              </w:rPr>
              <w:t>If a patient fails to demonstrate a response to treatment with this drug under this restriction they will not be eligible to receive further PBS-subsidised treatment with this drug for this condition.</w:t>
            </w:r>
          </w:p>
        </w:tc>
      </w:tr>
      <w:tr w:rsidR="00A71E3B" w:rsidRPr="00EA5DF1" w14:paraId="7BC300EC"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309F7F6E" w14:textId="77777777" w:rsidR="00A71E3B" w:rsidRPr="008D5FA0" w:rsidRDefault="00A71E3B" w:rsidP="0029145A">
            <w:pPr>
              <w:spacing w:line="256" w:lineRule="auto"/>
              <w:rPr>
                <w:rFonts w:ascii="Arial Narrow" w:hAnsi="Arial Narrow"/>
                <w:b/>
                <w:bCs/>
                <w:sz w:val="18"/>
                <w:szCs w:val="18"/>
                <w:lang w:eastAsia="en-US"/>
              </w:rPr>
            </w:pPr>
            <w:r w:rsidRPr="008D5FA0">
              <w:rPr>
                <w:rFonts w:ascii="Arial Narrow" w:hAnsi="Arial Narrow"/>
                <w:b/>
                <w:bCs/>
                <w:sz w:val="18"/>
                <w:szCs w:val="18"/>
                <w:lang w:eastAsia="en-US"/>
              </w:rPr>
              <w:t>Administrative advice:</w:t>
            </w:r>
          </w:p>
          <w:p w14:paraId="71E866F7" w14:textId="77777777" w:rsidR="00A71E3B" w:rsidRPr="008D5FA0" w:rsidRDefault="00A71E3B" w:rsidP="0029145A">
            <w:pPr>
              <w:pStyle w:val="KMC16-Tablecontent"/>
              <w:spacing w:after="0"/>
              <w:rPr>
                <w:color w:val="auto"/>
                <w:sz w:val="18"/>
                <w:szCs w:val="18"/>
                <w:lang w:val="en-AU"/>
              </w:rPr>
            </w:pPr>
            <w:r w:rsidRPr="008D5FA0">
              <w:rPr>
                <w:bCs/>
                <w:color w:val="auto"/>
                <w:sz w:val="18"/>
                <w:szCs w:val="18"/>
                <w:lang w:val="en-AU"/>
              </w:rPr>
              <w:t>This grandfather restriction will cease to operate from 12 months after the date specified in the clinical criteria.</w:t>
            </w:r>
          </w:p>
        </w:tc>
      </w:tr>
      <w:tr w:rsidR="00A71E3B" w:rsidRPr="00EA5DF1" w14:paraId="36540F1D"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03074CDB"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Administrative Advice:</w:t>
            </w:r>
          </w:p>
          <w:p w14:paraId="4A1C2F6C" w14:textId="77777777" w:rsidR="00A71E3B" w:rsidRPr="008D5FA0" w:rsidRDefault="00A71E3B" w:rsidP="0029145A">
            <w:pPr>
              <w:pStyle w:val="KMC16-Tablecontent"/>
              <w:spacing w:after="0"/>
              <w:rPr>
                <w:color w:val="auto"/>
                <w:sz w:val="18"/>
                <w:szCs w:val="18"/>
                <w:lang w:val="en-AU" w:eastAsia="en-AU"/>
              </w:rPr>
            </w:pPr>
            <w:r w:rsidRPr="008D5FA0">
              <w:rPr>
                <w:color w:val="auto"/>
                <w:sz w:val="18"/>
                <w:szCs w:val="18"/>
                <w:lang w:val="en-AU" w:eastAsia="en-AU"/>
              </w:rPr>
              <w:t>No increase in the maximum quantity or number of units may be authorised.</w:t>
            </w:r>
          </w:p>
        </w:tc>
      </w:tr>
      <w:tr w:rsidR="00A71E3B" w:rsidRPr="00EA5DF1" w14:paraId="27486954"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hideMark/>
          </w:tcPr>
          <w:p w14:paraId="51D4A3F3"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Administrative Advice:</w:t>
            </w:r>
          </w:p>
          <w:p w14:paraId="65A28801" w14:textId="77777777" w:rsidR="00A71E3B" w:rsidRPr="008D5FA0" w:rsidRDefault="00A71E3B" w:rsidP="0029145A">
            <w:pPr>
              <w:pStyle w:val="KMC16-Tablecontent"/>
              <w:spacing w:after="0"/>
              <w:rPr>
                <w:color w:val="auto"/>
                <w:sz w:val="18"/>
                <w:szCs w:val="18"/>
                <w:lang w:val="en-AU" w:eastAsia="en-AU"/>
              </w:rPr>
            </w:pPr>
            <w:r w:rsidRPr="008D5FA0">
              <w:rPr>
                <w:color w:val="auto"/>
                <w:sz w:val="18"/>
                <w:szCs w:val="18"/>
                <w:lang w:val="en-AU" w:eastAsia="en-AU"/>
              </w:rPr>
              <w:t>No increase in the maximum number of repeats may be authorised.</w:t>
            </w:r>
          </w:p>
        </w:tc>
      </w:tr>
      <w:tr w:rsidR="00A71E3B" w:rsidRPr="00EA5DF1" w14:paraId="02C79131" w14:textId="77777777" w:rsidTr="0029145A">
        <w:trPr>
          <w:trHeight w:val="284"/>
        </w:trPr>
        <w:tc>
          <w:tcPr>
            <w:tcW w:w="5000" w:type="pct"/>
            <w:tcBorders>
              <w:top w:val="single" w:sz="4" w:space="0" w:color="auto"/>
              <w:left w:val="single" w:sz="4" w:space="0" w:color="auto"/>
              <w:bottom w:val="single" w:sz="4" w:space="0" w:color="auto"/>
              <w:right w:val="single" w:sz="4" w:space="0" w:color="auto"/>
            </w:tcBorders>
          </w:tcPr>
          <w:p w14:paraId="1FFD82A0"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Administrative Advice:</w:t>
            </w:r>
          </w:p>
          <w:p w14:paraId="5B88F60F" w14:textId="77777777" w:rsidR="00A71E3B" w:rsidRPr="008D5FA0" w:rsidRDefault="00A71E3B" w:rsidP="0029145A">
            <w:pPr>
              <w:pStyle w:val="KMC16-Tablecontent"/>
              <w:spacing w:after="0"/>
              <w:rPr>
                <w:b/>
                <w:color w:val="auto"/>
                <w:sz w:val="18"/>
                <w:szCs w:val="18"/>
                <w:lang w:val="en-AU"/>
              </w:rPr>
            </w:pPr>
          </w:p>
          <w:p w14:paraId="305497A9"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Any queries concerning the arrangements to prescribe may be directed to Services Australia on 1800 700 270 (hours of operation 8 a.m. to 5 p.m. EST Monday to Friday).</w:t>
            </w:r>
          </w:p>
          <w:p w14:paraId="384AEBB0"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Prescribing information (including Authority Application forms and other relevant documentation as applicable) is available on the Services Australia website at www.servicesaustralia.gov.au</w:t>
            </w:r>
          </w:p>
          <w:p w14:paraId="2D4088BE"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Applications for authority to prescribe should be submitted online using the form upload facility in Health Professional Online Services (HPOS) at www.servicesaustralia.gov.au/hpos</w:t>
            </w:r>
          </w:p>
          <w:p w14:paraId="1FCAB7A5"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Or mailed to:</w:t>
            </w:r>
          </w:p>
          <w:p w14:paraId="3EF3E785"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Services Australia</w:t>
            </w:r>
          </w:p>
          <w:p w14:paraId="2E05A419"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Complex Drugs</w:t>
            </w:r>
          </w:p>
          <w:p w14:paraId="29751133"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Reply Paid 9826</w:t>
            </w:r>
          </w:p>
          <w:p w14:paraId="0B219B43" w14:textId="77777777" w:rsidR="00A71E3B" w:rsidRPr="008D5FA0" w:rsidRDefault="00A71E3B" w:rsidP="0029145A">
            <w:pPr>
              <w:pStyle w:val="KMC16-Tablecontent"/>
              <w:rPr>
                <w:color w:val="auto"/>
                <w:sz w:val="18"/>
                <w:szCs w:val="18"/>
                <w:lang w:val="en-AU"/>
              </w:rPr>
            </w:pPr>
            <w:r w:rsidRPr="008D5FA0">
              <w:rPr>
                <w:color w:val="auto"/>
                <w:sz w:val="18"/>
                <w:szCs w:val="18"/>
                <w:lang w:val="en-AU"/>
              </w:rPr>
              <w:t>HOBART TAS 7001</w:t>
            </w:r>
          </w:p>
          <w:p w14:paraId="234E02A1" w14:textId="77777777" w:rsidR="00A71E3B" w:rsidRPr="008D5FA0" w:rsidRDefault="00A71E3B" w:rsidP="0029145A">
            <w:pPr>
              <w:pStyle w:val="KMC16-Tablecontent"/>
              <w:spacing w:after="0"/>
              <w:rPr>
                <w:color w:val="auto"/>
                <w:sz w:val="18"/>
                <w:szCs w:val="18"/>
                <w:lang w:val="en-AU"/>
              </w:rPr>
            </w:pPr>
          </w:p>
        </w:tc>
      </w:tr>
    </w:tbl>
    <w:p w14:paraId="3D19A8D8" w14:textId="77777777" w:rsidR="00A71E3B" w:rsidRPr="00EA5DF1" w:rsidRDefault="00A71E3B" w:rsidP="00A71E3B"/>
    <w:p w14:paraId="1C6F281C" w14:textId="77777777" w:rsidR="00A71E3B" w:rsidRPr="00EA5DF1" w:rsidRDefault="00A71E3B" w:rsidP="00A71E3B">
      <w:pPr>
        <w:keepNext/>
        <w:keepLines/>
        <w:rPr>
          <w:rFonts w:ascii="Arial Narrow" w:hAnsi="Arial Narrow"/>
          <w:b/>
          <w:sz w:val="18"/>
          <w:szCs w:val="18"/>
        </w:rPr>
      </w:pPr>
      <w:r w:rsidRPr="00EA5DF1">
        <w:rPr>
          <w:rFonts w:ascii="Arial Narrow" w:hAnsi="Arial Narrow"/>
          <w:b/>
          <w:sz w:val="18"/>
          <w:szCs w:val="18"/>
        </w:rPr>
        <w:t>Severe Crohn’s Disease</w:t>
      </w:r>
    </w:p>
    <w:p w14:paraId="6F628925" w14:textId="77777777" w:rsidR="00A71E3B" w:rsidRPr="00EA5DF1" w:rsidRDefault="00A71E3B" w:rsidP="00A71E3B">
      <w:pPr>
        <w:keepNext/>
        <w:keepLines/>
      </w:pPr>
      <w:r w:rsidRPr="00EA5DF1">
        <w:rPr>
          <w:rFonts w:ascii="Arial Narrow" w:hAnsi="Arial Narrow"/>
          <w:b/>
          <w:sz w:val="18"/>
          <w:szCs w:val="18"/>
          <w:u w:val="single"/>
        </w:rPr>
        <w:t>Initial treatment restriction (Grandfather patient)</w:t>
      </w:r>
    </w:p>
    <w:p w14:paraId="32343B84" w14:textId="77777777" w:rsidR="00A71E3B" w:rsidRPr="00EA5DF1" w:rsidRDefault="00A71E3B" w:rsidP="00A71E3B">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A71E3B" w:rsidRPr="008D5FA0" w14:paraId="09A054FA" w14:textId="77777777" w:rsidTr="0029145A">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18DC0029" w14:textId="77777777" w:rsidR="00A71E3B" w:rsidRPr="008D5FA0" w:rsidRDefault="00A71E3B" w:rsidP="0029145A">
            <w:pPr>
              <w:keepNext/>
              <w:keepLines/>
              <w:ind w:left="-108"/>
              <w:rPr>
                <w:rFonts w:ascii="Arial Narrow" w:hAnsi="Arial Narrow"/>
                <w:b/>
                <w:sz w:val="18"/>
                <w:szCs w:val="18"/>
              </w:rPr>
            </w:pPr>
            <w:r w:rsidRPr="008D5FA0">
              <w:rPr>
                <w:rFonts w:ascii="Arial Narrow" w:hAnsi="Arial Narrow"/>
                <w:b/>
                <w:sz w:val="18"/>
                <w:szCs w:val="18"/>
              </w:rPr>
              <w:t xml:space="preserve">MEDICINAL PRODUCT </w:t>
            </w:r>
          </w:p>
          <w:p w14:paraId="4AFEEA21" w14:textId="77777777" w:rsidR="00A71E3B" w:rsidRPr="008D5FA0" w:rsidRDefault="00A71E3B" w:rsidP="0029145A">
            <w:pPr>
              <w:keepNext/>
              <w:keepLines/>
              <w:ind w:left="-108"/>
              <w:rPr>
                <w:rFonts w:ascii="Arial Narrow" w:hAnsi="Arial Narrow"/>
                <w:b/>
                <w:sz w:val="18"/>
                <w:szCs w:val="18"/>
              </w:rPr>
            </w:pPr>
            <w:r w:rsidRPr="008D5FA0">
              <w:rPr>
                <w:rFonts w:ascii="Arial Narrow" w:hAnsi="Arial Narrow"/>
                <w:b/>
                <w:sz w:val="18"/>
                <w:szCs w:val="18"/>
              </w:rPr>
              <w:t>medicinal product pack (MPP)</w:t>
            </w:r>
          </w:p>
        </w:tc>
        <w:tc>
          <w:tcPr>
            <w:tcW w:w="471" w:type="pct"/>
            <w:tcBorders>
              <w:top w:val="single" w:sz="4" w:space="0" w:color="auto"/>
              <w:left w:val="single" w:sz="4" w:space="0" w:color="auto"/>
              <w:bottom w:val="single" w:sz="4" w:space="0" w:color="auto"/>
              <w:right w:val="single" w:sz="4" w:space="0" w:color="auto"/>
            </w:tcBorders>
            <w:hideMark/>
          </w:tcPr>
          <w:p w14:paraId="3068C789" w14:textId="77777777" w:rsidR="00A71E3B" w:rsidRPr="008D5FA0" w:rsidRDefault="00A71E3B" w:rsidP="0029145A">
            <w:pPr>
              <w:keepNext/>
              <w:keepLines/>
              <w:ind w:left="-108"/>
              <w:jc w:val="center"/>
              <w:rPr>
                <w:rFonts w:ascii="Arial Narrow" w:hAnsi="Arial Narrow"/>
                <w:b/>
                <w:sz w:val="18"/>
                <w:szCs w:val="18"/>
              </w:rPr>
            </w:pPr>
            <w:r w:rsidRPr="008D5FA0">
              <w:rPr>
                <w:rFonts w:ascii="Arial Narrow" w:hAnsi="Arial Narrow"/>
                <w:b/>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3EBB9A8D" w14:textId="77777777" w:rsidR="00A71E3B" w:rsidRPr="008D5FA0" w:rsidRDefault="00A71E3B" w:rsidP="0029145A">
            <w:pPr>
              <w:keepNext/>
              <w:keepLines/>
              <w:ind w:left="-108"/>
              <w:jc w:val="center"/>
              <w:rPr>
                <w:rFonts w:ascii="Arial Narrow" w:hAnsi="Arial Narrow"/>
                <w:b/>
                <w:sz w:val="18"/>
                <w:szCs w:val="18"/>
              </w:rPr>
            </w:pPr>
            <w:r w:rsidRPr="008D5FA0">
              <w:rPr>
                <w:rFonts w:ascii="Arial Narrow" w:hAnsi="Arial Narrow"/>
                <w:b/>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3E24ED83" w14:textId="77777777" w:rsidR="00A71E3B" w:rsidRPr="008D5FA0" w:rsidRDefault="00A71E3B" w:rsidP="0029145A">
            <w:pPr>
              <w:keepNext/>
              <w:keepLines/>
              <w:ind w:left="-108"/>
              <w:jc w:val="center"/>
              <w:rPr>
                <w:rFonts w:ascii="Arial Narrow" w:hAnsi="Arial Narrow"/>
                <w:b/>
                <w:sz w:val="18"/>
                <w:szCs w:val="18"/>
              </w:rPr>
            </w:pPr>
            <w:r w:rsidRPr="008D5FA0">
              <w:rPr>
                <w:rFonts w:ascii="Arial Narrow" w:hAnsi="Arial Narrow"/>
                <w:b/>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29B88FB6" w14:textId="77777777" w:rsidR="00A71E3B" w:rsidRPr="008D5FA0" w:rsidRDefault="00A71E3B" w:rsidP="0029145A">
            <w:pPr>
              <w:keepNext/>
              <w:keepLines/>
              <w:ind w:left="-108"/>
              <w:jc w:val="center"/>
              <w:rPr>
                <w:rFonts w:ascii="Arial Narrow" w:hAnsi="Arial Narrow"/>
                <w:b/>
                <w:sz w:val="18"/>
                <w:szCs w:val="18"/>
              </w:rPr>
            </w:pPr>
            <w:r w:rsidRPr="008D5FA0">
              <w:rPr>
                <w:rFonts w:ascii="Arial Narrow" w:hAnsi="Arial Narrow"/>
                <w:b/>
                <w:sz w:val="18"/>
                <w:szCs w:val="18"/>
              </w:rPr>
              <w:t>№.of</w:t>
            </w:r>
          </w:p>
          <w:p w14:paraId="286DF9C8" w14:textId="77777777" w:rsidR="00A71E3B" w:rsidRPr="008D5FA0" w:rsidRDefault="00A71E3B" w:rsidP="0029145A">
            <w:pPr>
              <w:keepNext/>
              <w:keepLines/>
              <w:ind w:left="-108"/>
              <w:jc w:val="center"/>
              <w:rPr>
                <w:rFonts w:ascii="Arial Narrow" w:hAnsi="Arial Narrow"/>
                <w:b/>
                <w:sz w:val="18"/>
                <w:szCs w:val="18"/>
              </w:rPr>
            </w:pPr>
            <w:r w:rsidRPr="008D5FA0">
              <w:rPr>
                <w:rFonts w:ascii="Arial Narrow" w:hAnsi="Arial Narrow"/>
                <w:b/>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1E143E22" w14:textId="77777777" w:rsidR="00A71E3B" w:rsidRPr="008D5FA0" w:rsidRDefault="00A71E3B" w:rsidP="0029145A">
            <w:pPr>
              <w:keepNext/>
              <w:keepLines/>
              <w:rPr>
                <w:rFonts w:ascii="Arial Narrow" w:hAnsi="Arial Narrow"/>
                <w:b/>
                <w:sz w:val="18"/>
                <w:szCs w:val="18"/>
              </w:rPr>
            </w:pPr>
            <w:r w:rsidRPr="008D5FA0">
              <w:rPr>
                <w:rFonts w:ascii="Arial Narrow" w:hAnsi="Arial Narrow"/>
                <w:b/>
                <w:sz w:val="18"/>
                <w:szCs w:val="18"/>
              </w:rPr>
              <w:t>Proprietary Name and Manufacturer</w:t>
            </w:r>
          </w:p>
        </w:tc>
      </w:tr>
      <w:tr w:rsidR="00A71E3B" w:rsidRPr="008D5FA0" w14:paraId="5EDACE42"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66E8BE41" w14:textId="77777777" w:rsidR="00A71E3B" w:rsidRPr="008D5FA0" w:rsidRDefault="00A71E3B" w:rsidP="0029145A">
            <w:pPr>
              <w:keepNext/>
              <w:keepLines/>
              <w:ind w:left="-108"/>
              <w:rPr>
                <w:rFonts w:ascii="Arial Narrow" w:hAnsi="Arial Narrow"/>
                <w:sz w:val="18"/>
                <w:szCs w:val="18"/>
              </w:rPr>
            </w:pPr>
            <w:r w:rsidRPr="008D5FA0">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09D7AFBD"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327D9D42" w14:textId="77777777" w:rsidR="00A71E3B" w:rsidRPr="008D5FA0" w:rsidRDefault="00A71E3B" w:rsidP="0029145A">
            <w:pPr>
              <w:keepNext/>
              <w:keepLines/>
              <w:jc w:val="center"/>
              <w:rPr>
                <w:rFonts w:ascii="Arial Narrow" w:hAnsi="Arial Narrow"/>
                <w:sz w:val="18"/>
                <w:szCs w:val="18"/>
              </w:rPr>
            </w:pPr>
            <w:r w:rsidRPr="008D5FA0">
              <w:rPr>
                <w:rFonts w:ascii="Arial Narrow" w:hAnsi="Arial Narrow"/>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1806BE47"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55BE6057"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0382CC71" w14:textId="77777777" w:rsidR="00A71E3B" w:rsidRPr="008D5FA0" w:rsidRDefault="00A71E3B" w:rsidP="0029145A">
            <w:pPr>
              <w:keepNext/>
              <w:keepLines/>
              <w:rPr>
                <w:rFonts w:ascii="Arial Narrow" w:hAnsi="Arial Narrow"/>
                <w:sz w:val="18"/>
                <w:szCs w:val="18"/>
              </w:rPr>
            </w:pPr>
            <w:r w:rsidRPr="008D5FA0">
              <w:rPr>
                <w:rFonts w:ascii="Arial Narrow" w:hAnsi="Arial Narrow"/>
                <w:sz w:val="18"/>
                <w:szCs w:val="18"/>
              </w:rPr>
              <w:t>Remsima</w:t>
            </w:r>
            <w:r w:rsidRPr="008D5FA0">
              <w:rPr>
                <w:rFonts w:ascii="Arial Narrow" w:hAnsi="Arial Narrow"/>
                <w:sz w:val="18"/>
                <w:szCs w:val="18"/>
                <w:vertAlign w:val="superscript"/>
              </w:rPr>
              <w:t xml:space="preserve">® </w:t>
            </w:r>
            <w:r w:rsidRPr="008D5FA0">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4BE9AE91" w14:textId="77777777" w:rsidR="00A71E3B" w:rsidRPr="008D5FA0" w:rsidRDefault="00A71E3B" w:rsidP="0029145A">
            <w:pPr>
              <w:keepNext/>
              <w:keepLines/>
              <w:rPr>
                <w:rFonts w:ascii="Arial Narrow" w:hAnsi="Arial Narrow"/>
                <w:sz w:val="18"/>
                <w:szCs w:val="18"/>
              </w:rPr>
            </w:pPr>
            <w:r w:rsidRPr="008D5FA0">
              <w:rPr>
                <w:rFonts w:ascii="Arial Narrow" w:hAnsi="Arial Narrow"/>
                <w:sz w:val="18"/>
                <w:szCs w:val="18"/>
              </w:rPr>
              <w:t>Celltrion Healthcare Australia Pty Ltd</w:t>
            </w:r>
          </w:p>
        </w:tc>
      </w:tr>
      <w:tr w:rsidR="00A71E3B" w:rsidRPr="008D5FA0" w14:paraId="568C6355"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0B27B52A" w14:textId="77777777" w:rsidR="00A71E3B" w:rsidRPr="008D5FA0" w:rsidRDefault="00A71E3B" w:rsidP="0029145A">
            <w:pPr>
              <w:keepNext/>
              <w:keepLines/>
              <w:ind w:left="-108"/>
              <w:rPr>
                <w:rFonts w:ascii="Arial Narrow" w:hAnsi="Arial Narrow" w:cstheme="minorHAnsi"/>
                <w:sz w:val="18"/>
                <w:szCs w:val="18"/>
              </w:rPr>
            </w:pPr>
            <w:r w:rsidRPr="008D5FA0">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0D5DB10D"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5E5DFA51" w14:textId="77777777" w:rsidR="00A71E3B" w:rsidRPr="008D5FA0" w:rsidRDefault="00A71E3B" w:rsidP="0029145A">
            <w:pPr>
              <w:keepNext/>
              <w:keepLines/>
              <w:jc w:val="center"/>
              <w:rPr>
                <w:rFonts w:ascii="Arial Narrow" w:hAnsi="Arial Narrow"/>
                <w:sz w:val="18"/>
                <w:szCs w:val="18"/>
              </w:rPr>
            </w:pPr>
            <w:r w:rsidRPr="008D5FA0">
              <w:rPr>
                <w:rFonts w:ascii="Arial Narrow" w:hAnsi="Arial Narrow"/>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658D0EA"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28537288" w14:textId="77777777" w:rsidR="00A71E3B" w:rsidRPr="008D5FA0" w:rsidRDefault="00A71E3B" w:rsidP="0029145A">
            <w:pPr>
              <w:keepNext/>
              <w:keepLines/>
              <w:ind w:left="-108"/>
              <w:jc w:val="center"/>
              <w:rPr>
                <w:rFonts w:ascii="Arial Narrow" w:hAnsi="Arial Narrow"/>
                <w:sz w:val="18"/>
                <w:szCs w:val="18"/>
              </w:rPr>
            </w:pPr>
            <w:r w:rsidRPr="008D5FA0">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245D96DC" w14:textId="77777777" w:rsidR="00A71E3B" w:rsidRPr="008D5FA0" w:rsidRDefault="00A71E3B" w:rsidP="0029145A">
            <w:pPr>
              <w:keepNext/>
              <w:keepLines/>
              <w:rPr>
                <w:rFonts w:ascii="Arial Narrow" w:hAnsi="Arial Narrow"/>
                <w:sz w:val="18"/>
                <w:szCs w:val="18"/>
              </w:rPr>
            </w:pPr>
            <w:r w:rsidRPr="008D5FA0">
              <w:rPr>
                <w:rFonts w:ascii="Arial Narrow" w:hAnsi="Arial Narrow"/>
                <w:sz w:val="18"/>
                <w:szCs w:val="18"/>
              </w:rPr>
              <w:t>Remsima</w:t>
            </w:r>
            <w:r w:rsidRPr="008D5FA0">
              <w:rPr>
                <w:rFonts w:ascii="Arial Narrow" w:hAnsi="Arial Narrow"/>
                <w:sz w:val="18"/>
                <w:szCs w:val="18"/>
                <w:vertAlign w:val="superscript"/>
              </w:rPr>
              <w:t xml:space="preserve">® </w:t>
            </w:r>
            <w:r w:rsidRPr="008D5FA0">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35714C64" w14:textId="77777777" w:rsidR="00A71E3B" w:rsidRPr="008D5FA0" w:rsidRDefault="00A71E3B" w:rsidP="0029145A">
            <w:pPr>
              <w:keepNext/>
              <w:keepLines/>
              <w:rPr>
                <w:rFonts w:ascii="Arial Narrow" w:hAnsi="Arial Narrow"/>
                <w:sz w:val="18"/>
                <w:szCs w:val="18"/>
              </w:rPr>
            </w:pPr>
            <w:r w:rsidRPr="008D5FA0">
              <w:rPr>
                <w:rFonts w:ascii="Arial Narrow" w:hAnsi="Arial Narrow"/>
                <w:sz w:val="18"/>
                <w:szCs w:val="18"/>
              </w:rPr>
              <w:t>Celltrion Healthcare Australia Pty Ltd</w:t>
            </w:r>
          </w:p>
        </w:tc>
      </w:tr>
    </w:tbl>
    <w:p w14:paraId="62CB86E6" w14:textId="77777777" w:rsidR="00A71E3B" w:rsidRPr="00EA5DF1" w:rsidRDefault="00A71E3B" w:rsidP="00A71E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71E3B" w:rsidRPr="008D5FA0" w14:paraId="5088064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030949"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sz w:val="18"/>
                <w:szCs w:val="18"/>
                <w:lang w:eastAsia="en-US"/>
              </w:rPr>
              <w:t xml:space="preserve">Category / Program:   </w:t>
            </w:r>
            <w:r w:rsidRPr="008D5FA0">
              <w:rPr>
                <w:rFonts w:ascii="Arial Narrow" w:hAnsi="Arial Narrow"/>
                <w:sz w:val="18"/>
                <w:szCs w:val="18"/>
                <w:lang w:eastAsia="en-US"/>
              </w:rPr>
              <w:t xml:space="preserve">GENERAL – General Schedule (Code GE) </w:t>
            </w:r>
          </w:p>
        </w:tc>
      </w:tr>
      <w:tr w:rsidR="00A71E3B" w:rsidRPr="008D5FA0" w14:paraId="265B7B57" w14:textId="77777777" w:rsidTr="0029145A">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63DBF" w14:textId="77777777" w:rsidR="00A71E3B" w:rsidRPr="008D5FA0" w:rsidRDefault="00A71E3B" w:rsidP="0029145A">
            <w:pPr>
              <w:spacing w:line="256" w:lineRule="auto"/>
              <w:ind w:left="131" w:hanging="5"/>
              <w:rPr>
                <w:rFonts w:ascii="Arial Narrow" w:hAnsi="Arial Narrow"/>
                <w:b/>
                <w:sz w:val="18"/>
                <w:szCs w:val="18"/>
                <w:lang w:eastAsia="en-US"/>
              </w:rPr>
            </w:pPr>
            <w:r w:rsidRPr="008D5FA0">
              <w:rPr>
                <w:rFonts w:ascii="Arial Narrow" w:hAnsi="Arial Narrow"/>
                <w:b/>
                <w:sz w:val="18"/>
                <w:szCs w:val="18"/>
                <w:lang w:eastAsia="en-US"/>
              </w:rPr>
              <w:lastRenderedPageBreak/>
              <w:t xml:space="preserve">Prescriber type:   </w:t>
            </w:r>
            <w:r w:rsidRPr="008D5FA0">
              <w:rPr>
                <w:rFonts w:ascii="Arial Narrow" w:hAnsi="Arial Narrow"/>
                <w:sz w:val="18"/>
                <w:szCs w:val="18"/>
                <w:lang w:eastAsia="en-US"/>
              </w:rPr>
              <w:fldChar w:fldCharType="begin">
                <w:ffData>
                  <w:name w:val=""/>
                  <w:enabled/>
                  <w:calcOnExit w:val="0"/>
                  <w:checkBox>
                    <w:sizeAuto/>
                    <w:default w:val="1"/>
                  </w:checkBox>
                </w:ffData>
              </w:fldChar>
            </w:r>
            <w:r w:rsidRPr="008D5FA0">
              <w:rPr>
                <w:rFonts w:ascii="Arial Narrow" w:hAnsi="Arial Narrow"/>
                <w:sz w:val="18"/>
                <w:szCs w:val="18"/>
                <w:lang w:eastAsia="en-US"/>
              </w:rPr>
              <w:instrText xml:space="preserve"> FORMCHECKBOX </w:instrText>
            </w:r>
            <w:r w:rsidR="00E515FB">
              <w:rPr>
                <w:rFonts w:ascii="Arial Narrow" w:hAnsi="Arial Narrow"/>
                <w:sz w:val="18"/>
                <w:szCs w:val="18"/>
                <w:lang w:eastAsia="en-US"/>
              </w:rPr>
            </w:r>
            <w:r w:rsidR="00E515FB">
              <w:rPr>
                <w:rFonts w:ascii="Arial Narrow" w:hAnsi="Arial Narrow"/>
                <w:sz w:val="18"/>
                <w:szCs w:val="18"/>
                <w:lang w:eastAsia="en-US"/>
              </w:rPr>
              <w:fldChar w:fldCharType="separate"/>
            </w:r>
            <w:r w:rsidRPr="008D5FA0">
              <w:rPr>
                <w:rFonts w:ascii="Arial Narrow" w:hAnsi="Arial Narrow"/>
                <w:sz w:val="18"/>
                <w:szCs w:val="18"/>
                <w:lang w:eastAsia="en-US"/>
              </w:rPr>
              <w:fldChar w:fldCharType="end"/>
            </w:r>
            <w:r w:rsidRPr="008D5FA0">
              <w:rPr>
                <w:rFonts w:ascii="Arial Narrow" w:hAnsi="Arial Narrow"/>
                <w:sz w:val="18"/>
                <w:szCs w:val="18"/>
                <w:lang w:eastAsia="en-US"/>
              </w:rPr>
              <w:t xml:space="preserve">Medical Practitioners    </w:t>
            </w:r>
          </w:p>
        </w:tc>
      </w:tr>
      <w:tr w:rsidR="00A71E3B" w:rsidRPr="008D5FA0" w14:paraId="35111129"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977FDD" w14:textId="77777777" w:rsidR="00A71E3B" w:rsidRPr="008D5FA0" w:rsidRDefault="00A71E3B" w:rsidP="0029145A">
            <w:pPr>
              <w:spacing w:line="256" w:lineRule="auto"/>
              <w:ind w:left="131" w:hanging="5"/>
              <w:rPr>
                <w:rFonts w:ascii="Arial Narrow" w:eastAsia="Calibri" w:hAnsi="Arial Narrow"/>
                <w:sz w:val="18"/>
                <w:szCs w:val="18"/>
                <w:lang w:eastAsia="en-US"/>
              </w:rPr>
            </w:pPr>
            <w:r w:rsidRPr="008D5FA0">
              <w:rPr>
                <w:rFonts w:ascii="Arial Narrow" w:hAnsi="Arial Narrow"/>
                <w:b/>
                <w:sz w:val="18"/>
                <w:szCs w:val="18"/>
                <w:lang w:eastAsia="en-US"/>
              </w:rPr>
              <w:t xml:space="preserve">Restriction Type – </w:t>
            </w:r>
            <w:r w:rsidRPr="008D5FA0">
              <w:rPr>
                <w:rFonts w:ascii="Arial Narrow" w:eastAsia="Calibri" w:hAnsi="Arial Narrow"/>
                <w:sz w:val="18"/>
                <w:szCs w:val="18"/>
                <w:lang w:eastAsia="en-US"/>
              </w:rPr>
              <w:fldChar w:fldCharType="begin">
                <w:ffData>
                  <w:name w:val=""/>
                  <w:enabled/>
                  <w:calcOnExit w:val="0"/>
                  <w:checkBox>
                    <w:sizeAuto/>
                    <w:default w:val="1"/>
                  </w:checkBox>
                </w:ffData>
              </w:fldChar>
            </w:r>
            <w:r w:rsidRPr="008D5FA0">
              <w:rPr>
                <w:rFonts w:ascii="Arial Narrow" w:eastAsia="Calibri" w:hAnsi="Arial Narrow"/>
                <w:sz w:val="18"/>
                <w:szCs w:val="18"/>
                <w:lang w:eastAsia="en-US"/>
              </w:rPr>
              <w:instrText xml:space="preserve"> FORMCHECKBOX </w:instrText>
            </w:r>
            <w:r w:rsidR="00E515FB">
              <w:rPr>
                <w:rFonts w:ascii="Arial Narrow" w:eastAsia="Calibri" w:hAnsi="Arial Narrow"/>
                <w:sz w:val="18"/>
                <w:szCs w:val="18"/>
                <w:lang w:eastAsia="en-US"/>
              </w:rPr>
            </w:r>
            <w:r w:rsidR="00E515FB">
              <w:rPr>
                <w:rFonts w:ascii="Arial Narrow" w:eastAsia="Calibri" w:hAnsi="Arial Narrow"/>
                <w:sz w:val="18"/>
                <w:szCs w:val="18"/>
                <w:lang w:eastAsia="en-US"/>
              </w:rPr>
              <w:fldChar w:fldCharType="separate"/>
            </w:r>
            <w:r w:rsidRPr="008D5FA0">
              <w:rPr>
                <w:rFonts w:ascii="Arial Narrow" w:eastAsia="Calibri" w:hAnsi="Arial Narrow"/>
                <w:sz w:val="18"/>
                <w:szCs w:val="18"/>
                <w:lang w:eastAsia="en-US"/>
              </w:rPr>
              <w:fldChar w:fldCharType="end"/>
            </w:r>
            <w:r w:rsidRPr="008D5FA0">
              <w:rPr>
                <w:rFonts w:ascii="Arial Narrow" w:eastAsia="Calibri" w:hAnsi="Arial Narrow"/>
                <w:sz w:val="18"/>
                <w:szCs w:val="18"/>
                <w:lang w:eastAsia="en-US"/>
              </w:rPr>
              <w:t xml:space="preserve"> Authority Required – </w:t>
            </w:r>
            <w:r w:rsidRPr="008D5FA0">
              <w:rPr>
                <w:rFonts w:ascii="Arial Narrow" w:hAnsi="Arial Narrow"/>
                <w:bCs/>
                <w:sz w:val="18"/>
                <w:szCs w:val="18"/>
                <w:lang w:eastAsia="en-US"/>
              </w:rPr>
              <w:t>non-immediate/delayed assessment by Services Australia (in-writing only via mail/postal service or electronic upload/digital submission)</w:t>
            </w:r>
          </w:p>
        </w:tc>
      </w:tr>
      <w:tr w:rsidR="00A71E3B" w:rsidRPr="008D5FA0" w14:paraId="3394758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CC1D7F"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 xml:space="preserve">Severity: </w:t>
            </w:r>
            <w:r w:rsidRPr="008D5FA0">
              <w:rPr>
                <w:rFonts w:ascii="Arial Narrow" w:hAnsi="Arial Narrow"/>
                <w:sz w:val="18"/>
                <w:szCs w:val="18"/>
                <w:lang w:eastAsia="en-US"/>
              </w:rPr>
              <w:t>Severe</w:t>
            </w:r>
          </w:p>
        </w:tc>
      </w:tr>
      <w:tr w:rsidR="00A71E3B" w:rsidRPr="008D5FA0" w14:paraId="57A56FBF"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E1841"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 xml:space="preserve">Condition: </w:t>
            </w:r>
            <w:r w:rsidRPr="008D5FA0">
              <w:rPr>
                <w:rFonts w:ascii="Arial Narrow" w:hAnsi="Arial Narrow"/>
                <w:sz w:val="18"/>
                <w:szCs w:val="18"/>
                <w:lang w:eastAsia="en-US"/>
              </w:rPr>
              <w:t>Crohn’s disease</w:t>
            </w:r>
          </w:p>
        </w:tc>
      </w:tr>
      <w:tr w:rsidR="00A71E3B" w:rsidRPr="008D5FA0" w14:paraId="6660D9D3"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BCCF14"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Indication:</w:t>
            </w:r>
            <w:r w:rsidRPr="008D5FA0">
              <w:rPr>
                <w:rFonts w:ascii="Arial Narrow" w:hAnsi="Arial Narrow"/>
                <w:sz w:val="18"/>
                <w:szCs w:val="18"/>
                <w:lang w:eastAsia="en-US"/>
              </w:rPr>
              <w:t xml:space="preserve"> Severe Crohn’s disease</w:t>
            </w:r>
          </w:p>
        </w:tc>
      </w:tr>
      <w:tr w:rsidR="00A71E3B" w:rsidRPr="008D5FA0" w14:paraId="628C7BE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17043"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Treatment Phase:</w:t>
            </w:r>
            <w:r w:rsidRPr="008D5FA0">
              <w:rPr>
                <w:rFonts w:ascii="Arial Narrow" w:hAnsi="Arial Narrow"/>
                <w:b/>
                <w:sz w:val="18"/>
                <w:szCs w:val="18"/>
                <w:lang w:eastAsia="en-US"/>
              </w:rPr>
              <w:t xml:space="preserve"> Initial PBS-subsidised treatment (Grandfather patient) - subcutaneous form</w:t>
            </w:r>
          </w:p>
        </w:tc>
      </w:tr>
      <w:tr w:rsidR="00A71E3B" w:rsidRPr="008D5FA0" w14:paraId="62CED66A"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7A2449"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Treatment criteria:</w:t>
            </w:r>
          </w:p>
        </w:tc>
      </w:tr>
      <w:tr w:rsidR="00A71E3B" w:rsidRPr="008D5FA0" w14:paraId="2DE736B3"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048ECE"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Cs/>
                <w:sz w:val="18"/>
                <w:szCs w:val="18"/>
                <w:lang w:eastAsia="en-US"/>
              </w:rPr>
              <w:t>Must be treated by a gastroenterologist; or</w:t>
            </w:r>
          </w:p>
        </w:tc>
      </w:tr>
      <w:tr w:rsidR="00A71E3B" w:rsidRPr="008D5FA0" w14:paraId="6195AEB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A3DE8"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Cs/>
                <w:sz w:val="18"/>
                <w:szCs w:val="18"/>
                <w:lang w:eastAsia="en-US"/>
              </w:rPr>
              <w:t>Must be treated by a consultant physician [internal medicine specialising in gastroenterology]; or</w:t>
            </w:r>
          </w:p>
        </w:tc>
      </w:tr>
      <w:tr w:rsidR="00A71E3B" w:rsidRPr="008D5FA0" w14:paraId="45E5EED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5BAC18"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Cs/>
                <w:sz w:val="18"/>
                <w:szCs w:val="18"/>
                <w:lang w:eastAsia="en-US"/>
              </w:rPr>
              <w:t>Must be treated by a consultant physician [general medicine specialising in gastroenterology]</w:t>
            </w:r>
          </w:p>
        </w:tc>
      </w:tr>
      <w:tr w:rsidR="00A71E3B" w:rsidRPr="008D5FA0" w14:paraId="794715B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09351B"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
                <w:bCs/>
                <w:sz w:val="18"/>
                <w:szCs w:val="18"/>
                <w:lang w:eastAsia="en-US"/>
              </w:rPr>
              <w:t>Clinical criteria:</w:t>
            </w:r>
          </w:p>
        </w:tc>
      </w:tr>
      <w:tr w:rsidR="00A71E3B" w:rsidRPr="008D5FA0" w14:paraId="4FEAF7E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18DD34"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Cs/>
                <w:sz w:val="18"/>
                <w:szCs w:val="18"/>
                <w:lang w:eastAsia="en-US"/>
              </w:rPr>
              <w:t>Patient must have a documented history of severe Crohn disease</w:t>
            </w:r>
          </w:p>
        </w:tc>
      </w:tr>
      <w:tr w:rsidR="00A71E3B" w:rsidRPr="008D5FA0" w14:paraId="21B984D5"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5DF05"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AND</w:t>
            </w:r>
          </w:p>
        </w:tc>
      </w:tr>
      <w:tr w:rsidR="00A71E3B" w:rsidRPr="008D5FA0" w14:paraId="07190B8E"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2993D4" w14:textId="77777777" w:rsidR="00A71E3B" w:rsidRPr="008D5FA0" w:rsidRDefault="00A71E3B" w:rsidP="0029145A">
            <w:pPr>
              <w:spacing w:line="256" w:lineRule="auto"/>
              <w:ind w:left="131" w:hanging="5"/>
              <w:rPr>
                <w:rFonts w:ascii="Arial Narrow" w:hAnsi="Arial Narrow"/>
                <w:b/>
                <w:sz w:val="18"/>
                <w:szCs w:val="18"/>
                <w:lang w:eastAsia="en-US"/>
              </w:rPr>
            </w:pPr>
            <w:r w:rsidRPr="008D5FA0">
              <w:rPr>
                <w:rFonts w:ascii="Arial Narrow" w:hAnsi="Arial Narrow"/>
                <w:b/>
                <w:bCs/>
                <w:sz w:val="18"/>
                <w:szCs w:val="18"/>
                <w:lang w:eastAsia="en-US"/>
              </w:rPr>
              <w:t>Clinical criteria:</w:t>
            </w:r>
          </w:p>
        </w:tc>
      </w:tr>
      <w:tr w:rsidR="00A71E3B" w:rsidRPr="008D5FA0" w14:paraId="44194483"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DCEA66" w14:textId="77777777" w:rsidR="00A71E3B" w:rsidRPr="008D5FA0" w:rsidRDefault="00A71E3B" w:rsidP="0029145A">
            <w:pPr>
              <w:pStyle w:val="CommentText"/>
              <w:spacing w:line="256" w:lineRule="auto"/>
              <w:ind w:left="131" w:hanging="5"/>
              <w:rPr>
                <w:lang w:eastAsia="en-GB"/>
              </w:rPr>
            </w:pPr>
            <w:r w:rsidRPr="008D5FA0">
              <w:rPr>
                <w:rFonts w:ascii="Arial Narrow" w:hAnsi="Arial Narrow"/>
                <w:sz w:val="18"/>
                <w:szCs w:val="18"/>
                <w:lang w:eastAsia="en-US"/>
              </w:rPr>
              <w:t>Patient must have previously received non-PBS subsidised therapy with this drug in the subcutaneous form for this condition prior to [1 Month 20XX, insert listing date here]</w:t>
            </w:r>
          </w:p>
        </w:tc>
      </w:tr>
      <w:tr w:rsidR="00A71E3B" w:rsidRPr="008D5FA0" w14:paraId="25BD2389"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66404A"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AND</w:t>
            </w:r>
          </w:p>
        </w:tc>
      </w:tr>
      <w:tr w:rsidR="00A71E3B" w:rsidRPr="008D5FA0" w14:paraId="4AF6965F"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0911A3"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Clinical criteria:</w:t>
            </w:r>
          </w:p>
        </w:tc>
      </w:tr>
      <w:tr w:rsidR="00A71E3B" w:rsidRPr="008D5FA0" w14:paraId="4B6F73CA"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hideMark/>
          </w:tcPr>
          <w:p w14:paraId="70F39386"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 xml:space="preserve">Patient must have previously received induction treatment consisting of 2 doses with this drug for this condition in the intravenous form </w:t>
            </w:r>
          </w:p>
        </w:tc>
      </w:tr>
      <w:tr w:rsidR="00A71E3B" w:rsidRPr="008D5FA0" w14:paraId="257DCB02"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B9ECD2"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AND</w:t>
            </w:r>
          </w:p>
          <w:p w14:paraId="30BEDF00"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Patient must be receiving treatment with this drug for this condition at the time of application</w:t>
            </w:r>
          </w:p>
        </w:tc>
      </w:tr>
      <w:tr w:rsidR="00A71E3B" w:rsidRPr="008D5FA0" w14:paraId="23A43AB5"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65E1D48E"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 xml:space="preserve">AND </w:t>
            </w:r>
          </w:p>
        </w:tc>
      </w:tr>
      <w:tr w:rsidR="00A71E3B" w:rsidRPr="008D5FA0" w14:paraId="64C7E167"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6E6CF38A"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Patient must have had a Crohn Disease Activity Index (CDAI) Score of greater than or equal to 300 prior to commencing treatment with this drug; OR</w:t>
            </w:r>
          </w:p>
        </w:tc>
      </w:tr>
      <w:tr w:rsidR="00A71E3B" w:rsidRPr="008D5FA0" w14:paraId="3AF7845A"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631F1863"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Patient must have a documented history of intestinal inflammation and have diagnostic imaging or surgical evidence of short gut syndrome if affected by the syndrome or has an ileostomy or colostomy; OR</w:t>
            </w:r>
          </w:p>
        </w:tc>
      </w:tr>
      <w:tr w:rsidR="00A71E3B" w:rsidRPr="008D5FA0" w14:paraId="6135BBF5"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449D4A3C" w14:textId="77777777" w:rsidR="00A71E3B" w:rsidRPr="008D5FA0" w:rsidRDefault="00A71E3B" w:rsidP="0029145A">
            <w:pPr>
              <w:pStyle w:val="KMC16-Tablecontent"/>
              <w:spacing w:after="0"/>
              <w:rPr>
                <w:color w:val="auto"/>
                <w:sz w:val="18"/>
                <w:szCs w:val="18"/>
                <w:lang w:val="en-AU"/>
              </w:rPr>
            </w:pPr>
            <w:r w:rsidRPr="008D5FA0">
              <w:rPr>
                <w:color w:val="auto"/>
                <w:sz w:val="18"/>
                <w:szCs w:val="18"/>
                <w:lang w:val="en-AU"/>
              </w:rPr>
              <w:t xml:space="preserve">Patient must have a documented history and radiological evidence of intestinal inflammation if the patient has extensive small intestinal disease affecting more than 50 cm of the small intestine, </w:t>
            </w:r>
          </w:p>
        </w:tc>
      </w:tr>
      <w:tr w:rsidR="00A71E3B" w:rsidRPr="008D5FA0" w14:paraId="5D347777"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65788FE0"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AND</w:t>
            </w:r>
          </w:p>
        </w:tc>
      </w:tr>
      <w:tr w:rsidR="00A71E3B" w:rsidRPr="008D5FA0" w14:paraId="363B863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D7EA12" w14:textId="77777777" w:rsidR="00A71E3B" w:rsidRPr="008D5FA0" w:rsidRDefault="00A71E3B" w:rsidP="0029145A">
            <w:pPr>
              <w:spacing w:line="256" w:lineRule="auto"/>
              <w:ind w:left="131" w:hanging="5"/>
              <w:rPr>
                <w:rFonts w:ascii="Arial Narrow" w:hAnsi="Arial Narrow"/>
                <w:i/>
                <w:sz w:val="18"/>
                <w:szCs w:val="18"/>
                <w:lang w:eastAsia="en-US"/>
              </w:rPr>
            </w:pPr>
            <w:r w:rsidRPr="008D5FA0">
              <w:rPr>
                <w:rFonts w:ascii="Arial Narrow" w:hAnsi="Arial Narrow"/>
                <w:b/>
                <w:bCs/>
                <w:sz w:val="18"/>
                <w:szCs w:val="18"/>
                <w:lang w:eastAsia="en-US"/>
              </w:rPr>
              <w:t>Clinical criteria:</w:t>
            </w:r>
          </w:p>
        </w:tc>
      </w:tr>
      <w:tr w:rsidR="00A71E3B" w:rsidRPr="008D5FA0" w14:paraId="0E18DDF4"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989F02"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Patient must have an adequate response to this drug defined as a reduction in Crohn Disease Activity Index (CDAI) Score to a level no greater than 150 if assessed by CDAI or if affected by extensive small intestine disease; OR</w:t>
            </w:r>
          </w:p>
        </w:tc>
      </w:tr>
      <w:tr w:rsidR="00A71E3B" w:rsidRPr="008D5FA0" w14:paraId="1F60DFA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07A564"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Clinical criteria:</w:t>
            </w:r>
          </w:p>
        </w:tc>
      </w:tr>
      <w:tr w:rsidR="00A71E3B" w:rsidRPr="008D5FA0" w14:paraId="37E7AEA0"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718427"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sz w:val="18"/>
                <w:szCs w:val="18"/>
                <w:lang w:eastAsia="en-US"/>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w:t>
            </w:r>
          </w:p>
        </w:tc>
      </w:tr>
      <w:tr w:rsidR="00A71E3B" w:rsidRPr="008D5FA0" w14:paraId="2F64EFDF" w14:textId="77777777" w:rsidTr="0029145A">
        <w:tblPrEx>
          <w:tblCellMar>
            <w:top w:w="15" w:type="dxa"/>
            <w:left w:w="15" w:type="dxa"/>
            <w:bottom w:w="15" w:type="dxa"/>
            <w:right w:w="15" w:type="dxa"/>
          </w:tblCellMar>
        </w:tblPrEx>
        <w:tc>
          <w:tcPr>
            <w:tcW w:w="5000" w:type="pct"/>
            <w:vAlign w:val="center"/>
          </w:tcPr>
          <w:p w14:paraId="4E22FD86" w14:textId="77777777" w:rsidR="00A71E3B" w:rsidRPr="008D5FA0" w:rsidRDefault="00A71E3B" w:rsidP="0029145A">
            <w:pPr>
              <w:rPr>
                <w:rFonts w:ascii="Arial Narrow" w:hAnsi="Arial Narrow"/>
                <w:sz w:val="18"/>
                <w:szCs w:val="18"/>
              </w:rPr>
            </w:pPr>
            <w:r w:rsidRPr="008D5FA0">
              <w:rPr>
                <w:rFonts w:ascii="Arial Narrow" w:hAnsi="Arial Narrow"/>
                <w:sz w:val="18"/>
                <w:szCs w:val="18"/>
              </w:rPr>
              <w:t xml:space="preserve">  Patient must have demonstrated an adequate response to treatment with this drug in the intravenous form</w:t>
            </w:r>
          </w:p>
        </w:tc>
      </w:tr>
      <w:tr w:rsidR="00A71E3B" w:rsidRPr="008D5FA0" w14:paraId="63BE63C3"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5310F5"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AND</w:t>
            </w:r>
          </w:p>
        </w:tc>
      </w:tr>
      <w:tr w:rsidR="00A71E3B" w:rsidRPr="008D5FA0" w14:paraId="79B03033"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62B19"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Population criteria:</w:t>
            </w:r>
          </w:p>
        </w:tc>
      </w:tr>
      <w:tr w:rsidR="00A71E3B" w:rsidRPr="008D5FA0" w14:paraId="7139168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617B9"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Patient must be aged 18 years or older.</w:t>
            </w:r>
          </w:p>
        </w:tc>
      </w:tr>
      <w:tr w:rsidR="00A71E3B" w:rsidRPr="008D5FA0" w14:paraId="36C48D33" w14:textId="77777777" w:rsidTr="0029145A">
        <w:tc>
          <w:tcPr>
            <w:tcW w:w="5000" w:type="pct"/>
            <w:tcBorders>
              <w:top w:val="single" w:sz="4" w:space="0" w:color="auto"/>
              <w:left w:val="single" w:sz="4" w:space="0" w:color="auto"/>
              <w:bottom w:val="single" w:sz="4" w:space="0" w:color="auto"/>
              <w:right w:val="single" w:sz="4" w:space="0" w:color="auto"/>
            </w:tcBorders>
            <w:hideMark/>
          </w:tcPr>
          <w:p w14:paraId="36214E45" w14:textId="77777777" w:rsidR="00A71E3B" w:rsidRPr="008D5FA0" w:rsidRDefault="00A71E3B" w:rsidP="0029145A">
            <w:pPr>
              <w:spacing w:line="256" w:lineRule="auto"/>
              <w:rPr>
                <w:rFonts w:ascii="Arial Narrow" w:hAnsi="Arial Narrow"/>
                <w:b/>
                <w:sz w:val="18"/>
                <w:szCs w:val="18"/>
                <w:lang w:eastAsia="en-US"/>
              </w:rPr>
            </w:pPr>
            <w:r w:rsidRPr="008D5FA0">
              <w:rPr>
                <w:rFonts w:ascii="Arial Narrow" w:hAnsi="Arial Narrow"/>
                <w:b/>
                <w:sz w:val="18"/>
                <w:szCs w:val="18"/>
                <w:lang w:eastAsia="en-US"/>
              </w:rPr>
              <w:t>Prescribing Instructions:</w:t>
            </w:r>
          </w:p>
        </w:tc>
      </w:tr>
      <w:tr w:rsidR="00A71E3B" w:rsidRPr="008D5FA0" w14:paraId="3AD593FA" w14:textId="77777777" w:rsidTr="0029145A">
        <w:tc>
          <w:tcPr>
            <w:tcW w:w="5000" w:type="pct"/>
            <w:tcBorders>
              <w:top w:val="single" w:sz="4" w:space="0" w:color="auto"/>
              <w:left w:val="single" w:sz="4" w:space="0" w:color="auto"/>
              <w:bottom w:val="single" w:sz="4" w:space="0" w:color="auto"/>
              <w:right w:val="single" w:sz="4" w:space="0" w:color="auto"/>
            </w:tcBorders>
            <w:hideMark/>
          </w:tcPr>
          <w:p w14:paraId="2D69B917" w14:textId="77777777" w:rsidR="00A71E3B" w:rsidRPr="008D5FA0" w:rsidRDefault="00A71E3B" w:rsidP="0029145A">
            <w:pPr>
              <w:spacing w:line="256" w:lineRule="auto"/>
              <w:ind w:left="131" w:hanging="131"/>
              <w:rPr>
                <w:rFonts w:ascii="Arial Narrow" w:hAnsi="Arial Narrow"/>
                <w:sz w:val="18"/>
                <w:szCs w:val="18"/>
                <w:lang w:eastAsia="en-US"/>
              </w:rPr>
            </w:pPr>
            <w:r w:rsidRPr="008D5FA0">
              <w:rPr>
                <w:rFonts w:ascii="Arial Narrow" w:hAnsi="Arial Narrow"/>
                <w:sz w:val="18"/>
                <w:szCs w:val="18"/>
                <w:lang w:eastAsia="en-US"/>
              </w:rPr>
              <w:t>Applications for authorisation must be made in writing and must include:</w:t>
            </w:r>
          </w:p>
          <w:p w14:paraId="4BEE7FD8" w14:textId="77777777" w:rsidR="00A71E3B" w:rsidRPr="008D5FA0" w:rsidRDefault="00A71E3B" w:rsidP="0029145A">
            <w:pPr>
              <w:spacing w:line="256" w:lineRule="auto"/>
              <w:ind w:left="131" w:hanging="131"/>
              <w:rPr>
                <w:rFonts w:ascii="Arial Narrow" w:hAnsi="Arial Narrow" w:cs="Arial Narrow"/>
                <w:iCs/>
                <w:sz w:val="18"/>
                <w:szCs w:val="18"/>
                <w:lang w:eastAsia="en-US"/>
              </w:rPr>
            </w:pPr>
            <w:r w:rsidRPr="008D5FA0">
              <w:rPr>
                <w:rFonts w:ascii="Arial Narrow" w:hAnsi="Arial Narrow" w:cs="Arial Narrow"/>
                <w:iCs/>
                <w:sz w:val="18"/>
                <w:szCs w:val="18"/>
                <w:lang w:eastAsia="en-US"/>
              </w:rPr>
              <w:t>(a) a completed authority prescription form; and</w:t>
            </w:r>
          </w:p>
          <w:p w14:paraId="17AB6F2B" w14:textId="77777777" w:rsidR="00A71E3B" w:rsidRPr="008D5FA0" w:rsidRDefault="00A71E3B" w:rsidP="0029145A">
            <w:pPr>
              <w:spacing w:line="256" w:lineRule="auto"/>
              <w:ind w:left="131" w:hanging="131"/>
              <w:rPr>
                <w:rFonts w:ascii="Arial Narrow" w:hAnsi="Arial Narrow" w:cs="Arial Narrow"/>
                <w:iCs/>
                <w:sz w:val="18"/>
                <w:szCs w:val="18"/>
                <w:lang w:eastAsia="en-US"/>
              </w:rPr>
            </w:pPr>
            <w:r w:rsidRPr="008D5FA0">
              <w:rPr>
                <w:rFonts w:ascii="Arial Narrow" w:hAnsi="Arial Narrow" w:cs="Arial Narrow"/>
                <w:iCs/>
                <w:sz w:val="18"/>
                <w:szCs w:val="18"/>
                <w:lang w:eastAsia="en-US"/>
              </w:rPr>
              <w:t xml:space="preserve">(b) a completed Crohn Disease PBS Authority Application Form which includes the following: </w:t>
            </w:r>
          </w:p>
          <w:p w14:paraId="26D4751A" w14:textId="77777777" w:rsidR="00A71E3B" w:rsidRPr="008D5FA0" w:rsidRDefault="00A71E3B" w:rsidP="0029145A">
            <w:pPr>
              <w:spacing w:line="256" w:lineRule="auto"/>
              <w:ind w:left="131" w:hanging="131"/>
              <w:rPr>
                <w:rFonts w:ascii="Arial Narrow" w:hAnsi="Arial Narrow" w:cs="Arial Narrow"/>
                <w:iCs/>
                <w:sz w:val="18"/>
                <w:szCs w:val="18"/>
                <w:lang w:eastAsia="en-US"/>
              </w:rPr>
            </w:pPr>
            <w:r w:rsidRPr="008D5FA0">
              <w:rPr>
                <w:rFonts w:ascii="Arial Narrow" w:hAnsi="Arial Narrow" w:cs="Arial Narrow"/>
                <w:iCs/>
                <w:sz w:val="18"/>
                <w:szCs w:val="18"/>
                <w:lang w:eastAsia="en-US"/>
              </w:rPr>
              <w:t xml:space="preserve">(i) the completed Crohn Disease Activity Index (CDAI) Score calculation sheet including the date of the assessment of the patient's condition, if relevant; or </w:t>
            </w:r>
          </w:p>
          <w:p w14:paraId="3F9D2DED" w14:textId="77777777" w:rsidR="00A71E3B" w:rsidRPr="008D5FA0" w:rsidRDefault="00A71E3B" w:rsidP="0029145A">
            <w:pPr>
              <w:spacing w:line="256" w:lineRule="auto"/>
              <w:ind w:left="131" w:hanging="131"/>
              <w:rPr>
                <w:rFonts w:ascii="Arial Narrow" w:hAnsi="Arial Narrow" w:cs="Arial Narrow"/>
                <w:iCs/>
                <w:sz w:val="18"/>
                <w:szCs w:val="18"/>
                <w:lang w:eastAsia="en-US"/>
              </w:rPr>
            </w:pPr>
            <w:r w:rsidRPr="008D5FA0">
              <w:rPr>
                <w:rFonts w:ascii="Arial Narrow" w:hAnsi="Arial Narrow" w:cs="Arial Narrow"/>
                <w:iCs/>
                <w:sz w:val="18"/>
                <w:szCs w:val="18"/>
                <w:lang w:eastAsia="en-US"/>
              </w:rPr>
              <w:lastRenderedPageBreak/>
              <w:t xml:space="preserve">(ii) the reports and dates of the pathology test or diagnostic imaging test(s) used to assess response to therapy for patients with short gut syndrome, extensive small intestine disease or an ostomy, if relevant; and </w:t>
            </w:r>
          </w:p>
          <w:p w14:paraId="0BF7C1E1" w14:textId="77777777" w:rsidR="00A71E3B" w:rsidRPr="008D5FA0" w:rsidRDefault="00A71E3B" w:rsidP="0029145A">
            <w:pPr>
              <w:spacing w:line="256" w:lineRule="auto"/>
              <w:ind w:left="131" w:hanging="131"/>
              <w:rPr>
                <w:rFonts w:ascii="Arial Narrow" w:hAnsi="Arial Narrow" w:cs="Arial Narrow"/>
                <w:iCs/>
                <w:sz w:val="18"/>
                <w:szCs w:val="18"/>
                <w:lang w:eastAsia="en-US"/>
              </w:rPr>
            </w:pPr>
            <w:r w:rsidRPr="008D5FA0">
              <w:rPr>
                <w:rFonts w:ascii="Arial Narrow" w:hAnsi="Arial Narrow" w:cs="Arial Narrow"/>
                <w:iCs/>
                <w:sz w:val="18"/>
                <w:szCs w:val="18"/>
                <w:lang w:eastAsia="en-US"/>
              </w:rPr>
              <w:t>(iii) the date of the most recent clinical assessment.</w:t>
            </w:r>
          </w:p>
        </w:tc>
      </w:tr>
      <w:tr w:rsidR="00A71E3B" w:rsidRPr="008D5FA0" w14:paraId="02450BE5" w14:textId="77777777" w:rsidTr="0029145A">
        <w:tc>
          <w:tcPr>
            <w:tcW w:w="5000" w:type="pct"/>
            <w:tcBorders>
              <w:top w:val="single" w:sz="4" w:space="0" w:color="auto"/>
              <w:left w:val="single" w:sz="4" w:space="0" w:color="auto"/>
              <w:bottom w:val="single" w:sz="4" w:space="0" w:color="auto"/>
              <w:right w:val="single" w:sz="4" w:space="0" w:color="auto"/>
            </w:tcBorders>
            <w:hideMark/>
          </w:tcPr>
          <w:p w14:paraId="2E9AC359" w14:textId="77777777" w:rsidR="00A71E3B" w:rsidRPr="008D5FA0" w:rsidRDefault="00A71E3B" w:rsidP="0029145A">
            <w:pPr>
              <w:spacing w:line="256" w:lineRule="auto"/>
              <w:ind w:left="42"/>
              <w:rPr>
                <w:rFonts w:ascii="Arial Narrow" w:hAnsi="Arial Narrow"/>
                <w:i/>
                <w:sz w:val="18"/>
                <w:szCs w:val="18"/>
                <w:lang w:eastAsia="en-US"/>
              </w:rPr>
            </w:pPr>
            <w:r w:rsidRPr="008D5FA0">
              <w:rPr>
                <w:rFonts w:ascii="Arial Narrow" w:hAnsi="Arial Narrow"/>
                <w:b/>
                <w:sz w:val="18"/>
                <w:szCs w:val="18"/>
                <w:lang w:eastAsia="en-US"/>
              </w:rPr>
              <w:lastRenderedPageBreak/>
              <w:t>Prescribing Instructions:</w:t>
            </w:r>
          </w:p>
        </w:tc>
      </w:tr>
      <w:tr w:rsidR="00A71E3B" w:rsidRPr="008D5FA0" w14:paraId="6D7AB988"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60C83" w14:textId="77777777" w:rsidR="00A71E3B" w:rsidRPr="008D5FA0" w:rsidRDefault="00A71E3B" w:rsidP="0029145A">
            <w:pPr>
              <w:spacing w:line="256" w:lineRule="auto"/>
              <w:ind w:left="131" w:hanging="5"/>
              <w:rPr>
                <w:rFonts w:ascii="Arial Narrow" w:hAnsi="Arial Narrow" w:cs="Open Sans"/>
                <w:bCs/>
                <w:sz w:val="18"/>
                <w:szCs w:val="18"/>
                <w:bdr w:val="none" w:sz="0" w:space="0" w:color="auto" w:frame="1"/>
                <w:lang w:eastAsia="en-US"/>
              </w:rPr>
            </w:pPr>
            <w:r w:rsidRPr="008D5FA0">
              <w:rPr>
                <w:rFonts w:ascii="Arial Narrow" w:hAnsi="Arial Narrow" w:cs="Open Sans"/>
                <w:bCs/>
                <w:sz w:val="18"/>
                <w:szCs w:val="18"/>
                <w:bdr w:val="none" w:sz="0" w:space="0" w:color="auto" w:frame="1"/>
                <w:lang w:eastAsia="en-US"/>
              </w:rPr>
              <w:t xml:space="preserve">An application for the continuing treatment must be accompanied with the assessment of response conducted up to 12 weeks after the first dose of infliximab and no later than 4 weeks from </w:t>
            </w:r>
            <w:r w:rsidRPr="008D5FA0">
              <w:rPr>
                <w:rFonts w:ascii="Arial Narrow" w:hAnsi="Arial Narrow" w:cs="Arial Narrow"/>
                <w:iCs/>
                <w:sz w:val="18"/>
                <w:szCs w:val="18"/>
                <w:lang w:eastAsia="en-US"/>
              </w:rPr>
              <w:t>the date of completion of</w:t>
            </w:r>
            <w:r w:rsidRPr="008D5FA0">
              <w:rPr>
                <w:rFonts w:ascii="Arial Narrow" w:hAnsi="Arial Narrow" w:cs="Open Sans"/>
                <w:bCs/>
                <w:sz w:val="18"/>
                <w:szCs w:val="18"/>
                <w:bdr w:val="none" w:sz="0" w:space="0" w:color="auto" w:frame="1"/>
                <w:lang w:eastAsia="en-US"/>
              </w:rPr>
              <w:t xml:space="preserve"> treatment. This will enable ongoing treatment for those who meet the continuing restriction for PBS-subsidised treatment.</w:t>
            </w:r>
          </w:p>
        </w:tc>
      </w:tr>
      <w:tr w:rsidR="00A71E3B" w:rsidRPr="008D5FA0" w14:paraId="0119565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2C933D" w14:textId="77777777" w:rsidR="00A71E3B" w:rsidRPr="008D5FA0" w:rsidRDefault="00A71E3B" w:rsidP="0029145A">
            <w:pPr>
              <w:spacing w:line="256" w:lineRule="auto"/>
              <w:ind w:left="131" w:hanging="5"/>
              <w:jc w:val="left"/>
              <w:rPr>
                <w:rFonts w:ascii="Arial Narrow" w:hAnsi="Arial Narrow"/>
                <w:b/>
                <w:sz w:val="18"/>
                <w:szCs w:val="18"/>
                <w:lang w:eastAsia="en-US"/>
              </w:rPr>
            </w:pPr>
            <w:r w:rsidRPr="008D5FA0">
              <w:rPr>
                <w:rFonts w:ascii="Arial Narrow" w:hAnsi="Arial Narrow"/>
                <w:b/>
                <w:sz w:val="18"/>
                <w:szCs w:val="18"/>
                <w:lang w:eastAsia="en-US"/>
              </w:rPr>
              <w:t>Prescribing Instructions:</w:t>
            </w:r>
          </w:p>
        </w:tc>
      </w:tr>
      <w:tr w:rsidR="00A71E3B" w:rsidRPr="008D5FA0" w14:paraId="5F6CC74E"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11C05"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 xml:space="preserve">Where a response assessment is not conducted within </w:t>
            </w:r>
            <w:r w:rsidRPr="008D5FA0">
              <w:rPr>
                <w:rFonts w:ascii="Arial Narrow" w:hAnsi="Arial Narrow" w:cs="Arial Narrow"/>
                <w:i/>
                <w:iCs/>
                <w:sz w:val="18"/>
                <w:szCs w:val="18"/>
                <w:lang w:eastAsia="en-US"/>
              </w:rPr>
              <w:t>the required</w:t>
            </w:r>
            <w:r w:rsidRPr="008D5FA0">
              <w:rPr>
                <w:rFonts w:ascii="Arial Narrow" w:hAnsi="Arial Narrow" w:cs="Arial Narrow"/>
                <w:iCs/>
                <w:sz w:val="18"/>
                <w:szCs w:val="18"/>
                <w:lang w:eastAsia="en-US"/>
              </w:rPr>
              <w:t xml:space="preserve"> </w:t>
            </w:r>
            <w:r w:rsidRPr="008D5FA0">
              <w:rPr>
                <w:rFonts w:ascii="Arial Narrow" w:hAnsi="Arial Narrow"/>
                <w:sz w:val="18"/>
                <w:szCs w:val="18"/>
                <w:lang w:eastAsia="en-US"/>
              </w:rPr>
              <w:t>timeframe, the patient will be deemed to have failed to respond to treatment with this drug, unless the patient has experienced a serious adverse reaction of a severity resulting in the necessity for permanent withdrawal of treatment.</w:t>
            </w:r>
          </w:p>
        </w:tc>
      </w:tr>
      <w:tr w:rsidR="00A71E3B" w:rsidRPr="008D5FA0" w14:paraId="4C45AB9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26D852"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Prescribing Instructions:</w:t>
            </w:r>
          </w:p>
        </w:tc>
      </w:tr>
      <w:tr w:rsidR="00A71E3B" w:rsidRPr="008D5FA0" w14:paraId="1F16B5FF"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D4859E"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 </w:t>
            </w:r>
          </w:p>
        </w:tc>
      </w:tr>
      <w:tr w:rsidR="00A71E3B" w:rsidRPr="008D5FA0" w14:paraId="473955B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50C8EF"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Prescribing Instructions:</w:t>
            </w:r>
          </w:p>
        </w:tc>
      </w:tr>
      <w:tr w:rsidR="00A71E3B" w:rsidRPr="008D5FA0" w14:paraId="3BFAEBDE"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9AF020"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 xml:space="preserve">Patients are eligible to receive continuing treatment with this drug in courses of up to 24 weeks providing they continue to sustain the response. </w:t>
            </w:r>
          </w:p>
        </w:tc>
      </w:tr>
      <w:tr w:rsidR="00A71E3B" w:rsidRPr="008D5FA0" w14:paraId="006B6F5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378163"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sz w:val="18"/>
                <w:szCs w:val="18"/>
                <w:lang w:eastAsia="en-US"/>
              </w:rPr>
              <w:t>Prescribing Instructions:</w:t>
            </w:r>
          </w:p>
        </w:tc>
      </w:tr>
      <w:tr w:rsidR="00A71E3B" w:rsidRPr="008D5FA0" w14:paraId="5AD3A19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BDF55"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A Grandfathered patient may qualify for PBS-subsidised treatment under this restriction once only. For continuing PBS-subsidised treatment, a Grandfathered patient must qualify under the continuing treatment criteria.</w:t>
            </w:r>
          </w:p>
        </w:tc>
      </w:tr>
      <w:tr w:rsidR="00A71E3B" w:rsidRPr="008D5FA0" w14:paraId="6357C10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AD771"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Administrative Advice:</w:t>
            </w:r>
            <w:r w:rsidRPr="008D5FA0">
              <w:rPr>
                <w:rFonts w:ascii="Arial Narrow" w:hAnsi="Arial Narrow"/>
                <w:sz w:val="18"/>
                <w:szCs w:val="18"/>
                <w:lang w:eastAsia="en-US"/>
              </w:rPr>
              <w:t xml:space="preserve"> No increase in the maximum quantity or number of units may be authorised.</w:t>
            </w:r>
          </w:p>
        </w:tc>
      </w:tr>
      <w:tr w:rsidR="00A71E3B" w:rsidRPr="008D5FA0" w14:paraId="664B77B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95CFA3"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Administrative Advice:</w:t>
            </w:r>
            <w:r w:rsidRPr="008D5FA0">
              <w:rPr>
                <w:rFonts w:ascii="Arial Narrow" w:hAnsi="Arial Narrow"/>
                <w:sz w:val="18"/>
                <w:szCs w:val="18"/>
                <w:lang w:eastAsia="en-US"/>
              </w:rPr>
              <w:t xml:space="preserve"> No increase in the maximum number of repeats may be authorised.</w:t>
            </w:r>
          </w:p>
        </w:tc>
      </w:tr>
      <w:tr w:rsidR="00A71E3B" w:rsidRPr="008D5FA0" w14:paraId="284DD7BD"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3D20C4" w14:textId="77777777" w:rsidR="00A71E3B" w:rsidRPr="008D5FA0" w:rsidRDefault="00A71E3B" w:rsidP="0029145A">
            <w:pPr>
              <w:spacing w:line="256" w:lineRule="auto"/>
              <w:ind w:left="131" w:hanging="5"/>
              <w:rPr>
                <w:rFonts w:ascii="Arial Narrow" w:hAnsi="Arial Narrow"/>
                <w:b/>
                <w:bCs/>
                <w:sz w:val="18"/>
                <w:szCs w:val="18"/>
                <w:lang w:eastAsia="en-US"/>
              </w:rPr>
            </w:pPr>
            <w:r w:rsidRPr="008D5FA0">
              <w:rPr>
                <w:rFonts w:ascii="Arial Narrow" w:hAnsi="Arial Narrow"/>
                <w:b/>
                <w:bCs/>
                <w:sz w:val="18"/>
                <w:szCs w:val="18"/>
                <w:lang w:eastAsia="en-US"/>
              </w:rPr>
              <w:t>Administrative advice:</w:t>
            </w:r>
          </w:p>
          <w:p w14:paraId="5C1EE541" w14:textId="77777777" w:rsidR="00A71E3B" w:rsidRPr="008D5FA0" w:rsidRDefault="00A71E3B" w:rsidP="0029145A">
            <w:pPr>
              <w:spacing w:line="256" w:lineRule="auto"/>
              <w:ind w:left="131" w:hanging="5"/>
              <w:rPr>
                <w:rFonts w:ascii="Arial Narrow" w:hAnsi="Arial Narrow"/>
                <w:bCs/>
                <w:sz w:val="18"/>
                <w:szCs w:val="18"/>
                <w:lang w:eastAsia="en-US"/>
              </w:rPr>
            </w:pPr>
            <w:r w:rsidRPr="008D5FA0">
              <w:rPr>
                <w:rFonts w:ascii="Arial Narrow" w:hAnsi="Arial Narrow"/>
                <w:bCs/>
                <w:sz w:val="18"/>
                <w:szCs w:val="18"/>
                <w:lang w:eastAsia="en-US"/>
              </w:rPr>
              <w:t>This grandfather restriction will cease to operate from 12 months after the date specified in the clinical criteria.</w:t>
            </w:r>
          </w:p>
        </w:tc>
      </w:tr>
      <w:tr w:rsidR="00A71E3B" w:rsidRPr="008D5FA0" w14:paraId="679B8BAA" w14:textId="77777777" w:rsidTr="0029145A">
        <w:trPr>
          <w:trHeight w:val="723"/>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5A416E" w14:textId="77777777" w:rsidR="00A71E3B" w:rsidRPr="008D5FA0" w:rsidRDefault="00A71E3B" w:rsidP="0029145A">
            <w:pPr>
              <w:spacing w:line="256" w:lineRule="auto"/>
              <w:ind w:left="131" w:hanging="5"/>
              <w:rPr>
                <w:rFonts w:ascii="Arial Narrow" w:hAnsi="Arial Narrow"/>
                <w:b/>
                <w:sz w:val="18"/>
                <w:szCs w:val="18"/>
                <w:lang w:eastAsia="en-US"/>
              </w:rPr>
            </w:pPr>
            <w:r w:rsidRPr="008D5FA0">
              <w:rPr>
                <w:rFonts w:ascii="Arial Narrow" w:hAnsi="Arial Narrow"/>
                <w:b/>
                <w:sz w:val="18"/>
                <w:szCs w:val="18"/>
                <w:lang w:eastAsia="en-US"/>
              </w:rPr>
              <w:t>Administrative Advice:</w:t>
            </w:r>
          </w:p>
          <w:p w14:paraId="1A8CF5A6"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Any queries concerning the arrangements to prescribe may be directed to Services Australia on 1800 700 270 (hours of operation 8 a.m. to 5 p.m. EST Monday to Friday).</w:t>
            </w:r>
          </w:p>
          <w:p w14:paraId="2CB8AF3B"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Prescribing information (including Authority Application forms and other relevant documentation as applicable) is available on the Services Australia website at www.servicesaustralia.gov.au</w:t>
            </w:r>
          </w:p>
          <w:p w14:paraId="442740AD"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Applications for authority to prescribe should be submitted online using the form upload facility in Health Professional Online Services (HPOS) at www.servicesaustralia.gov.au/hpos</w:t>
            </w:r>
          </w:p>
          <w:p w14:paraId="30E9094F"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Or mailed to:</w:t>
            </w:r>
          </w:p>
          <w:p w14:paraId="7716FB14"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Services Australia</w:t>
            </w:r>
          </w:p>
          <w:p w14:paraId="47AB373C"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Complex Drugs</w:t>
            </w:r>
          </w:p>
          <w:p w14:paraId="0E72D423"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sz w:val="18"/>
                <w:szCs w:val="18"/>
                <w:lang w:eastAsia="en-US"/>
              </w:rPr>
              <w:t>Reply Paid 9826</w:t>
            </w:r>
          </w:p>
          <w:p w14:paraId="6641064C"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HOBART TAS 7001</w:t>
            </w:r>
          </w:p>
        </w:tc>
      </w:tr>
    </w:tbl>
    <w:p w14:paraId="5549F4D7" w14:textId="77777777" w:rsidR="00A71E3B" w:rsidRPr="00EA5DF1" w:rsidRDefault="00A71E3B" w:rsidP="00A71E3B">
      <w:pPr>
        <w:keepNext/>
        <w:keepLines/>
        <w:rPr>
          <w:rFonts w:ascii="Arial Narrow" w:hAnsi="Arial Narrow"/>
          <w:b/>
          <w:sz w:val="18"/>
          <w:szCs w:val="18"/>
        </w:rPr>
      </w:pPr>
      <w:r w:rsidRPr="00EA5DF1">
        <w:rPr>
          <w:rFonts w:ascii="Arial Narrow" w:hAnsi="Arial Narrow"/>
          <w:b/>
          <w:sz w:val="18"/>
          <w:szCs w:val="18"/>
        </w:rPr>
        <w:t>Moderate to severe ulcerative colitis</w:t>
      </w:r>
    </w:p>
    <w:p w14:paraId="1142AE28" w14:textId="77777777" w:rsidR="00A71E3B" w:rsidRPr="00EA5DF1" w:rsidRDefault="00A71E3B" w:rsidP="00A71E3B">
      <w:pPr>
        <w:keepNext/>
        <w:keepLines/>
      </w:pPr>
      <w:r w:rsidRPr="00EA5DF1">
        <w:rPr>
          <w:rFonts w:ascii="Arial Narrow" w:hAnsi="Arial Narrow"/>
          <w:b/>
          <w:sz w:val="18"/>
          <w:szCs w:val="18"/>
          <w:u w:val="single"/>
        </w:rPr>
        <w:t>Initial treatment restriction (Grandfather patient)</w:t>
      </w:r>
    </w:p>
    <w:p w14:paraId="461FE409" w14:textId="77777777" w:rsidR="00A71E3B" w:rsidRPr="00EA5DF1" w:rsidRDefault="00A71E3B" w:rsidP="00A71E3B">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849"/>
        <w:gridCol w:w="707"/>
        <w:gridCol w:w="707"/>
        <w:gridCol w:w="709"/>
        <w:gridCol w:w="913"/>
        <w:gridCol w:w="1423"/>
      </w:tblGrid>
      <w:tr w:rsidR="00A71E3B" w:rsidRPr="00EA5DF1" w14:paraId="5C887874" w14:textId="77777777" w:rsidTr="0029145A">
        <w:trPr>
          <w:cantSplit/>
          <w:trHeight w:val="471"/>
        </w:trPr>
        <w:tc>
          <w:tcPr>
            <w:tcW w:w="2057" w:type="pct"/>
            <w:tcBorders>
              <w:top w:val="single" w:sz="4" w:space="0" w:color="auto"/>
              <w:left w:val="single" w:sz="4" w:space="0" w:color="auto"/>
              <w:bottom w:val="single" w:sz="4" w:space="0" w:color="auto"/>
              <w:right w:val="single" w:sz="4" w:space="0" w:color="auto"/>
            </w:tcBorders>
            <w:hideMark/>
          </w:tcPr>
          <w:p w14:paraId="507C0D41" w14:textId="77777777" w:rsidR="00A71E3B" w:rsidRPr="00EA5DF1" w:rsidRDefault="00A71E3B" w:rsidP="0029145A">
            <w:pPr>
              <w:keepNext/>
              <w:keepLines/>
              <w:ind w:left="-108"/>
              <w:rPr>
                <w:rFonts w:ascii="Arial Narrow" w:hAnsi="Arial Narrow"/>
                <w:b/>
                <w:color w:val="000000" w:themeColor="text1"/>
                <w:sz w:val="18"/>
                <w:szCs w:val="18"/>
              </w:rPr>
            </w:pPr>
            <w:r w:rsidRPr="00EA5DF1">
              <w:rPr>
                <w:rFonts w:ascii="Arial Narrow" w:hAnsi="Arial Narrow"/>
                <w:b/>
                <w:color w:val="000000" w:themeColor="text1"/>
                <w:sz w:val="18"/>
                <w:szCs w:val="18"/>
              </w:rPr>
              <w:t xml:space="preserve">MEDICINAL PRODUCT </w:t>
            </w:r>
          </w:p>
          <w:p w14:paraId="4215443D" w14:textId="77777777" w:rsidR="00A71E3B" w:rsidRPr="00EA5DF1" w:rsidRDefault="00A71E3B" w:rsidP="0029145A">
            <w:pPr>
              <w:keepNext/>
              <w:keepLines/>
              <w:ind w:left="-108"/>
              <w:rPr>
                <w:rFonts w:ascii="Arial Narrow" w:hAnsi="Arial Narrow"/>
                <w:b/>
                <w:color w:val="000000" w:themeColor="text1"/>
                <w:sz w:val="18"/>
                <w:szCs w:val="18"/>
              </w:rPr>
            </w:pPr>
            <w:r w:rsidRPr="00EA5DF1">
              <w:rPr>
                <w:rFonts w:ascii="Arial Narrow" w:hAnsi="Arial Narrow"/>
                <w:b/>
                <w:color w:val="000000" w:themeColor="text1"/>
                <w:sz w:val="18"/>
                <w:szCs w:val="18"/>
              </w:rPr>
              <w:t>medicinal product pack (MPP)</w:t>
            </w:r>
          </w:p>
        </w:tc>
        <w:tc>
          <w:tcPr>
            <w:tcW w:w="471" w:type="pct"/>
            <w:tcBorders>
              <w:top w:val="single" w:sz="4" w:space="0" w:color="auto"/>
              <w:left w:val="single" w:sz="4" w:space="0" w:color="auto"/>
              <w:bottom w:val="single" w:sz="4" w:space="0" w:color="auto"/>
              <w:right w:val="single" w:sz="4" w:space="0" w:color="auto"/>
            </w:tcBorders>
            <w:hideMark/>
          </w:tcPr>
          <w:p w14:paraId="44E7B8E5" w14:textId="77777777" w:rsidR="00A71E3B" w:rsidRPr="00EA5DF1" w:rsidRDefault="00A71E3B" w:rsidP="0029145A">
            <w:pPr>
              <w:keepNext/>
              <w:keepLines/>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PBS item code</w:t>
            </w:r>
          </w:p>
        </w:tc>
        <w:tc>
          <w:tcPr>
            <w:tcW w:w="392" w:type="pct"/>
            <w:tcBorders>
              <w:top w:val="single" w:sz="4" w:space="0" w:color="auto"/>
              <w:left w:val="single" w:sz="4" w:space="0" w:color="auto"/>
              <w:bottom w:val="single" w:sz="4" w:space="0" w:color="auto"/>
              <w:right w:val="single" w:sz="4" w:space="0" w:color="auto"/>
            </w:tcBorders>
            <w:hideMark/>
          </w:tcPr>
          <w:p w14:paraId="08ACEFC7" w14:textId="77777777" w:rsidR="00A71E3B" w:rsidRPr="00EA5DF1" w:rsidRDefault="00A71E3B" w:rsidP="0029145A">
            <w:pPr>
              <w:keepNext/>
              <w:keepLines/>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Max. qty packs</w:t>
            </w:r>
          </w:p>
        </w:tc>
        <w:tc>
          <w:tcPr>
            <w:tcW w:w="392" w:type="pct"/>
            <w:tcBorders>
              <w:top w:val="single" w:sz="4" w:space="0" w:color="auto"/>
              <w:left w:val="single" w:sz="4" w:space="0" w:color="auto"/>
              <w:bottom w:val="single" w:sz="4" w:space="0" w:color="auto"/>
              <w:right w:val="single" w:sz="4" w:space="0" w:color="auto"/>
            </w:tcBorders>
            <w:hideMark/>
          </w:tcPr>
          <w:p w14:paraId="6D775CD0" w14:textId="77777777" w:rsidR="00A71E3B" w:rsidRPr="00EA5DF1" w:rsidRDefault="00A71E3B" w:rsidP="0029145A">
            <w:pPr>
              <w:keepNext/>
              <w:keepLines/>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Max. qty units</w:t>
            </w:r>
          </w:p>
        </w:tc>
        <w:tc>
          <w:tcPr>
            <w:tcW w:w="393" w:type="pct"/>
            <w:tcBorders>
              <w:top w:val="single" w:sz="4" w:space="0" w:color="auto"/>
              <w:left w:val="single" w:sz="4" w:space="0" w:color="auto"/>
              <w:bottom w:val="single" w:sz="4" w:space="0" w:color="auto"/>
              <w:right w:val="single" w:sz="4" w:space="0" w:color="auto"/>
            </w:tcBorders>
            <w:hideMark/>
          </w:tcPr>
          <w:p w14:paraId="17308842" w14:textId="77777777" w:rsidR="00A71E3B" w:rsidRPr="00EA5DF1" w:rsidRDefault="00A71E3B" w:rsidP="0029145A">
            <w:pPr>
              <w:keepNext/>
              <w:keepLines/>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№.of</w:t>
            </w:r>
          </w:p>
          <w:p w14:paraId="3BE806A5" w14:textId="77777777" w:rsidR="00A71E3B" w:rsidRPr="00EA5DF1" w:rsidRDefault="00A71E3B" w:rsidP="0029145A">
            <w:pPr>
              <w:keepNext/>
              <w:keepLines/>
              <w:ind w:left="-108"/>
              <w:jc w:val="center"/>
              <w:rPr>
                <w:rFonts w:ascii="Arial Narrow" w:hAnsi="Arial Narrow"/>
                <w:b/>
                <w:color w:val="000000" w:themeColor="text1"/>
                <w:sz w:val="18"/>
                <w:szCs w:val="18"/>
              </w:rPr>
            </w:pPr>
            <w:r w:rsidRPr="00EA5DF1">
              <w:rPr>
                <w:rFonts w:ascii="Arial Narrow" w:hAnsi="Arial Narrow"/>
                <w:b/>
                <w:color w:val="000000" w:themeColor="text1"/>
                <w:sz w:val="18"/>
                <w:szCs w:val="18"/>
              </w:rPr>
              <w:t>Rpts</w:t>
            </w:r>
          </w:p>
        </w:tc>
        <w:tc>
          <w:tcPr>
            <w:tcW w:w="1295" w:type="pct"/>
            <w:gridSpan w:val="2"/>
            <w:tcBorders>
              <w:top w:val="single" w:sz="4" w:space="0" w:color="auto"/>
              <w:left w:val="single" w:sz="4" w:space="0" w:color="auto"/>
              <w:bottom w:val="single" w:sz="4" w:space="0" w:color="auto"/>
              <w:right w:val="single" w:sz="4" w:space="0" w:color="auto"/>
            </w:tcBorders>
            <w:hideMark/>
          </w:tcPr>
          <w:p w14:paraId="4F53CA66" w14:textId="77777777" w:rsidR="00A71E3B" w:rsidRPr="00EA5DF1" w:rsidRDefault="00A71E3B" w:rsidP="0029145A">
            <w:pPr>
              <w:keepNext/>
              <w:keepLines/>
              <w:rPr>
                <w:rFonts w:ascii="Arial Narrow" w:hAnsi="Arial Narrow"/>
                <w:b/>
                <w:color w:val="000000" w:themeColor="text1"/>
                <w:sz w:val="18"/>
                <w:szCs w:val="18"/>
              </w:rPr>
            </w:pPr>
            <w:r w:rsidRPr="00EA5DF1">
              <w:rPr>
                <w:rFonts w:ascii="Arial Narrow" w:hAnsi="Arial Narrow"/>
                <w:b/>
                <w:color w:val="000000" w:themeColor="text1"/>
                <w:sz w:val="18"/>
                <w:szCs w:val="18"/>
              </w:rPr>
              <w:t>Proprietary Name and Manufacturer</w:t>
            </w:r>
          </w:p>
        </w:tc>
      </w:tr>
      <w:tr w:rsidR="00A71E3B" w:rsidRPr="00EA5DF1" w14:paraId="41667151"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7A81EC54" w14:textId="77777777" w:rsidR="00A71E3B" w:rsidRPr="00EA5DF1" w:rsidRDefault="00A71E3B" w:rsidP="0029145A">
            <w:pPr>
              <w:keepNext/>
              <w:keepLines/>
              <w:ind w:left="-108"/>
              <w:rPr>
                <w:rFonts w:ascii="Arial Narrow" w:hAnsi="Arial Narrow"/>
                <w:color w:val="000000" w:themeColor="text1"/>
                <w:sz w:val="18"/>
                <w:szCs w:val="18"/>
              </w:rPr>
            </w:pPr>
            <w:r w:rsidRPr="00EA5DF1">
              <w:rPr>
                <w:rFonts w:ascii="Arial Narrow" w:hAnsi="Arial Narrow" w:cstheme="minorHAnsi"/>
                <w:sz w:val="18"/>
                <w:szCs w:val="18"/>
              </w:rPr>
              <w:t>INFLIXIMAB SC, subcutaneous administration, 120mg pre-filled syringe</w:t>
            </w:r>
          </w:p>
        </w:tc>
        <w:tc>
          <w:tcPr>
            <w:tcW w:w="471" w:type="pct"/>
            <w:tcBorders>
              <w:top w:val="single" w:sz="4" w:space="0" w:color="auto"/>
              <w:left w:val="single" w:sz="4" w:space="0" w:color="auto"/>
              <w:bottom w:val="single" w:sz="4" w:space="0" w:color="auto"/>
              <w:right w:val="single" w:sz="4" w:space="0" w:color="auto"/>
            </w:tcBorders>
            <w:hideMark/>
          </w:tcPr>
          <w:p w14:paraId="65544BD3" w14:textId="77777777" w:rsidR="00A71E3B" w:rsidRPr="00EA5DF1" w:rsidRDefault="00A71E3B" w:rsidP="0029145A">
            <w:pPr>
              <w:keepNext/>
              <w:keepLines/>
              <w:ind w:left="-108"/>
              <w:jc w:val="center"/>
              <w:rPr>
                <w:rFonts w:ascii="Arial Narrow" w:hAnsi="Arial Narrow"/>
                <w:sz w:val="18"/>
                <w:szCs w:val="18"/>
              </w:rPr>
            </w:pPr>
            <w:r w:rsidRPr="00EA5DF1">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6DEDBA7C" w14:textId="77777777" w:rsidR="00A71E3B" w:rsidRPr="00EA5DF1" w:rsidRDefault="00A71E3B" w:rsidP="0029145A">
            <w:pPr>
              <w:keepNext/>
              <w:keepLines/>
              <w:jc w:val="center"/>
              <w:rPr>
                <w:rFonts w:ascii="Arial Narrow" w:hAnsi="Arial Narrow"/>
                <w:color w:val="000000" w:themeColor="text1"/>
                <w:sz w:val="18"/>
                <w:szCs w:val="18"/>
              </w:rPr>
            </w:pPr>
            <w:r w:rsidRPr="00EA5DF1">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54182945" w14:textId="77777777" w:rsidR="00A71E3B" w:rsidRPr="00EA5DF1" w:rsidRDefault="00A71E3B" w:rsidP="0029145A">
            <w:pPr>
              <w:keepNext/>
              <w:keepLines/>
              <w:ind w:left="-108"/>
              <w:jc w:val="center"/>
              <w:rPr>
                <w:rFonts w:ascii="Arial Narrow" w:hAnsi="Arial Narrow"/>
                <w:color w:val="000000" w:themeColor="text1"/>
                <w:sz w:val="18"/>
                <w:szCs w:val="18"/>
              </w:rPr>
            </w:pPr>
            <w:r w:rsidRPr="00EA5DF1">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3DF43095" w14:textId="77777777" w:rsidR="00A71E3B" w:rsidRPr="00EA5DF1" w:rsidRDefault="00A71E3B" w:rsidP="0029145A">
            <w:pPr>
              <w:keepNext/>
              <w:keepLines/>
              <w:ind w:left="-108"/>
              <w:jc w:val="center"/>
              <w:rPr>
                <w:rFonts w:ascii="Arial Narrow" w:hAnsi="Arial Narrow"/>
                <w:sz w:val="18"/>
                <w:szCs w:val="18"/>
              </w:rPr>
            </w:pPr>
            <w:r w:rsidRPr="00EA5DF1">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5BF888E9" w14:textId="77777777" w:rsidR="00A71E3B" w:rsidRPr="00EA5DF1" w:rsidRDefault="00A71E3B" w:rsidP="0029145A">
            <w:pPr>
              <w:keepNext/>
              <w:keepLines/>
              <w:rPr>
                <w:rFonts w:ascii="Arial Narrow" w:hAnsi="Arial Narrow"/>
                <w:color w:val="000000" w:themeColor="text1"/>
                <w:sz w:val="18"/>
                <w:szCs w:val="18"/>
              </w:rPr>
            </w:pPr>
            <w:r w:rsidRPr="00EA5DF1">
              <w:rPr>
                <w:rFonts w:ascii="Arial Narrow" w:hAnsi="Arial Narrow"/>
                <w:sz w:val="18"/>
                <w:szCs w:val="18"/>
              </w:rPr>
              <w:t>Remsima</w:t>
            </w:r>
            <w:r w:rsidRPr="00EA5DF1">
              <w:rPr>
                <w:rFonts w:ascii="Arial Narrow" w:hAnsi="Arial Narrow"/>
                <w:sz w:val="18"/>
                <w:szCs w:val="18"/>
                <w:vertAlign w:val="superscript"/>
              </w:rPr>
              <w:t xml:space="preserve">® </w:t>
            </w:r>
            <w:r w:rsidRPr="00EA5DF1">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68A9491B" w14:textId="77777777" w:rsidR="00A71E3B" w:rsidRPr="00EA5DF1" w:rsidRDefault="00A71E3B" w:rsidP="0029145A">
            <w:pPr>
              <w:keepNext/>
              <w:keepLines/>
              <w:rPr>
                <w:rFonts w:ascii="Arial Narrow" w:hAnsi="Arial Narrow"/>
                <w:color w:val="000000" w:themeColor="text1"/>
                <w:sz w:val="18"/>
                <w:szCs w:val="18"/>
              </w:rPr>
            </w:pPr>
            <w:r w:rsidRPr="00EA5DF1">
              <w:rPr>
                <w:rFonts w:ascii="Arial Narrow" w:hAnsi="Arial Narrow"/>
                <w:sz w:val="18"/>
                <w:szCs w:val="18"/>
              </w:rPr>
              <w:t>Celltrion Healthcare Australia Pty Ltd</w:t>
            </w:r>
          </w:p>
        </w:tc>
      </w:tr>
      <w:tr w:rsidR="00A71E3B" w:rsidRPr="00EA5DF1" w14:paraId="295EF267" w14:textId="77777777" w:rsidTr="0029145A">
        <w:trPr>
          <w:cantSplit/>
          <w:trHeight w:val="346"/>
        </w:trPr>
        <w:tc>
          <w:tcPr>
            <w:tcW w:w="2057" w:type="pct"/>
            <w:tcBorders>
              <w:top w:val="single" w:sz="4" w:space="0" w:color="auto"/>
              <w:left w:val="single" w:sz="4" w:space="0" w:color="auto"/>
              <w:bottom w:val="single" w:sz="4" w:space="0" w:color="auto"/>
              <w:right w:val="single" w:sz="4" w:space="0" w:color="auto"/>
            </w:tcBorders>
            <w:hideMark/>
          </w:tcPr>
          <w:p w14:paraId="12160878" w14:textId="77777777" w:rsidR="00A71E3B" w:rsidRPr="00EA5DF1" w:rsidRDefault="00A71E3B" w:rsidP="0029145A">
            <w:pPr>
              <w:keepNext/>
              <w:keepLines/>
              <w:ind w:left="-108"/>
              <w:rPr>
                <w:rFonts w:ascii="Arial Narrow" w:hAnsi="Arial Narrow" w:cstheme="minorHAnsi"/>
                <w:sz w:val="18"/>
                <w:szCs w:val="18"/>
              </w:rPr>
            </w:pPr>
            <w:r w:rsidRPr="00EA5DF1">
              <w:rPr>
                <w:rFonts w:ascii="Arial Narrow" w:hAnsi="Arial Narrow" w:cstheme="minorHAnsi"/>
                <w:sz w:val="18"/>
                <w:szCs w:val="18"/>
              </w:rPr>
              <w:t>INFLIXIMAB SC, subcutaneous administration, 120mg pre-filled autoinjector pen</w:t>
            </w:r>
          </w:p>
        </w:tc>
        <w:tc>
          <w:tcPr>
            <w:tcW w:w="471" w:type="pct"/>
            <w:tcBorders>
              <w:top w:val="single" w:sz="4" w:space="0" w:color="auto"/>
              <w:left w:val="single" w:sz="4" w:space="0" w:color="auto"/>
              <w:bottom w:val="single" w:sz="4" w:space="0" w:color="auto"/>
              <w:right w:val="single" w:sz="4" w:space="0" w:color="auto"/>
            </w:tcBorders>
            <w:hideMark/>
          </w:tcPr>
          <w:p w14:paraId="724FA77A" w14:textId="77777777" w:rsidR="00A71E3B" w:rsidRPr="00EA5DF1" w:rsidRDefault="00A71E3B" w:rsidP="0029145A">
            <w:pPr>
              <w:keepNext/>
              <w:keepLines/>
              <w:ind w:left="-108"/>
              <w:jc w:val="center"/>
              <w:rPr>
                <w:rFonts w:ascii="Arial Narrow" w:hAnsi="Arial Narrow"/>
                <w:sz w:val="18"/>
                <w:szCs w:val="18"/>
              </w:rPr>
            </w:pPr>
            <w:r w:rsidRPr="00EA5DF1">
              <w:rPr>
                <w:rFonts w:ascii="Arial Narrow" w:hAnsi="Arial Narrow"/>
                <w:sz w:val="18"/>
                <w:szCs w:val="18"/>
              </w:rPr>
              <w:t>NEW</w:t>
            </w:r>
          </w:p>
        </w:tc>
        <w:tc>
          <w:tcPr>
            <w:tcW w:w="392" w:type="pct"/>
            <w:tcBorders>
              <w:top w:val="single" w:sz="4" w:space="0" w:color="auto"/>
              <w:left w:val="single" w:sz="4" w:space="0" w:color="auto"/>
              <w:bottom w:val="single" w:sz="4" w:space="0" w:color="auto"/>
              <w:right w:val="single" w:sz="4" w:space="0" w:color="auto"/>
            </w:tcBorders>
            <w:hideMark/>
          </w:tcPr>
          <w:p w14:paraId="74D8E2E3" w14:textId="77777777" w:rsidR="00A71E3B" w:rsidRPr="00EA5DF1" w:rsidRDefault="00A71E3B" w:rsidP="0029145A">
            <w:pPr>
              <w:keepNext/>
              <w:keepLines/>
              <w:jc w:val="center"/>
              <w:rPr>
                <w:rFonts w:ascii="Arial Narrow" w:hAnsi="Arial Narrow"/>
                <w:color w:val="000000" w:themeColor="text1"/>
                <w:sz w:val="18"/>
                <w:szCs w:val="18"/>
              </w:rPr>
            </w:pPr>
            <w:r w:rsidRPr="00EA5DF1">
              <w:rPr>
                <w:rFonts w:ascii="Arial Narrow" w:hAnsi="Arial Narrow"/>
                <w:color w:val="000000" w:themeColor="text1"/>
                <w:sz w:val="18"/>
                <w:szCs w:val="18"/>
              </w:rPr>
              <w:t>2</w:t>
            </w:r>
          </w:p>
        </w:tc>
        <w:tc>
          <w:tcPr>
            <w:tcW w:w="392" w:type="pct"/>
            <w:tcBorders>
              <w:top w:val="single" w:sz="4" w:space="0" w:color="auto"/>
              <w:left w:val="single" w:sz="4" w:space="0" w:color="auto"/>
              <w:bottom w:val="single" w:sz="4" w:space="0" w:color="auto"/>
              <w:right w:val="single" w:sz="4" w:space="0" w:color="auto"/>
            </w:tcBorders>
            <w:hideMark/>
          </w:tcPr>
          <w:p w14:paraId="3F850A23" w14:textId="77777777" w:rsidR="00A71E3B" w:rsidRPr="00EA5DF1" w:rsidRDefault="00A71E3B" w:rsidP="0029145A">
            <w:pPr>
              <w:keepNext/>
              <w:keepLines/>
              <w:ind w:left="-108"/>
              <w:jc w:val="center"/>
              <w:rPr>
                <w:rFonts w:ascii="Arial Narrow" w:hAnsi="Arial Narrow"/>
                <w:sz w:val="18"/>
                <w:szCs w:val="18"/>
              </w:rPr>
            </w:pPr>
            <w:r w:rsidRPr="00EA5DF1">
              <w:rPr>
                <w:rFonts w:ascii="Arial Narrow" w:hAnsi="Arial Narrow"/>
                <w:sz w:val="18"/>
                <w:szCs w:val="18"/>
              </w:rPr>
              <w:t>2</w:t>
            </w:r>
          </w:p>
        </w:tc>
        <w:tc>
          <w:tcPr>
            <w:tcW w:w="393" w:type="pct"/>
            <w:tcBorders>
              <w:top w:val="single" w:sz="4" w:space="0" w:color="auto"/>
              <w:left w:val="single" w:sz="4" w:space="0" w:color="auto"/>
              <w:bottom w:val="single" w:sz="4" w:space="0" w:color="auto"/>
              <w:right w:val="single" w:sz="4" w:space="0" w:color="auto"/>
            </w:tcBorders>
            <w:hideMark/>
          </w:tcPr>
          <w:p w14:paraId="6DE2BB4D" w14:textId="77777777" w:rsidR="00A71E3B" w:rsidRPr="00EA5DF1" w:rsidRDefault="00A71E3B" w:rsidP="0029145A">
            <w:pPr>
              <w:keepNext/>
              <w:keepLines/>
              <w:ind w:left="-108"/>
              <w:jc w:val="center"/>
              <w:rPr>
                <w:rFonts w:ascii="Arial Narrow" w:hAnsi="Arial Narrow"/>
                <w:sz w:val="18"/>
                <w:szCs w:val="18"/>
              </w:rPr>
            </w:pPr>
            <w:r w:rsidRPr="00EA5DF1">
              <w:rPr>
                <w:rFonts w:ascii="Arial Narrow" w:hAnsi="Arial Narrow"/>
                <w:sz w:val="18"/>
                <w:szCs w:val="18"/>
              </w:rPr>
              <w:t>5</w:t>
            </w:r>
          </w:p>
        </w:tc>
        <w:tc>
          <w:tcPr>
            <w:tcW w:w="506" w:type="pct"/>
            <w:tcBorders>
              <w:top w:val="single" w:sz="4" w:space="0" w:color="auto"/>
              <w:left w:val="single" w:sz="4" w:space="0" w:color="auto"/>
              <w:bottom w:val="single" w:sz="4" w:space="0" w:color="auto"/>
              <w:right w:val="single" w:sz="4" w:space="0" w:color="auto"/>
            </w:tcBorders>
            <w:hideMark/>
          </w:tcPr>
          <w:p w14:paraId="2E3869F7" w14:textId="77777777" w:rsidR="00A71E3B" w:rsidRPr="00EA5DF1" w:rsidRDefault="00A71E3B" w:rsidP="0029145A">
            <w:pPr>
              <w:keepNext/>
              <w:keepLines/>
              <w:rPr>
                <w:rFonts w:ascii="Arial Narrow" w:hAnsi="Arial Narrow"/>
                <w:sz w:val="18"/>
                <w:szCs w:val="18"/>
              </w:rPr>
            </w:pPr>
            <w:r w:rsidRPr="00EA5DF1">
              <w:rPr>
                <w:rFonts w:ascii="Arial Narrow" w:hAnsi="Arial Narrow"/>
                <w:sz w:val="18"/>
                <w:szCs w:val="18"/>
              </w:rPr>
              <w:t>Remsima</w:t>
            </w:r>
            <w:r w:rsidRPr="00EA5DF1">
              <w:rPr>
                <w:rFonts w:ascii="Arial Narrow" w:hAnsi="Arial Narrow"/>
                <w:sz w:val="18"/>
                <w:szCs w:val="18"/>
                <w:vertAlign w:val="superscript"/>
              </w:rPr>
              <w:t xml:space="preserve">® </w:t>
            </w:r>
            <w:r w:rsidRPr="00EA5DF1">
              <w:rPr>
                <w:rFonts w:ascii="Arial Narrow" w:hAnsi="Arial Narrow"/>
                <w:sz w:val="18"/>
                <w:szCs w:val="18"/>
              </w:rPr>
              <w:t>SC</w:t>
            </w:r>
          </w:p>
        </w:tc>
        <w:tc>
          <w:tcPr>
            <w:tcW w:w="789" w:type="pct"/>
            <w:tcBorders>
              <w:top w:val="single" w:sz="4" w:space="0" w:color="auto"/>
              <w:left w:val="single" w:sz="4" w:space="0" w:color="auto"/>
              <w:bottom w:val="single" w:sz="4" w:space="0" w:color="auto"/>
              <w:right w:val="single" w:sz="4" w:space="0" w:color="auto"/>
            </w:tcBorders>
            <w:hideMark/>
          </w:tcPr>
          <w:p w14:paraId="4545FF46" w14:textId="77777777" w:rsidR="00A71E3B" w:rsidRPr="00EA5DF1" w:rsidRDefault="00A71E3B" w:rsidP="0029145A">
            <w:pPr>
              <w:keepNext/>
              <w:keepLines/>
              <w:rPr>
                <w:rFonts w:ascii="Arial Narrow" w:hAnsi="Arial Narrow"/>
                <w:sz w:val="18"/>
                <w:szCs w:val="18"/>
              </w:rPr>
            </w:pPr>
            <w:r w:rsidRPr="00EA5DF1">
              <w:rPr>
                <w:rFonts w:ascii="Arial Narrow" w:hAnsi="Arial Narrow"/>
                <w:sz w:val="18"/>
                <w:szCs w:val="18"/>
              </w:rPr>
              <w:t>Celltrion Healthcare Australia Pty Ltd</w:t>
            </w:r>
          </w:p>
        </w:tc>
      </w:tr>
    </w:tbl>
    <w:p w14:paraId="3A862851" w14:textId="77777777" w:rsidR="00A71E3B" w:rsidRPr="00EA5DF1" w:rsidRDefault="00A71E3B" w:rsidP="00A71E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71E3B" w:rsidRPr="008D5FA0" w14:paraId="012021A9"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58F88"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sz w:val="18"/>
                <w:szCs w:val="18"/>
                <w:lang w:eastAsia="en-US"/>
              </w:rPr>
              <w:t xml:space="preserve">Category / Program:   </w:t>
            </w:r>
            <w:r w:rsidRPr="008D5FA0">
              <w:rPr>
                <w:rFonts w:ascii="Arial Narrow" w:hAnsi="Arial Narrow"/>
                <w:sz w:val="18"/>
                <w:szCs w:val="18"/>
                <w:lang w:eastAsia="en-US"/>
              </w:rPr>
              <w:t xml:space="preserve">GENERAL – General Schedule (Code GE) </w:t>
            </w:r>
          </w:p>
        </w:tc>
      </w:tr>
      <w:tr w:rsidR="00A71E3B" w:rsidRPr="008D5FA0" w14:paraId="5808E1B5" w14:textId="77777777" w:rsidTr="0029145A">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B80E49" w14:textId="77777777" w:rsidR="00A71E3B" w:rsidRPr="008D5FA0" w:rsidRDefault="00A71E3B" w:rsidP="0029145A">
            <w:pPr>
              <w:spacing w:line="256" w:lineRule="auto"/>
              <w:ind w:left="126"/>
              <w:rPr>
                <w:rFonts w:ascii="Arial Narrow" w:hAnsi="Arial Narrow"/>
                <w:b/>
                <w:sz w:val="18"/>
                <w:szCs w:val="18"/>
                <w:lang w:eastAsia="en-US"/>
              </w:rPr>
            </w:pPr>
            <w:r w:rsidRPr="008D5FA0">
              <w:rPr>
                <w:rFonts w:ascii="Arial Narrow" w:hAnsi="Arial Narrow"/>
                <w:b/>
                <w:sz w:val="18"/>
                <w:szCs w:val="18"/>
                <w:lang w:eastAsia="en-US"/>
              </w:rPr>
              <w:t xml:space="preserve">Prescriber type:   </w:t>
            </w:r>
            <w:r w:rsidRPr="008D5FA0">
              <w:rPr>
                <w:rFonts w:ascii="Arial Narrow" w:hAnsi="Arial Narrow"/>
                <w:sz w:val="18"/>
                <w:szCs w:val="18"/>
                <w:lang w:eastAsia="en-US"/>
              </w:rPr>
              <w:fldChar w:fldCharType="begin">
                <w:ffData>
                  <w:name w:val=""/>
                  <w:enabled/>
                  <w:calcOnExit w:val="0"/>
                  <w:checkBox>
                    <w:sizeAuto/>
                    <w:default w:val="1"/>
                  </w:checkBox>
                </w:ffData>
              </w:fldChar>
            </w:r>
            <w:r w:rsidRPr="008D5FA0">
              <w:rPr>
                <w:rFonts w:ascii="Arial Narrow" w:hAnsi="Arial Narrow"/>
                <w:sz w:val="18"/>
                <w:szCs w:val="18"/>
                <w:lang w:eastAsia="en-US"/>
              </w:rPr>
              <w:instrText xml:space="preserve"> FORMCHECKBOX </w:instrText>
            </w:r>
            <w:r w:rsidR="00E515FB">
              <w:rPr>
                <w:rFonts w:ascii="Arial Narrow" w:hAnsi="Arial Narrow"/>
                <w:sz w:val="18"/>
                <w:szCs w:val="18"/>
                <w:lang w:eastAsia="en-US"/>
              </w:rPr>
            </w:r>
            <w:r w:rsidR="00E515FB">
              <w:rPr>
                <w:rFonts w:ascii="Arial Narrow" w:hAnsi="Arial Narrow"/>
                <w:sz w:val="18"/>
                <w:szCs w:val="18"/>
                <w:lang w:eastAsia="en-US"/>
              </w:rPr>
              <w:fldChar w:fldCharType="separate"/>
            </w:r>
            <w:r w:rsidRPr="008D5FA0">
              <w:rPr>
                <w:rFonts w:ascii="Arial Narrow" w:hAnsi="Arial Narrow"/>
                <w:sz w:val="18"/>
                <w:szCs w:val="18"/>
                <w:lang w:eastAsia="en-US"/>
              </w:rPr>
              <w:fldChar w:fldCharType="end"/>
            </w:r>
            <w:r w:rsidRPr="008D5FA0">
              <w:rPr>
                <w:rFonts w:ascii="Arial Narrow" w:hAnsi="Arial Narrow"/>
                <w:sz w:val="18"/>
                <w:szCs w:val="18"/>
                <w:lang w:eastAsia="en-US"/>
              </w:rPr>
              <w:t>Medical Practitioners</w:t>
            </w:r>
          </w:p>
        </w:tc>
      </w:tr>
      <w:tr w:rsidR="00A71E3B" w:rsidRPr="008D5FA0" w14:paraId="75BFDF5A"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C7C43A" w14:textId="77777777" w:rsidR="00A71E3B" w:rsidRPr="008D5FA0" w:rsidRDefault="00A71E3B" w:rsidP="0029145A">
            <w:pPr>
              <w:spacing w:line="256" w:lineRule="auto"/>
              <w:ind w:left="126"/>
              <w:rPr>
                <w:rFonts w:ascii="Arial Narrow" w:eastAsia="Calibri" w:hAnsi="Arial Narrow"/>
                <w:sz w:val="18"/>
                <w:szCs w:val="18"/>
                <w:lang w:eastAsia="en-US"/>
              </w:rPr>
            </w:pPr>
            <w:r w:rsidRPr="008D5FA0">
              <w:rPr>
                <w:rFonts w:ascii="Arial Narrow" w:hAnsi="Arial Narrow"/>
                <w:b/>
                <w:sz w:val="18"/>
                <w:szCs w:val="18"/>
                <w:lang w:eastAsia="en-US"/>
              </w:rPr>
              <w:t xml:space="preserve">Restriction Type – </w:t>
            </w:r>
            <w:r w:rsidRPr="008D5FA0">
              <w:rPr>
                <w:rFonts w:ascii="Arial Narrow" w:eastAsia="Calibri" w:hAnsi="Arial Narrow"/>
                <w:sz w:val="18"/>
                <w:szCs w:val="18"/>
                <w:lang w:eastAsia="en-US"/>
              </w:rPr>
              <w:fldChar w:fldCharType="begin">
                <w:ffData>
                  <w:name w:val=""/>
                  <w:enabled/>
                  <w:calcOnExit w:val="0"/>
                  <w:checkBox>
                    <w:sizeAuto/>
                    <w:default w:val="1"/>
                  </w:checkBox>
                </w:ffData>
              </w:fldChar>
            </w:r>
            <w:r w:rsidRPr="008D5FA0">
              <w:rPr>
                <w:rFonts w:ascii="Arial Narrow" w:eastAsia="Calibri" w:hAnsi="Arial Narrow"/>
                <w:sz w:val="18"/>
                <w:szCs w:val="18"/>
                <w:lang w:eastAsia="en-US"/>
              </w:rPr>
              <w:instrText xml:space="preserve"> FORMCHECKBOX </w:instrText>
            </w:r>
            <w:r w:rsidR="00E515FB">
              <w:rPr>
                <w:rFonts w:ascii="Arial Narrow" w:eastAsia="Calibri" w:hAnsi="Arial Narrow"/>
                <w:sz w:val="18"/>
                <w:szCs w:val="18"/>
                <w:lang w:eastAsia="en-US"/>
              </w:rPr>
            </w:r>
            <w:r w:rsidR="00E515FB">
              <w:rPr>
                <w:rFonts w:ascii="Arial Narrow" w:eastAsia="Calibri" w:hAnsi="Arial Narrow"/>
                <w:sz w:val="18"/>
                <w:szCs w:val="18"/>
                <w:lang w:eastAsia="en-US"/>
              </w:rPr>
              <w:fldChar w:fldCharType="separate"/>
            </w:r>
            <w:r w:rsidRPr="008D5FA0">
              <w:rPr>
                <w:rFonts w:ascii="Arial Narrow" w:eastAsia="Calibri" w:hAnsi="Arial Narrow"/>
                <w:sz w:val="18"/>
                <w:szCs w:val="18"/>
                <w:lang w:eastAsia="en-US"/>
              </w:rPr>
              <w:fldChar w:fldCharType="end"/>
            </w:r>
            <w:r w:rsidRPr="008D5FA0">
              <w:rPr>
                <w:rFonts w:ascii="Arial Narrow" w:eastAsia="Calibri" w:hAnsi="Arial Narrow"/>
                <w:sz w:val="18"/>
                <w:szCs w:val="18"/>
                <w:lang w:eastAsia="en-US"/>
              </w:rPr>
              <w:t xml:space="preserve"> Authority Required - </w:t>
            </w:r>
            <w:r w:rsidRPr="008D5FA0">
              <w:rPr>
                <w:rFonts w:ascii="Arial Narrow" w:hAnsi="Arial Narrow"/>
                <w:bCs/>
                <w:sz w:val="18"/>
                <w:szCs w:val="18"/>
                <w:lang w:eastAsia="en-US"/>
              </w:rPr>
              <w:t xml:space="preserve">non-immediate/delayed assessment by Services Australia (in-writing only via mail/postal service or electronic upload/digital submission) </w:t>
            </w:r>
            <w:r w:rsidRPr="008D5FA0">
              <w:rPr>
                <w:rFonts w:ascii="Arial Narrow" w:eastAsia="Calibri" w:hAnsi="Arial Narrow"/>
                <w:sz w:val="18"/>
                <w:szCs w:val="18"/>
                <w:lang w:eastAsia="en-US"/>
              </w:rPr>
              <w:t xml:space="preserve"> </w:t>
            </w:r>
          </w:p>
        </w:tc>
      </w:tr>
      <w:tr w:rsidR="00A71E3B" w:rsidRPr="008D5FA0" w14:paraId="5B43918C"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86A51" w14:textId="77777777" w:rsidR="00A71E3B" w:rsidRPr="008D5FA0" w:rsidRDefault="00A71E3B" w:rsidP="0029145A">
            <w:pPr>
              <w:spacing w:line="256" w:lineRule="auto"/>
              <w:ind w:left="126"/>
              <w:rPr>
                <w:rFonts w:ascii="Arial Narrow" w:hAnsi="Arial Narrow"/>
                <w:b/>
                <w:bCs/>
                <w:sz w:val="18"/>
                <w:szCs w:val="18"/>
                <w:lang w:eastAsia="en-US"/>
              </w:rPr>
            </w:pPr>
            <w:r w:rsidRPr="008D5FA0">
              <w:rPr>
                <w:rFonts w:ascii="Arial Narrow" w:hAnsi="Arial Narrow"/>
                <w:b/>
                <w:bCs/>
                <w:sz w:val="18"/>
                <w:szCs w:val="18"/>
                <w:lang w:eastAsia="en-US"/>
              </w:rPr>
              <w:lastRenderedPageBreak/>
              <w:t xml:space="preserve">Severity: </w:t>
            </w:r>
            <w:r w:rsidRPr="008D5FA0">
              <w:rPr>
                <w:rFonts w:ascii="Arial Narrow" w:hAnsi="Arial Narrow"/>
                <w:bCs/>
                <w:sz w:val="18"/>
                <w:szCs w:val="18"/>
                <w:lang w:eastAsia="en-US"/>
              </w:rPr>
              <w:t>Moderate to severe</w:t>
            </w:r>
          </w:p>
        </w:tc>
      </w:tr>
      <w:tr w:rsidR="00A71E3B" w:rsidRPr="008D5FA0" w14:paraId="35A19A9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385D2" w14:textId="77777777" w:rsidR="00A71E3B" w:rsidRPr="008D5FA0" w:rsidRDefault="00A71E3B" w:rsidP="0029145A">
            <w:pPr>
              <w:spacing w:line="256" w:lineRule="auto"/>
              <w:ind w:left="126"/>
              <w:rPr>
                <w:rFonts w:ascii="Arial Narrow" w:hAnsi="Arial Narrow"/>
                <w:b/>
                <w:bCs/>
                <w:sz w:val="18"/>
                <w:szCs w:val="18"/>
                <w:lang w:eastAsia="en-US"/>
              </w:rPr>
            </w:pPr>
            <w:r w:rsidRPr="008D5FA0">
              <w:rPr>
                <w:rFonts w:ascii="Arial Narrow" w:hAnsi="Arial Narrow"/>
                <w:b/>
                <w:bCs/>
                <w:sz w:val="18"/>
                <w:szCs w:val="18"/>
                <w:lang w:eastAsia="en-US"/>
              </w:rPr>
              <w:t xml:space="preserve">Condition: </w:t>
            </w:r>
            <w:r w:rsidRPr="008D5FA0">
              <w:rPr>
                <w:rFonts w:ascii="Arial Narrow" w:hAnsi="Arial Narrow"/>
                <w:bCs/>
                <w:sz w:val="18"/>
                <w:szCs w:val="18"/>
                <w:lang w:eastAsia="en-US"/>
              </w:rPr>
              <w:t>Ulcerative colitis</w:t>
            </w:r>
          </w:p>
        </w:tc>
      </w:tr>
      <w:tr w:rsidR="00A71E3B" w:rsidRPr="008D5FA0" w14:paraId="0670D74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44968"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Indication:</w:t>
            </w:r>
            <w:r w:rsidRPr="008D5FA0">
              <w:rPr>
                <w:rFonts w:ascii="Arial Narrow" w:hAnsi="Arial Narrow"/>
                <w:sz w:val="18"/>
                <w:szCs w:val="18"/>
                <w:lang w:eastAsia="en-US"/>
              </w:rPr>
              <w:t xml:space="preserve"> Moderate to severe ulcerative colitis</w:t>
            </w:r>
          </w:p>
        </w:tc>
      </w:tr>
      <w:tr w:rsidR="00A71E3B" w:rsidRPr="008D5FA0" w14:paraId="0AECDB94"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FE7C21"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Treatment Phase:</w:t>
            </w:r>
            <w:r w:rsidRPr="008D5FA0">
              <w:rPr>
                <w:rFonts w:ascii="Arial Narrow" w:hAnsi="Arial Narrow"/>
                <w:sz w:val="18"/>
                <w:szCs w:val="18"/>
                <w:lang w:eastAsia="en-US"/>
              </w:rPr>
              <w:t xml:space="preserve"> </w:t>
            </w:r>
            <w:r w:rsidRPr="008D5FA0">
              <w:rPr>
                <w:rFonts w:ascii="Arial Narrow" w:hAnsi="Arial Narrow"/>
                <w:b/>
                <w:sz w:val="18"/>
                <w:szCs w:val="18"/>
                <w:lang w:eastAsia="en-US"/>
              </w:rPr>
              <w:t>Initial PBS-subsidised treatment (Grandfather patient) - subcutaneous form</w:t>
            </w:r>
          </w:p>
        </w:tc>
      </w:tr>
      <w:tr w:rsidR="00A71E3B" w:rsidRPr="008D5FA0" w14:paraId="7A0E34D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06B39" w14:textId="77777777" w:rsidR="00A71E3B" w:rsidRPr="008D5FA0" w:rsidRDefault="00A71E3B" w:rsidP="0029145A">
            <w:pPr>
              <w:spacing w:line="256" w:lineRule="auto"/>
              <w:ind w:left="126"/>
              <w:rPr>
                <w:rFonts w:ascii="Arial Narrow" w:hAnsi="Arial Narrow"/>
                <w:b/>
                <w:bCs/>
                <w:sz w:val="18"/>
                <w:szCs w:val="18"/>
                <w:lang w:eastAsia="en-US"/>
              </w:rPr>
            </w:pPr>
            <w:r w:rsidRPr="008D5FA0">
              <w:rPr>
                <w:rFonts w:ascii="Arial Narrow" w:hAnsi="Arial Narrow"/>
                <w:b/>
                <w:bCs/>
                <w:sz w:val="18"/>
                <w:szCs w:val="18"/>
                <w:lang w:eastAsia="en-US"/>
              </w:rPr>
              <w:t>Treatment criteria:</w:t>
            </w:r>
          </w:p>
        </w:tc>
      </w:tr>
      <w:tr w:rsidR="00A71E3B" w:rsidRPr="008D5FA0" w14:paraId="6670DF60"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0EBCE2" w14:textId="77777777" w:rsidR="00A71E3B" w:rsidRPr="008D5FA0" w:rsidRDefault="00A71E3B" w:rsidP="0029145A">
            <w:pPr>
              <w:spacing w:line="256" w:lineRule="auto"/>
              <w:ind w:left="126"/>
              <w:rPr>
                <w:rFonts w:ascii="Arial Narrow" w:hAnsi="Arial Narrow"/>
                <w:bCs/>
                <w:sz w:val="18"/>
                <w:szCs w:val="18"/>
                <w:lang w:eastAsia="en-US"/>
              </w:rPr>
            </w:pPr>
            <w:r w:rsidRPr="008D5FA0">
              <w:rPr>
                <w:rFonts w:ascii="Arial Narrow" w:hAnsi="Arial Narrow"/>
                <w:bCs/>
                <w:sz w:val="18"/>
                <w:szCs w:val="18"/>
                <w:lang w:eastAsia="en-US"/>
              </w:rPr>
              <w:t>Must be treated by a gastroenterologist; or</w:t>
            </w:r>
          </w:p>
        </w:tc>
      </w:tr>
      <w:tr w:rsidR="00A71E3B" w:rsidRPr="008D5FA0" w14:paraId="240EB774"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364556" w14:textId="77777777" w:rsidR="00A71E3B" w:rsidRPr="008D5FA0" w:rsidRDefault="00A71E3B" w:rsidP="0029145A">
            <w:pPr>
              <w:spacing w:line="256" w:lineRule="auto"/>
              <w:ind w:left="126"/>
              <w:rPr>
                <w:rFonts w:ascii="Arial Narrow" w:hAnsi="Arial Narrow"/>
                <w:bCs/>
                <w:sz w:val="18"/>
                <w:szCs w:val="18"/>
                <w:lang w:eastAsia="en-US"/>
              </w:rPr>
            </w:pPr>
            <w:r w:rsidRPr="008D5FA0">
              <w:rPr>
                <w:rFonts w:ascii="Arial Narrow" w:hAnsi="Arial Narrow"/>
                <w:bCs/>
                <w:sz w:val="18"/>
                <w:szCs w:val="18"/>
                <w:lang w:eastAsia="en-US"/>
              </w:rPr>
              <w:t>Must be treated by a consultant physician [internal medicine specialising in gastroenterology]; or</w:t>
            </w:r>
          </w:p>
        </w:tc>
      </w:tr>
      <w:tr w:rsidR="00A71E3B" w:rsidRPr="008D5FA0" w14:paraId="2733F162"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0B45B" w14:textId="77777777" w:rsidR="00A71E3B" w:rsidRPr="008D5FA0" w:rsidRDefault="00A71E3B" w:rsidP="0029145A">
            <w:pPr>
              <w:spacing w:line="256" w:lineRule="auto"/>
              <w:ind w:left="126"/>
              <w:rPr>
                <w:rFonts w:ascii="Arial Narrow" w:hAnsi="Arial Narrow"/>
                <w:bCs/>
                <w:sz w:val="18"/>
                <w:szCs w:val="18"/>
                <w:lang w:eastAsia="en-US"/>
              </w:rPr>
            </w:pPr>
            <w:r w:rsidRPr="008D5FA0">
              <w:rPr>
                <w:rFonts w:ascii="Arial Narrow" w:hAnsi="Arial Narrow"/>
                <w:bCs/>
                <w:sz w:val="18"/>
                <w:szCs w:val="18"/>
                <w:lang w:eastAsia="en-US"/>
              </w:rPr>
              <w:t>Must be treated by a consultant physician [general medicine specialising in gastroenterology]</w:t>
            </w:r>
          </w:p>
        </w:tc>
      </w:tr>
      <w:tr w:rsidR="00A71E3B" w:rsidRPr="008D5FA0" w14:paraId="78B6EF67"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00CC7" w14:textId="77777777" w:rsidR="00A71E3B" w:rsidRPr="008D5FA0" w:rsidRDefault="00A71E3B" w:rsidP="0029145A">
            <w:pPr>
              <w:spacing w:line="256" w:lineRule="auto"/>
              <w:ind w:left="126"/>
              <w:rPr>
                <w:rFonts w:ascii="Arial Narrow" w:hAnsi="Arial Narrow"/>
                <w:b/>
                <w:bCs/>
                <w:sz w:val="18"/>
                <w:szCs w:val="18"/>
                <w:lang w:eastAsia="en-US"/>
              </w:rPr>
            </w:pPr>
            <w:r w:rsidRPr="008D5FA0">
              <w:rPr>
                <w:rFonts w:ascii="Arial Narrow" w:hAnsi="Arial Narrow"/>
                <w:b/>
                <w:bCs/>
                <w:sz w:val="18"/>
                <w:szCs w:val="18"/>
                <w:lang w:eastAsia="en-US"/>
              </w:rPr>
              <w:t>AND</w:t>
            </w:r>
          </w:p>
        </w:tc>
      </w:tr>
      <w:tr w:rsidR="00A71E3B" w:rsidRPr="008D5FA0" w14:paraId="532489A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0B3CB4"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Clinical criteria:</w:t>
            </w:r>
          </w:p>
        </w:tc>
      </w:tr>
      <w:tr w:rsidR="00A71E3B" w:rsidRPr="008D5FA0" w14:paraId="0BF200B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C1915A" w14:textId="77777777" w:rsidR="00A71E3B" w:rsidRPr="008D5FA0" w:rsidRDefault="00A71E3B" w:rsidP="0029145A">
            <w:pPr>
              <w:pStyle w:val="CommentText"/>
              <w:spacing w:line="256" w:lineRule="auto"/>
              <w:ind w:left="126"/>
              <w:rPr>
                <w:lang w:eastAsia="en-GB"/>
              </w:rPr>
            </w:pPr>
            <w:r w:rsidRPr="008D5FA0">
              <w:rPr>
                <w:rFonts w:ascii="Arial Narrow" w:hAnsi="Arial Narrow"/>
                <w:sz w:val="18"/>
                <w:szCs w:val="18"/>
                <w:lang w:eastAsia="en-US"/>
              </w:rPr>
              <w:t>Patient must have previously received non-PBS subsidised therapy with this drug in the subcutaneous form for this condition prior to [1 Month 20XX, insert listing date here]</w:t>
            </w:r>
          </w:p>
        </w:tc>
      </w:tr>
      <w:tr w:rsidR="00A71E3B" w:rsidRPr="008D5FA0" w14:paraId="5538C098"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1355B"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AND</w:t>
            </w:r>
          </w:p>
        </w:tc>
      </w:tr>
      <w:tr w:rsidR="00A71E3B" w:rsidRPr="008D5FA0" w14:paraId="5215588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416D91"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Clinical criteria:</w:t>
            </w:r>
          </w:p>
        </w:tc>
      </w:tr>
      <w:tr w:rsidR="00A71E3B" w:rsidRPr="008D5FA0" w14:paraId="36700AA0"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hideMark/>
          </w:tcPr>
          <w:p w14:paraId="17F1E878" w14:textId="77777777" w:rsidR="00A71E3B" w:rsidRPr="008D5FA0" w:rsidRDefault="00A71E3B" w:rsidP="0029145A">
            <w:pPr>
              <w:pStyle w:val="KMC16-Tablecontent"/>
              <w:spacing w:after="0"/>
              <w:ind w:left="45" w:hanging="45"/>
              <w:rPr>
                <w:color w:val="auto"/>
                <w:sz w:val="18"/>
                <w:szCs w:val="18"/>
                <w:lang w:val="en-AU"/>
              </w:rPr>
            </w:pPr>
            <w:r w:rsidRPr="008D5FA0">
              <w:rPr>
                <w:color w:val="auto"/>
                <w:sz w:val="18"/>
                <w:szCs w:val="18"/>
                <w:lang w:val="en-AU"/>
              </w:rPr>
              <w:t xml:space="preserve"> Patient must have previously received induction treatment consisting of 2 doses with this drug for this condition in the intravenous  form </w:t>
            </w:r>
          </w:p>
        </w:tc>
      </w:tr>
      <w:tr w:rsidR="00A71E3B" w:rsidRPr="008D5FA0" w14:paraId="5B5DC978"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03547D76" w14:textId="77777777" w:rsidR="00A71E3B" w:rsidRPr="008D5FA0" w:rsidRDefault="00A71E3B" w:rsidP="0029145A">
            <w:pPr>
              <w:pStyle w:val="KMC16-Tablecontent"/>
              <w:spacing w:after="0"/>
              <w:rPr>
                <w:b/>
                <w:color w:val="auto"/>
                <w:sz w:val="18"/>
                <w:szCs w:val="18"/>
                <w:lang w:val="en-AU"/>
              </w:rPr>
            </w:pPr>
            <w:r w:rsidRPr="008D5FA0">
              <w:rPr>
                <w:b/>
                <w:color w:val="auto"/>
                <w:sz w:val="18"/>
                <w:szCs w:val="18"/>
                <w:lang w:val="en-AU"/>
              </w:rPr>
              <w:t xml:space="preserve"> AND</w:t>
            </w:r>
          </w:p>
        </w:tc>
      </w:tr>
      <w:tr w:rsidR="00A71E3B" w:rsidRPr="008D5FA0" w14:paraId="7B60ECB3"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3806E3E0" w14:textId="77777777" w:rsidR="00A71E3B" w:rsidRPr="008D5FA0" w:rsidRDefault="00A71E3B" w:rsidP="0029145A">
            <w:pPr>
              <w:pStyle w:val="KMC16-Tablecontent"/>
              <w:spacing w:after="0"/>
              <w:ind w:left="45"/>
              <w:rPr>
                <w:color w:val="auto"/>
                <w:sz w:val="18"/>
                <w:szCs w:val="18"/>
                <w:lang w:val="en-AU"/>
              </w:rPr>
            </w:pPr>
            <w:r w:rsidRPr="008D5FA0">
              <w:rPr>
                <w:color w:val="auto"/>
                <w:sz w:val="18"/>
                <w:szCs w:val="18"/>
                <w:lang w:val="en-AU"/>
              </w:rPr>
              <w:t>Patient must have had a Mayo clinic score greater than or equal to 6 prior to commencing treatment with this drug; OR</w:t>
            </w:r>
          </w:p>
        </w:tc>
      </w:tr>
      <w:tr w:rsidR="00A71E3B" w:rsidRPr="008D5FA0" w14:paraId="6473ADE6"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5065978C" w14:textId="77777777" w:rsidR="00A71E3B" w:rsidRPr="008D5FA0" w:rsidRDefault="00A71E3B" w:rsidP="0029145A">
            <w:pPr>
              <w:pStyle w:val="KMC16-Tablecontent"/>
              <w:spacing w:after="0"/>
              <w:ind w:left="45"/>
              <w:rPr>
                <w:color w:val="auto"/>
                <w:sz w:val="18"/>
                <w:szCs w:val="18"/>
                <w:lang w:val="en-AU"/>
              </w:rPr>
            </w:pPr>
            <w:r w:rsidRPr="008D5FA0">
              <w:rPr>
                <w:color w:val="auto"/>
                <w:sz w:val="18"/>
                <w:szCs w:val="18"/>
                <w:lang w:val="en-AU"/>
              </w:rPr>
              <w:t>Patient must have had a partial Mayo clinic score greater than or equal to 6, provided the rectal bleeding and stool frequency subscores were both greater than or equal to 2 (endoscopy subscore is not required for a partial Mayo score) prior to commencing treatment with this drug; OR</w:t>
            </w:r>
          </w:p>
        </w:tc>
      </w:tr>
      <w:tr w:rsidR="00A71E3B" w:rsidRPr="008D5FA0" w14:paraId="5C53BA0A"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44E33ACE" w14:textId="77777777" w:rsidR="00A71E3B" w:rsidRPr="008D5FA0" w:rsidRDefault="00A71E3B" w:rsidP="0029145A">
            <w:pPr>
              <w:pStyle w:val="KMC16-Tablecontent"/>
              <w:spacing w:after="0"/>
              <w:ind w:left="45"/>
              <w:rPr>
                <w:color w:val="auto"/>
                <w:sz w:val="18"/>
                <w:szCs w:val="18"/>
                <w:lang w:val="en-AU"/>
              </w:rPr>
            </w:pPr>
            <w:r w:rsidRPr="008D5FA0">
              <w:rPr>
                <w:color w:val="auto"/>
                <w:sz w:val="18"/>
                <w:szCs w:val="18"/>
                <w:lang w:val="en-AU"/>
              </w:rPr>
              <w:t>Patient must have a documented history of moderate to severe refractory ulcerative colitis prior to having commenced treatment with this drug where a Mayo clinic, partial Mayo clinic baseline assessment is not available</w:t>
            </w:r>
          </w:p>
        </w:tc>
      </w:tr>
      <w:tr w:rsidR="00A71E3B" w:rsidRPr="008D5FA0" w14:paraId="274393FB" w14:textId="77777777" w:rsidTr="00291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000" w:type="pct"/>
            <w:tcBorders>
              <w:top w:val="single" w:sz="4" w:space="0" w:color="auto"/>
              <w:left w:val="single" w:sz="4" w:space="0" w:color="auto"/>
              <w:bottom w:val="single" w:sz="4" w:space="0" w:color="auto"/>
              <w:right w:val="single" w:sz="4" w:space="0" w:color="auto"/>
            </w:tcBorders>
          </w:tcPr>
          <w:p w14:paraId="1314FD3C" w14:textId="77777777" w:rsidR="00A71E3B" w:rsidRPr="008D5FA0" w:rsidRDefault="00A71E3B" w:rsidP="0029145A">
            <w:pPr>
              <w:pStyle w:val="KMC16-Tablecontent"/>
              <w:spacing w:after="0"/>
              <w:ind w:left="126" w:hanging="81"/>
              <w:rPr>
                <w:b/>
                <w:color w:val="auto"/>
                <w:sz w:val="18"/>
                <w:szCs w:val="18"/>
                <w:lang w:val="en-AU"/>
              </w:rPr>
            </w:pPr>
            <w:r w:rsidRPr="008D5FA0">
              <w:rPr>
                <w:b/>
                <w:color w:val="auto"/>
                <w:sz w:val="18"/>
                <w:szCs w:val="18"/>
                <w:lang w:val="en-AU"/>
              </w:rPr>
              <w:t>AND</w:t>
            </w:r>
          </w:p>
        </w:tc>
      </w:tr>
      <w:tr w:rsidR="00A71E3B" w:rsidRPr="008D5FA0" w14:paraId="5BED9D05"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0CBF6"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Clinical criteria:</w:t>
            </w:r>
          </w:p>
        </w:tc>
      </w:tr>
      <w:tr w:rsidR="00A71E3B" w:rsidRPr="008D5FA0" w14:paraId="3090C0DA"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D9DEF"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Patient must have demonstrated or sustained an adequate response to treatment by having a partial Mayo clinic score less than or equal to 2, with no subscore greater than 1 while receiving treatment with this drug, OR</w:t>
            </w:r>
          </w:p>
        </w:tc>
      </w:tr>
      <w:tr w:rsidR="00A71E3B" w:rsidRPr="008D5FA0" w14:paraId="7A54EC1B" w14:textId="77777777" w:rsidTr="0029145A">
        <w:tblPrEx>
          <w:tblCellMar>
            <w:top w:w="15" w:type="dxa"/>
            <w:left w:w="15" w:type="dxa"/>
            <w:bottom w:w="15" w:type="dxa"/>
            <w:right w:w="15" w:type="dxa"/>
          </w:tblCellMar>
        </w:tblPrEx>
        <w:tc>
          <w:tcPr>
            <w:tcW w:w="5000" w:type="pct"/>
            <w:vAlign w:val="center"/>
          </w:tcPr>
          <w:p w14:paraId="3C433BAB" w14:textId="77777777" w:rsidR="00A71E3B" w:rsidRPr="008D5FA0" w:rsidRDefault="00A71E3B" w:rsidP="0029145A">
            <w:pPr>
              <w:rPr>
                <w:rFonts w:ascii="Arial Narrow" w:hAnsi="Arial Narrow"/>
                <w:sz w:val="18"/>
                <w:szCs w:val="18"/>
              </w:rPr>
            </w:pPr>
            <w:r w:rsidRPr="008D5FA0">
              <w:rPr>
                <w:rFonts w:ascii="Arial Narrow" w:hAnsi="Arial Narrow"/>
                <w:sz w:val="18"/>
                <w:szCs w:val="18"/>
              </w:rPr>
              <w:t xml:space="preserve">   Patient must have demonstrated an adequate response to treatment with this drug in the intravenous form</w:t>
            </w:r>
          </w:p>
        </w:tc>
      </w:tr>
      <w:tr w:rsidR="00A71E3B" w:rsidRPr="008D5FA0" w14:paraId="4794736E"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2B19C"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AND</w:t>
            </w:r>
          </w:p>
        </w:tc>
      </w:tr>
      <w:tr w:rsidR="00A71E3B" w:rsidRPr="008D5FA0" w14:paraId="6984CF08"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1D20EC"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Population criteria:</w:t>
            </w:r>
          </w:p>
        </w:tc>
      </w:tr>
      <w:tr w:rsidR="00A71E3B" w:rsidRPr="008D5FA0" w14:paraId="5C9B2EC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742D2"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Patient must be aged 18 years or older.</w:t>
            </w:r>
          </w:p>
        </w:tc>
      </w:tr>
      <w:tr w:rsidR="00A71E3B" w:rsidRPr="008D5FA0" w14:paraId="48C48AA5"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D925B"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sz w:val="18"/>
                <w:szCs w:val="18"/>
                <w:lang w:eastAsia="en-US"/>
              </w:rPr>
              <w:t>Prescribing Instructions:</w:t>
            </w:r>
          </w:p>
        </w:tc>
      </w:tr>
      <w:tr w:rsidR="00A71E3B" w:rsidRPr="008D5FA0" w14:paraId="69BFFE6D" w14:textId="77777777" w:rsidTr="0029145A">
        <w:tc>
          <w:tcPr>
            <w:tcW w:w="5000" w:type="pct"/>
            <w:tcBorders>
              <w:top w:val="single" w:sz="4" w:space="0" w:color="auto"/>
              <w:left w:val="single" w:sz="4" w:space="0" w:color="auto"/>
              <w:bottom w:val="single" w:sz="4" w:space="0" w:color="auto"/>
              <w:right w:val="single" w:sz="4" w:space="0" w:color="auto"/>
            </w:tcBorders>
            <w:hideMark/>
          </w:tcPr>
          <w:p w14:paraId="3707B0C3"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Applications for authorisation must be made in writing and must include:</w:t>
            </w:r>
          </w:p>
          <w:p w14:paraId="3D14F3FE"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(a) a completed authority prescription form; and</w:t>
            </w:r>
          </w:p>
          <w:p w14:paraId="67E1383B"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(b) a completed Ulcerative Colitis PBS Authority Application Form which includes the following:</w:t>
            </w:r>
          </w:p>
          <w:p w14:paraId="46370AEC"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 xml:space="preserve"> (i) the completed baseline Mayo clinic or partial Mayo clinic calculation sheet prior to initiating treatment (if available) and current Mayo clinic or partial Mayo clinic calculation sheet to demonstrate response, including the date of assessment;</w:t>
            </w:r>
          </w:p>
          <w:p w14:paraId="48AAD142"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(ii) If the baseline Mayo or partial Mayo clinic calculation is not available, reason must be provided; and</w:t>
            </w:r>
          </w:p>
          <w:p w14:paraId="5C2A9C6E" w14:textId="77777777" w:rsidR="00A71E3B" w:rsidRPr="008D5FA0" w:rsidRDefault="00A71E3B" w:rsidP="0029145A">
            <w:pPr>
              <w:spacing w:line="256" w:lineRule="auto"/>
              <w:ind w:left="126"/>
              <w:rPr>
                <w:rFonts w:ascii="Arial Narrow" w:hAnsi="Arial Narrow"/>
                <w:b/>
                <w:sz w:val="18"/>
                <w:szCs w:val="18"/>
                <w:lang w:eastAsia="en-US"/>
              </w:rPr>
            </w:pPr>
            <w:r w:rsidRPr="008D5FA0">
              <w:rPr>
                <w:rFonts w:ascii="Arial Narrow" w:hAnsi="Arial Narrow"/>
                <w:sz w:val="18"/>
                <w:szCs w:val="18"/>
                <w:lang w:eastAsia="en-US"/>
              </w:rPr>
              <w:t>(iii) the date of commencement of this drug</w:t>
            </w:r>
          </w:p>
        </w:tc>
      </w:tr>
      <w:tr w:rsidR="00A71E3B" w:rsidRPr="008D5FA0" w14:paraId="157CB2C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908CF8"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sz w:val="18"/>
                <w:szCs w:val="18"/>
                <w:lang w:eastAsia="en-US"/>
              </w:rPr>
              <w:t>Prescribing Instructions:</w:t>
            </w:r>
          </w:p>
        </w:tc>
      </w:tr>
      <w:tr w:rsidR="00A71E3B" w:rsidRPr="008D5FA0" w14:paraId="64A96674"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E2537A"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The current Mayo clinic or partial Mayo clinic assessment must be no more than 4 weeks old at the time of application. The baseline assessment must be from immediately prior to commencing treatment with this drug.</w:t>
            </w:r>
          </w:p>
        </w:tc>
      </w:tr>
      <w:tr w:rsidR="00A71E3B" w:rsidRPr="008D5FA0" w14:paraId="29EABE0F"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C6926" w14:textId="77777777" w:rsidR="00A71E3B" w:rsidRPr="008D5FA0" w:rsidRDefault="00A71E3B" w:rsidP="0029145A">
            <w:pPr>
              <w:spacing w:line="256" w:lineRule="auto"/>
              <w:ind w:left="131" w:hanging="5"/>
              <w:rPr>
                <w:rFonts w:ascii="Arial Narrow" w:hAnsi="Arial Narrow"/>
                <w:sz w:val="18"/>
                <w:szCs w:val="18"/>
                <w:lang w:eastAsia="en-US"/>
              </w:rPr>
            </w:pPr>
            <w:r w:rsidRPr="008D5FA0">
              <w:rPr>
                <w:rFonts w:ascii="Arial Narrow" w:hAnsi="Arial Narrow"/>
                <w:b/>
                <w:bCs/>
                <w:sz w:val="18"/>
                <w:szCs w:val="18"/>
                <w:lang w:eastAsia="en-US"/>
              </w:rPr>
              <w:t>Prescribing Instructions:</w:t>
            </w:r>
          </w:p>
        </w:tc>
      </w:tr>
      <w:tr w:rsidR="00A71E3B" w:rsidRPr="008D5FA0" w14:paraId="22DA19DB"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A0477" w14:textId="77777777" w:rsidR="00A71E3B" w:rsidRPr="008D5FA0" w:rsidRDefault="00A71E3B" w:rsidP="0029145A">
            <w:pPr>
              <w:spacing w:line="256" w:lineRule="auto"/>
              <w:ind w:left="131" w:hanging="5"/>
              <w:jc w:val="left"/>
              <w:rPr>
                <w:rFonts w:ascii="Arial Narrow" w:hAnsi="Arial Narrow"/>
                <w:sz w:val="18"/>
                <w:szCs w:val="18"/>
                <w:lang w:eastAsia="en-US"/>
              </w:rPr>
            </w:pPr>
            <w:r w:rsidRPr="008D5FA0">
              <w:rPr>
                <w:rFonts w:ascii="Arial Narrow" w:hAnsi="Arial Narrow"/>
                <w:sz w:val="18"/>
                <w:szCs w:val="18"/>
                <w:lang w:eastAsia="en-US"/>
              </w:rPr>
              <w:t xml:space="preserve">Patients are eligible to receive continuing treatment with this drug in courses of up to 24 weeks providing they continue to sustain the response. </w:t>
            </w:r>
          </w:p>
        </w:tc>
      </w:tr>
      <w:tr w:rsidR="00A71E3B" w:rsidRPr="008D5FA0" w14:paraId="47977F74"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1EAB1F"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A Grandfathered patient may qualify for PBS-subsidised treatment under this restriction once only. For continuing PBS-subsidised treatment, a Grandfathered patient must qualify under the continuing treatment criteria.</w:t>
            </w:r>
          </w:p>
        </w:tc>
      </w:tr>
      <w:tr w:rsidR="00A71E3B" w:rsidRPr="008D5FA0" w14:paraId="447FB402"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17204"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Administrative Advice:</w:t>
            </w:r>
            <w:r w:rsidRPr="008D5FA0">
              <w:rPr>
                <w:rFonts w:ascii="Arial Narrow" w:hAnsi="Arial Narrow"/>
                <w:sz w:val="18"/>
                <w:szCs w:val="18"/>
                <w:lang w:eastAsia="en-US"/>
              </w:rPr>
              <w:t xml:space="preserve"> No increase in the maximum quantity or number of units may be authorised.</w:t>
            </w:r>
          </w:p>
        </w:tc>
      </w:tr>
      <w:tr w:rsidR="00A71E3B" w:rsidRPr="008D5FA0" w14:paraId="3D00C201"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97F2C"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b/>
                <w:bCs/>
                <w:sz w:val="18"/>
                <w:szCs w:val="18"/>
                <w:lang w:eastAsia="en-US"/>
              </w:rPr>
              <w:t>Administrative Advice:</w:t>
            </w:r>
            <w:r w:rsidRPr="008D5FA0">
              <w:rPr>
                <w:rFonts w:ascii="Arial Narrow" w:hAnsi="Arial Narrow"/>
                <w:sz w:val="18"/>
                <w:szCs w:val="18"/>
                <w:lang w:eastAsia="en-US"/>
              </w:rPr>
              <w:t xml:space="preserve"> No increase in the maximum number of repeats may be authorised.</w:t>
            </w:r>
          </w:p>
        </w:tc>
      </w:tr>
      <w:tr w:rsidR="00A71E3B" w:rsidRPr="008D5FA0" w14:paraId="2AABB9C6" w14:textId="77777777" w:rsidTr="0029145A">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F867D" w14:textId="77777777" w:rsidR="00A71E3B" w:rsidRPr="008D5FA0" w:rsidRDefault="00A71E3B" w:rsidP="0029145A">
            <w:pPr>
              <w:spacing w:line="256" w:lineRule="auto"/>
              <w:ind w:left="126"/>
              <w:rPr>
                <w:rFonts w:ascii="Arial Narrow" w:hAnsi="Arial Narrow"/>
                <w:b/>
                <w:bCs/>
                <w:sz w:val="18"/>
                <w:szCs w:val="18"/>
                <w:lang w:eastAsia="en-US"/>
              </w:rPr>
            </w:pPr>
            <w:r w:rsidRPr="008D5FA0">
              <w:rPr>
                <w:rFonts w:ascii="Arial Narrow" w:hAnsi="Arial Narrow"/>
                <w:b/>
                <w:bCs/>
                <w:sz w:val="18"/>
                <w:szCs w:val="18"/>
                <w:lang w:eastAsia="en-US"/>
              </w:rPr>
              <w:t>Administrative advice:</w:t>
            </w:r>
          </w:p>
          <w:p w14:paraId="1177595B" w14:textId="77777777" w:rsidR="00A71E3B" w:rsidRPr="008D5FA0" w:rsidRDefault="00A71E3B" w:rsidP="0029145A">
            <w:pPr>
              <w:spacing w:line="256" w:lineRule="auto"/>
              <w:ind w:left="126"/>
              <w:rPr>
                <w:rFonts w:ascii="Arial Narrow" w:hAnsi="Arial Narrow"/>
                <w:bCs/>
                <w:sz w:val="18"/>
                <w:szCs w:val="18"/>
                <w:lang w:eastAsia="en-US"/>
              </w:rPr>
            </w:pPr>
            <w:r w:rsidRPr="008D5FA0">
              <w:rPr>
                <w:rFonts w:ascii="Arial Narrow" w:hAnsi="Arial Narrow"/>
                <w:bCs/>
                <w:sz w:val="18"/>
                <w:szCs w:val="18"/>
                <w:lang w:eastAsia="en-US"/>
              </w:rPr>
              <w:lastRenderedPageBreak/>
              <w:t>This grandfather restriction will cease to operate from 12 months after the date specified in the clinical criteria.</w:t>
            </w:r>
          </w:p>
        </w:tc>
      </w:tr>
      <w:tr w:rsidR="00A71E3B" w:rsidRPr="008D5FA0" w14:paraId="22B90C44" w14:textId="77777777" w:rsidTr="0029145A">
        <w:trPr>
          <w:trHeight w:val="259"/>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029FDF" w14:textId="77777777" w:rsidR="00A71E3B" w:rsidRPr="008D5FA0" w:rsidRDefault="00A71E3B" w:rsidP="0029145A">
            <w:pPr>
              <w:spacing w:line="256" w:lineRule="auto"/>
              <w:ind w:left="126"/>
              <w:jc w:val="left"/>
              <w:rPr>
                <w:rFonts w:ascii="Arial Narrow" w:hAnsi="Arial Narrow"/>
                <w:b/>
                <w:sz w:val="18"/>
                <w:szCs w:val="18"/>
                <w:lang w:eastAsia="en-US"/>
              </w:rPr>
            </w:pPr>
            <w:r w:rsidRPr="008D5FA0">
              <w:rPr>
                <w:rFonts w:ascii="Arial Narrow" w:hAnsi="Arial Narrow"/>
                <w:b/>
                <w:sz w:val="18"/>
                <w:szCs w:val="18"/>
                <w:lang w:eastAsia="en-US"/>
              </w:rPr>
              <w:lastRenderedPageBreak/>
              <w:t xml:space="preserve">Administrative Advice: </w:t>
            </w:r>
          </w:p>
          <w:p w14:paraId="14BBF7AB"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Any queries concerning the arrangements to prescribe may be directed to Services Australia on 1800 700 270 (hours of operation 8 a.m. to 5 p.m. EST Monday to Friday).</w:t>
            </w:r>
          </w:p>
          <w:p w14:paraId="0A1923CE"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Prescribing information (including Authority Application forms and other relevant documentation as applicable) is available on the Services Australia website at www.servicesaustralia.gov.au</w:t>
            </w:r>
          </w:p>
          <w:p w14:paraId="017F50A9"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Applications for authority to prescribe should be submitted online using the form upload facility in Health Professional Online Services (HPOS) at www.servicesaustralia.gov.au/hpos</w:t>
            </w:r>
          </w:p>
          <w:p w14:paraId="0C460710"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Or mailed to:</w:t>
            </w:r>
          </w:p>
          <w:p w14:paraId="7589B5F8"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Services Australia</w:t>
            </w:r>
          </w:p>
          <w:p w14:paraId="3F16E989"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Complex Drugs</w:t>
            </w:r>
          </w:p>
          <w:p w14:paraId="6D0A075B" w14:textId="77777777" w:rsidR="00A71E3B" w:rsidRPr="008D5FA0" w:rsidRDefault="00A71E3B" w:rsidP="0029145A">
            <w:pPr>
              <w:spacing w:line="256" w:lineRule="auto"/>
              <w:ind w:left="126"/>
              <w:rPr>
                <w:rFonts w:ascii="Arial Narrow" w:hAnsi="Arial Narrow"/>
                <w:sz w:val="18"/>
                <w:szCs w:val="18"/>
                <w:lang w:eastAsia="en-US"/>
              </w:rPr>
            </w:pPr>
            <w:r w:rsidRPr="008D5FA0">
              <w:rPr>
                <w:rFonts w:ascii="Arial Narrow" w:hAnsi="Arial Narrow"/>
                <w:sz w:val="18"/>
                <w:szCs w:val="18"/>
                <w:lang w:eastAsia="en-US"/>
              </w:rPr>
              <w:t>Reply Paid 9826</w:t>
            </w:r>
          </w:p>
          <w:p w14:paraId="34C91F0D" w14:textId="77777777" w:rsidR="00A71E3B" w:rsidRPr="008D5FA0" w:rsidRDefault="00A71E3B" w:rsidP="0029145A">
            <w:pPr>
              <w:spacing w:line="256" w:lineRule="auto"/>
              <w:ind w:left="126"/>
              <w:rPr>
                <w:rFonts w:ascii="Arial Narrow" w:hAnsi="Arial Narrow"/>
                <w:strike/>
                <w:sz w:val="18"/>
                <w:szCs w:val="18"/>
                <w:lang w:eastAsia="en-US"/>
              </w:rPr>
            </w:pPr>
            <w:r w:rsidRPr="008D5FA0">
              <w:rPr>
                <w:rFonts w:ascii="Arial Narrow" w:hAnsi="Arial Narrow"/>
                <w:sz w:val="18"/>
                <w:szCs w:val="18"/>
                <w:lang w:eastAsia="en-US"/>
              </w:rPr>
              <w:t>HOBART TAS 7001</w:t>
            </w:r>
          </w:p>
        </w:tc>
      </w:tr>
    </w:tbl>
    <w:p w14:paraId="30185EAD" w14:textId="77777777" w:rsidR="0029145A" w:rsidRDefault="0029145A" w:rsidP="0029145A">
      <w:pPr>
        <w:pStyle w:val="3-BodyText"/>
        <w:numPr>
          <w:ilvl w:val="0"/>
          <w:numId w:val="0"/>
        </w:numPr>
        <w:rPr>
          <w:rFonts w:cs="Calibri"/>
          <w:b/>
          <w:i/>
        </w:rPr>
      </w:pPr>
    </w:p>
    <w:p w14:paraId="31F4E1C0" w14:textId="77777777" w:rsidR="0029145A" w:rsidRDefault="0029145A" w:rsidP="0029145A">
      <w:pPr>
        <w:pStyle w:val="3-BodyText"/>
        <w:numPr>
          <w:ilvl w:val="0"/>
          <w:numId w:val="0"/>
        </w:numPr>
        <w:rPr>
          <w:rFonts w:cs="Calibri"/>
          <w:b/>
          <w:i/>
        </w:rPr>
      </w:pPr>
      <w:r w:rsidRPr="004E025C">
        <w:rPr>
          <w:rFonts w:cs="Calibri"/>
          <w:b/>
          <w:i/>
        </w:rPr>
        <w:t>This restriction may be subject to further review. Should there be any changes made to the restriction the Sponsor will be informed.</w:t>
      </w:r>
    </w:p>
    <w:p w14:paraId="1A85407E" w14:textId="77777777" w:rsidR="00A71E3B" w:rsidRPr="00EA5DF1" w:rsidRDefault="00A71E3B" w:rsidP="00A71E3B">
      <w:pPr>
        <w:pStyle w:val="3-BodyText"/>
        <w:numPr>
          <w:ilvl w:val="0"/>
          <w:numId w:val="0"/>
        </w:numPr>
        <w:ind w:left="720" w:hanging="720"/>
      </w:pPr>
    </w:p>
    <w:p w14:paraId="0507EF07" w14:textId="77777777" w:rsidR="002765CE" w:rsidRPr="00994E01" w:rsidRDefault="002765CE" w:rsidP="002765CE">
      <w:pPr>
        <w:pStyle w:val="2-SectionHeading"/>
      </w:pPr>
      <w:r w:rsidRPr="00994E01">
        <w:t>Context for Decision</w:t>
      </w:r>
    </w:p>
    <w:p w14:paraId="1C699D70" w14:textId="77777777" w:rsidR="002765CE" w:rsidRPr="007129F2" w:rsidRDefault="002765CE" w:rsidP="002765CE">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AC98684" w14:textId="77777777" w:rsidR="002765CE" w:rsidRPr="00C07617" w:rsidRDefault="002765CE" w:rsidP="002765CE">
      <w:pPr>
        <w:pStyle w:val="2-SectionHeading"/>
        <w:rPr>
          <w:b w:val="0"/>
        </w:rPr>
      </w:pPr>
      <w:r w:rsidRPr="00994E01">
        <w:t>Sponsor’s Comment</w:t>
      </w:r>
    </w:p>
    <w:p w14:paraId="403A2B9A" w14:textId="77777777" w:rsidR="0084799A" w:rsidRPr="002765CE" w:rsidRDefault="007358AF" w:rsidP="007358AF">
      <w:pPr>
        <w:pStyle w:val="3-BodyText"/>
        <w:numPr>
          <w:ilvl w:val="0"/>
          <w:numId w:val="0"/>
        </w:numPr>
        <w:ind w:left="720"/>
        <w:rPr>
          <w:bCs/>
          <w:lang w:val="en-GB"/>
        </w:rPr>
      </w:pPr>
      <w:r w:rsidRPr="007358AF">
        <w:rPr>
          <w:bCs/>
          <w:lang w:val="en-GB"/>
        </w:rPr>
        <w:t>The sponsor had no comment.</w:t>
      </w:r>
    </w:p>
    <w:sectPr w:rsidR="0084799A" w:rsidRPr="002765CE" w:rsidSect="00D557C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AAB3" w16cex:dateUtc="2020-10-15T21:14:00Z"/>
  <w16cex:commentExtensible w16cex:durableId="2333AA20" w16cex:dateUtc="2020-10-15T21:12:00Z"/>
  <w16cex:commentExtensible w16cex:durableId="2333AB7B" w16cex:dateUtc="2020-10-15T21:17:00Z"/>
  <w16cex:commentExtensible w16cex:durableId="2333ABC3" w16cex:dateUtc="2020-10-15T21:18:00Z"/>
  <w16cex:commentExtensible w16cex:durableId="2333AD68" w16cex:dateUtc="2020-10-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7F5B4" w16cid:durableId="2333A988"/>
  <w16cid:commentId w16cid:paraId="244BB7A2" w16cid:durableId="2333AAB3"/>
  <w16cid:commentId w16cid:paraId="0EEE59C8" w16cid:durableId="2333A989"/>
  <w16cid:commentId w16cid:paraId="7C4D3625" w16cid:durableId="2333AA20"/>
  <w16cid:commentId w16cid:paraId="578FADFF" w16cid:durableId="2333A98A"/>
  <w16cid:commentId w16cid:paraId="170FB411" w16cid:durableId="2333AB7B"/>
  <w16cid:commentId w16cid:paraId="4FBC3934" w16cid:durableId="2333A98B"/>
  <w16cid:commentId w16cid:paraId="1F8A390D" w16cid:durableId="2333ABC3"/>
  <w16cid:commentId w16cid:paraId="6BABED95" w16cid:durableId="2333A98C"/>
  <w16cid:commentId w16cid:paraId="36D357BC" w16cid:durableId="2333AD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E3CE0" w14:textId="77777777" w:rsidR="0029145A" w:rsidRDefault="0029145A" w:rsidP="00124A51">
      <w:r>
        <w:separator/>
      </w:r>
    </w:p>
    <w:p w14:paraId="600211D3" w14:textId="77777777" w:rsidR="0029145A" w:rsidRDefault="0029145A"/>
  </w:endnote>
  <w:endnote w:type="continuationSeparator" w:id="0">
    <w:p w14:paraId="2C1E319F" w14:textId="77777777" w:rsidR="0029145A" w:rsidRDefault="0029145A" w:rsidP="00124A51">
      <w:r>
        <w:continuationSeparator/>
      </w:r>
    </w:p>
    <w:p w14:paraId="1D626ACB" w14:textId="77777777" w:rsidR="0029145A" w:rsidRDefault="0029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59FFE" w14:textId="77777777" w:rsidR="00F73527" w:rsidRDefault="00F7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851" w14:textId="77777777" w:rsidR="0029145A" w:rsidRDefault="0029145A">
    <w:pPr>
      <w:pStyle w:val="Footer"/>
      <w:jc w:val="center"/>
    </w:pPr>
  </w:p>
  <w:p w14:paraId="05F5C0B3" w14:textId="2928B141" w:rsidR="0029145A" w:rsidRDefault="00E515FB">
    <w:pPr>
      <w:pStyle w:val="Footer"/>
      <w:jc w:val="center"/>
    </w:pPr>
    <w:sdt>
      <w:sdtPr>
        <w:id w:val="1655175156"/>
        <w:docPartObj>
          <w:docPartGallery w:val="Page Numbers (Bottom of Page)"/>
          <w:docPartUnique/>
        </w:docPartObj>
      </w:sdtPr>
      <w:sdtEndPr>
        <w:rPr>
          <w:noProof/>
        </w:rPr>
      </w:sdtEndPr>
      <w:sdtContent>
        <w:r w:rsidR="0029145A" w:rsidRPr="00AC78C4">
          <w:rPr>
            <w:b/>
          </w:rPr>
          <w:fldChar w:fldCharType="begin"/>
        </w:r>
        <w:r w:rsidR="0029145A" w:rsidRPr="00AC78C4">
          <w:rPr>
            <w:b/>
          </w:rPr>
          <w:instrText xml:space="preserve"> PAGE   \* MERGEFORMAT </w:instrText>
        </w:r>
        <w:r w:rsidR="0029145A" w:rsidRPr="00AC78C4">
          <w:rPr>
            <w:b/>
          </w:rPr>
          <w:fldChar w:fldCharType="separate"/>
        </w:r>
        <w:r>
          <w:rPr>
            <w:b/>
            <w:noProof/>
          </w:rPr>
          <w:t>24</w:t>
        </w:r>
        <w:r w:rsidR="0029145A" w:rsidRPr="00AC78C4">
          <w:rPr>
            <w:b/>
            <w:noProof/>
          </w:rPr>
          <w:fldChar w:fldCharType="end"/>
        </w:r>
      </w:sdtContent>
    </w:sdt>
  </w:p>
  <w:p w14:paraId="3FEE3B44" w14:textId="77777777" w:rsidR="0029145A" w:rsidRPr="007C1CD9" w:rsidRDefault="0029145A" w:rsidP="00A2145A">
    <w:pP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5225" w14:textId="77777777" w:rsidR="00F73527" w:rsidRDefault="00F73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421E" w14:textId="77777777" w:rsidR="0029145A" w:rsidRDefault="0029145A" w:rsidP="00124A51">
      <w:r>
        <w:separator/>
      </w:r>
    </w:p>
    <w:p w14:paraId="1EB8554A" w14:textId="77777777" w:rsidR="0029145A" w:rsidRDefault="0029145A"/>
  </w:footnote>
  <w:footnote w:type="continuationSeparator" w:id="0">
    <w:p w14:paraId="1B001C8E" w14:textId="77777777" w:rsidR="0029145A" w:rsidRDefault="0029145A" w:rsidP="00124A51">
      <w:r>
        <w:continuationSeparator/>
      </w:r>
    </w:p>
    <w:p w14:paraId="6E54282F" w14:textId="77777777" w:rsidR="0029145A" w:rsidRDefault="0029145A"/>
  </w:footnote>
  <w:footnote w:id="1">
    <w:p w14:paraId="768565B4" w14:textId="77777777" w:rsidR="0029145A" w:rsidRPr="0048439E" w:rsidRDefault="0029145A">
      <w:pPr>
        <w:pStyle w:val="FootnoteText"/>
        <w:rPr>
          <w:rFonts w:ascii="Arial Narrow" w:hAnsi="Arial Narrow"/>
          <w:sz w:val="18"/>
          <w:szCs w:val="18"/>
        </w:rPr>
      </w:pPr>
      <w:r w:rsidRPr="0048439E">
        <w:rPr>
          <w:rStyle w:val="FootnoteReference"/>
          <w:rFonts w:ascii="Arial Narrow" w:hAnsi="Arial Narrow"/>
          <w:sz w:val="18"/>
          <w:szCs w:val="18"/>
        </w:rPr>
        <w:footnoteRef/>
      </w:r>
      <w:r w:rsidRPr="0048439E">
        <w:rPr>
          <w:rFonts w:ascii="Arial Narrow" w:hAnsi="Arial Narrow"/>
          <w:sz w:val="18"/>
          <w:szCs w:val="18"/>
        </w:rPr>
        <w:t xml:space="preserve"> </w:t>
      </w:r>
      <w:r>
        <w:rPr>
          <w:rFonts w:ascii="Arial Narrow" w:hAnsi="Arial Narrow"/>
          <w:sz w:val="18"/>
          <w:szCs w:val="18"/>
        </w:rPr>
        <w:t>While Inflectra was the IFX IV brand used in the clinical trials, IFX SC could be used after any brand of IFX IV if the SC formulation is recommended for PBS listing.</w:t>
      </w:r>
    </w:p>
  </w:footnote>
  <w:footnote w:id="2">
    <w:p w14:paraId="769B93D0" w14:textId="77777777" w:rsidR="0029145A" w:rsidRPr="0024525A" w:rsidRDefault="0029145A" w:rsidP="00754D31">
      <w:pPr>
        <w:pStyle w:val="FootnoteText"/>
        <w:jc w:val="left"/>
        <w:rPr>
          <w:rFonts w:ascii="Arial Narrow" w:hAnsi="Arial Narrow"/>
          <w:sz w:val="18"/>
          <w:szCs w:val="18"/>
        </w:rPr>
      </w:pPr>
      <w:r w:rsidRPr="0024525A">
        <w:rPr>
          <w:rStyle w:val="FootnoteReference"/>
          <w:rFonts w:ascii="Arial Narrow" w:hAnsi="Arial Narrow"/>
          <w:sz w:val="18"/>
          <w:szCs w:val="18"/>
        </w:rPr>
        <w:footnoteRef/>
      </w:r>
      <w:r w:rsidRPr="0024525A">
        <w:rPr>
          <w:rFonts w:ascii="Arial Narrow" w:hAnsi="Arial Narrow"/>
          <w:sz w:val="18"/>
          <w:szCs w:val="18"/>
        </w:rPr>
        <w:t xml:space="preserve"> Data available from Committee for Medicinal Products for Human Use (CHMP) document from the European Medicines Agency (EMA).</w:t>
      </w:r>
    </w:p>
    <w:p w14:paraId="49828248" w14:textId="77777777" w:rsidR="0029145A" w:rsidRPr="0024525A" w:rsidRDefault="00E515FB" w:rsidP="00754D31">
      <w:pPr>
        <w:pStyle w:val="FootnoteText"/>
        <w:jc w:val="left"/>
        <w:rPr>
          <w:rFonts w:ascii="Arial Narrow" w:hAnsi="Arial Narrow"/>
          <w:sz w:val="18"/>
          <w:szCs w:val="18"/>
        </w:rPr>
      </w:pPr>
      <w:hyperlink r:id="rId1" w:history="1">
        <w:r w:rsidR="0029145A" w:rsidRPr="0024525A">
          <w:rPr>
            <w:rStyle w:val="Hyperlink"/>
            <w:rFonts w:ascii="Arial Narrow" w:hAnsi="Arial Narrow"/>
            <w:sz w:val="18"/>
            <w:szCs w:val="18"/>
          </w:rPr>
          <w:t>https://www.ema.europa.eu/en/documents/variation-report/remsima-h-c-2576-ii-0082-epar-assessment-report-variation_en.pdf</w:t>
        </w:r>
      </w:hyperlink>
      <w:r w:rsidR="0029145A" w:rsidRPr="0024525A">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B554" w14:textId="77777777" w:rsidR="00F73527" w:rsidRDefault="00F73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3ADC" w14:textId="77777777" w:rsidR="0029145A" w:rsidRPr="00AC78C4" w:rsidRDefault="0029145A" w:rsidP="00AC78C4">
    <w:pPr>
      <w:tabs>
        <w:tab w:val="left" w:pos="142"/>
        <w:tab w:val="right" w:pos="9027"/>
      </w:tabs>
      <w:jc w:val="center"/>
      <w:rPr>
        <w:i/>
      </w:rPr>
    </w:pPr>
    <w:r>
      <w:rPr>
        <w:i/>
      </w:rPr>
      <w:t>Public Summary Document – November 2020 PBAC Meeting</w:t>
    </w:r>
  </w:p>
  <w:p w14:paraId="65E9D5D2" w14:textId="77777777" w:rsidR="0029145A" w:rsidRDefault="0029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FAEE" w14:textId="77777777" w:rsidR="00F73527" w:rsidRDefault="00F7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865973"/>
    <w:multiLevelType w:val="multilevel"/>
    <w:tmpl w:val="AEC6860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20A17"/>
    <w:multiLevelType w:val="hybridMultilevel"/>
    <w:tmpl w:val="2EF844D8"/>
    <w:lvl w:ilvl="0" w:tplc="0C090001">
      <w:start w:val="1"/>
      <w:numFmt w:val="bullet"/>
      <w:lvlText w:val=""/>
      <w:lvlJc w:val="left"/>
      <w:pPr>
        <w:ind w:left="720" w:hanging="360"/>
      </w:pPr>
      <w:rPr>
        <w:rFonts w:ascii="Symbol" w:hAnsi="Symbol" w:hint="default"/>
      </w:rPr>
    </w:lvl>
    <w:lvl w:ilvl="1" w:tplc="E23CC3FC">
      <w:start w:val="3"/>
      <w:numFmt w:val="bullet"/>
      <w:lvlText w:val="•"/>
      <w:lvlJc w:val="left"/>
      <w:pPr>
        <w:ind w:left="1800" w:hanging="720"/>
      </w:pPr>
      <w:rPr>
        <w:rFonts w:ascii="Arial Narrow" w:eastAsiaTheme="majorEastAsia" w:hAnsi="Arial Narrow" w:cstheme="maj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931C6"/>
    <w:multiLevelType w:val="hybridMultilevel"/>
    <w:tmpl w:val="893A1050"/>
    <w:lvl w:ilvl="0" w:tplc="0FA81322">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857DD"/>
    <w:multiLevelType w:val="hybridMultilevel"/>
    <w:tmpl w:val="63B0C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14EFD"/>
    <w:multiLevelType w:val="hybridMultilevel"/>
    <w:tmpl w:val="EAB6DD7A"/>
    <w:lvl w:ilvl="0" w:tplc="0DF84680">
      <w:start w:val="1"/>
      <w:numFmt w:val="bullet"/>
      <w:lvlText w:val="•"/>
      <w:lvlJc w:val="left"/>
      <w:pPr>
        <w:tabs>
          <w:tab w:val="num" w:pos="720"/>
        </w:tabs>
        <w:ind w:left="720" w:hanging="360"/>
      </w:pPr>
      <w:rPr>
        <w:rFonts w:ascii="Arial" w:hAnsi="Arial" w:hint="default"/>
      </w:rPr>
    </w:lvl>
    <w:lvl w:ilvl="1" w:tplc="EDEE4288" w:tentative="1">
      <w:start w:val="1"/>
      <w:numFmt w:val="bullet"/>
      <w:lvlText w:val="•"/>
      <w:lvlJc w:val="left"/>
      <w:pPr>
        <w:tabs>
          <w:tab w:val="num" w:pos="1440"/>
        </w:tabs>
        <w:ind w:left="1440" w:hanging="360"/>
      </w:pPr>
      <w:rPr>
        <w:rFonts w:ascii="Arial" w:hAnsi="Arial" w:hint="default"/>
      </w:rPr>
    </w:lvl>
    <w:lvl w:ilvl="2" w:tplc="E32E1680" w:tentative="1">
      <w:start w:val="1"/>
      <w:numFmt w:val="bullet"/>
      <w:lvlText w:val="•"/>
      <w:lvlJc w:val="left"/>
      <w:pPr>
        <w:tabs>
          <w:tab w:val="num" w:pos="2160"/>
        </w:tabs>
        <w:ind w:left="2160" w:hanging="360"/>
      </w:pPr>
      <w:rPr>
        <w:rFonts w:ascii="Arial" w:hAnsi="Arial" w:hint="default"/>
      </w:rPr>
    </w:lvl>
    <w:lvl w:ilvl="3" w:tplc="7B607800" w:tentative="1">
      <w:start w:val="1"/>
      <w:numFmt w:val="bullet"/>
      <w:lvlText w:val="•"/>
      <w:lvlJc w:val="left"/>
      <w:pPr>
        <w:tabs>
          <w:tab w:val="num" w:pos="2880"/>
        </w:tabs>
        <w:ind w:left="2880" w:hanging="360"/>
      </w:pPr>
      <w:rPr>
        <w:rFonts w:ascii="Arial" w:hAnsi="Arial" w:hint="default"/>
      </w:rPr>
    </w:lvl>
    <w:lvl w:ilvl="4" w:tplc="399A5574" w:tentative="1">
      <w:start w:val="1"/>
      <w:numFmt w:val="bullet"/>
      <w:lvlText w:val="•"/>
      <w:lvlJc w:val="left"/>
      <w:pPr>
        <w:tabs>
          <w:tab w:val="num" w:pos="3600"/>
        </w:tabs>
        <w:ind w:left="3600" w:hanging="360"/>
      </w:pPr>
      <w:rPr>
        <w:rFonts w:ascii="Arial" w:hAnsi="Arial" w:hint="default"/>
      </w:rPr>
    </w:lvl>
    <w:lvl w:ilvl="5" w:tplc="B0BEFD90" w:tentative="1">
      <w:start w:val="1"/>
      <w:numFmt w:val="bullet"/>
      <w:lvlText w:val="•"/>
      <w:lvlJc w:val="left"/>
      <w:pPr>
        <w:tabs>
          <w:tab w:val="num" w:pos="4320"/>
        </w:tabs>
        <w:ind w:left="4320" w:hanging="360"/>
      </w:pPr>
      <w:rPr>
        <w:rFonts w:ascii="Arial" w:hAnsi="Arial" w:hint="default"/>
      </w:rPr>
    </w:lvl>
    <w:lvl w:ilvl="6" w:tplc="27D8D59C" w:tentative="1">
      <w:start w:val="1"/>
      <w:numFmt w:val="bullet"/>
      <w:lvlText w:val="•"/>
      <w:lvlJc w:val="left"/>
      <w:pPr>
        <w:tabs>
          <w:tab w:val="num" w:pos="5040"/>
        </w:tabs>
        <w:ind w:left="5040" w:hanging="360"/>
      </w:pPr>
      <w:rPr>
        <w:rFonts w:ascii="Arial" w:hAnsi="Arial" w:hint="default"/>
      </w:rPr>
    </w:lvl>
    <w:lvl w:ilvl="7" w:tplc="39AE3F52" w:tentative="1">
      <w:start w:val="1"/>
      <w:numFmt w:val="bullet"/>
      <w:lvlText w:val="•"/>
      <w:lvlJc w:val="left"/>
      <w:pPr>
        <w:tabs>
          <w:tab w:val="num" w:pos="5760"/>
        </w:tabs>
        <w:ind w:left="5760" w:hanging="360"/>
      </w:pPr>
      <w:rPr>
        <w:rFonts w:ascii="Arial" w:hAnsi="Arial" w:hint="default"/>
      </w:rPr>
    </w:lvl>
    <w:lvl w:ilvl="8" w:tplc="B1D261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EC558B"/>
    <w:multiLevelType w:val="multilevel"/>
    <w:tmpl w:val="F1C0163A"/>
    <w:lvl w:ilvl="0">
      <w:start w:val="1"/>
      <w:numFmt w:val="decimal"/>
      <w:lvlText w:val="%1"/>
      <w:lvlJc w:val="left"/>
      <w:pPr>
        <w:ind w:left="720" w:hanging="720"/>
      </w:pPr>
      <w:rPr>
        <w:rFonts w:hint="default"/>
        <w:b/>
      </w:rPr>
    </w:lvl>
    <w:lvl w:ilvl="1">
      <w:numFmt w:val="bullet"/>
      <w:lvlText w:val="-"/>
      <w:lvlJc w:val="left"/>
      <w:pPr>
        <w:ind w:left="720" w:hanging="720"/>
      </w:pPr>
      <w:rPr>
        <w:rFonts w:ascii="Calibri" w:eastAsiaTheme="minorHAnsi" w:hAnsi="Calibri" w:cstheme="minorBid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numFmt w:val="bullet"/>
      <w:lvlText w:val="-"/>
      <w:lvlJc w:val="left"/>
      <w:pPr>
        <w:ind w:left="1080" w:hanging="1080"/>
      </w:pPr>
      <w:rPr>
        <w:rFonts w:ascii="Calibri" w:eastAsiaTheme="minorHAnsi" w:hAnsi="Calibri" w:cstheme="minorBid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B772C"/>
    <w:multiLevelType w:val="hybridMultilevel"/>
    <w:tmpl w:val="6584EEA2"/>
    <w:lvl w:ilvl="0" w:tplc="829AE284">
      <w:start w:val="1"/>
      <w:numFmt w:val="bullet"/>
      <w:lvlText w:val="•"/>
      <w:lvlJc w:val="left"/>
      <w:pPr>
        <w:tabs>
          <w:tab w:val="num" w:pos="720"/>
        </w:tabs>
        <w:ind w:left="720" w:hanging="360"/>
      </w:pPr>
      <w:rPr>
        <w:rFonts w:ascii="Arial" w:hAnsi="Arial" w:hint="default"/>
      </w:rPr>
    </w:lvl>
    <w:lvl w:ilvl="1" w:tplc="76FAEA34" w:tentative="1">
      <w:start w:val="1"/>
      <w:numFmt w:val="bullet"/>
      <w:lvlText w:val="•"/>
      <w:lvlJc w:val="left"/>
      <w:pPr>
        <w:tabs>
          <w:tab w:val="num" w:pos="1440"/>
        </w:tabs>
        <w:ind w:left="1440" w:hanging="360"/>
      </w:pPr>
      <w:rPr>
        <w:rFonts w:ascii="Arial" w:hAnsi="Arial" w:hint="default"/>
      </w:rPr>
    </w:lvl>
    <w:lvl w:ilvl="2" w:tplc="89621254" w:tentative="1">
      <w:start w:val="1"/>
      <w:numFmt w:val="bullet"/>
      <w:lvlText w:val="•"/>
      <w:lvlJc w:val="left"/>
      <w:pPr>
        <w:tabs>
          <w:tab w:val="num" w:pos="2160"/>
        </w:tabs>
        <w:ind w:left="2160" w:hanging="360"/>
      </w:pPr>
      <w:rPr>
        <w:rFonts w:ascii="Arial" w:hAnsi="Arial" w:hint="default"/>
      </w:rPr>
    </w:lvl>
    <w:lvl w:ilvl="3" w:tplc="7062DD24" w:tentative="1">
      <w:start w:val="1"/>
      <w:numFmt w:val="bullet"/>
      <w:lvlText w:val="•"/>
      <w:lvlJc w:val="left"/>
      <w:pPr>
        <w:tabs>
          <w:tab w:val="num" w:pos="2880"/>
        </w:tabs>
        <w:ind w:left="2880" w:hanging="360"/>
      </w:pPr>
      <w:rPr>
        <w:rFonts w:ascii="Arial" w:hAnsi="Arial" w:hint="default"/>
      </w:rPr>
    </w:lvl>
    <w:lvl w:ilvl="4" w:tplc="6E205846" w:tentative="1">
      <w:start w:val="1"/>
      <w:numFmt w:val="bullet"/>
      <w:lvlText w:val="•"/>
      <w:lvlJc w:val="left"/>
      <w:pPr>
        <w:tabs>
          <w:tab w:val="num" w:pos="3600"/>
        </w:tabs>
        <w:ind w:left="3600" w:hanging="360"/>
      </w:pPr>
      <w:rPr>
        <w:rFonts w:ascii="Arial" w:hAnsi="Arial" w:hint="default"/>
      </w:rPr>
    </w:lvl>
    <w:lvl w:ilvl="5" w:tplc="CB7E26F2" w:tentative="1">
      <w:start w:val="1"/>
      <w:numFmt w:val="bullet"/>
      <w:lvlText w:val="•"/>
      <w:lvlJc w:val="left"/>
      <w:pPr>
        <w:tabs>
          <w:tab w:val="num" w:pos="4320"/>
        </w:tabs>
        <w:ind w:left="4320" w:hanging="360"/>
      </w:pPr>
      <w:rPr>
        <w:rFonts w:ascii="Arial" w:hAnsi="Arial" w:hint="default"/>
      </w:rPr>
    </w:lvl>
    <w:lvl w:ilvl="6" w:tplc="65EA4214" w:tentative="1">
      <w:start w:val="1"/>
      <w:numFmt w:val="bullet"/>
      <w:lvlText w:val="•"/>
      <w:lvlJc w:val="left"/>
      <w:pPr>
        <w:tabs>
          <w:tab w:val="num" w:pos="5040"/>
        </w:tabs>
        <w:ind w:left="5040" w:hanging="360"/>
      </w:pPr>
      <w:rPr>
        <w:rFonts w:ascii="Arial" w:hAnsi="Arial" w:hint="default"/>
      </w:rPr>
    </w:lvl>
    <w:lvl w:ilvl="7" w:tplc="77765AD6" w:tentative="1">
      <w:start w:val="1"/>
      <w:numFmt w:val="bullet"/>
      <w:lvlText w:val="•"/>
      <w:lvlJc w:val="left"/>
      <w:pPr>
        <w:tabs>
          <w:tab w:val="num" w:pos="5760"/>
        </w:tabs>
        <w:ind w:left="5760" w:hanging="360"/>
      </w:pPr>
      <w:rPr>
        <w:rFonts w:ascii="Arial" w:hAnsi="Arial" w:hint="default"/>
      </w:rPr>
    </w:lvl>
    <w:lvl w:ilvl="8" w:tplc="4118AF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219F8"/>
    <w:multiLevelType w:val="hybridMultilevel"/>
    <w:tmpl w:val="F46ED278"/>
    <w:lvl w:ilvl="0" w:tplc="0C090001">
      <w:start w:val="1"/>
      <w:numFmt w:val="bullet"/>
      <w:lvlText w:val=""/>
      <w:lvlJc w:val="left"/>
      <w:pPr>
        <w:ind w:left="720" w:hanging="360"/>
      </w:pPr>
      <w:rPr>
        <w:rFonts w:ascii="Symbol" w:hAnsi="Symbol" w:hint="default"/>
      </w:rPr>
    </w:lvl>
    <w:lvl w:ilvl="1" w:tplc="6254C846">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515453"/>
    <w:multiLevelType w:val="hybridMultilevel"/>
    <w:tmpl w:val="7278E1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15C6F"/>
    <w:multiLevelType w:val="hybridMultilevel"/>
    <w:tmpl w:val="3D3C95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B77F0"/>
    <w:multiLevelType w:val="hybridMultilevel"/>
    <w:tmpl w:val="FB00EA3A"/>
    <w:lvl w:ilvl="0" w:tplc="3B6045A2">
      <w:start w:val="1"/>
      <w:numFmt w:val="bullet"/>
      <w:lvlText w:val="•"/>
      <w:lvlJc w:val="left"/>
      <w:pPr>
        <w:tabs>
          <w:tab w:val="num" w:pos="720"/>
        </w:tabs>
        <w:ind w:left="720" w:hanging="360"/>
      </w:pPr>
      <w:rPr>
        <w:rFonts w:ascii="Arial" w:hAnsi="Arial" w:hint="default"/>
      </w:rPr>
    </w:lvl>
    <w:lvl w:ilvl="1" w:tplc="CB94A318" w:tentative="1">
      <w:start w:val="1"/>
      <w:numFmt w:val="bullet"/>
      <w:lvlText w:val="•"/>
      <w:lvlJc w:val="left"/>
      <w:pPr>
        <w:tabs>
          <w:tab w:val="num" w:pos="1440"/>
        </w:tabs>
        <w:ind w:left="1440" w:hanging="360"/>
      </w:pPr>
      <w:rPr>
        <w:rFonts w:ascii="Arial" w:hAnsi="Arial" w:hint="default"/>
      </w:rPr>
    </w:lvl>
    <w:lvl w:ilvl="2" w:tplc="3BB26FAA" w:tentative="1">
      <w:start w:val="1"/>
      <w:numFmt w:val="bullet"/>
      <w:lvlText w:val="•"/>
      <w:lvlJc w:val="left"/>
      <w:pPr>
        <w:tabs>
          <w:tab w:val="num" w:pos="2160"/>
        </w:tabs>
        <w:ind w:left="2160" w:hanging="360"/>
      </w:pPr>
      <w:rPr>
        <w:rFonts w:ascii="Arial" w:hAnsi="Arial" w:hint="default"/>
      </w:rPr>
    </w:lvl>
    <w:lvl w:ilvl="3" w:tplc="442E2F6C" w:tentative="1">
      <w:start w:val="1"/>
      <w:numFmt w:val="bullet"/>
      <w:lvlText w:val="•"/>
      <w:lvlJc w:val="left"/>
      <w:pPr>
        <w:tabs>
          <w:tab w:val="num" w:pos="2880"/>
        </w:tabs>
        <w:ind w:left="2880" w:hanging="360"/>
      </w:pPr>
      <w:rPr>
        <w:rFonts w:ascii="Arial" w:hAnsi="Arial" w:hint="default"/>
      </w:rPr>
    </w:lvl>
    <w:lvl w:ilvl="4" w:tplc="A00C8710" w:tentative="1">
      <w:start w:val="1"/>
      <w:numFmt w:val="bullet"/>
      <w:lvlText w:val="•"/>
      <w:lvlJc w:val="left"/>
      <w:pPr>
        <w:tabs>
          <w:tab w:val="num" w:pos="3600"/>
        </w:tabs>
        <w:ind w:left="3600" w:hanging="360"/>
      </w:pPr>
      <w:rPr>
        <w:rFonts w:ascii="Arial" w:hAnsi="Arial" w:hint="default"/>
      </w:rPr>
    </w:lvl>
    <w:lvl w:ilvl="5" w:tplc="F2E6F874" w:tentative="1">
      <w:start w:val="1"/>
      <w:numFmt w:val="bullet"/>
      <w:lvlText w:val="•"/>
      <w:lvlJc w:val="left"/>
      <w:pPr>
        <w:tabs>
          <w:tab w:val="num" w:pos="4320"/>
        </w:tabs>
        <w:ind w:left="4320" w:hanging="360"/>
      </w:pPr>
      <w:rPr>
        <w:rFonts w:ascii="Arial" w:hAnsi="Arial" w:hint="default"/>
      </w:rPr>
    </w:lvl>
    <w:lvl w:ilvl="6" w:tplc="FF3E9700" w:tentative="1">
      <w:start w:val="1"/>
      <w:numFmt w:val="bullet"/>
      <w:lvlText w:val="•"/>
      <w:lvlJc w:val="left"/>
      <w:pPr>
        <w:tabs>
          <w:tab w:val="num" w:pos="5040"/>
        </w:tabs>
        <w:ind w:left="5040" w:hanging="360"/>
      </w:pPr>
      <w:rPr>
        <w:rFonts w:ascii="Arial" w:hAnsi="Arial" w:hint="default"/>
      </w:rPr>
    </w:lvl>
    <w:lvl w:ilvl="7" w:tplc="5E0C7F68" w:tentative="1">
      <w:start w:val="1"/>
      <w:numFmt w:val="bullet"/>
      <w:lvlText w:val="•"/>
      <w:lvlJc w:val="left"/>
      <w:pPr>
        <w:tabs>
          <w:tab w:val="num" w:pos="5760"/>
        </w:tabs>
        <w:ind w:left="5760" w:hanging="360"/>
      </w:pPr>
      <w:rPr>
        <w:rFonts w:ascii="Arial" w:hAnsi="Arial" w:hint="default"/>
      </w:rPr>
    </w:lvl>
    <w:lvl w:ilvl="8" w:tplc="1B4EF9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2475FF"/>
    <w:multiLevelType w:val="hybridMultilevel"/>
    <w:tmpl w:val="3508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676A1"/>
    <w:multiLevelType w:val="hybridMultilevel"/>
    <w:tmpl w:val="9348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F10E83"/>
    <w:multiLevelType w:val="hybridMultilevel"/>
    <w:tmpl w:val="BF4C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93B30"/>
    <w:multiLevelType w:val="hybridMultilevel"/>
    <w:tmpl w:val="2BCE0CCE"/>
    <w:lvl w:ilvl="0" w:tplc="7372701C">
      <w:start w:val="1"/>
      <w:numFmt w:val="decimal"/>
      <w:lvlText w:val="%1."/>
      <w:lvlJc w:val="left"/>
      <w:pPr>
        <w:ind w:left="1440" w:hanging="360"/>
      </w:pPr>
      <w:rPr>
        <w:color w:val="000000" w:themeColor="text1"/>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9720D7B"/>
    <w:multiLevelType w:val="hybridMultilevel"/>
    <w:tmpl w:val="9D649F4C"/>
    <w:lvl w:ilvl="0" w:tplc="A8EE4876">
      <w:start w:val="1"/>
      <w:numFmt w:val="bullet"/>
      <w:lvlText w:val="•"/>
      <w:lvlJc w:val="left"/>
      <w:pPr>
        <w:tabs>
          <w:tab w:val="num" w:pos="720"/>
        </w:tabs>
        <w:ind w:left="720" w:hanging="360"/>
      </w:pPr>
      <w:rPr>
        <w:rFonts w:ascii="Arial" w:hAnsi="Arial" w:hint="default"/>
      </w:rPr>
    </w:lvl>
    <w:lvl w:ilvl="1" w:tplc="5B3C7D2C" w:tentative="1">
      <w:start w:val="1"/>
      <w:numFmt w:val="bullet"/>
      <w:lvlText w:val="•"/>
      <w:lvlJc w:val="left"/>
      <w:pPr>
        <w:tabs>
          <w:tab w:val="num" w:pos="1440"/>
        </w:tabs>
        <w:ind w:left="1440" w:hanging="360"/>
      </w:pPr>
      <w:rPr>
        <w:rFonts w:ascii="Arial" w:hAnsi="Arial" w:hint="default"/>
      </w:rPr>
    </w:lvl>
    <w:lvl w:ilvl="2" w:tplc="A2EE1984" w:tentative="1">
      <w:start w:val="1"/>
      <w:numFmt w:val="bullet"/>
      <w:lvlText w:val="•"/>
      <w:lvlJc w:val="left"/>
      <w:pPr>
        <w:tabs>
          <w:tab w:val="num" w:pos="2160"/>
        </w:tabs>
        <w:ind w:left="2160" w:hanging="360"/>
      </w:pPr>
      <w:rPr>
        <w:rFonts w:ascii="Arial" w:hAnsi="Arial" w:hint="default"/>
      </w:rPr>
    </w:lvl>
    <w:lvl w:ilvl="3" w:tplc="49B63206" w:tentative="1">
      <w:start w:val="1"/>
      <w:numFmt w:val="bullet"/>
      <w:lvlText w:val="•"/>
      <w:lvlJc w:val="left"/>
      <w:pPr>
        <w:tabs>
          <w:tab w:val="num" w:pos="2880"/>
        </w:tabs>
        <w:ind w:left="2880" w:hanging="360"/>
      </w:pPr>
      <w:rPr>
        <w:rFonts w:ascii="Arial" w:hAnsi="Arial" w:hint="default"/>
      </w:rPr>
    </w:lvl>
    <w:lvl w:ilvl="4" w:tplc="98E05C76" w:tentative="1">
      <w:start w:val="1"/>
      <w:numFmt w:val="bullet"/>
      <w:lvlText w:val="•"/>
      <w:lvlJc w:val="left"/>
      <w:pPr>
        <w:tabs>
          <w:tab w:val="num" w:pos="3600"/>
        </w:tabs>
        <w:ind w:left="3600" w:hanging="360"/>
      </w:pPr>
      <w:rPr>
        <w:rFonts w:ascii="Arial" w:hAnsi="Arial" w:hint="default"/>
      </w:rPr>
    </w:lvl>
    <w:lvl w:ilvl="5" w:tplc="84A41638" w:tentative="1">
      <w:start w:val="1"/>
      <w:numFmt w:val="bullet"/>
      <w:lvlText w:val="•"/>
      <w:lvlJc w:val="left"/>
      <w:pPr>
        <w:tabs>
          <w:tab w:val="num" w:pos="4320"/>
        </w:tabs>
        <w:ind w:left="4320" w:hanging="360"/>
      </w:pPr>
      <w:rPr>
        <w:rFonts w:ascii="Arial" w:hAnsi="Arial" w:hint="default"/>
      </w:rPr>
    </w:lvl>
    <w:lvl w:ilvl="6" w:tplc="E6282EC8" w:tentative="1">
      <w:start w:val="1"/>
      <w:numFmt w:val="bullet"/>
      <w:lvlText w:val="•"/>
      <w:lvlJc w:val="left"/>
      <w:pPr>
        <w:tabs>
          <w:tab w:val="num" w:pos="5040"/>
        </w:tabs>
        <w:ind w:left="5040" w:hanging="360"/>
      </w:pPr>
      <w:rPr>
        <w:rFonts w:ascii="Arial" w:hAnsi="Arial" w:hint="default"/>
      </w:rPr>
    </w:lvl>
    <w:lvl w:ilvl="7" w:tplc="1138FA0E" w:tentative="1">
      <w:start w:val="1"/>
      <w:numFmt w:val="bullet"/>
      <w:lvlText w:val="•"/>
      <w:lvlJc w:val="left"/>
      <w:pPr>
        <w:tabs>
          <w:tab w:val="num" w:pos="5760"/>
        </w:tabs>
        <w:ind w:left="5760" w:hanging="360"/>
      </w:pPr>
      <w:rPr>
        <w:rFonts w:ascii="Arial" w:hAnsi="Arial" w:hint="default"/>
      </w:rPr>
    </w:lvl>
    <w:lvl w:ilvl="8" w:tplc="879876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946178"/>
    <w:multiLevelType w:val="hybridMultilevel"/>
    <w:tmpl w:val="04D83CD6"/>
    <w:lvl w:ilvl="0" w:tplc="3202CB8E">
      <w:start w:val="1"/>
      <w:numFmt w:val="bullet"/>
      <w:lvlText w:val="•"/>
      <w:lvlJc w:val="left"/>
      <w:pPr>
        <w:tabs>
          <w:tab w:val="num" w:pos="720"/>
        </w:tabs>
        <w:ind w:left="720" w:hanging="360"/>
      </w:pPr>
      <w:rPr>
        <w:rFonts w:ascii="Arial" w:hAnsi="Arial" w:hint="default"/>
      </w:rPr>
    </w:lvl>
    <w:lvl w:ilvl="1" w:tplc="AB6CF9E0" w:tentative="1">
      <w:start w:val="1"/>
      <w:numFmt w:val="bullet"/>
      <w:lvlText w:val="•"/>
      <w:lvlJc w:val="left"/>
      <w:pPr>
        <w:tabs>
          <w:tab w:val="num" w:pos="1440"/>
        </w:tabs>
        <w:ind w:left="1440" w:hanging="360"/>
      </w:pPr>
      <w:rPr>
        <w:rFonts w:ascii="Arial" w:hAnsi="Arial" w:hint="default"/>
      </w:rPr>
    </w:lvl>
    <w:lvl w:ilvl="2" w:tplc="8FCCEC38" w:tentative="1">
      <w:start w:val="1"/>
      <w:numFmt w:val="bullet"/>
      <w:lvlText w:val="•"/>
      <w:lvlJc w:val="left"/>
      <w:pPr>
        <w:tabs>
          <w:tab w:val="num" w:pos="2160"/>
        </w:tabs>
        <w:ind w:left="2160" w:hanging="360"/>
      </w:pPr>
      <w:rPr>
        <w:rFonts w:ascii="Arial" w:hAnsi="Arial" w:hint="default"/>
      </w:rPr>
    </w:lvl>
    <w:lvl w:ilvl="3" w:tplc="E7E25926" w:tentative="1">
      <w:start w:val="1"/>
      <w:numFmt w:val="bullet"/>
      <w:lvlText w:val="•"/>
      <w:lvlJc w:val="left"/>
      <w:pPr>
        <w:tabs>
          <w:tab w:val="num" w:pos="2880"/>
        </w:tabs>
        <w:ind w:left="2880" w:hanging="360"/>
      </w:pPr>
      <w:rPr>
        <w:rFonts w:ascii="Arial" w:hAnsi="Arial" w:hint="default"/>
      </w:rPr>
    </w:lvl>
    <w:lvl w:ilvl="4" w:tplc="903CC572" w:tentative="1">
      <w:start w:val="1"/>
      <w:numFmt w:val="bullet"/>
      <w:lvlText w:val="•"/>
      <w:lvlJc w:val="left"/>
      <w:pPr>
        <w:tabs>
          <w:tab w:val="num" w:pos="3600"/>
        </w:tabs>
        <w:ind w:left="3600" w:hanging="360"/>
      </w:pPr>
      <w:rPr>
        <w:rFonts w:ascii="Arial" w:hAnsi="Arial" w:hint="default"/>
      </w:rPr>
    </w:lvl>
    <w:lvl w:ilvl="5" w:tplc="5CCC9434" w:tentative="1">
      <w:start w:val="1"/>
      <w:numFmt w:val="bullet"/>
      <w:lvlText w:val="•"/>
      <w:lvlJc w:val="left"/>
      <w:pPr>
        <w:tabs>
          <w:tab w:val="num" w:pos="4320"/>
        </w:tabs>
        <w:ind w:left="4320" w:hanging="360"/>
      </w:pPr>
      <w:rPr>
        <w:rFonts w:ascii="Arial" w:hAnsi="Arial" w:hint="default"/>
      </w:rPr>
    </w:lvl>
    <w:lvl w:ilvl="6" w:tplc="2D5A258E" w:tentative="1">
      <w:start w:val="1"/>
      <w:numFmt w:val="bullet"/>
      <w:lvlText w:val="•"/>
      <w:lvlJc w:val="left"/>
      <w:pPr>
        <w:tabs>
          <w:tab w:val="num" w:pos="5040"/>
        </w:tabs>
        <w:ind w:left="5040" w:hanging="360"/>
      </w:pPr>
      <w:rPr>
        <w:rFonts w:ascii="Arial" w:hAnsi="Arial" w:hint="default"/>
      </w:rPr>
    </w:lvl>
    <w:lvl w:ilvl="7" w:tplc="2376E464" w:tentative="1">
      <w:start w:val="1"/>
      <w:numFmt w:val="bullet"/>
      <w:lvlText w:val="•"/>
      <w:lvlJc w:val="left"/>
      <w:pPr>
        <w:tabs>
          <w:tab w:val="num" w:pos="5760"/>
        </w:tabs>
        <w:ind w:left="5760" w:hanging="360"/>
      </w:pPr>
      <w:rPr>
        <w:rFonts w:ascii="Arial" w:hAnsi="Arial" w:hint="default"/>
      </w:rPr>
    </w:lvl>
    <w:lvl w:ilvl="8" w:tplc="5D863E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411990"/>
    <w:multiLevelType w:val="hybridMultilevel"/>
    <w:tmpl w:val="ADDC3E8E"/>
    <w:lvl w:ilvl="0" w:tplc="6058A82A">
      <w:start w:val="1"/>
      <w:numFmt w:val="bullet"/>
      <w:lvlText w:val="•"/>
      <w:lvlJc w:val="left"/>
      <w:pPr>
        <w:tabs>
          <w:tab w:val="num" w:pos="720"/>
        </w:tabs>
        <w:ind w:left="720" w:hanging="360"/>
      </w:pPr>
      <w:rPr>
        <w:rFonts w:ascii="Arial" w:hAnsi="Arial" w:hint="default"/>
      </w:rPr>
    </w:lvl>
    <w:lvl w:ilvl="1" w:tplc="F10C06FE" w:tentative="1">
      <w:start w:val="1"/>
      <w:numFmt w:val="bullet"/>
      <w:lvlText w:val="•"/>
      <w:lvlJc w:val="left"/>
      <w:pPr>
        <w:tabs>
          <w:tab w:val="num" w:pos="1440"/>
        </w:tabs>
        <w:ind w:left="1440" w:hanging="360"/>
      </w:pPr>
      <w:rPr>
        <w:rFonts w:ascii="Arial" w:hAnsi="Arial" w:hint="default"/>
      </w:rPr>
    </w:lvl>
    <w:lvl w:ilvl="2" w:tplc="9BD0E072" w:tentative="1">
      <w:start w:val="1"/>
      <w:numFmt w:val="bullet"/>
      <w:lvlText w:val="•"/>
      <w:lvlJc w:val="left"/>
      <w:pPr>
        <w:tabs>
          <w:tab w:val="num" w:pos="2160"/>
        </w:tabs>
        <w:ind w:left="2160" w:hanging="360"/>
      </w:pPr>
      <w:rPr>
        <w:rFonts w:ascii="Arial" w:hAnsi="Arial" w:hint="default"/>
      </w:rPr>
    </w:lvl>
    <w:lvl w:ilvl="3" w:tplc="089EEE7C" w:tentative="1">
      <w:start w:val="1"/>
      <w:numFmt w:val="bullet"/>
      <w:lvlText w:val="•"/>
      <w:lvlJc w:val="left"/>
      <w:pPr>
        <w:tabs>
          <w:tab w:val="num" w:pos="2880"/>
        </w:tabs>
        <w:ind w:left="2880" w:hanging="360"/>
      </w:pPr>
      <w:rPr>
        <w:rFonts w:ascii="Arial" w:hAnsi="Arial" w:hint="default"/>
      </w:rPr>
    </w:lvl>
    <w:lvl w:ilvl="4" w:tplc="ABC64A76" w:tentative="1">
      <w:start w:val="1"/>
      <w:numFmt w:val="bullet"/>
      <w:lvlText w:val="•"/>
      <w:lvlJc w:val="left"/>
      <w:pPr>
        <w:tabs>
          <w:tab w:val="num" w:pos="3600"/>
        </w:tabs>
        <w:ind w:left="3600" w:hanging="360"/>
      </w:pPr>
      <w:rPr>
        <w:rFonts w:ascii="Arial" w:hAnsi="Arial" w:hint="default"/>
      </w:rPr>
    </w:lvl>
    <w:lvl w:ilvl="5" w:tplc="0FFEF9D2" w:tentative="1">
      <w:start w:val="1"/>
      <w:numFmt w:val="bullet"/>
      <w:lvlText w:val="•"/>
      <w:lvlJc w:val="left"/>
      <w:pPr>
        <w:tabs>
          <w:tab w:val="num" w:pos="4320"/>
        </w:tabs>
        <w:ind w:left="4320" w:hanging="360"/>
      </w:pPr>
      <w:rPr>
        <w:rFonts w:ascii="Arial" w:hAnsi="Arial" w:hint="default"/>
      </w:rPr>
    </w:lvl>
    <w:lvl w:ilvl="6" w:tplc="8F8C593C" w:tentative="1">
      <w:start w:val="1"/>
      <w:numFmt w:val="bullet"/>
      <w:lvlText w:val="•"/>
      <w:lvlJc w:val="left"/>
      <w:pPr>
        <w:tabs>
          <w:tab w:val="num" w:pos="5040"/>
        </w:tabs>
        <w:ind w:left="5040" w:hanging="360"/>
      </w:pPr>
      <w:rPr>
        <w:rFonts w:ascii="Arial" w:hAnsi="Arial" w:hint="default"/>
      </w:rPr>
    </w:lvl>
    <w:lvl w:ilvl="7" w:tplc="B7B643C2" w:tentative="1">
      <w:start w:val="1"/>
      <w:numFmt w:val="bullet"/>
      <w:lvlText w:val="•"/>
      <w:lvlJc w:val="left"/>
      <w:pPr>
        <w:tabs>
          <w:tab w:val="num" w:pos="5760"/>
        </w:tabs>
        <w:ind w:left="5760" w:hanging="360"/>
      </w:pPr>
      <w:rPr>
        <w:rFonts w:ascii="Arial" w:hAnsi="Arial" w:hint="default"/>
      </w:rPr>
    </w:lvl>
    <w:lvl w:ilvl="8" w:tplc="BA969D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E27C59"/>
    <w:multiLevelType w:val="hybridMultilevel"/>
    <w:tmpl w:val="8D64D4AE"/>
    <w:lvl w:ilvl="0" w:tplc="0409000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5"/>
  </w:num>
  <w:num w:numId="4">
    <w:abstractNumId w:val="10"/>
  </w:num>
  <w:num w:numId="5">
    <w:abstractNumId w:val="14"/>
  </w:num>
  <w:num w:numId="6">
    <w:abstractNumId w:val="2"/>
  </w:num>
  <w:num w:numId="7">
    <w:abstractNumId w:val="28"/>
  </w:num>
  <w:num w:numId="8">
    <w:abstractNumId w:val="19"/>
  </w:num>
  <w:num w:numId="9">
    <w:abstractNumId w:val="5"/>
  </w:num>
  <w:num w:numId="10">
    <w:abstractNumId w:val="8"/>
  </w:num>
  <w:num w:numId="11">
    <w:abstractNumId w:val="1"/>
  </w:num>
  <w:num w:numId="12">
    <w:abstractNumId w:val="12"/>
  </w:num>
  <w:num w:numId="13">
    <w:abstractNumId w:val="23"/>
  </w:num>
  <w:num w:numId="14">
    <w:abstractNumId w:val="22"/>
  </w:num>
  <w:num w:numId="15">
    <w:abstractNumId w:val="3"/>
  </w:num>
  <w:num w:numId="16">
    <w:abstractNumId w:val="21"/>
  </w:num>
  <w:num w:numId="17">
    <w:abstractNumId w:val="4"/>
  </w:num>
  <w:num w:numId="18">
    <w:abstractNumId w:val="0"/>
  </w:num>
  <w:num w:numId="19">
    <w:abstractNumId w:val="13"/>
  </w:num>
  <w:num w:numId="20">
    <w:abstractNumId w:val="15"/>
  </w:num>
  <w:num w:numId="21">
    <w:abstractNumId w:val="11"/>
  </w:num>
  <w:num w:numId="22">
    <w:abstractNumId w:val="6"/>
  </w:num>
  <w:num w:numId="23">
    <w:abstractNumId w:val="16"/>
  </w:num>
  <w:num w:numId="24">
    <w:abstractNumId w:val="18"/>
  </w:num>
  <w:num w:numId="25">
    <w:abstractNumId w:val="7"/>
  </w:num>
  <w:num w:numId="26">
    <w:abstractNumId w:val="9"/>
  </w:num>
  <w:num w:numId="27">
    <w:abstractNumId w:val="27"/>
  </w:num>
  <w:num w:numId="28">
    <w:abstractNumId w:val="24"/>
  </w:num>
  <w:num w:numId="29">
    <w:abstractNumId w:val="26"/>
  </w:num>
  <w:num w:numId="30">
    <w:abstractNumId w:val="20"/>
  </w:num>
  <w:num w:numId="31">
    <w:abstractNumId w:val="25"/>
  </w:num>
  <w:num w:numId="32">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8A"/>
    <w:rsid w:val="00000790"/>
    <w:rsid w:val="00000870"/>
    <w:rsid w:val="0000110B"/>
    <w:rsid w:val="00001F00"/>
    <w:rsid w:val="00003499"/>
    <w:rsid w:val="000039B7"/>
    <w:rsid w:val="00003E1C"/>
    <w:rsid w:val="00004A95"/>
    <w:rsid w:val="00005DC6"/>
    <w:rsid w:val="0000632B"/>
    <w:rsid w:val="0000639A"/>
    <w:rsid w:val="000067C2"/>
    <w:rsid w:val="000105B0"/>
    <w:rsid w:val="000113E1"/>
    <w:rsid w:val="00011FD1"/>
    <w:rsid w:val="00013247"/>
    <w:rsid w:val="00013EFB"/>
    <w:rsid w:val="0001474B"/>
    <w:rsid w:val="00014F4E"/>
    <w:rsid w:val="0001556A"/>
    <w:rsid w:val="00015886"/>
    <w:rsid w:val="000162B6"/>
    <w:rsid w:val="000162EF"/>
    <w:rsid w:val="00017F72"/>
    <w:rsid w:val="000207C9"/>
    <w:rsid w:val="00021022"/>
    <w:rsid w:val="000221B4"/>
    <w:rsid w:val="0002225F"/>
    <w:rsid w:val="000222A2"/>
    <w:rsid w:val="000235C5"/>
    <w:rsid w:val="00023763"/>
    <w:rsid w:val="000274B8"/>
    <w:rsid w:val="0003084F"/>
    <w:rsid w:val="00031129"/>
    <w:rsid w:val="000335F4"/>
    <w:rsid w:val="00033863"/>
    <w:rsid w:val="00035DC0"/>
    <w:rsid w:val="0003641F"/>
    <w:rsid w:val="00036829"/>
    <w:rsid w:val="000401D7"/>
    <w:rsid w:val="00040895"/>
    <w:rsid w:val="000409F3"/>
    <w:rsid w:val="00040B78"/>
    <w:rsid w:val="00040D99"/>
    <w:rsid w:val="00042DAB"/>
    <w:rsid w:val="000435EE"/>
    <w:rsid w:val="00043B30"/>
    <w:rsid w:val="00043C37"/>
    <w:rsid w:val="000443AD"/>
    <w:rsid w:val="00045017"/>
    <w:rsid w:val="00045A2B"/>
    <w:rsid w:val="0004698F"/>
    <w:rsid w:val="00050251"/>
    <w:rsid w:val="000502DB"/>
    <w:rsid w:val="0005109A"/>
    <w:rsid w:val="000539D0"/>
    <w:rsid w:val="00054621"/>
    <w:rsid w:val="000546D7"/>
    <w:rsid w:val="00055454"/>
    <w:rsid w:val="00055456"/>
    <w:rsid w:val="00056164"/>
    <w:rsid w:val="00056AD8"/>
    <w:rsid w:val="00056ECF"/>
    <w:rsid w:val="000574BC"/>
    <w:rsid w:val="000604DF"/>
    <w:rsid w:val="0006140E"/>
    <w:rsid w:val="00063AE5"/>
    <w:rsid w:val="00064060"/>
    <w:rsid w:val="0006501F"/>
    <w:rsid w:val="000653B5"/>
    <w:rsid w:val="00066360"/>
    <w:rsid w:val="00066490"/>
    <w:rsid w:val="00066687"/>
    <w:rsid w:val="00066AF8"/>
    <w:rsid w:val="00066BFD"/>
    <w:rsid w:val="00067507"/>
    <w:rsid w:val="00067E67"/>
    <w:rsid w:val="00070872"/>
    <w:rsid w:val="00071248"/>
    <w:rsid w:val="00071421"/>
    <w:rsid w:val="00071758"/>
    <w:rsid w:val="00071D33"/>
    <w:rsid w:val="00072014"/>
    <w:rsid w:val="000720B9"/>
    <w:rsid w:val="000737F7"/>
    <w:rsid w:val="000738D0"/>
    <w:rsid w:val="00073D4F"/>
    <w:rsid w:val="00073FF6"/>
    <w:rsid w:val="0007409D"/>
    <w:rsid w:val="0007414D"/>
    <w:rsid w:val="00074C69"/>
    <w:rsid w:val="0007672F"/>
    <w:rsid w:val="00076B54"/>
    <w:rsid w:val="00076F96"/>
    <w:rsid w:val="000774B5"/>
    <w:rsid w:val="000774F0"/>
    <w:rsid w:val="000806A4"/>
    <w:rsid w:val="00080909"/>
    <w:rsid w:val="000812CA"/>
    <w:rsid w:val="00081E63"/>
    <w:rsid w:val="0008258D"/>
    <w:rsid w:val="00083B54"/>
    <w:rsid w:val="00083E06"/>
    <w:rsid w:val="00083E99"/>
    <w:rsid w:val="00084FA8"/>
    <w:rsid w:val="000856C5"/>
    <w:rsid w:val="00085C31"/>
    <w:rsid w:val="000867DA"/>
    <w:rsid w:val="00086A57"/>
    <w:rsid w:val="000902D9"/>
    <w:rsid w:val="000903C6"/>
    <w:rsid w:val="000909C0"/>
    <w:rsid w:val="00090C7E"/>
    <w:rsid w:val="00090F2C"/>
    <w:rsid w:val="000912E3"/>
    <w:rsid w:val="0009155D"/>
    <w:rsid w:val="00091A2D"/>
    <w:rsid w:val="00091AD4"/>
    <w:rsid w:val="00092600"/>
    <w:rsid w:val="0009262B"/>
    <w:rsid w:val="00093310"/>
    <w:rsid w:val="0009445C"/>
    <w:rsid w:val="00094B5F"/>
    <w:rsid w:val="00095200"/>
    <w:rsid w:val="00095FE5"/>
    <w:rsid w:val="00096284"/>
    <w:rsid w:val="000966F2"/>
    <w:rsid w:val="0009749A"/>
    <w:rsid w:val="00097652"/>
    <w:rsid w:val="000A05E8"/>
    <w:rsid w:val="000A0942"/>
    <w:rsid w:val="000A117B"/>
    <w:rsid w:val="000A1BC0"/>
    <w:rsid w:val="000A1D65"/>
    <w:rsid w:val="000A31D7"/>
    <w:rsid w:val="000A4131"/>
    <w:rsid w:val="000A6039"/>
    <w:rsid w:val="000A60DA"/>
    <w:rsid w:val="000A6F01"/>
    <w:rsid w:val="000A7453"/>
    <w:rsid w:val="000A7A2A"/>
    <w:rsid w:val="000A7D08"/>
    <w:rsid w:val="000B0121"/>
    <w:rsid w:val="000B0670"/>
    <w:rsid w:val="000B0C55"/>
    <w:rsid w:val="000B0E75"/>
    <w:rsid w:val="000B157E"/>
    <w:rsid w:val="000B2DCB"/>
    <w:rsid w:val="000B4277"/>
    <w:rsid w:val="000B5703"/>
    <w:rsid w:val="000B5CE0"/>
    <w:rsid w:val="000B6AEC"/>
    <w:rsid w:val="000B6CAC"/>
    <w:rsid w:val="000B6DE7"/>
    <w:rsid w:val="000B7612"/>
    <w:rsid w:val="000B7891"/>
    <w:rsid w:val="000B78AE"/>
    <w:rsid w:val="000C03A4"/>
    <w:rsid w:val="000C08C8"/>
    <w:rsid w:val="000C158E"/>
    <w:rsid w:val="000C2A30"/>
    <w:rsid w:val="000C33B8"/>
    <w:rsid w:val="000C3A2C"/>
    <w:rsid w:val="000C3DF9"/>
    <w:rsid w:val="000C6713"/>
    <w:rsid w:val="000D1BFC"/>
    <w:rsid w:val="000D1D5D"/>
    <w:rsid w:val="000D281A"/>
    <w:rsid w:val="000D2848"/>
    <w:rsid w:val="000D2D0F"/>
    <w:rsid w:val="000D2F57"/>
    <w:rsid w:val="000D326A"/>
    <w:rsid w:val="000D389B"/>
    <w:rsid w:val="000D476C"/>
    <w:rsid w:val="000D51FB"/>
    <w:rsid w:val="000D59C6"/>
    <w:rsid w:val="000D7062"/>
    <w:rsid w:val="000D7CE6"/>
    <w:rsid w:val="000E0640"/>
    <w:rsid w:val="000E0823"/>
    <w:rsid w:val="000E135D"/>
    <w:rsid w:val="000E1E9B"/>
    <w:rsid w:val="000E2C6E"/>
    <w:rsid w:val="000E3C18"/>
    <w:rsid w:val="000E3F9F"/>
    <w:rsid w:val="000E5763"/>
    <w:rsid w:val="000E5A9E"/>
    <w:rsid w:val="000E6C28"/>
    <w:rsid w:val="000F00BA"/>
    <w:rsid w:val="000F093C"/>
    <w:rsid w:val="000F0DBB"/>
    <w:rsid w:val="000F107E"/>
    <w:rsid w:val="000F316A"/>
    <w:rsid w:val="000F3775"/>
    <w:rsid w:val="000F3C74"/>
    <w:rsid w:val="000F4399"/>
    <w:rsid w:val="000F4BB8"/>
    <w:rsid w:val="000F4F79"/>
    <w:rsid w:val="000F4FA9"/>
    <w:rsid w:val="000F53FB"/>
    <w:rsid w:val="000F54FA"/>
    <w:rsid w:val="000F6D3F"/>
    <w:rsid w:val="000F7127"/>
    <w:rsid w:val="000F7A27"/>
    <w:rsid w:val="000F7B54"/>
    <w:rsid w:val="000F7DFF"/>
    <w:rsid w:val="00100378"/>
    <w:rsid w:val="00100F8A"/>
    <w:rsid w:val="001010D8"/>
    <w:rsid w:val="00101C6E"/>
    <w:rsid w:val="0010202B"/>
    <w:rsid w:val="00102CFE"/>
    <w:rsid w:val="00103346"/>
    <w:rsid w:val="001035EF"/>
    <w:rsid w:val="0010452E"/>
    <w:rsid w:val="00104615"/>
    <w:rsid w:val="00105AE2"/>
    <w:rsid w:val="001060C6"/>
    <w:rsid w:val="0010629E"/>
    <w:rsid w:val="00106A60"/>
    <w:rsid w:val="00106B80"/>
    <w:rsid w:val="00107AF8"/>
    <w:rsid w:val="0011032E"/>
    <w:rsid w:val="00111DAD"/>
    <w:rsid w:val="0011289F"/>
    <w:rsid w:val="0011348B"/>
    <w:rsid w:val="00115982"/>
    <w:rsid w:val="00115AF7"/>
    <w:rsid w:val="00115BDD"/>
    <w:rsid w:val="00116022"/>
    <w:rsid w:val="00116036"/>
    <w:rsid w:val="00116289"/>
    <w:rsid w:val="00116C53"/>
    <w:rsid w:val="00121799"/>
    <w:rsid w:val="00121CEB"/>
    <w:rsid w:val="001222FC"/>
    <w:rsid w:val="00123902"/>
    <w:rsid w:val="00124A51"/>
    <w:rsid w:val="00124AC7"/>
    <w:rsid w:val="00124B35"/>
    <w:rsid w:val="001250D4"/>
    <w:rsid w:val="0012534A"/>
    <w:rsid w:val="001260C9"/>
    <w:rsid w:val="00126621"/>
    <w:rsid w:val="00126B1D"/>
    <w:rsid w:val="00127984"/>
    <w:rsid w:val="00127CEE"/>
    <w:rsid w:val="001301E9"/>
    <w:rsid w:val="001306A1"/>
    <w:rsid w:val="001310E2"/>
    <w:rsid w:val="00131356"/>
    <w:rsid w:val="00131610"/>
    <w:rsid w:val="001316EC"/>
    <w:rsid w:val="00131D82"/>
    <w:rsid w:val="00132B22"/>
    <w:rsid w:val="00133D36"/>
    <w:rsid w:val="001353C5"/>
    <w:rsid w:val="001356EF"/>
    <w:rsid w:val="00135881"/>
    <w:rsid w:val="00137392"/>
    <w:rsid w:val="00137645"/>
    <w:rsid w:val="0014015A"/>
    <w:rsid w:val="00140E99"/>
    <w:rsid w:val="00142086"/>
    <w:rsid w:val="00143F67"/>
    <w:rsid w:val="00144389"/>
    <w:rsid w:val="001449DE"/>
    <w:rsid w:val="00145537"/>
    <w:rsid w:val="00145540"/>
    <w:rsid w:val="001456B0"/>
    <w:rsid w:val="00145D48"/>
    <w:rsid w:val="0014726B"/>
    <w:rsid w:val="00153E69"/>
    <w:rsid w:val="001553C2"/>
    <w:rsid w:val="00155901"/>
    <w:rsid w:val="00155A1D"/>
    <w:rsid w:val="0015641C"/>
    <w:rsid w:val="00156426"/>
    <w:rsid w:val="00156686"/>
    <w:rsid w:val="00156F8F"/>
    <w:rsid w:val="00157130"/>
    <w:rsid w:val="001576B1"/>
    <w:rsid w:val="00157ED9"/>
    <w:rsid w:val="0016047B"/>
    <w:rsid w:val="00160A4C"/>
    <w:rsid w:val="00161137"/>
    <w:rsid w:val="00161146"/>
    <w:rsid w:val="00162913"/>
    <w:rsid w:val="00163EFF"/>
    <w:rsid w:val="00163F66"/>
    <w:rsid w:val="0016450A"/>
    <w:rsid w:val="0016465E"/>
    <w:rsid w:val="00164BF0"/>
    <w:rsid w:val="001658B0"/>
    <w:rsid w:val="00165FE2"/>
    <w:rsid w:val="001661FB"/>
    <w:rsid w:val="001671A0"/>
    <w:rsid w:val="00167473"/>
    <w:rsid w:val="0016767F"/>
    <w:rsid w:val="001707E4"/>
    <w:rsid w:val="00170BB8"/>
    <w:rsid w:val="001715AF"/>
    <w:rsid w:val="00172785"/>
    <w:rsid w:val="00173308"/>
    <w:rsid w:val="00173565"/>
    <w:rsid w:val="0017375B"/>
    <w:rsid w:val="00173A4D"/>
    <w:rsid w:val="00173B07"/>
    <w:rsid w:val="001748FF"/>
    <w:rsid w:val="001751FA"/>
    <w:rsid w:val="00175235"/>
    <w:rsid w:val="00177F80"/>
    <w:rsid w:val="00177FC0"/>
    <w:rsid w:val="0018108F"/>
    <w:rsid w:val="00181161"/>
    <w:rsid w:val="00181D02"/>
    <w:rsid w:val="00181D9C"/>
    <w:rsid w:val="00183E24"/>
    <w:rsid w:val="00184B0E"/>
    <w:rsid w:val="001850A7"/>
    <w:rsid w:val="00185D79"/>
    <w:rsid w:val="0018752F"/>
    <w:rsid w:val="00190869"/>
    <w:rsid w:val="0019259A"/>
    <w:rsid w:val="00192E6A"/>
    <w:rsid w:val="00193838"/>
    <w:rsid w:val="00194AD8"/>
    <w:rsid w:val="00195222"/>
    <w:rsid w:val="00195480"/>
    <w:rsid w:val="0019581C"/>
    <w:rsid w:val="0019697B"/>
    <w:rsid w:val="001975D8"/>
    <w:rsid w:val="001977F9"/>
    <w:rsid w:val="00197C6E"/>
    <w:rsid w:val="001A178E"/>
    <w:rsid w:val="001A2685"/>
    <w:rsid w:val="001A2AAC"/>
    <w:rsid w:val="001A43FA"/>
    <w:rsid w:val="001A44C1"/>
    <w:rsid w:val="001A47C5"/>
    <w:rsid w:val="001A528E"/>
    <w:rsid w:val="001A5418"/>
    <w:rsid w:val="001A56FF"/>
    <w:rsid w:val="001A59FB"/>
    <w:rsid w:val="001A5E9E"/>
    <w:rsid w:val="001A6354"/>
    <w:rsid w:val="001A6366"/>
    <w:rsid w:val="001A7AE8"/>
    <w:rsid w:val="001B05B1"/>
    <w:rsid w:val="001B0620"/>
    <w:rsid w:val="001B1180"/>
    <w:rsid w:val="001B204E"/>
    <w:rsid w:val="001B2372"/>
    <w:rsid w:val="001B3443"/>
    <w:rsid w:val="001B4D20"/>
    <w:rsid w:val="001B4F7C"/>
    <w:rsid w:val="001B571B"/>
    <w:rsid w:val="001B610B"/>
    <w:rsid w:val="001B6A3D"/>
    <w:rsid w:val="001B7460"/>
    <w:rsid w:val="001C11EE"/>
    <w:rsid w:val="001C193F"/>
    <w:rsid w:val="001C2767"/>
    <w:rsid w:val="001C2A9B"/>
    <w:rsid w:val="001C3B6A"/>
    <w:rsid w:val="001C3F51"/>
    <w:rsid w:val="001C4022"/>
    <w:rsid w:val="001C4299"/>
    <w:rsid w:val="001C4874"/>
    <w:rsid w:val="001C5F94"/>
    <w:rsid w:val="001C6E66"/>
    <w:rsid w:val="001D074B"/>
    <w:rsid w:val="001D1100"/>
    <w:rsid w:val="001D1391"/>
    <w:rsid w:val="001D16B4"/>
    <w:rsid w:val="001D25D7"/>
    <w:rsid w:val="001D2E66"/>
    <w:rsid w:val="001D2EC0"/>
    <w:rsid w:val="001D2EC9"/>
    <w:rsid w:val="001D49F5"/>
    <w:rsid w:val="001D50B2"/>
    <w:rsid w:val="001D5E09"/>
    <w:rsid w:val="001D6AB9"/>
    <w:rsid w:val="001D7645"/>
    <w:rsid w:val="001E0928"/>
    <w:rsid w:val="001E093A"/>
    <w:rsid w:val="001E1090"/>
    <w:rsid w:val="001E1E86"/>
    <w:rsid w:val="001E2155"/>
    <w:rsid w:val="001E238E"/>
    <w:rsid w:val="001E2483"/>
    <w:rsid w:val="001E2B1E"/>
    <w:rsid w:val="001E2B7F"/>
    <w:rsid w:val="001E2CFF"/>
    <w:rsid w:val="001E2F24"/>
    <w:rsid w:val="001E30D4"/>
    <w:rsid w:val="001E34DF"/>
    <w:rsid w:val="001E3C2D"/>
    <w:rsid w:val="001E52EB"/>
    <w:rsid w:val="001E61D2"/>
    <w:rsid w:val="001E69FC"/>
    <w:rsid w:val="001E740C"/>
    <w:rsid w:val="001F1235"/>
    <w:rsid w:val="001F1BDD"/>
    <w:rsid w:val="001F1CB3"/>
    <w:rsid w:val="001F343C"/>
    <w:rsid w:val="001F38B5"/>
    <w:rsid w:val="001F4081"/>
    <w:rsid w:val="001F6B2A"/>
    <w:rsid w:val="001F7361"/>
    <w:rsid w:val="0020057C"/>
    <w:rsid w:val="00200FD6"/>
    <w:rsid w:val="002011B0"/>
    <w:rsid w:val="00201645"/>
    <w:rsid w:val="00201D05"/>
    <w:rsid w:val="0020206C"/>
    <w:rsid w:val="00203181"/>
    <w:rsid w:val="002036A9"/>
    <w:rsid w:val="00203783"/>
    <w:rsid w:val="0020385F"/>
    <w:rsid w:val="00203995"/>
    <w:rsid w:val="00203D99"/>
    <w:rsid w:val="00205D92"/>
    <w:rsid w:val="002068A0"/>
    <w:rsid w:val="00207021"/>
    <w:rsid w:val="0020732F"/>
    <w:rsid w:val="002075CF"/>
    <w:rsid w:val="00207D00"/>
    <w:rsid w:val="00207DA2"/>
    <w:rsid w:val="002101AA"/>
    <w:rsid w:val="002105C1"/>
    <w:rsid w:val="0021124E"/>
    <w:rsid w:val="00212EA2"/>
    <w:rsid w:val="00212EE8"/>
    <w:rsid w:val="00213C68"/>
    <w:rsid w:val="00213EF5"/>
    <w:rsid w:val="002147AD"/>
    <w:rsid w:val="00216BF5"/>
    <w:rsid w:val="00217980"/>
    <w:rsid w:val="00220536"/>
    <w:rsid w:val="0022085E"/>
    <w:rsid w:val="00222C62"/>
    <w:rsid w:val="00222D29"/>
    <w:rsid w:val="00223749"/>
    <w:rsid w:val="00223B49"/>
    <w:rsid w:val="00223D5A"/>
    <w:rsid w:val="00224DD4"/>
    <w:rsid w:val="00226D5C"/>
    <w:rsid w:val="00227870"/>
    <w:rsid w:val="002278A0"/>
    <w:rsid w:val="002309CC"/>
    <w:rsid w:val="0023209F"/>
    <w:rsid w:val="0023268E"/>
    <w:rsid w:val="002327B5"/>
    <w:rsid w:val="0023349E"/>
    <w:rsid w:val="00233C01"/>
    <w:rsid w:val="0023413C"/>
    <w:rsid w:val="002346F0"/>
    <w:rsid w:val="0023544D"/>
    <w:rsid w:val="00236279"/>
    <w:rsid w:val="0023629D"/>
    <w:rsid w:val="00236BFB"/>
    <w:rsid w:val="00237255"/>
    <w:rsid w:val="00237819"/>
    <w:rsid w:val="0023787C"/>
    <w:rsid w:val="00240112"/>
    <w:rsid w:val="0024034B"/>
    <w:rsid w:val="00241322"/>
    <w:rsid w:val="002424AF"/>
    <w:rsid w:val="002437BE"/>
    <w:rsid w:val="002439DC"/>
    <w:rsid w:val="00243C38"/>
    <w:rsid w:val="0024406F"/>
    <w:rsid w:val="002441D2"/>
    <w:rsid w:val="0024465A"/>
    <w:rsid w:val="00244DC8"/>
    <w:rsid w:val="0024507F"/>
    <w:rsid w:val="0024525A"/>
    <w:rsid w:val="002458BA"/>
    <w:rsid w:val="00245B86"/>
    <w:rsid w:val="00245C04"/>
    <w:rsid w:val="00245CE9"/>
    <w:rsid w:val="00245F1D"/>
    <w:rsid w:val="0024636C"/>
    <w:rsid w:val="00246390"/>
    <w:rsid w:val="002467A7"/>
    <w:rsid w:val="00247925"/>
    <w:rsid w:val="00247EB2"/>
    <w:rsid w:val="002506F7"/>
    <w:rsid w:val="00251006"/>
    <w:rsid w:val="00251C58"/>
    <w:rsid w:val="00251DD9"/>
    <w:rsid w:val="00251E0C"/>
    <w:rsid w:val="002524D5"/>
    <w:rsid w:val="00253B1D"/>
    <w:rsid w:val="00254571"/>
    <w:rsid w:val="00254777"/>
    <w:rsid w:val="00254DCF"/>
    <w:rsid w:val="0025534B"/>
    <w:rsid w:val="00255BB7"/>
    <w:rsid w:val="002568C2"/>
    <w:rsid w:val="00257541"/>
    <w:rsid w:val="0025791C"/>
    <w:rsid w:val="00257A39"/>
    <w:rsid w:val="00257AC4"/>
    <w:rsid w:val="00260C56"/>
    <w:rsid w:val="00260DEC"/>
    <w:rsid w:val="00261190"/>
    <w:rsid w:val="00261EEF"/>
    <w:rsid w:val="002624B3"/>
    <w:rsid w:val="00262A1A"/>
    <w:rsid w:val="00262A87"/>
    <w:rsid w:val="00263A08"/>
    <w:rsid w:val="00264700"/>
    <w:rsid w:val="00264D26"/>
    <w:rsid w:val="00265209"/>
    <w:rsid w:val="00267642"/>
    <w:rsid w:val="00267955"/>
    <w:rsid w:val="00267AEA"/>
    <w:rsid w:val="00267C46"/>
    <w:rsid w:val="002700E6"/>
    <w:rsid w:val="00270FC1"/>
    <w:rsid w:val="00271130"/>
    <w:rsid w:val="0027294B"/>
    <w:rsid w:val="0027298E"/>
    <w:rsid w:val="00272EB4"/>
    <w:rsid w:val="00273EB4"/>
    <w:rsid w:val="00274682"/>
    <w:rsid w:val="002750B3"/>
    <w:rsid w:val="00275C5A"/>
    <w:rsid w:val="002765CE"/>
    <w:rsid w:val="00276607"/>
    <w:rsid w:val="00276CE5"/>
    <w:rsid w:val="00276F9B"/>
    <w:rsid w:val="00277B9D"/>
    <w:rsid w:val="002805CA"/>
    <w:rsid w:val="00281014"/>
    <w:rsid w:val="00282F3B"/>
    <w:rsid w:val="00283479"/>
    <w:rsid w:val="00283C06"/>
    <w:rsid w:val="00285EB8"/>
    <w:rsid w:val="0028665D"/>
    <w:rsid w:val="00287CAA"/>
    <w:rsid w:val="00290D89"/>
    <w:rsid w:val="0029145A"/>
    <w:rsid w:val="00292486"/>
    <w:rsid w:val="00294963"/>
    <w:rsid w:val="00295470"/>
    <w:rsid w:val="00295824"/>
    <w:rsid w:val="002975B6"/>
    <w:rsid w:val="002A14AB"/>
    <w:rsid w:val="002A16BE"/>
    <w:rsid w:val="002A25E8"/>
    <w:rsid w:val="002A2ADE"/>
    <w:rsid w:val="002A2CA3"/>
    <w:rsid w:val="002A2F50"/>
    <w:rsid w:val="002A32C1"/>
    <w:rsid w:val="002A49FB"/>
    <w:rsid w:val="002A5A9C"/>
    <w:rsid w:val="002A61D9"/>
    <w:rsid w:val="002A64C9"/>
    <w:rsid w:val="002A6925"/>
    <w:rsid w:val="002A7D05"/>
    <w:rsid w:val="002B0558"/>
    <w:rsid w:val="002B05A1"/>
    <w:rsid w:val="002B09A4"/>
    <w:rsid w:val="002B1593"/>
    <w:rsid w:val="002B1C1F"/>
    <w:rsid w:val="002B3F6D"/>
    <w:rsid w:val="002B432F"/>
    <w:rsid w:val="002B4C06"/>
    <w:rsid w:val="002B4DE7"/>
    <w:rsid w:val="002B4F39"/>
    <w:rsid w:val="002B5746"/>
    <w:rsid w:val="002B62B3"/>
    <w:rsid w:val="002B63A7"/>
    <w:rsid w:val="002B6754"/>
    <w:rsid w:val="002B6CCE"/>
    <w:rsid w:val="002C2510"/>
    <w:rsid w:val="002C2775"/>
    <w:rsid w:val="002C27C1"/>
    <w:rsid w:val="002C2EF4"/>
    <w:rsid w:val="002C3E99"/>
    <w:rsid w:val="002C3F54"/>
    <w:rsid w:val="002C5099"/>
    <w:rsid w:val="002C533E"/>
    <w:rsid w:val="002C5889"/>
    <w:rsid w:val="002C5D1F"/>
    <w:rsid w:val="002C6844"/>
    <w:rsid w:val="002C71CE"/>
    <w:rsid w:val="002D060E"/>
    <w:rsid w:val="002D06F0"/>
    <w:rsid w:val="002D08F8"/>
    <w:rsid w:val="002D0DE5"/>
    <w:rsid w:val="002D22DB"/>
    <w:rsid w:val="002D2D16"/>
    <w:rsid w:val="002D3A62"/>
    <w:rsid w:val="002D3CA6"/>
    <w:rsid w:val="002D5341"/>
    <w:rsid w:val="002D577C"/>
    <w:rsid w:val="002D77A4"/>
    <w:rsid w:val="002D7922"/>
    <w:rsid w:val="002D7CA5"/>
    <w:rsid w:val="002E1071"/>
    <w:rsid w:val="002E15B9"/>
    <w:rsid w:val="002E2158"/>
    <w:rsid w:val="002E331C"/>
    <w:rsid w:val="002E3A12"/>
    <w:rsid w:val="002E3D6D"/>
    <w:rsid w:val="002E4F02"/>
    <w:rsid w:val="002E523E"/>
    <w:rsid w:val="002E64FC"/>
    <w:rsid w:val="002E6780"/>
    <w:rsid w:val="002E7722"/>
    <w:rsid w:val="002F07BA"/>
    <w:rsid w:val="002F0DA9"/>
    <w:rsid w:val="002F0F4E"/>
    <w:rsid w:val="002F1014"/>
    <w:rsid w:val="002F643C"/>
    <w:rsid w:val="002F71C0"/>
    <w:rsid w:val="002F7278"/>
    <w:rsid w:val="002F72EF"/>
    <w:rsid w:val="002F74F1"/>
    <w:rsid w:val="002F79BE"/>
    <w:rsid w:val="00300438"/>
    <w:rsid w:val="00300A09"/>
    <w:rsid w:val="00301017"/>
    <w:rsid w:val="0030155F"/>
    <w:rsid w:val="00302C97"/>
    <w:rsid w:val="00303CE7"/>
    <w:rsid w:val="0030424A"/>
    <w:rsid w:val="0030440A"/>
    <w:rsid w:val="0030587B"/>
    <w:rsid w:val="00306D98"/>
    <w:rsid w:val="0030701D"/>
    <w:rsid w:val="0030786C"/>
    <w:rsid w:val="00307C2C"/>
    <w:rsid w:val="00307D86"/>
    <w:rsid w:val="0031031A"/>
    <w:rsid w:val="00310981"/>
    <w:rsid w:val="003124D9"/>
    <w:rsid w:val="00312594"/>
    <w:rsid w:val="00312B3D"/>
    <w:rsid w:val="00315498"/>
    <w:rsid w:val="00315C40"/>
    <w:rsid w:val="00316474"/>
    <w:rsid w:val="003174A9"/>
    <w:rsid w:val="00317651"/>
    <w:rsid w:val="0031787F"/>
    <w:rsid w:val="003202A2"/>
    <w:rsid w:val="00321334"/>
    <w:rsid w:val="00321846"/>
    <w:rsid w:val="00322107"/>
    <w:rsid w:val="00322355"/>
    <w:rsid w:val="00322846"/>
    <w:rsid w:val="00323C59"/>
    <w:rsid w:val="00324396"/>
    <w:rsid w:val="0032459E"/>
    <w:rsid w:val="00326AFE"/>
    <w:rsid w:val="00326DA7"/>
    <w:rsid w:val="003270E4"/>
    <w:rsid w:val="00327C92"/>
    <w:rsid w:val="00330DAA"/>
    <w:rsid w:val="00330F5C"/>
    <w:rsid w:val="0033396B"/>
    <w:rsid w:val="003342F3"/>
    <w:rsid w:val="003366C9"/>
    <w:rsid w:val="0033691A"/>
    <w:rsid w:val="003371B0"/>
    <w:rsid w:val="00340DF1"/>
    <w:rsid w:val="00342528"/>
    <w:rsid w:val="00342BFB"/>
    <w:rsid w:val="00345AE6"/>
    <w:rsid w:val="003466D0"/>
    <w:rsid w:val="00346C2C"/>
    <w:rsid w:val="003473B9"/>
    <w:rsid w:val="00350196"/>
    <w:rsid w:val="003502D7"/>
    <w:rsid w:val="003517F9"/>
    <w:rsid w:val="00351891"/>
    <w:rsid w:val="00351BA9"/>
    <w:rsid w:val="003527F4"/>
    <w:rsid w:val="00352E21"/>
    <w:rsid w:val="00354676"/>
    <w:rsid w:val="00354F64"/>
    <w:rsid w:val="0035620E"/>
    <w:rsid w:val="00356AE8"/>
    <w:rsid w:val="00357595"/>
    <w:rsid w:val="00360345"/>
    <w:rsid w:val="00361A05"/>
    <w:rsid w:val="00361B7D"/>
    <w:rsid w:val="00361C0E"/>
    <w:rsid w:val="003624C4"/>
    <w:rsid w:val="003636D9"/>
    <w:rsid w:val="00363B00"/>
    <w:rsid w:val="00365380"/>
    <w:rsid w:val="003654AC"/>
    <w:rsid w:val="003658B4"/>
    <w:rsid w:val="00367438"/>
    <w:rsid w:val="00367BA6"/>
    <w:rsid w:val="003710CF"/>
    <w:rsid w:val="003710F8"/>
    <w:rsid w:val="003718BB"/>
    <w:rsid w:val="00371BA0"/>
    <w:rsid w:val="00372492"/>
    <w:rsid w:val="00372CA9"/>
    <w:rsid w:val="0037358A"/>
    <w:rsid w:val="00374B38"/>
    <w:rsid w:val="003750F6"/>
    <w:rsid w:val="003760FC"/>
    <w:rsid w:val="00376C54"/>
    <w:rsid w:val="00377CC7"/>
    <w:rsid w:val="00377E25"/>
    <w:rsid w:val="00380572"/>
    <w:rsid w:val="00381395"/>
    <w:rsid w:val="0038350A"/>
    <w:rsid w:val="0038365C"/>
    <w:rsid w:val="0038369B"/>
    <w:rsid w:val="00383B78"/>
    <w:rsid w:val="0038406C"/>
    <w:rsid w:val="0038522D"/>
    <w:rsid w:val="00385A9D"/>
    <w:rsid w:val="00386D0A"/>
    <w:rsid w:val="00386E75"/>
    <w:rsid w:val="00386F7E"/>
    <w:rsid w:val="0039006D"/>
    <w:rsid w:val="003902B1"/>
    <w:rsid w:val="0039179C"/>
    <w:rsid w:val="003917DA"/>
    <w:rsid w:val="00391DEF"/>
    <w:rsid w:val="003953A4"/>
    <w:rsid w:val="00395C5C"/>
    <w:rsid w:val="00396896"/>
    <w:rsid w:val="00396FD0"/>
    <w:rsid w:val="00397CA6"/>
    <w:rsid w:val="003A18F8"/>
    <w:rsid w:val="003A1A7A"/>
    <w:rsid w:val="003A1B04"/>
    <w:rsid w:val="003A2392"/>
    <w:rsid w:val="003A240A"/>
    <w:rsid w:val="003A2831"/>
    <w:rsid w:val="003A29F3"/>
    <w:rsid w:val="003A36E9"/>
    <w:rsid w:val="003A3CB6"/>
    <w:rsid w:val="003A3ED1"/>
    <w:rsid w:val="003A44DB"/>
    <w:rsid w:val="003A59A1"/>
    <w:rsid w:val="003A6946"/>
    <w:rsid w:val="003A733C"/>
    <w:rsid w:val="003A77A0"/>
    <w:rsid w:val="003A7A7C"/>
    <w:rsid w:val="003B189E"/>
    <w:rsid w:val="003B1D14"/>
    <w:rsid w:val="003B31CE"/>
    <w:rsid w:val="003B3971"/>
    <w:rsid w:val="003B3D5C"/>
    <w:rsid w:val="003B4778"/>
    <w:rsid w:val="003B55D1"/>
    <w:rsid w:val="003B59B6"/>
    <w:rsid w:val="003B5B61"/>
    <w:rsid w:val="003C0140"/>
    <w:rsid w:val="003C0882"/>
    <w:rsid w:val="003C1654"/>
    <w:rsid w:val="003C2CF9"/>
    <w:rsid w:val="003C5542"/>
    <w:rsid w:val="003C6B5D"/>
    <w:rsid w:val="003C77A1"/>
    <w:rsid w:val="003C77BA"/>
    <w:rsid w:val="003C7997"/>
    <w:rsid w:val="003C7D19"/>
    <w:rsid w:val="003C7D2F"/>
    <w:rsid w:val="003D0E31"/>
    <w:rsid w:val="003D1828"/>
    <w:rsid w:val="003D1DE4"/>
    <w:rsid w:val="003D1E9A"/>
    <w:rsid w:val="003D2422"/>
    <w:rsid w:val="003D39A1"/>
    <w:rsid w:val="003D3ABE"/>
    <w:rsid w:val="003D3F0A"/>
    <w:rsid w:val="003D3FBF"/>
    <w:rsid w:val="003D4A30"/>
    <w:rsid w:val="003D5321"/>
    <w:rsid w:val="003D61DD"/>
    <w:rsid w:val="003D691F"/>
    <w:rsid w:val="003D7098"/>
    <w:rsid w:val="003D7452"/>
    <w:rsid w:val="003D79BB"/>
    <w:rsid w:val="003D7C98"/>
    <w:rsid w:val="003D7D9D"/>
    <w:rsid w:val="003D7EDD"/>
    <w:rsid w:val="003E0543"/>
    <w:rsid w:val="003E1C97"/>
    <w:rsid w:val="003E34FC"/>
    <w:rsid w:val="003E49A8"/>
    <w:rsid w:val="003E749E"/>
    <w:rsid w:val="003F0A43"/>
    <w:rsid w:val="003F2BE9"/>
    <w:rsid w:val="003F3F29"/>
    <w:rsid w:val="003F4156"/>
    <w:rsid w:val="003F417B"/>
    <w:rsid w:val="003F439A"/>
    <w:rsid w:val="003F5ADF"/>
    <w:rsid w:val="003F7019"/>
    <w:rsid w:val="003F79CA"/>
    <w:rsid w:val="00400B29"/>
    <w:rsid w:val="00402122"/>
    <w:rsid w:val="00402778"/>
    <w:rsid w:val="00402A4F"/>
    <w:rsid w:val="0040326B"/>
    <w:rsid w:val="00404707"/>
    <w:rsid w:val="0040504B"/>
    <w:rsid w:val="004059F4"/>
    <w:rsid w:val="00405B86"/>
    <w:rsid w:val="00406537"/>
    <w:rsid w:val="00407597"/>
    <w:rsid w:val="00407FE5"/>
    <w:rsid w:val="004101B0"/>
    <w:rsid w:val="004102E4"/>
    <w:rsid w:val="00410326"/>
    <w:rsid w:val="00410708"/>
    <w:rsid w:val="00410EC7"/>
    <w:rsid w:val="00411B39"/>
    <w:rsid w:val="004127A7"/>
    <w:rsid w:val="00412AB9"/>
    <w:rsid w:val="00413A1E"/>
    <w:rsid w:val="00413E92"/>
    <w:rsid w:val="00414476"/>
    <w:rsid w:val="00414C2E"/>
    <w:rsid w:val="004151CF"/>
    <w:rsid w:val="004152FB"/>
    <w:rsid w:val="00415864"/>
    <w:rsid w:val="00416364"/>
    <w:rsid w:val="0041657A"/>
    <w:rsid w:val="00417C15"/>
    <w:rsid w:val="0042047F"/>
    <w:rsid w:val="00420AA6"/>
    <w:rsid w:val="00420B9F"/>
    <w:rsid w:val="00421703"/>
    <w:rsid w:val="0042192C"/>
    <w:rsid w:val="00422260"/>
    <w:rsid w:val="0042413F"/>
    <w:rsid w:val="004272CB"/>
    <w:rsid w:val="004313F7"/>
    <w:rsid w:val="004319F8"/>
    <w:rsid w:val="00431E55"/>
    <w:rsid w:val="004321F6"/>
    <w:rsid w:val="004323C2"/>
    <w:rsid w:val="00433044"/>
    <w:rsid w:val="00434088"/>
    <w:rsid w:val="004345C3"/>
    <w:rsid w:val="004375B9"/>
    <w:rsid w:val="00437A11"/>
    <w:rsid w:val="00437A2E"/>
    <w:rsid w:val="00441496"/>
    <w:rsid w:val="004428D0"/>
    <w:rsid w:val="00442920"/>
    <w:rsid w:val="00442D40"/>
    <w:rsid w:val="00444185"/>
    <w:rsid w:val="004443A7"/>
    <w:rsid w:val="0044442C"/>
    <w:rsid w:val="00445941"/>
    <w:rsid w:val="004464EB"/>
    <w:rsid w:val="0044676C"/>
    <w:rsid w:val="00446A55"/>
    <w:rsid w:val="00447586"/>
    <w:rsid w:val="00447D26"/>
    <w:rsid w:val="00447DFC"/>
    <w:rsid w:val="004506AB"/>
    <w:rsid w:val="00450819"/>
    <w:rsid w:val="004529BE"/>
    <w:rsid w:val="0045329B"/>
    <w:rsid w:val="00453519"/>
    <w:rsid w:val="00455D45"/>
    <w:rsid w:val="00457823"/>
    <w:rsid w:val="0046026E"/>
    <w:rsid w:val="00462151"/>
    <w:rsid w:val="00463EF1"/>
    <w:rsid w:val="00464595"/>
    <w:rsid w:val="004658B5"/>
    <w:rsid w:val="00466725"/>
    <w:rsid w:val="004704B3"/>
    <w:rsid w:val="00470D0A"/>
    <w:rsid w:val="00471343"/>
    <w:rsid w:val="00471CF1"/>
    <w:rsid w:val="00471EA5"/>
    <w:rsid w:val="004721AB"/>
    <w:rsid w:val="004724F9"/>
    <w:rsid w:val="00472A79"/>
    <w:rsid w:val="00472C18"/>
    <w:rsid w:val="00473226"/>
    <w:rsid w:val="00473452"/>
    <w:rsid w:val="00473F19"/>
    <w:rsid w:val="0047491F"/>
    <w:rsid w:val="00474BCC"/>
    <w:rsid w:val="00475E22"/>
    <w:rsid w:val="0048088E"/>
    <w:rsid w:val="00480F2B"/>
    <w:rsid w:val="00482720"/>
    <w:rsid w:val="00482E99"/>
    <w:rsid w:val="004835E7"/>
    <w:rsid w:val="0048370E"/>
    <w:rsid w:val="0048439E"/>
    <w:rsid w:val="00485D44"/>
    <w:rsid w:val="004867E2"/>
    <w:rsid w:val="00487A79"/>
    <w:rsid w:val="00487F76"/>
    <w:rsid w:val="00490B17"/>
    <w:rsid w:val="0049161F"/>
    <w:rsid w:val="00491824"/>
    <w:rsid w:val="00491B3A"/>
    <w:rsid w:val="00491FBF"/>
    <w:rsid w:val="00492CFD"/>
    <w:rsid w:val="0049333E"/>
    <w:rsid w:val="00493BA0"/>
    <w:rsid w:val="00494207"/>
    <w:rsid w:val="00494428"/>
    <w:rsid w:val="00494CDA"/>
    <w:rsid w:val="00494DD5"/>
    <w:rsid w:val="0049588C"/>
    <w:rsid w:val="00495B5B"/>
    <w:rsid w:val="004962D2"/>
    <w:rsid w:val="004967AB"/>
    <w:rsid w:val="0049745E"/>
    <w:rsid w:val="004974A1"/>
    <w:rsid w:val="00497C4E"/>
    <w:rsid w:val="004A002B"/>
    <w:rsid w:val="004A00F4"/>
    <w:rsid w:val="004A0DA1"/>
    <w:rsid w:val="004A11FA"/>
    <w:rsid w:val="004A13D6"/>
    <w:rsid w:val="004A1696"/>
    <w:rsid w:val="004A16EB"/>
    <w:rsid w:val="004A3B44"/>
    <w:rsid w:val="004A4AC8"/>
    <w:rsid w:val="004A52E9"/>
    <w:rsid w:val="004A55AE"/>
    <w:rsid w:val="004A601E"/>
    <w:rsid w:val="004A6040"/>
    <w:rsid w:val="004A6597"/>
    <w:rsid w:val="004A7848"/>
    <w:rsid w:val="004B1BEC"/>
    <w:rsid w:val="004B1CB4"/>
    <w:rsid w:val="004B2F18"/>
    <w:rsid w:val="004B3094"/>
    <w:rsid w:val="004B3DDB"/>
    <w:rsid w:val="004B44FD"/>
    <w:rsid w:val="004B59E7"/>
    <w:rsid w:val="004B5CFC"/>
    <w:rsid w:val="004B65D2"/>
    <w:rsid w:val="004B6F79"/>
    <w:rsid w:val="004B774D"/>
    <w:rsid w:val="004C0469"/>
    <w:rsid w:val="004C1E0E"/>
    <w:rsid w:val="004C1E5A"/>
    <w:rsid w:val="004C3F25"/>
    <w:rsid w:val="004C4AED"/>
    <w:rsid w:val="004C500F"/>
    <w:rsid w:val="004C6CB1"/>
    <w:rsid w:val="004C732B"/>
    <w:rsid w:val="004C75A6"/>
    <w:rsid w:val="004D2C2D"/>
    <w:rsid w:val="004D6581"/>
    <w:rsid w:val="004D69B5"/>
    <w:rsid w:val="004D7227"/>
    <w:rsid w:val="004D757E"/>
    <w:rsid w:val="004E0E7F"/>
    <w:rsid w:val="004E0EB8"/>
    <w:rsid w:val="004E18E9"/>
    <w:rsid w:val="004E2ADC"/>
    <w:rsid w:val="004E43B2"/>
    <w:rsid w:val="004E4BB4"/>
    <w:rsid w:val="004E65DE"/>
    <w:rsid w:val="004E70E8"/>
    <w:rsid w:val="004E7FDD"/>
    <w:rsid w:val="004F1D02"/>
    <w:rsid w:val="004F2679"/>
    <w:rsid w:val="004F2F21"/>
    <w:rsid w:val="004F3DE5"/>
    <w:rsid w:val="004F4E9D"/>
    <w:rsid w:val="004F574E"/>
    <w:rsid w:val="004F5E66"/>
    <w:rsid w:val="004F5F13"/>
    <w:rsid w:val="004F6781"/>
    <w:rsid w:val="004F6913"/>
    <w:rsid w:val="004F7378"/>
    <w:rsid w:val="004F7865"/>
    <w:rsid w:val="0050174E"/>
    <w:rsid w:val="00501854"/>
    <w:rsid w:val="0050219B"/>
    <w:rsid w:val="00503F17"/>
    <w:rsid w:val="00506928"/>
    <w:rsid w:val="005077EF"/>
    <w:rsid w:val="00510651"/>
    <w:rsid w:val="00511932"/>
    <w:rsid w:val="00511AD5"/>
    <w:rsid w:val="00511DC7"/>
    <w:rsid w:val="005129FC"/>
    <w:rsid w:val="00512D5B"/>
    <w:rsid w:val="00513CD6"/>
    <w:rsid w:val="005142C5"/>
    <w:rsid w:val="00514F8E"/>
    <w:rsid w:val="0051501B"/>
    <w:rsid w:val="0051522B"/>
    <w:rsid w:val="005152B5"/>
    <w:rsid w:val="00516556"/>
    <w:rsid w:val="0052033A"/>
    <w:rsid w:val="0052123C"/>
    <w:rsid w:val="00521319"/>
    <w:rsid w:val="005214CB"/>
    <w:rsid w:val="005216C6"/>
    <w:rsid w:val="00521FC9"/>
    <w:rsid w:val="00522BA6"/>
    <w:rsid w:val="00522BC8"/>
    <w:rsid w:val="00523C28"/>
    <w:rsid w:val="00524DAB"/>
    <w:rsid w:val="00525011"/>
    <w:rsid w:val="005256CE"/>
    <w:rsid w:val="00525A88"/>
    <w:rsid w:val="00527655"/>
    <w:rsid w:val="00527A35"/>
    <w:rsid w:val="00527BC4"/>
    <w:rsid w:val="0053064E"/>
    <w:rsid w:val="00530FEA"/>
    <w:rsid w:val="0053176B"/>
    <w:rsid w:val="005319E3"/>
    <w:rsid w:val="00531C4F"/>
    <w:rsid w:val="00532E62"/>
    <w:rsid w:val="00533016"/>
    <w:rsid w:val="005338CB"/>
    <w:rsid w:val="0053423E"/>
    <w:rsid w:val="00536C51"/>
    <w:rsid w:val="00536F42"/>
    <w:rsid w:val="00537182"/>
    <w:rsid w:val="005376A1"/>
    <w:rsid w:val="00537989"/>
    <w:rsid w:val="00540110"/>
    <w:rsid w:val="0054086D"/>
    <w:rsid w:val="00541EDD"/>
    <w:rsid w:val="005423A4"/>
    <w:rsid w:val="00542734"/>
    <w:rsid w:val="00542743"/>
    <w:rsid w:val="00542C2D"/>
    <w:rsid w:val="00542DFA"/>
    <w:rsid w:val="005445D9"/>
    <w:rsid w:val="00545E3D"/>
    <w:rsid w:val="005472CC"/>
    <w:rsid w:val="005478BD"/>
    <w:rsid w:val="005479E3"/>
    <w:rsid w:val="00547F60"/>
    <w:rsid w:val="00550A67"/>
    <w:rsid w:val="00551985"/>
    <w:rsid w:val="005522DB"/>
    <w:rsid w:val="00552BD3"/>
    <w:rsid w:val="005532A0"/>
    <w:rsid w:val="00554BA7"/>
    <w:rsid w:val="00555109"/>
    <w:rsid w:val="005558DD"/>
    <w:rsid w:val="0055651D"/>
    <w:rsid w:val="00556B35"/>
    <w:rsid w:val="0055741A"/>
    <w:rsid w:val="00557958"/>
    <w:rsid w:val="005611B7"/>
    <w:rsid w:val="005617E2"/>
    <w:rsid w:val="005618D4"/>
    <w:rsid w:val="00563A30"/>
    <w:rsid w:val="00565DF0"/>
    <w:rsid w:val="005665DE"/>
    <w:rsid w:val="0056696F"/>
    <w:rsid w:val="00567757"/>
    <w:rsid w:val="00567B1B"/>
    <w:rsid w:val="005706E3"/>
    <w:rsid w:val="00572269"/>
    <w:rsid w:val="0057244A"/>
    <w:rsid w:val="00572F26"/>
    <w:rsid w:val="00573449"/>
    <w:rsid w:val="00574419"/>
    <w:rsid w:val="0057454F"/>
    <w:rsid w:val="005750C5"/>
    <w:rsid w:val="005752DE"/>
    <w:rsid w:val="00575A0A"/>
    <w:rsid w:val="00575D8D"/>
    <w:rsid w:val="0057695A"/>
    <w:rsid w:val="00576972"/>
    <w:rsid w:val="00577588"/>
    <w:rsid w:val="00577919"/>
    <w:rsid w:val="005816EC"/>
    <w:rsid w:val="00581D79"/>
    <w:rsid w:val="00583699"/>
    <w:rsid w:val="00583BAF"/>
    <w:rsid w:val="00584C8B"/>
    <w:rsid w:val="00584EA5"/>
    <w:rsid w:val="005850E2"/>
    <w:rsid w:val="00585CDD"/>
    <w:rsid w:val="00586744"/>
    <w:rsid w:val="00587058"/>
    <w:rsid w:val="005902D8"/>
    <w:rsid w:val="00591957"/>
    <w:rsid w:val="00592D49"/>
    <w:rsid w:val="00592DA4"/>
    <w:rsid w:val="00593409"/>
    <w:rsid w:val="00595825"/>
    <w:rsid w:val="00596B74"/>
    <w:rsid w:val="00596CD0"/>
    <w:rsid w:val="0059775E"/>
    <w:rsid w:val="00597BF9"/>
    <w:rsid w:val="005A17F9"/>
    <w:rsid w:val="005A309A"/>
    <w:rsid w:val="005A373D"/>
    <w:rsid w:val="005A537B"/>
    <w:rsid w:val="005A5E08"/>
    <w:rsid w:val="005A6DA2"/>
    <w:rsid w:val="005A7EF5"/>
    <w:rsid w:val="005B0B58"/>
    <w:rsid w:val="005B208F"/>
    <w:rsid w:val="005B250A"/>
    <w:rsid w:val="005B350F"/>
    <w:rsid w:val="005B4E53"/>
    <w:rsid w:val="005B524F"/>
    <w:rsid w:val="005B5857"/>
    <w:rsid w:val="005C06E6"/>
    <w:rsid w:val="005C07DD"/>
    <w:rsid w:val="005C0DB1"/>
    <w:rsid w:val="005C1B83"/>
    <w:rsid w:val="005C1FF3"/>
    <w:rsid w:val="005C25FF"/>
    <w:rsid w:val="005C2C53"/>
    <w:rsid w:val="005C2D55"/>
    <w:rsid w:val="005C346B"/>
    <w:rsid w:val="005C62A3"/>
    <w:rsid w:val="005C6CC9"/>
    <w:rsid w:val="005C6D99"/>
    <w:rsid w:val="005C7D85"/>
    <w:rsid w:val="005C7F94"/>
    <w:rsid w:val="005C7FF9"/>
    <w:rsid w:val="005D044D"/>
    <w:rsid w:val="005D05BB"/>
    <w:rsid w:val="005D0ABD"/>
    <w:rsid w:val="005D0E06"/>
    <w:rsid w:val="005D18AD"/>
    <w:rsid w:val="005D26B4"/>
    <w:rsid w:val="005D3347"/>
    <w:rsid w:val="005D66C6"/>
    <w:rsid w:val="005D7FDC"/>
    <w:rsid w:val="005E1DA3"/>
    <w:rsid w:val="005E6CBC"/>
    <w:rsid w:val="005E72FF"/>
    <w:rsid w:val="005E73C0"/>
    <w:rsid w:val="005F0B4E"/>
    <w:rsid w:val="005F0DDE"/>
    <w:rsid w:val="005F1234"/>
    <w:rsid w:val="005F155B"/>
    <w:rsid w:val="005F1E7C"/>
    <w:rsid w:val="005F1F9D"/>
    <w:rsid w:val="005F2706"/>
    <w:rsid w:val="005F273B"/>
    <w:rsid w:val="005F3481"/>
    <w:rsid w:val="005F473B"/>
    <w:rsid w:val="005F4B2F"/>
    <w:rsid w:val="005F4D15"/>
    <w:rsid w:val="005F51B0"/>
    <w:rsid w:val="005F5656"/>
    <w:rsid w:val="005F699D"/>
    <w:rsid w:val="005F6A8F"/>
    <w:rsid w:val="005F6BB7"/>
    <w:rsid w:val="005F748B"/>
    <w:rsid w:val="005F7588"/>
    <w:rsid w:val="00600645"/>
    <w:rsid w:val="00600FD1"/>
    <w:rsid w:val="006029F0"/>
    <w:rsid w:val="00603B31"/>
    <w:rsid w:val="00603DB9"/>
    <w:rsid w:val="006052B3"/>
    <w:rsid w:val="00605511"/>
    <w:rsid w:val="00606FBA"/>
    <w:rsid w:val="00607669"/>
    <w:rsid w:val="006076F4"/>
    <w:rsid w:val="00607AFD"/>
    <w:rsid w:val="00612707"/>
    <w:rsid w:val="006127BC"/>
    <w:rsid w:val="00612F97"/>
    <w:rsid w:val="00613061"/>
    <w:rsid w:val="0061345D"/>
    <w:rsid w:val="006138BE"/>
    <w:rsid w:val="00613EEA"/>
    <w:rsid w:val="0061549B"/>
    <w:rsid w:val="0061622D"/>
    <w:rsid w:val="006167D8"/>
    <w:rsid w:val="00616802"/>
    <w:rsid w:val="00616FE0"/>
    <w:rsid w:val="006172DC"/>
    <w:rsid w:val="00617E12"/>
    <w:rsid w:val="00620255"/>
    <w:rsid w:val="00620C25"/>
    <w:rsid w:val="00621477"/>
    <w:rsid w:val="00621ADA"/>
    <w:rsid w:val="00621BE4"/>
    <w:rsid w:val="0062391B"/>
    <w:rsid w:val="00623F7B"/>
    <w:rsid w:val="006241E7"/>
    <w:rsid w:val="00624811"/>
    <w:rsid w:val="00627109"/>
    <w:rsid w:val="006310E4"/>
    <w:rsid w:val="0063141A"/>
    <w:rsid w:val="0063158F"/>
    <w:rsid w:val="00631D6B"/>
    <w:rsid w:val="00632183"/>
    <w:rsid w:val="00632E54"/>
    <w:rsid w:val="006330A1"/>
    <w:rsid w:val="00633453"/>
    <w:rsid w:val="0063479F"/>
    <w:rsid w:val="006353F0"/>
    <w:rsid w:val="006357B5"/>
    <w:rsid w:val="006364A1"/>
    <w:rsid w:val="0063678E"/>
    <w:rsid w:val="00636ACD"/>
    <w:rsid w:val="00637BFD"/>
    <w:rsid w:val="006403D4"/>
    <w:rsid w:val="00640AD4"/>
    <w:rsid w:val="0064117C"/>
    <w:rsid w:val="00641C4E"/>
    <w:rsid w:val="00641FB3"/>
    <w:rsid w:val="00642E7E"/>
    <w:rsid w:val="00643029"/>
    <w:rsid w:val="0064434C"/>
    <w:rsid w:val="006449DC"/>
    <w:rsid w:val="00644FD0"/>
    <w:rsid w:val="00646F21"/>
    <w:rsid w:val="006471CC"/>
    <w:rsid w:val="00647A29"/>
    <w:rsid w:val="006501DD"/>
    <w:rsid w:val="0065079F"/>
    <w:rsid w:val="00650DB0"/>
    <w:rsid w:val="00652536"/>
    <w:rsid w:val="00652A28"/>
    <w:rsid w:val="00652EA5"/>
    <w:rsid w:val="0065379F"/>
    <w:rsid w:val="00654E9D"/>
    <w:rsid w:val="00655583"/>
    <w:rsid w:val="00656188"/>
    <w:rsid w:val="0065715A"/>
    <w:rsid w:val="0065769A"/>
    <w:rsid w:val="00660487"/>
    <w:rsid w:val="006610F1"/>
    <w:rsid w:val="00661942"/>
    <w:rsid w:val="00661C6B"/>
    <w:rsid w:val="00662CB1"/>
    <w:rsid w:val="006654B2"/>
    <w:rsid w:val="006660F0"/>
    <w:rsid w:val="00666B29"/>
    <w:rsid w:val="00666FF1"/>
    <w:rsid w:val="00670CE2"/>
    <w:rsid w:val="00671004"/>
    <w:rsid w:val="00672646"/>
    <w:rsid w:val="00673CA0"/>
    <w:rsid w:val="00674E42"/>
    <w:rsid w:val="00675D91"/>
    <w:rsid w:val="00677325"/>
    <w:rsid w:val="00677D81"/>
    <w:rsid w:val="00677ED3"/>
    <w:rsid w:val="006808B6"/>
    <w:rsid w:val="006813F8"/>
    <w:rsid w:val="006814F3"/>
    <w:rsid w:val="00681827"/>
    <w:rsid w:val="00682112"/>
    <w:rsid w:val="00682BA6"/>
    <w:rsid w:val="00685D80"/>
    <w:rsid w:val="00685F57"/>
    <w:rsid w:val="00686016"/>
    <w:rsid w:val="00686064"/>
    <w:rsid w:val="00686105"/>
    <w:rsid w:val="00686957"/>
    <w:rsid w:val="00686F88"/>
    <w:rsid w:val="006872BA"/>
    <w:rsid w:val="00690795"/>
    <w:rsid w:val="00691648"/>
    <w:rsid w:val="00691692"/>
    <w:rsid w:val="006917D7"/>
    <w:rsid w:val="00691BA3"/>
    <w:rsid w:val="00692EAA"/>
    <w:rsid w:val="0069344E"/>
    <w:rsid w:val="0069434C"/>
    <w:rsid w:val="00694C0A"/>
    <w:rsid w:val="00694F44"/>
    <w:rsid w:val="0069510B"/>
    <w:rsid w:val="00695812"/>
    <w:rsid w:val="00696F51"/>
    <w:rsid w:val="006979A5"/>
    <w:rsid w:val="00697A19"/>
    <w:rsid w:val="006A265C"/>
    <w:rsid w:val="006A28FF"/>
    <w:rsid w:val="006A4167"/>
    <w:rsid w:val="006A477C"/>
    <w:rsid w:val="006A4EF1"/>
    <w:rsid w:val="006A6B99"/>
    <w:rsid w:val="006A74C7"/>
    <w:rsid w:val="006A7E5F"/>
    <w:rsid w:val="006A7E98"/>
    <w:rsid w:val="006B08D1"/>
    <w:rsid w:val="006B261B"/>
    <w:rsid w:val="006B284A"/>
    <w:rsid w:val="006B2C90"/>
    <w:rsid w:val="006B35E6"/>
    <w:rsid w:val="006B465A"/>
    <w:rsid w:val="006B50B5"/>
    <w:rsid w:val="006B5F6E"/>
    <w:rsid w:val="006B6DD0"/>
    <w:rsid w:val="006B6E1D"/>
    <w:rsid w:val="006B7244"/>
    <w:rsid w:val="006C0399"/>
    <w:rsid w:val="006C07DF"/>
    <w:rsid w:val="006C17D8"/>
    <w:rsid w:val="006C1FC2"/>
    <w:rsid w:val="006C2A8E"/>
    <w:rsid w:val="006C3255"/>
    <w:rsid w:val="006C3F26"/>
    <w:rsid w:val="006C4594"/>
    <w:rsid w:val="006C542F"/>
    <w:rsid w:val="006C5462"/>
    <w:rsid w:val="006C6315"/>
    <w:rsid w:val="006C66D9"/>
    <w:rsid w:val="006C7AAA"/>
    <w:rsid w:val="006D0D17"/>
    <w:rsid w:val="006D1979"/>
    <w:rsid w:val="006D1FEB"/>
    <w:rsid w:val="006D2A13"/>
    <w:rsid w:val="006D3C7D"/>
    <w:rsid w:val="006D4505"/>
    <w:rsid w:val="006D4659"/>
    <w:rsid w:val="006D5D5F"/>
    <w:rsid w:val="006D68FB"/>
    <w:rsid w:val="006D7047"/>
    <w:rsid w:val="006D72A7"/>
    <w:rsid w:val="006E0BEC"/>
    <w:rsid w:val="006E1210"/>
    <w:rsid w:val="006E2615"/>
    <w:rsid w:val="006E2868"/>
    <w:rsid w:val="006E34ED"/>
    <w:rsid w:val="006E6096"/>
    <w:rsid w:val="006E67BA"/>
    <w:rsid w:val="006F306C"/>
    <w:rsid w:val="006F63A5"/>
    <w:rsid w:val="006F732B"/>
    <w:rsid w:val="006F76F1"/>
    <w:rsid w:val="0070142B"/>
    <w:rsid w:val="0070276E"/>
    <w:rsid w:val="00702F8F"/>
    <w:rsid w:val="00704D04"/>
    <w:rsid w:val="00706CF9"/>
    <w:rsid w:val="007079FC"/>
    <w:rsid w:val="007112DF"/>
    <w:rsid w:val="007114E4"/>
    <w:rsid w:val="00711A36"/>
    <w:rsid w:val="00711E9A"/>
    <w:rsid w:val="00712473"/>
    <w:rsid w:val="00712BB6"/>
    <w:rsid w:val="00713136"/>
    <w:rsid w:val="00714C26"/>
    <w:rsid w:val="0071529C"/>
    <w:rsid w:val="00716825"/>
    <w:rsid w:val="007170DA"/>
    <w:rsid w:val="007172AD"/>
    <w:rsid w:val="00717322"/>
    <w:rsid w:val="00717ADE"/>
    <w:rsid w:val="00720801"/>
    <w:rsid w:val="00720E57"/>
    <w:rsid w:val="007219C8"/>
    <w:rsid w:val="00722B1B"/>
    <w:rsid w:val="0072416F"/>
    <w:rsid w:val="007252FC"/>
    <w:rsid w:val="007259D3"/>
    <w:rsid w:val="00725F0B"/>
    <w:rsid w:val="00726500"/>
    <w:rsid w:val="00727C94"/>
    <w:rsid w:val="00730D77"/>
    <w:rsid w:val="00731B0A"/>
    <w:rsid w:val="00731EAE"/>
    <w:rsid w:val="00733073"/>
    <w:rsid w:val="007338DC"/>
    <w:rsid w:val="00735033"/>
    <w:rsid w:val="007351B8"/>
    <w:rsid w:val="00735328"/>
    <w:rsid w:val="00735893"/>
    <w:rsid w:val="007358AF"/>
    <w:rsid w:val="0073685B"/>
    <w:rsid w:val="00736B86"/>
    <w:rsid w:val="00742F25"/>
    <w:rsid w:val="0074413F"/>
    <w:rsid w:val="00744193"/>
    <w:rsid w:val="00744923"/>
    <w:rsid w:val="007449BF"/>
    <w:rsid w:val="00744AF4"/>
    <w:rsid w:val="0074512E"/>
    <w:rsid w:val="0074679F"/>
    <w:rsid w:val="00746BC0"/>
    <w:rsid w:val="00750B03"/>
    <w:rsid w:val="007510B4"/>
    <w:rsid w:val="00751677"/>
    <w:rsid w:val="00752142"/>
    <w:rsid w:val="00752227"/>
    <w:rsid w:val="007523F9"/>
    <w:rsid w:val="00752D8E"/>
    <w:rsid w:val="0075357E"/>
    <w:rsid w:val="00754002"/>
    <w:rsid w:val="00754D31"/>
    <w:rsid w:val="007572FD"/>
    <w:rsid w:val="007573E8"/>
    <w:rsid w:val="0075761C"/>
    <w:rsid w:val="0075765E"/>
    <w:rsid w:val="0076065D"/>
    <w:rsid w:val="00760C4E"/>
    <w:rsid w:val="00760F9E"/>
    <w:rsid w:val="007613A5"/>
    <w:rsid w:val="007616B1"/>
    <w:rsid w:val="00761E68"/>
    <w:rsid w:val="00761EBF"/>
    <w:rsid w:val="007627BE"/>
    <w:rsid w:val="00763AAC"/>
    <w:rsid w:val="00764F03"/>
    <w:rsid w:val="00765B1A"/>
    <w:rsid w:val="00765B6D"/>
    <w:rsid w:val="00766746"/>
    <w:rsid w:val="007701C2"/>
    <w:rsid w:val="007701E6"/>
    <w:rsid w:val="007713A4"/>
    <w:rsid w:val="00771997"/>
    <w:rsid w:val="00775BF1"/>
    <w:rsid w:val="00775C91"/>
    <w:rsid w:val="0077653C"/>
    <w:rsid w:val="00776A43"/>
    <w:rsid w:val="00776C60"/>
    <w:rsid w:val="00777335"/>
    <w:rsid w:val="0078050F"/>
    <w:rsid w:val="00780650"/>
    <w:rsid w:val="0078124F"/>
    <w:rsid w:val="007826C4"/>
    <w:rsid w:val="00782FC1"/>
    <w:rsid w:val="007838F3"/>
    <w:rsid w:val="00783ADA"/>
    <w:rsid w:val="007843F2"/>
    <w:rsid w:val="00784AD7"/>
    <w:rsid w:val="00785A9F"/>
    <w:rsid w:val="007867E4"/>
    <w:rsid w:val="00786C95"/>
    <w:rsid w:val="007876D1"/>
    <w:rsid w:val="0079065B"/>
    <w:rsid w:val="0079112B"/>
    <w:rsid w:val="00791DCA"/>
    <w:rsid w:val="007925DF"/>
    <w:rsid w:val="00794F05"/>
    <w:rsid w:val="00796EFE"/>
    <w:rsid w:val="007A0133"/>
    <w:rsid w:val="007A08AA"/>
    <w:rsid w:val="007A0A12"/>
    <w:rsid w:val="007A132D"/>
    <w:rsid w:val="007A1345"/>
    <w:rsid w:val="007A1FDC"/>
    <w:rsid w:val="007A237D"/>
    <w:rsid w:val="007A2A1A"/>
    <w:rsid w:val="007A2DDB"/>
    <w:rsid w:val="007A3561"/>
    <w:rsid w:val="007A574F"/>
    <w:rsid w:val="007A5CE2"/>
    <w:rsid w:val="007A5FB7"/>
    <w:rsid w:val="007A70BA"/>
    <w:rsid w:val="007A74C3"/>
    <w:rsid w:val="007B0279"/>
    <w:rsid w:val="007B0D68"/>
    <w:rsid w:val="007B1D6C"/>
    <w:rsid w:val="007B251D"/>
    <w:rsid w:val="007B2FE9"/>
    <w:rsid w:val="007B3F69"/>
    <w:rsid w:val="007B4F58"/>
    <w:rsid w:val="007B528D"/>
    <w:rsid w:val="007B5D12"/>
    <w:rsid w:val="007B62A9"/>
    <w:rsid w:val="007B63CA"/>
    <w:rsid w:val="007B77D1"/>
    <w:rsid w:val="007C01F2"/>
    <w:rsid w:val="007C07C7"/>
    <w:rsid w:val="007C1CD9"/>
    <w:rsid w:val="007C1F2A"/>
    <w:rsid w:val="007C242B"/>
    <w:rsid w:val="007C272F"/>
    <w:rsid w:val="007C32EF"/>
    <w:rsid w:val="007C361D"/>
    <w:rsid w:val="007C4B84"/>
    <w:rsid w:val="007C50FC"/>
    <w:rsid w:val="007C5BB2"/>
    <w:rsid w:val="007C5E7F"/>
    <w:rsid w:val="007C6E92"/>
    <w:rsid w:val="007C70FF"/>
    <w:rsid w:val="007C73D3"/>
    <w:rsid w:val="007C7917"/>
    <w:rsid w:val="007C7A87"/>
    <w:rsid w:val="007C7C25"/>
    <w:rsid w:val="007D004F"/>
    <w:rsid w:val="007D0884"/>
    <w:rsid w:val="007D0B38"/>
    <w:rsid w:val="007D1912"/>
    <w:rsid w:val="007D1914"/>
    <w:rsid w:val="007D1A57"/>
    <w:rsid w:val="007D5440"/>
    <w:rsid w:val="007D5BB9"/>
    <w:rsid w:val="007D69EB"/>
    <w:rsid w:val="007D6C05"/>
    <w:rsid w:val="007E128F"/>
    <w:rsid w:val="007E130C"/>
    <w:rsid w:val="007E1CB2"/>
    <w:rsid w:val="007E24A4"/>
    <w:rsid w:val="007E6437"/>
    <w:rsid w:val="007E65F8"/>
    <w:rsid w:val="007E6D11"/>
    <w:rsid w:val="007E7391"/>
    <w:rsid w:val="007E7C51"/>
    <w:rsid w:val="007F1017"/>
    <w:rsid w:val="007F289B"/>
    <w:rsid w:val="007F33C9"/>
    <w:rsid w:val="007F4A3F"/>
    <w:rsid w:val="007F4A61"/>
    <w:rsid w:val="007F5255"/>
    <w:rsid w:val="007F56CC"/>
    <w:rsid w:val="007F61C2"/>
    <w:rsid w:val="007F6799"/>
    <w:rsid w:val="007F6CB9"/>
    <w:rsid w:val="007F740D"/>
    <w:rsid w:val="007F7F36"/>
    <w:rsid w:val="0080239D"/>
    <w:rsid w:val="0080265B"/>
    <w:rsid w:val="00802F10"/>
    <w:rsid w:val="0080315F"/>
    <w:rsid w:val="0080324B"/>
    <w:rsid w:val="0080487F"/>
    <w:rsid w:val="008048B9"/>
    <w:rsid w:val="00804D33"/>
    <w:rsid w:val="00805142"/>
    <w:rsid w:val="00805E3E"/>
    <w:rsid w:val="00805FCE"/>
    <w:rsid w:val="008062C7"/>
    <w:rsid w:val="00807A8B"/>
    <w:rsid w:val="0081117E"/>
    <w:rsid w:val="00811383"/>
    <w:rsid w:val="00812149"/>
    <w:rsid w:val="00812CAC"/>
    <w:rsid w:val="00813FEC"/>
    <w:rsid w:val="00815338"/>
    <w:rsid w:val="0081587E"/>
    <w:rsid w:val="00816361"/>
    <w:rsid w:val="008166EF"/>
    <w:rsid w:val="00816FEF"/>
    <w:rsid w:val="00817BA4"/>
    <w:rsid w:val="00820A8C"/>
    <w:rsid w:val="00820BAF"/>
    <w:rsid w:val="00820C32"/>
    <w:rsid w:val="008215FB"/>
    <w:rsid w:val="008228FD"/>
    <w:rsid w:val="00823174"/>
    <w:rsid w:val="00823B1A"/>
    <w:rsid w:val="00825751"/>
    <w:rsid w:val="00825A89"/>
    <w:rsid w:val="008263B0"/>
    <w:rsid w:val="008264EB"/>
    <w:rsid w:val="00826FA4"/>
    <w:rsid w:val="00827357"/>
    <w:rsid w:val="008301F2"/>
    <w:rsid w:val="008302A3"/>
    <w:rsid w:val="00831B22"/>
    <w:rsid w:val="00833B05"/>
    <w:rsid w:val="00833CCE"/>
    <w:rsid w:val="008356A7"/>
    <w:rsid w:val="008362B4"/>
    <w:rsid w:val="00837BD7"/>
    <w:rsid w:val="00840CA2"/>
    <w:rsid w:val="0084374F"/>
    <w:rsid w:val="00844A22"/>
    <w:rsid w:val="00847386"/>
    <w:rsid w:val="00847703"/>
    <w:rsid w:val="0084799A"/>
    <w:rsid w:val="00847DF5"/>
    <w:rsid w:val="00850720"/>
    <w:rsid w:val="0085170F"/>
    <w:rsid w:val="0085309D"/>
    <w:rsid w:val="008557A0"/>
    <w:rsid w:val="00856897"/>
    <w:rsid w:val="00856E9A"/>
    <w:rsid w:val="00857BFD"/>
    <w:rsid w:val="00860166"/>
    <w:rsid w:val="0086075D"/>
    <w:rsid w:val="008607E2"/>
    <w:rsid w:val="00862502"/>
    <w:rsid w:val="00862B8C"/>
    <w:rsid w:val="00862CC1"/>
    <w:rsid w:val="00865AFC"/>
    <w:rsid w:val="008660D4"/>
    <w:rsid w:val="00866C87"/>
    <w:rsid w:val="008671BD"/>
    <w:rsid w:val="00867DBA"/>
    <w:rsid w:val="0087140D"/>
    <w:rsid w:val="00871BBD"/>
    <w:rsid w:val="00871D63"/>
    <w:rsid w:val="00871FA9"/>
    <w:rsid w:val="008728E9"/>
    <w:rsid w:val="008730FA"/>
    <w:rsid w:val="008736EE"/>
    <w:rsid w:val="0087463C"/>
    <w:rsid w:val="00874840"/>
    <w:rsid w:val="008771FB"/>
    <w:rsid w:val="00877567"/>
    <w:rsid w:val="00881232"/>
    <w:rsid w:val="00882830"/>
    <w:rsid w:val="00882874"/>
    <w:rsid w:val="00882E12"/>
    <w:rsid w:val="00882E3C"/>
    <w:rsid w:val="0088340B"/>
    <w:rsid w:val="00883787"/>
    <w:rsid w:val="008855E4"/>
    <w:rsid w:val="00886117"/>
    <w:rsid w:val="0088696C"/>
    <w:rsid w:val="00886CD2"/>
    <w:rsid w:val="00887225"/>
    <w:rsid w:val="00887470"/>
    <w:rsid w:val="00887624"/>
    <w:rsid w:val="00891E6F"/>
    <w:rsid w:val="008924DD"/>
    <w:rsid w:val="0089275D"/>
    <w:rsid w:val="00892A36"/>
    <w:rsid w:val="00893239"/>
    <w:rsid w:val="00893786"/>
    <w:rsid w:val="00893BB1"/>
    <w:rsid w:val="00894489"/>
    <w:rsid w:val="0089633B"/>
    <w:rsid w:val="008963A5"/>
    <w:rsid w:val="00896D5D"/>
    <w:rsid w:val="00897407"/>
    <w:rsid w:val="008979F4"/>
    <w:rsid w:val="00897A64"/>
    <w:rsid w:val="008A052D"/>
    <w:rsid w:val="008A1660"/>
    <w:rsid w:val="008A2322"/>
    <w:rsid w:val="008A2985"/>
    <w:rsid w:val="008A29CC"/>
    <w:rsid w:val="008A3363"/>
    <w:rsid w:val="008A3371"/>
    <w:rsid w:val="008A3765"/>
    <w:rsid w:val="008A3C3E"/>
    <w:rsid w:val="008A3E7A"/>
    <w:rsid w:val="008A3FAB"/>
    <w:rsid w:val="008A48FF"/>
    <w:rsid w:val="008A4D52"/>
    <w:rsid w:val="008A6A77"/>
    <w:rsid w:val="008A6B2A"/>
    <w:rsid w:val="008A6EA7"/>
    <w:rsid w:val="008A7002"/>
    <w:rsid w:val="008A75F7"/>
    <w:rsid w:val="008A76EE"/>
    <w:rsid w:val="008A792C"/>
    <w:rsid w:val="008A79DE"/>
    <w:rsid w:val="008B0B07"/>
    <w:rsid w:val="008B0F16"/>
    <w:rsid w:val="008B15F7"/>
    <w:rsid w:val="008B1757"/>
    <w:rsid w:val="008B24AE"/>
    <w:rsid w:val="008B3A8C"/>
    <w:rsid w:val="008B4AD0"/>
    <w:rsid w:val="008B56E8"/>
    <w:rsid w:val="008B5E0A"/>
    <w:rsid w:val="008B7992"/>
    <w:rsid w:val="008B7D7E"/>
    <w:rsid w:val="008C201E"/>
    <w:rsid w:val="008C377C"/>
    <w:rsid w:val="008C3FAB"/>
    <w:rsid w:val="008C5610"/>
    <w:rsid w:val="008C5739"/>
    <w:rsid w:val="008C5E44"/>
    <w:rsid w:val="008C5EBB"/>
    <w:rsid w:val="008C6807"/>
    <w:rsid w:val="008C7ECB"/>
    <w:rsid w:val="008D0422"/>
    <w:rsid w:val="008D17DB"/>
    <w:rsid w:val="008D2A53"/>
    <w:rsid w:val="008D32CF"/>
    <w:rsid w:val="008D3B86"/>
    <w:rsid w:val="008D3BB7"/>
    <w:rsid w:val="008D3D86"/>
    <w:rsid w:val="008D40FB"/>
    <w:rsid w:val="008D45F2"/>
    <w:rsid w:val="008D4755"/>
    <w:rsid w:val="008D4C19"/>
    <w:rsid w:val="008D4C3D"/>
    <w:rsid w:val="008D743C"/>
    <w:rsid w:val="008E08B5"/>
    <w:rsid w:val="008E0D3C"/>
    <w:rsid w:val="008E1848"/>
    <w:rsid w:val="008E1925"/>
    <w:rsid w:val="008E1B9E"/>
    <w:rsid w:val="008E347C"/>
    <w:rsid w:val="008E4447"/>
    <w:rsid w:val="008E55AB"/>
    <w:rsid w:val="008E63C9"/>
    <w:rsid w:val="008E6ACB"/>
    <w:rsid w:val="008F120A"/>
    <w:rsid w:val="008F1710"/>
    <w:rsid w:val="008F2184"/>
    <w:rsid w:val="008F27E0"/>
    <w:rsid w:val="008F2AA6"/>
    <w:rsid w:val="008F3660"/>
    <w:rsid w:val="008F37E9"/>
    <w:rsid w:val="008F3A28"/>
    <w:rsid w:val="008F3C24"/>
    <w:rsid w:val="008F456C"/>
    <w:rsid w:val="008F48EB"/>
    <w:rsid w:val="008F4F0B"/>
    <w:rsid w:val="008F5836"/>
    <w:rsid w:val="008F7ADE"/>
    <w:rsid w:val="009002A1"/>
    <w:rsid w:val="00900B4F"/>
    <w:rsid w:val="009013B7"/>
    <w:rsid w:val="00902E4F"/>
    <w:rsid w:val="00902F01"/>
    <w:rsid w:val="009034D2"/>
    <w:rsid w:val="0090378E"/>
    <w:rsid w:val="009043A1"/>
    <w:rsid w:val="009046C4"/>
    <w:rsid w:val="00904B52"/>
    <w:rsid w:val="00904E40"/>
    <w:rsid w:val="009062A5"/>
    <w:rsid w:val="009067A9"/>
    <w:rsid w:val="009069D2"/>
    <w:rsid w:val="00907503"/>
    <w:rsid w:val="00910932"/>
    <w:rsid w:val="00910FA7"/>
    <w:rsid w:val="00911272"/>
    <w:rsid w:val="00911320"/>
    <w:rsid w:val="009135D6"/>
    <w:rsid w:val="00914C77"/>
    <w:rsid w:val="00915CBE"/>
    <w:rsid w:val="0091763D"/>
    <w:rsid w:val="009206FE"/>
    <w:rsid w:val="00920929"/>
    <w:rsid w:val="00920BF6"/>
    <w:rsid w:val="0092183D"/>
    <w:rsid w:val="00921ACB"/>
    <w:rsid w:val="00921FA1"/>
    <w:rsid w:val="0092369B"/>
    <w:rsid w:val="00925759"/>
    <w:rsid w:val="00925C80"/>
    <w:rsid w:val="00927B15"/>
    <w:rsid w:val="00927E97"/>
    <w:rsid w:val="00931515"/>
    <w:rsid w:val="009315FD"/>
    <w:rsid w:val="00931D39"/>
    <w:rsid w:val="00932013"/>
    <w:rsid w:val="00932754"/>
    <w:rsid w:val="00932C64"/>
    <w:rsid w:val="00932CB2"/>
    <w:rsid w:val="00933456"/>
    <w:rsid w:val="00933585"/>
    <w:rsid w:val="00933BF8"/>
    <w:rsid w:val="00934988"/>
    <w:rsid w:val="00935ED9"/>
    <w:rsid w:val="00936627"/>
    <w:rsid w:val="0093674B"/>
    <w:rsid w:val="00937089"/>
    <w:rsid w:val="00937687"/>
    <w:rsid w:val="0094170E"/>
    <w:rsid w:val="009437F6"/>
    <w:rsid w:val="00944F8A"/>
    <w:rsid w:val="0094684D"/>
    <w:rsid w:val="0094774E"/>
    <w:rsid w:val="00950256"/>
    <w:rsid w:val="00950A4A"/>
    <w:rsid w:val="009510A2"/>
    <w:rsid w:val="009514FE"/>
    <w:rsid w:val="00952C77"/>
    <w:rsid w:val="00953257"/>
    <w:rsid w:val="00953791"/>
    <w:rsid w:val="009543CC"/>
    <w:rsid w:val="00954427"/>
    <w:rsid w:val="0095474C"/>
    <w:rsid w:val="009561EE"/>
    <w:rsid w:val="009572A7"/>
    <w:rsid w:val="0095791F"/>
    <w:rsid w:val="009604C0"/>
    <w:rsid w:val="009624CD"/>
    <w:rsid w:val="0096280B"/>
    <w:rsid w:val="00962CB9"/>
    <w:rsid w:val="00964312"/>
    <w:rsid w:val="00964E16"/>
    <w:rsid w:val="009657C3"/>
    <w:rsid w:val="00965B8A"/>
    <w:rsid w:val="009666F5"/>
    <w:rsid w:val="009669D3"/>
    <w:rsid w:val="00970196"/>
    <w:rsid w:val="0097071F"/>
    <w:rsid w:val="00971441"/>
    <w:rsid w:val="009717AC"/>
    <w:rsid w:val="009718CD"/>
    <w:rsid w:val="00971F26"/>
    <w:rsid w:val="00973A87"/>
    <w:rsid w:val="00973BB0"/>
    <w:rsid w:val="009751C1"/>
    <w:rsid w:val="009762F6"/>
    <w:rsid w:val="00976B88"/>
    <w:rsid w:val="00980223"/>
    <w:rsid w:val="009811F1"/>
    <w:rsid w:val="00981B41"/>
    <w:rsid w:val="009823B0"/>
    <w:rsid w:val="009824AE"/>
    <w:rsid w:val="0098276D"/>
    <w:rsid w:val="00983E57"/>
    <w:rsid w:val="00984501"/>
    <w:rsid w:val="0098532B"/>
    <w:rsid w:val="009853AB"/>
    <w:rsid w:val="00985DE2"/>
    <w:rsid w:val="00986015"/>
    <w:rsid w:val="00986126"/>
    <w:rsid w:val="0098675D"/>
    <w:rsid w:val="009876F5"/>
    <w:rsid w:val="00987CAA"/>
    <w:rsid w:val="00990D51"/>
    <w:rsid w:val="00990D8C"/>
    <w:rsid w:val="009926E0"/>
    <w:rsid w:val="009932D1"/>
    <w:rsid w:val="00993E4F"/>
    <w:rsid w:val="009944DC"/>
    <w:rsid w:val="0099451E"/>
    <w:rsid w:val="00994E01"/>
    <w:rsid w:val="009950D8"/>
    <w:rsid w:val="00996489"/>
    <w:rsid w:val="00996492"/>
    <w:rsid w:val="00996B1A"/>
    <w:rsid w:val="00996BF9"/>
    <w:rsid w:val="00996D4F"/>
    <w:rsid w:val="009A0108"/>
    <w:rsid w:val="009A01A4"/>
    <w:rsid w:val="009A0C97"/>
    <w:rsid w:val="009A0E8C"/>
    <w:rsid w:val="009A2414"/>
    <w:rsid w:val="009A2DCC"/>
    <w:rsid w:val="009A2F28"/>
    <w:rsid w:val="009A564D"/>
    <w:rsid w:val="009A5ABC"/>
    <w:rsid w:val="009A610F"/>
    <w:rsid w:val="009A68BF"/>
    <w:rsid w:val="009A69EE"/>
    <w:rsid w:val="009A72E0"/>
    <w:rsid w:val="009A7F10"/>
    <w:rsid w:val="009B0915"/>
    <w:rsid w:val="009B0B58"/>
    <w:rsid w:val="009B171E"/>
    <w:rsid w:val="009B18D7"/>
    <w:rsid w:val="009B22D2"/>
    <w:rsid w:val="009B3E26"/>
    <w:rsid w:val="009B6615"/>
    <w:rsid w:val="009B73A0"/>
    <w:rsid w:val="009C041D"/>
    <w:rsid w:val="009C0B01"/>
    <w:rsid w:val="009C2276"/>
    <w:rsid w:val="009C3706"/>
    <w:rsid w:val="009C3A3A"/>
    <w:rsid w:val="009C47E5"/>
    <w:rsid w:val="009C5227"/>
    <w:rsid w:val="009C61E6"/>
    <w:rsid w:val="009C6CEA"/>
    <w:rsid w:val="009C73E1"/>
    <w:rsid w:val="009C7B85"/>
    <w:rsid w:val="009D01BB"/>
    <w:rsid w:val="009D0254"/>
    <w:rsid w:val="009D0390"/>
    <w:rsid w:val="009D051B"/>
    <w:rsid w:val="009D1347"/>
    <w:rsid w:val="009D18AD"/>
    <w:rsid w:val="009D1A64"/>
    <w:rsid w:val="009D1C8D"/>
    <w:rsid w:val="009D3065"/>
    <w:rsid w:val="009D3B62"/>
    <w:rsid w:val="009D3F9B"/>
    <w:rsid w:val="009D4578"/>
    <w:rsid w:val="009D4F7D"/>
    <w:rsid w:val="009D5B91"/>
    <w:rsid w:val="009D792E"/>
    <w:rsid w:val="009E0DFE"/>
    <w:rsid w:val="009E1381"/>
    <w:rsid w:val="009E31F6"/>
    <w:rsid w:val="009E3EC9"/>
    <w:rsid w:val="009E41B6"/>
    <w:rsid w:val="009E4C07"/>
    <w:rsid w:val="009E4D81"/>
    <w:rsid w:val="009E58DF"/>
    <w:rsid w:val="009E591B"/>
    <w:rsid w:val="009F02B2"/>
    <w:rsid w:val="009F20FE"/>
    <w:rsid w:val="009F28F7"/>
    <w:rsid w:val="009F3443"/>
    <w:rsid w:val="00A01182"/>
    <w:rsid w:val="00A01184"/>
    <w:rsid w:val="00A0204E"/>
    <w:rsid w:val="00A023C4"/>
    <w:rsid w:val="00A03382"/>
    <w:rsid w:val="00A037C2"/>
    <w:rsid w:val="00A03D43"/>
    <w:rsid w:val="00A04380"/>
    <w:rsid w:val="00A0461C"/>
    <w:rsid w:val="00A05472"/>
    <w:rsid w:val="00A05A53"/>
    <w:rsid w:val="00A05C32"/>
    <w:rsid w:val="00A0653F"/>
    <w:rsid w:val="00A069D4"/>
    <w:rsid w:val="00A11CD0"/>
    <w:rsid w:val="00A12EE5"/>
    <w:rsid w:val="00A13948"/>
    <w:rsid w:val="00A14307"/>
    <w:rsid w:val="00A1439E"/>
    <w:rsid w:val="00A1484A"/>
    <w:rsid w:val="00A1555B"/>
    <w:rsid w:val="00A155C5"/>
    <w:rsid w:val="00A15AE8"/>
    <w:rsid w:val="00A16AD8"/>
    <w:rsid w:val="00A177D6"/>
    <w:rsid w:val="00A17E3F"/>
    <w:rsid w:val="00A20CE5"/>
    <w:rsid w:val="00A20DC1"/>
    <w:rsid w:val="00A2145A"/>
    <w:rsid w:val="00A21C95"/>
    <w:rsid w:val="00A21CF3"/>
    <w:rsid w:val="00A2229F"/>
    <w:rsid w:val="00A22A4E"/>
    <w:rsid w:val="00A24210"/>
    <w:rsid w:val="00A24727"/>
    <w:rsid w:val="00A24813"/>
    <w:rsid w:val="00A25CA6"/>
    <w:rsid w:val="00A27AEC"/>
    <w:rsid w:val="00A313B7"/>
    <w:rsid w:val="00A31A5D"/>
    <w:rsid w:val="00A31F8B"/>
    <w:rsid w:val="00A320DB"/>
    <w:rsid w:val="00A32D80"/>
    <w:rsid w:val="00A33E85"/>
    <w:rsid w:val="00A35D16"/>
    <w:rsid w:val="00A36AB6"/>
    <w:rsid w:val="00A37BCD"/>
    <w:rsid w:val="00A40646"/>
    <w:rsid w:val="00A41689"/>
    <w:rsid w:val="00A42592"/>
    <w:rsid w:val="00A439EF"/>
    <w:rsid w:val="00A43C59"/>
    <w:rsid w:val="00A443B1"/>
    <w:rsid w:val="00A44A65"/>
    <w:rsid w:val="00A46228"/>
    <w:rsid w:val="00A50ECD"/>
    <w:rsid w:val="00A50F89"/>
    <w:rsid w:val="00A518F3"/>
    <w:rsid w:val="00A51C17"/>
    <w:rsid w:val="00A5203C"/>
    <w:rsid w:val="00A52729"/>
    <w:rsid w:val="00A52AE1"/>
    <w:rsid w:val="00A53675"/>
    <w:rsid w:val="00A54039"/>
    <w:rsid w:val="00A545C5"/>
    <w:rsid w:val="00A54929"/>
    <w:rsid w:val="00A5633C"/>
    <w:rsid w:val="00A564D7"/>
    <w:rsid w:val="00A56527"/>
    <w:rsid w:val="00A5696F"/>
    <w:rsid w:val="00A56B6A"/>
    <w:rsid w:val="00A570B3"/>
    <w:rsid w:val="00A57448"/>
    <w:rsid w:val="00A578DC"/>
    <w:rsid w:val="00A57EA4"/>
    <w:rsid w:val="00A57FB7"/>
    <w:rsid w:val="00A602E1"/>
    <w:rsid w:val="00A60A06"/>
    <w:rsid w:val="00A61DB7"/>
    <w:rsid w:val="00A6361D"/>
    <w:rsid w:val="00A63C40"/>
    <w:rsid w:val="00A640E2"/>
    <w:rsid w:val="00A64D65"/>
    <w:rsid w:val="00A6612C"/>
    <w:rsid w:val="00A6725B"/>
    <w:rsid w:val="00A67D44"/>
    <w:rsid w:val="00A70605"/>
    <w:rsid w:val="00A71E3B"/>
    <w:rsid w:val="00A72D51"/>
    <w:rsid w:val="00A73134"/>
    <w:rsid w:val="00A737F1"/>
    <w:rsid w:val="00A745FA"/>
    <w:rsid w:val="00A76001"/>
    <w:rsid w:val="00A761F9"/>
    <w:rsid w:val="00A76778"/>
    <w:rsid w:val="00A7773A"/>
    <w:rsid w:val="00A777B2"/>
    <w:rsid w:val="00A80D4E"/>
    <w:rsid w:val="00A80DE3"/>
    <w:rsid w:val="00A8253E"/>
    <w:rsid w:val="00A825D4"/>
    <w:rsid w:val="00A828F6"/>
    <w:rsid w:val="00A82B73"/>
    <w:rsid w:val="00A83E0C"/>
    <w:rsid w:val="00A85FE0"/>
    <w:rsid w:val="00A864C0"/>
    <w:rsid w:val="00A86E7E"/>
    <w:rsid w:val="00A86E8B"/>
    <w:rsid w:val="00A8707F"/>
    <w:rsid w:val="00A87164"/>
    <w:rsid w:val="00A90523"/>
    <w:rsid w:val="00A9208E"/>
    <w:rsid w:val="00A92E83"/>
    <w:rsid w:val="00A93072"/>
    <w:rsid w:val="00A935E9"/>
    <w:rsid w:val="00A938B7"/>
    <w:rsid w:val="00A938BD"/>
    <w:rsid w:val="00A93953"/>
    <w:rsid w:val="00A945F1"/>
    <w:rsid w:val="00A959D8"/>
    <w:rsid w:val="00A95F76"/>
    <w:rsid w:val="00A97F9F"/>
    <w:rsid w:val="00AA0729"/>
    <w:rsid w:val="00AA113D"/>
    <w:rsid w:val="00AA34D2"/>
    <w:rsid w:val="00AA61FB"/>
    <w:rsid w:val="00AA6BD5"/>
    <w:rsid w:val="00AA6BD8"/>
    <w:rsid w:val="00AA6C7D"/>
    <w:rsid w:val="00AA6F92"/>
    <w:rsid w:val="00AA73BF"/>
    <w:rsid w:val="00AA79C0"/>
    <w:rsid w:val="00AA7ABD"/>
    <w:rsid w:val="00AA7FD6"/>
    <w:rsid w:val="00AB042A"/>
    <w:rsid w:val="00AB17D5"/>
    <w:rsid w:val="00AB19EF"/>
    <w:rsid w:val="00AB2CEE"/>
    <w:rsid w:val="00AB2D34"/>
    <w:rsid w:val="00AB2FA4"/>
    <w:rsid w:val="00AB3430"/>
    <w:rsid w:val="00AB37B9"/>
    <w:rsid w:val="00AB402E"/>
    <w:rsid w:val="00AB48F9"/>
    <w:rsid w:val="00AB4AD1"/>
    <w:rsid w:val="00AB52C9"/>
    <w:rsid w:val="00AB5E07"/>
    <w:rsid w:val="00AB7CFA"/>
    <w:rsid w:val="00AB7DFD"/>
    <w:rsid w:val="00AC135A"/>
    <w:rsid w:val="00AC228F"/>
    <w:rsid w:val="00AC49BF"/>
    <w:rsid w:val="00AC559F"/>
    <w:rsid w:val="00AC5B48"/>
    <w:rsid w:val="00AC64BB"/>
    <w:rsid w:val="00AC6735"/>
    <w:rsid w:val="00AC78C4"/>
    <w:rsid w:val="00AD1450"/>
    <w:rsid w:val="00AD2FE2"/>
    <w:rsid w:val="00AD406F"/>
    <w:rsid w:val="00AD52CA"/>
    <w:rsid w:val="00AD603C"/>
    <w:rsid w:val="00AD63D9"/>
    <w:rsid w:val="00AD6502"/>
    <w:rsid w:val="00AE0695"/>
    <w:rsid w:val="00AE1F5F"/>
    <w:rsid w:val="00AE3E7E"/>
    <w:rsid w:val="00AE3E91"/>
    <w:rsid w:val="00AE455A"/>
    <w:rsid w:val="00AE4B21"/>
    <w:rsid w:val="00AE6438"/>
    <w:rsid w:val="00AE689B"/>
    <w:rsid w:val="00AF1315"/>
    <w:rsid w:val="00AF19BF"/>
    <w:rsid w:val="00AF1BB7"/>
    <w:rsid w:val="00AF25D4"/>
    <w:rsid w:val="00AF2DC3"/>
    <w:rsid w:val="00AF3FED"/>
    <w:rsid w:val="00AF5712"/>
    <w:rsid w:val="00AF5C8F"/>
    <w:rsid w:val="00AF6104"/>
    <w:rsid w:val="00AF7052"/>
    <w:rsid w:val="00AF7D11"/>
    <w:rsid w:val="00B00DDC"/>
    <w:rsid w:val="00B0235B"/>
    <w:rsid w:val="00B02383"/>
    <w:rsid w:val="00B029D1"/>
    <w:rsid w:val="00B033E5"/>
    <w:rsid w:val="00B03A63"/>
    <w:rsid w:val="00B049A7"/>
    <w:rsid w:val="00B061C5"/>
    <w:rsid w:val="00B06B7F"/>
    <w:rsid w:val="00B06CAC"/>
    <w:rsid w:val="00B07E6D"/>
    <w:rsid w:val="00B10C4B"/>
    <w:rsid w:val="00B10DF3"/>
    <w:rsid w:val="00B11616"/>
    <w:rsid w:val="00B12207"/>
    <w:rsid w:val="00B14D3A"/>
    <w:rsid w:val="00B16D4D"/>
    <w:rsid w:val="00B171EA"/>
    <w:rsid w:val="00B178A2"/>
    <w:rsid w:val="00B201A4"/>
    <w:rsid w:val="00B201D1"/>
    <w:rsid w:val="00B208B3"/>
    <w:rsid w:val="00B213A6"/>
    <w:rsid w:val="00B21E44"/>
    <w:rsid w:val="00B23232"/>
    <w:rsid w:val="00B235B0"/>
    <w:rsid w:val="00B24DF6"/>
    <w:rsid w:val="00B275D0"/>
    <w:rsid w:val="00B30100"/>
    <w:rsid w:val="00B314A3"/>
    <w:rsid w:val="00B31710"/>
    <w:rsid w:val="00B31EB1"/>
    <w:rsid w:val="00B322EE"/>
    <w:rsid w:val="00B324ED"/>
    <w:rsid w:val="00B327DE"/>
    <w:rsid w:val="00B336E4"/>
    <w:rsid w:val="00B3480F"/>
    <w:rsid w:val="00B34FE2"/>
    <w:rsid w:val="00B35166"/>
    <w:rsid w:val="00B357D8"/>
    <w:rsid w:val="00B360F4"/>
    <w:rsid w:val="00B36A00"/>
    <w:rsid w:val="00B36D0C"/>
    <w:rsid w:val="00B3757D"/>
    <w:rsid w:val="00B37BFC"/>
    <w:rsid w:val="00B40358"/>
    <w:rsid w:val="00B41238"/>
    <w:rsid w:val="00B415C4"/>
    <w:rsid w:val="00B41614"/>
    <w:rsid w:val="00B416F1"/>
    <w:rsid w:val="00B4281B"/>
    <w:rsid w:val="00B42851"/>
    <w:rsid w:val="00B429E4"/>
    <w:rsid w:val="00B42D94"/>
    <w:rsid w:val="00B42F80"/>
    <w:rsid w:val="00B435CB"/>
    <w:rsid w:val="00B4396C"/>
    <w:rsid w:val="00B439BE"/>
    <w:rsid w:val="00B447B0"/>
    <w:rsid w:val="00B45F59"/>
    <w:rsid w:val="00B4736A"/>
    <w:rsid w:val="00B505C8"/>
    <w:rsid w:val="00B50DB8"/>
    <w:rsid w:val="00B534ED"/>
    <w:rsid w:val="00B53654"/>
    <w:rsid w:val="00B53905"/>
    <w:rsid w:val="00B53CAE"/>
    <w:rsid w:val="00B54B5B"/>
    <w:rsid w:val="00B5533D"/>
    <w:rsid w:val="00B5562E"/>
    <w:rsid w:val="00B558E8"/>
    <w:rsid w:val="00B55D65"/>
    <w:rsid w:val="00B57000"/>
    <w:rsid w:val="00B571BE"/>
    <w:rsid w:val="00B577A8"/>
    <w:rsid w:val="00B60939"/>
    <w:rsid w:val="00B60AFD"/>
    <w:rsid w:val="00B60F13"/>
    <w:rsid w:val="00B61228"/>
    <w:rsid w:val="00B61C30"/>
    <w:rsid w:val="00B62715"/>
    <w:rsid w:val="00B65487"/>
    <w:rsid w:val="00B65611"/>
    <w:rsid w:val="00B65D96"/>
    <w:rsid w:val="00B70583"/>
    <w:rsid w:val="00B70E8E"/>
    <w:rsid w:val="00B7177B"/>
    <w:rsid w:val="00B731B6"/>
    <w:rsid w:val="00B7354A"/>
    <w:rsid w:val="00B74457"/>
    <w:rsid w:val="00B755DC"/>
    <w:rsid w:val="00B75970"/>
    <w:rsid w:val="00B767BE"/>
    <w:rsid w:val="00B76C92"/>
    <w:rsid w:val="00B7708B"/>
    <w:rsid w:val="00B7733F"/>
    <w:rsid w:val="00B7777F"/>
    <w:rsid w:val="00B80776"/>
    <w:rsid w:val="00B80EC6"/>
    <w:rsid w:val="00B818A4"/>
    <w:rsid w:val="00B82CC1"/>
    <w:rsid w:val="00B83606"/>
    <w:rsid w:val="00B84117"/>
    <w:rsid w:val="00B84EE2"/>
    <w:rsid w:val="00B84FEB"/>
    <w:rsid w:val="00B858F0"/>
    <w:rsid w:val="00B85AA2"/>
    <w:rsid w:val="00B8649C"/>
    <w:rsid w:val="00B8695D"/>
    <w:rsid w:val="00B86D87"/>
    <w:rsid w:val="00B87C76"/>
    <w:rsid w:val="00B87F0A"/>
    <w:rsid w:val="00B90D76"/>
    <w:rsid w:val="00B90E3A"/>
    <w:rsid w:val="00B90F3C"/>
    <w:rsid w:val="00B91154"/>
    <w:rsid w:val="00B92D0B"/>
    <w:rsid w:val="00B9320F"/>
    <w:rsid w:val="00B94523"/>
    <w:rsid w:val="00B94945"/>
    <w:rsid w:val="00B94DD6"/>
    <w:rsid w:val="00B95799"/>
    <w:rsid w:val="00B95E62"/>
    <w:rsid w:val="00B96D22"/>
    <w:rsid w:val="00B97242"/>
    <w:rsid w:val="00BA2435"/>
    <w:rsid w:val="00BA322D"/>
    <w:rsid w:val="00BA3FE7"/>
    <w:rsid w:val="00BA4356"/>
    <w:rsid w:val="00BA4375"/>
    <w:rsid w:val="00BA63FA"/>
    <w:rsid w:val="00BB00B3"/>
    <w:rsid w:val="00BB0BDD"/>
    <w:rsid w:val="00BB176C"/>
    <w:rsid w:val="00BB2A73"/>
    <w:rsid w:val="00BB2CE8"/>
    <w:rsid w:val="00BB2F7C"/>
    <w:rsid w:val="00BB385C"/>
    <w:rsid w:val="00BB3A45"/>
    <w:rsid w:val="00BB4ACC"/>
    <w:rsid w:val="00BB4EA5"/>
    <w:rsid w:val="00BB578A"/>
    <w:rsid w:val="00BB6554"/>
    <w:rsid w:val="00BB6698"/>
    <w:rsid w:val="00BB703E"/>
    <w:rsid w:val="00BB732D"/>
    <w:rsid w:val="00BB7405"/>
    <w:rsid w:val="00BB7822"/>
    <w:rsid w:val="00BB7DA0"/>
    <w:rsid w:val="00BB7FA0"/>
    <w:rsid w:val="00BC0212"/>
    <w:rsid w:val="00BC3631"/>
    <w:rsid w:val="00BC591F"/>
    <w:rsid w:val="00BC79C2"/>
    <w:rsid w:val="00BC7D6D"/>
    <w:rsid w:val="00BD18B9"/>
    <w:rsid w:val="00BD19A3"/>
    <w:rsid w:val="00BD2108"/>
    <w:rsid w:val="00BD3F18"/>
    <w:rsid w:val="00BD42CD"/>
    <w:rsid w:val="00BD628C"/>
    <w:rsid w:val="00BD68A3"/>
    <w:rsid w:val="00BD6938"/>
    <w:rsid w:val="00BD6C2F"/>
    <w:rsid w:val="00BD6CF3"/>
    <w:rsid w:val="00BE0697"/>
    <w:rsid w:val="00BE0AEE"/>
    <w:rsid w:val="00BE0ECA"/>
    <w:rsid w:val="00BE1BE8"/>
    <w:rsid w:val="00BE2180"/>
    <w:rsid w:val="00BE21F2"/>
    <w:rsid w:val="00BE292B"/>
    <w:rsid w:val="00BE41FE"/>
    <w:rsid w:val="00BE4275"/>
    <w:rsid w:val="00BE6265"/>
    <w:rsid w:val="00BF06AE"/>
    <w:rsid w:val="00BF0DD8"/>
    <w:rsid w:val="00BF0F95"/>
    <w:rsid w:val="00BF2433"/>
    <w:rsid w:val="00BF3072"/>
    <w:rsid w:val="00BF4A16"/>
    <w:rsid w:val="00BF4CAF"/>
    <w:rsid w:val="00BF528A"/>
    <w:rsid w:val="00BF61C9"/>
    <w:rsid w:val="00BF6C94"/>
    <w:rsid w:val="00BF6D55"/>
    <w:rsid w:val="00BF701F"/>
    <w:rsid w:val="00BF7B2B"/>
    <w:rsid w:val="00C00424"/>
    <w:rsid w:val="00C028F7"/>
    <w:rsid w:val="00C02BF2"/>
    <w:rsid w:val="00C034D9"/>
    <w:rsid w:val="00C04438"/>
    <w:rsid w:val="00C04A5F"/>
    <w:rsid w:val="00C0670E"/>
    <w:rsid w:val="00C0697E"/>
    <w:rsid w:val="00C108F6"/>
    <w:rsid w:val="00C1179F"/>
    <w:rsid w:val="00C12AD0"/>
    <w:rsid w:val="00C12C14"/>
    <w:rsid w:val="00C12D45"/>
    <w:rsid w:val="00C14D52"/>
    <w:rsid w:val="00C15F04"/>
    <w:rsid w:val="00C179B3"/>
    <w:rsid w:val="00C17E3F"/>
    <w:rsid w:val="00C200AA"/>
    <w:rsid w:val="00C201B9"/>
    <w:rsid w:val="00C2091D"/>
    <w:rsid w:val="00C209A8"/>
    <w:rsid w:val="00C22B86"/>
    <w:rsid w:val="00C237ED"/>
    <w:rsid w:val="00C24632"/>
    <w:rsid w:val="00C24FD2"/>
    <w:rsid w:val="00C25418"/>
    <w:rsid w:val="00C25D9C"/>
    <w:rsid w:val="00C25F2D"/>
    <w:rsid w:val="00C2778B"/>
    <w:rsid w:val="00C30158"/>
    <w:rsid w:val="00C31078"/>
    <w:rsid w:val="00C313D0"/>
    <w:rsid w:val="00C31649"/>
    <w:rsid w:val="00C31C82"/>
    <w:rsid w:val="00C31F7D"/>
    <w:rsid w:val="00C331AF"/>
    <w:rsid w:val="00C3434C"/>
    <w:rsid w:val="00C34691"/>
    <w:rsid w:val="00C347BD"/>
    <w:rsid w:val="00C357EE"/>
    <w:rsid w:val="00C376E2"/>
    <w:rsid w:val="00C40280"/>
    <w:rsid w:val="00C40385"/>
    <w:rsid w:val="00C40907"/>
    <w:rsid w:val="00C40F34"/>
    <w:rsid w:val="00C4111F"/>
    <w:rsid w:val="00C41768"/>
    <w:rsid w:val="00C41B68"/>
    <w:rsid w:val="00C475AA"/>
    <w:rsid w:val="00C50746"/>
    <w:rsid w:val="00C51964"/>
    <w:rsid w:val="00C53C98"/>
    <w:rsid w:val="00C5522F"/>
    <w:rsid w:val="00C55E06"/>
    <w:rsid w:val="00C560B0"/>
    <w:rsid w:val="00C563D2"/>
    <w:rsid w:val="00C56FCF"/>
    <w:rsid w:val="00C571DF"/>
    <w:rsid w:val="00C57B6C"/>
    <w:rsid w:val="00C628A6"/>
    <w:rsid w:val="00C64344"/>
    <w:rsid w:val="00C64CC4"/>
    <w:rsid w:val="00C64DEF"/>
    <w:rsid w:val="00C64FD8"/>
    <w:rsid w:val="00C65108"/>
    <w:rsid w:val="00C65576"/>
    <w:rsid w:val="00C66165"/>
    <w:rsid w:val="00C66278"/>
    <w:rsid w:val="00C670DE"/>
    <w:rsid w:val="00C7060A"/>
    <w:rsid w:val="00C70E62"/>
    <w:rsid w:val="00C70F74"/>
    <w:rsid w:val="00C7151A"/>
    <w:rsid w:val="00C717E3"/>
    <w:rsid w:val="00C71C29"/>
    <w:rsid w:val="00C71F60"/>
    <w:rsid w:val="00C72241"/>
    <w:rsid w:val="00C724BC"/>
    <w:rsid w:val="00C72818"/>
    <w:rsid w:val="00C73AA6"/>
    <w:rsid w:val="00C74BF5"/>
    <w:rsid w:val="00C750C8"/>
    <w:rsid w:val="00C75342"/>
    <w:rsid w:val="00C753BC"/>
    <w:rsid w:val="00C7560F"/>
    <w:rsid w:val="00C767EF"/>
    <w:rsid w:val="00C769CD"/>
    <w:rsid w:val="00C776E7"/>
    <w:rsid w:val="00C80851"/>
    <w:rsid w:val="00C80A0E"/>
    <w:rsid w:val="00C80ECE"/>
    <w:rsid w:val="00C8121B"/>
    <w:rsid w:val="00C81694"/>
    <w:rsid w:val="00C81EC3"/>
    <w:rsid w:val="00C8213F"/>
    <w:rsid w:val="00C85150"/>
    <w:rsid w:val="00C85154"/>
    <w:rsid w:val="00C867FA"/>
    <w:rsid w:val="00C8692E"/>
    <w:rsid w:val="00C8797A"/>
    <w:rsid w:val="00C900B8"/>
    <w:rsid w:val="00C90117"/>
    <w:rsid w:val="00C90129"/>
    <w:rsid w:val="00C903B4"/>
    <w:rsid w:val="00C907D5"/>
    <w:rsid w:val="00C90C71"/>
    <w:rsid w:val="00C91FD1"/>
    <w:rsid w:val="00C931CF"/>
    <w:rsid w:val="00C935D5"/>
    <w:rsid w:val="00C938CF"/>
    <w:rsid w:val="00C94053"/>
    <w:rsid w:val="00C94EB8"/>
    <w:rsid w:val="00C9624D"/>
    <w:rsid w:val="00C969DA"/>
    <w:rsid w:val="00C96A23"/>
    <w:rsid w:val="00C96E81"/>
    <w:rsid w:val="00C97758"/>
    <w:rsid w:val="00CA0C3F"/>
    <w:rsid w:val="00CA264C"/>
    <w:rsid w:val="00CA2C77"/>
    <w:rsid w:val="00CA444F"/>
    <w:rsid w:val="00CA44EE"/>
    <w:rsid w:val="00CA5245"/>
    <w:rsid w:val="00CA702E"/>
    <w:rsid w:val="00CA71F4"/>
    <w:rsid w:val="00CA72A2"/>
    <w:rsid w:val="00CA7491"/>
    <w:rsid w:val="00CA75C4"/>
    <w:rsid w:val="00CA7B09"/>
    <w:rsid w:val="00CB06BF"/>
    <w:rsid w:val="00CB0954"/>
    <w:rsid w:val="00CB12A5"/>
    <w:rsid w:val="00CB1CAC"/>
    <w:rsid w:val="00CB1D40"/>
    <w:rsid w:val="00CB2F2A"/>
    <w:rsid w:val="00CB39EA"/>
    <w:rsid w:val="00CB5437"/>
    <w:rsid w:val="00CB5824"/>
    <w:rsid w:val="00CB5B1A"/>
    <w:rsid w:val="00CB5B37"/>
    <w:rsid w:val="00CB60A0"/>
    <w:rsid w:val="00CB697B"/>
    <w:rsid w:val="00CB6B22"/>
    <w:rsid w:val="00CB6F43"/>
    <w:rsid w:val="00CB751C"/>
    <w:rsid w:val="00CB7F5F"/>
    <w:rsid w:val="00CC11A6"/>
    <w:rsid w:val="00CC1B39"/>
    <w:rsid w:val="00CC35EA"/>
    <w:rsid w:val="00CC3848"/>
    <w:rsid w:val="00CC5F9E"/>
    <w:rsid w:val="00CC6679"/>
    <w:rsid w:val="00CC6D77"/>
    <w:rsid w:val="00CD059E"/>
    <w:rsid w:val="00CD1A30"/>
    <w:rsid w:val="00CD1B42"/>
    <w:rsid w:val="00CD2FDD"/>
    <w:rsid w:val="00CD3213"/>
    <w:rsid w:val="00CD3F77"/>
    <w:rsid w:val="00CD6245"/>
    <w:rsid w:val="00CD6505"/>
    <w:rsid w:val="00CD697C"/>
    <w:rsid w:val="00CD6ADC"/>
    <w:rsid w:val="00CD7193"/>
    <w:rsid w:val="00CD7339"/>
    <w:rsid w:val="00CE022C"/>
    <w:rsid w:val="00CE19F3"/>
    <w:rsid w:val="00CE1B7D"/>
    <w:rsid w:val="00CE38C8"/>
    <w:rsid w:val="00CE4023"/>
    <w:rsid w:val="00CE43D4"/>
    <w:rsid w:val="00CE4BE9"/>
    <w:rsid w:val="00CE5116"/>
    <w:rsid w:val="00CE6070"/>
    <w:rsid w:val="00CE6274"/>
    <w:rsid w:val="00CE69AA"/>
    <w:rsid w:val="00CE6EAF"/>
    <w:rsid w:val="00CE77B6"/>
    <w:rsid w:val="00CF1CE6"/>
    <w:rsid w:val="00CF2B8D"/>
    <w:rsid w:val="00CF3E24"/>
    <w:rsid w:val="00CF456B"/>
    <w:rsid w:val="00CF5A22"/>
    <w:rsid w:val="00CF5F0B"/>
    <w:rsid w:val="00CF6DA4"/>
    <w:rsid w:val="00CF7A42"/>
    <w:rsid w:val="00D0163C"/>
    <w:rsid w:val="00D016F3"/>
    <w:rsid w:val="00D01E15"/>
    <w:rsid w:val="00D0262E"/>
    <w:rsid w:val="00D05A30"/>
    <w:rsid w:val="00D05E3D"/>
    <w:rsid w:val="00D06139"/>
    <w:rsid w:val="00D06A37"/>
    <w:rsid w:val="00D07D84"/>
    <w:rsid w:val="00D07ED6"/>
    <w:rsid w:val="00D10086"/>
    <w:rsid w:val="00D1071D"/>
    <w:rsid w:val="00D10769"/>
    <w:rsid w:val="00D110BD"/>
    <w:rsid w:val="00D125D6"/>
    <w:rsid w:val="00D12808"/>
    <w:rsid w:val="00D13675"/>
    <w:rsid w:val="00D141E1"/>
    <w:rsid w:val="00D14E64"/>
    <w:rsid w:val="00D15314"/>
    <w:rsid w:val="00D15C39"/>
    <w:rsid w:val="00D17184"/>
    <w:rsid w:val="00D17D6C"/>
    <w:rsid w:val="00D2115B"/>
    <w:rsid w:val="00D2155B"/>
    <w:rsid w:val="00D215A6"/>
    <w:rsid w:val="00D23A0A"/>
    <w:rsid w:val="00D23D11"/>
    <w:rsid w:val="00D244B6"/>
    <w:rsid w:val="00D261F4"/>
    <w:rsid w:val="00D268B7"/>
    <w:rsid w:val="00D26A01"/>
    <w:rsid w:val="00D2754D"/>
    <w:rsid w:val="00D27A72"/>
    <w:rsid w:val="00D27B27"/>
    <w:rsid w:val="00D30B35"/>
    <w:rsid w:val="00D30C9E"/>
    <w:rsid w:val="00D30E91"/>
    <w:rsid w:val="00D31D44"/>
    <w:rsid w:val="00D32EF1"/>
    <w:rsid w:val="00D33BE9"/>
    <w:rsid w:val="00D33F93"/>
    <w:rsid w:val="00D3432F"/>
    <w:rsid w:val="00D357FF"/>
    <w:rsid w:val="00D35E77"/>
    <w:rsid w:val="00D4064A"/>
    <w:rsid w:val="00D41E60"/>
    <w:rsid w:val="00D424C7"/>
    <w:rsid w:val="00D432E3"/>
    <w:rsid w:val="00D43862"/>
    <w:rsid w:val="00D43B2A"/>
    <w:rsid w:val="00D43D83"/>
    <w:rsid w:val="00D441DE"/>
    <w:rsid w:val="00D4440E"/>
    <w:rsid w:val="00D44BD6"/>
    <w:rsid w:val="00D4554A"/>
    <w:rsid w:val="00D4576A"/>
    <w:rsid w:val="00D47575"/>
    <w:rsid w:val="00D510A8"/>
    <w:rsid w:val="00D51A10"/>
    <w:rsid w:val="00D51BB9"/>
    <w:rsid w:val="00D5243B"/>
    <w:rsid w:val="00D52474"/>
    <w:rsid w:val="00D533EC"/>
    <w:rsid w:val="00D543AD"/>
    <w:rsid w:val="00D557CE"/>
    <w:rsid w:val="00D56A34"/>
    <w:rsid w:val="00D56A95"/>
    <w:rsid w:val="00D61CD4"/>
    <w:rsid w:val="00D63C12"/>
    <w:rsid w:val="00D658BA"/>
    <w:rsid w:val="00D6658C"/>
    <w:rsid w:val="00D6693A"/>
    <w:rsid w:val="00D70561"/>
    <w:rsid w:val="00D70F16"/>
    <w:rsid w:val="00D71F53"/>
    <w:rsid w:val="00D72F57"/>
    <w:rsid w:val="00D73833"/>
    <w:rsid w:val="00D7599C"/>
    <w:rsid w:val="00D76933"/>
    <w:rsid w:val="00D76A44"/>
    <w:rsid w:val="00D76C02"/>
    <w:rsid w:val="00D7741E"/>
    <w:rsid w:val="00D815EF"/>
    <w:rsid w:val="00D819B1"/>
    <w:rsid w:val="00D81F26"/>
    <w:rsid w:val="00D82905"/>
    <w:rsid w:val="00D82A31"/>
    <w:rsid w:val="00D841A1"/>
    <w:rsid w:val="00D85FF8"/>
    <w:rsid w:val="00D860E2"/>
    <w:rsid w:val="00D86231"/>
    <w:rsid w:val="00D87E68"/>
    <w:rsid w:val="00D906A8"/>
    <w:rsid w:val="00D90EE1"/>
    <w:rsid w:val="00D9102A"/>
    <w:rsid w:val="00D91923"/>
    <w:rsid w:val="00D93753"/>
    <w:rsid w:val="00D95A59"/>
    <w:rsid w:val="00D963C7"/>
    <w:rsid w:val="00D96F0A"/>
    <w:rsid w:val="00DA01DB"/>
    <w:rsid w:val="00DA103E"/>
    <w:rsid w:val="00DA3167"/>
    <w:rsid w:val="00DA4DC3"/>
    <w:rsid w:val="00DA590E"/>
    <w:rsid w:val="00DA6E13"/>
    <w:rsid w:val="00DA71A7"/>
    <w:rsid w:val="00DA77A5"/>
    <w:rsid w:val="00DB0933"/>
    <w:rsid w:val="00DB2370"/>
    <w:rsid w:val="00DB396B"/>
    <w:rsid w:val="00DB3DBF"/>
    <w:rsid w:val="00DB484F"/>
    <w:rsid w:val="00DB5108"/>
    <w:rsid w:val="00DB6477"/>
    <w:rsid w:val="00DC04F6"/>
    <w:rsid w:val="00DC0690"/>
    <w:rsid w:val="00DC075F"/>
    <w:rsid w:val="00DC0795"/>
    <w:rsid w:val="00DC1B9B"/>
    <w:rsid w:val="00DC1D65"/>
    <w:rsid w:val="00DC22B5"/>
    <w:rsid w:val="00DC3869"/>
    <w:rsid w:val="00DC3C57"/>
    <w:rsid w:val="00DC4AC4"/>
    <w:rsid w:val="00DC5501"/>
    <w:rsid w:val="00DC7154"/>
    <w:rsid w:val="00DC7A04"/>
    <w:rsid w:val="00DC7E8A"/>
    <w:rsid w:val="00DD0F78"/>
    <w:rsid w:val="00DD273C"/>
    <w:rsid w:val="00DD3230"/>
    <w:rsid w:val="00DD3F28"/>
    <w:rsid w:val="00DD4537"/>
    <w:rsid w:val="00DD4E15"/>
    <w:rsid w:val="00DD572E"/>
    <w:rsid w:val="00DD65B6"/>
    <w:rsid w:val="00DD74F7"/>
    <w:rsid w:val="00DD7675"/>
    <w:rsid w:val="00DD7CED"/>
    <w:rsid w:val="00DE2304"/>
    <w:rsid w:val="00DE2839"/>
    <w:rsid w:val="00DE286E"/>
    <w:rsid w:val="00DE2B37"/>
    <w:rsid w:val="00DE3138"/>
    <w:rsid w:val="00DE37F8"/>
    <w:rsid w:val="00DE3E32"/>
    <w:rsid w:val="00DE4FCB"/>
    <w:rsid w:val="00DE5D07"/>
    <w:rsid w:val="00DE72A7"/>
    <w:rsid w:val="00DE7832"/>
    <w:rsid w:val="00DE7FA3"/>
    <w:rsid w:val="00DF090F"/>
    <w:rsid w:val="00DF0DA7"/>
    <w:rsid w:val="00DF18FC"/>
    <w:rsid w:val="00DF3D74"/>
    <w:rsid w:val="00DF4399"/>
    <w:rsid w:val="00DF5732"/>
    <w:rsid w:val="00DF5758"/>
    <w:rsid w:val="00DF5D2B"/>
    <w:rsid w:val="00DF6C1F"/>
    <w:rsid w:val="00E00E8E"/>
    <w:rsid w:val="00E02046"/>
    <w:rsid w:val="00E0300B"/>
    <w:rsid w:val="00E04EE1"/>
    <w:rsid w:val="00E05630"/>
    <w:rsid w:val="00E05C57"/>
    <w:rsid w:val="00E05E50"/>
    <w:rsid w:val="00E06DBB"/>
    <w:rsid w:val="00E10149"/>
    <w:rsid w:val="00E10A43"/>
    <w:rsid w:val="00E10BC1"/>
    <w:rsid w:val="00E11340"/>
    <w:rsid w:val="00E122A1"/>
    <w:rsid w:val="00E13108"/>
    <w:rsid w:val="00E1324B"/>
    <w:rsid w:val="00E15F53"/>
    <w:rsid w:val="00E16372"/>
    <w:rsid w:val="00E202D6"/>
    <w:rsid w:val="00E20E4D"/>
    <w:rsid w:val="00E20ED6"/>
    <w:rsid w:val="00E21358"/>
    <w:rsid w:val="00E22173"/>
    <w:rsid w:val="00E2249B"/>
    <w:rsid w:val="00E22A0D"/>
    <w:rsid w:val="00E23AAE"/>
    <w:rsid w:val="00E23B78"/>
    <w:rsid w:val="00E244EA"/>
    <w:rsid w:val="00E244F6"/>
    <w:rsid w:val="00E24B80"/>
    <w:rsid w:val="00E251B8"/>
    <w:rsid w:val="00E2648C"/>
    <w:rsid w:val="00E26810"/>
    <w:rsid w:val="00E26852"/>
    <w:rsid w:val="00E2771E"/>
    <w:rsid w:val="00E27C4E"/>
    <w:rsid w:val="00E3001C"/>
    <w:rsid w:val="00E302BC"/>
    <w:rsid w:val="00E3080D"/>
    <w:rsid w:val="00E308CE"/>
    <w:rsid w:val="00E309AD"/>
    <w:rsid w:val="00E30DC9"/>
    <w:rsid w:val="00E311EF"/>
    <w:rsid w:val="00E3132C"/>
    <w:rsid w:val="00E3146B"/>
    <w:rsid w:val="00E31F36"/>
    <w:rsid w:val="00E32002"/>
    <w:rsid w:val="00E32180"/>
    <w:rsid w:val="00E3266E"/>
    <w:rsid w:val="00E34948"/>
    <w:rsid w:val="00E35C5A"/>
    <w:rsid w:val="00E37363"/>
    <w:rsid w:val="00E37569"/>
    <w:rsid w:val="00E379DE"/>
    <w:rsid w:val="00E401B2"/>
    <w:rsid w:val="00E40DEB"/>
    <w:rsid w:val="00E40EDA"/>
    <w:rsid w:val="00E41E30"/>
    <w:rsid w:val="00E421E0"/>
    <w:rsid w:val="00E42F73"/>
    <w:rsid w:val="00E43357"/>
    <w:rsid w:val="00E43383"/>
    <w:rsid w:val="00E43D70"/>
    <w:rsid w:val="00E43D74"/>
    <w:rsid w:val="00E441FC"/>
    <w:rsid w:val="00E4446B"/>
    <w:rsid w:val="00E4464B"/>
    <w:rsid w:val="00E44E9B"/>
    <w:rsid w:val="00E45F5A"/>
    <w:rsid w:val="00E466F3"/>
    <w:rsid w:val="00E47B2C"/>
    <w:rsid w:val="00E51560"/>
    <w:rsid w:val="00E515FB"/>
    <w:rsid w:val="00E51965"/>
    <w:rsid w:val="00E53FC8"/>
    <w:rsid w:val="00E54347"/>
    <w:rsid w:val="00E54E9A"/>
    <w:rsid w:val="00E55424"/>
    <w:rsid w:val="00E55915"/>
    <w:rsid w:val="00E55BB5"/>
    <w:rsid w:val="00E57BD6"/>
    <w:rsid w:val="00E57BF2"/>
    <w:rsid w:val="00E627CE"/>
    <w:rsid w:val="00E63590"/>
    <w:rsid w:val="00E636E3"/>
    <w:rsid w:val="00E658D6"/>
    <w:rsid w:val="00E65E79"/>
    <w:rsid w:val="00E668B2"/>
    <w:rsid w:val="00E66BA2"/>
    <w:rsid w:val="00E67416"/>
    <w:rsid w:val="00E6787F"/>
    <w:rsid w:val="00E7058C"/>
    <w:rsid w:val="00E70C9B"/>
    <w:rsid w:val="00E71269"/>
    <w:rsid w:val="00E718B6"/>
    <w:rsid w:val="00E723BA"/>
    <w:rsid w:val="00E73581"/>
    <w:rsid w:val="00E7430C"/>
    <w:rsid w:val="00E74443"/>
    <w:rsid w:val="00E7590D"/>
    <w:rsid w:val="00E75913"/>
    <w:rsid w:val="00E75D04"/>
    <w:rsid w:val="00E76711"/>
    <w:rsid w:val="00E772F3"/>
    <w:rsid w:val="00E774AD"/>
    <w:rsid w:val="00E80257"/>
    <w:rsid w:val="00E8071F"/>
    <w:rsid w:val="00E81B0D"/>
    <w:rsid w:val="00E833F7"/>
    <w:rsid w:val="00E83711"/>
    <w:rsid w:val="00E83BDF"/>
    <w:rsid w:val="00E856DB"/>
    <w:rsid w:val="00E857CA"/>
    <w:rsid w:val="00E859FC"/>
    <w:rsid w:val="00E86E8D"/>
    <w:rsid w:val="00E87217"/>
    <w:rsid w:val="00E87A1D"/>
    <w:rsid w:val="00E87AF2"/>
    <w:rsid w:val="00E90544"/>
    <w:rsid w:val="00E9094A"/>
    <w:rsid w:val="00E91D35"/>
    <w:rsid w:val="00E926A5"/>
    <w:rsid w:val="00E95F8D"/>
    <w:rsid w:val="00E97984"/>
    <w:rsid w:val="00EA0B96"/>
    <w:rsid w:val="00EA1570"/>
    <w:rsid w:val="00EA17C3"/>
    <w:rsid w:val="00EA29FB"/>
    <w:rsid w:val="00EA2CAA"/>
    <w:rsid w:val="00EA2EA3"/>
    <w:rsid w:val="00EA3217"/>
    <w:rsid w:val="00EA340F"/>
    <w:rsid w:val="00EA35B1"/>
    <w:rsid w:val="00EA3837"/>
    <w:rsid w:val="00EA3864"/>
    <w:rsid w:val="00EA3AD1"/>
    <w:rsid w:val="00EA429F"/>
    <w:rsid w:val="00EA4D28"/>
    <w:rsid w:val="00EA4DB6"/>
    <w:rsid w:val="00EA7DB6"/>
    <w:rsid w:val="00EA7F1C"/>
    <w:rsid w:val="00EB15B6"/>
    <w:rsid w:val="00EB1928"/>
    <w:rsid w:val="00EB2B93"/>
    <w:rsid w:val="00EB353C"/>
    <w:rsid w:val="00EB3D06"/>
    <w:rsid w:val="00EB4916"/>
    <w:rsid w:val="00EB7B39"/>
    <w:rsid w:val="00EC00C9"/>
    <w:rsid w:val="00EC0DD9"/>
    <w:rsid w:val="00EC2649"/>
    <w:rsid w:val="00EC31ED"/>
    <w:rsid w:val="00EC5000"/>
    <w:rsid w:val="00EC5836"/>
    <w:rsid w:val="00EC5C24"/>
    <w:rsid w:val="00EC61E5"/>
    <w:rsid w:val="00EC63B9"/>
    <w:rsid w:val="00EC688C"/>
    <w:rsid w:val="00EC79FB"/>
    <w:rsid w:val="00ED0079"/>
    <w:rsid w:val="00ED1A5D"/>
    <w:rsid w:val="00ED388C"/>
    <w:rsid w:val="00ED4A0E"/>
    <w:rsid w:val="00ED5016"/>
    <w:rsid w:val="00ED57EA"/>
    <w:rsid w:val="00ED5BD4"/>
    <w:rsid w:val="00ED5DCB"/>
    <w:rsid w:val="00ED629E"/>
    <w:rsid w:val="00ED70A0"/>
    <w:rsid w:val="00EE07D3"/>
    <w:rsid w:val="00EE09AF"/>
    <w:rsid w:val="00EE1996"/>
    <w:rsid w:val="00EE1C01"/>
    <w:rsid w:val="00EE203B"/>
    <w:rsid w:val="00EE22AF"/>
    <w:rsid w:val="00EE34FE"/>
    <w:rsid w:val="00EE405F"/>
    <w:rsid w:val="00EE70A7"/>
    <w:rsid w:val="00EE715C"/>
    <w:rsid w:val="00EE7264"/>
    <w:rsid w:val="00EE7D0B"/>
    <w:rsid w:val="00EF0171"/>
    <w:rsid w:val="00EF0BB5"/>
    <w:rsid w:val="00EF0CC2"/>
    <w:rsid w:val="00EF1B25"/>
    <w:rsid w:val="00EF1DA0"/>
    <w:rsid w:val="00EF1E9D"/>
    <w:rsid w:val="00EF22B3"/>
    <w:rsid w:val="00EF3AF6"/>
    <w:rsid w:val="00EF4747"/>
    <w:rsid w:val="00EF4BF8"/>
    <w:rsid w:val="00EF6C86"/>
    <w:rsid w:val="00F014F6"/>
    <w:rsid w:val="00F02253"/>
    <w:rsid w:val="00F03C2E"/>
    <w:rsid w:val="00F03FD5"/>
    <w:rsid w:val="00F04708"/>
    <w:rsid w:val="00F04A66"/>
    <w:rsid w:val="00F04B4B"/>
    <w:rsid w:val="00F0516C"/>
    <w:rsid w:val="00F0634C"/>
    <w:rsid w:val="00F067A2"/>
    <w:rsid w:val="00F07B9E"/>
    <w:rsid w:val="00F1116F"/>
    <w:rsid w:val="00F122E0"/>
    <w:rsid w:val="00F1263A"/>
    <w:rsid w:val="00F15B77"/>
    <w:rsid w:val="00F1630F"/>
    <w:rsid w:val="00F16BAF"/>
    <w:rsid w:val="00F17749"/>
    <w:rsid w:val="00F208EE"/>
    <w:rsid w:val="00F211CE"/>
    <w:rsid w:val="00F217DD"/>
    <w:rsid w:val="00F235F4"/>
    <w:rsid w:val="00F24837"/>
    <w:rsid w:val="00F248CF"/>
    <w:rsid w:val="00F2497C"/>
    <w:rsid w:val="00F249D7"/>
    <w:rsid w:val="00F2575F"/>
    <w:rsid w:val="00F25DBD"/>
    <w:rsid w:val="00F27565"/>
    <w:rsid w:val="00F31070"/>
    <w:rsid w:val="00F310D4"/>
    <w:rsid w:val="00F31D5A"/>
    <w:rsid w:val="00F33975"/>
    <w:rsid w:val="00F33DE9"/>
    <w:rsid w:val="00F33F9C"/>
    <w:rsid w:val="00F34970"/>
    <w:rsid w:val="00F35E6D"/>
    <w:rsid w:val="00F3619A"/>
    <w:rsid w:val="00F364EA"/>
    <w:rsid w:val="00F36EAE"/>
    <w:rsid w:val="00F37C04"/>
    <w:rsid w:val="00F37DCF"/>
    <w:rsid w:val="00F400E0"/>
    <w:rsid w:val="00F40AAA"/>
    <w:rsid w:val="00F40BA7"/>
    <w:rsid w:val="00F40F9D"/>
    <w:rsid w:val="00F41ACD"/>
    <w:rsid w:val="00F421BE"/>
    <w:rsid w:val="00F433A9"/>
    <w:rsid w:val="00F4395D"/>
    <w:rsid w:val="00F44E89"/>
    <w:rsid w:val="00F4698B"/>
    <w:rsid w:val="00F46CB6"/>
    <w:rsid w:val="00F4756D"/>
    <w:rsid w:val="00F475D6"/>
    <w:rsid w:val="00F47DE8"/>
    <w:rsid w:val="00F50173"/>
    <w:rsid w:val="00F51C11"/>
    <w:rsid w:val="00F52274"/>
    <w:rsid w:val="00F52956"/>
    <w:rsid w:val="00F542C1"/>
    <w:rsid w:val="00F5591C"/>
    <w:rsid w:val="00F55E73"/>
    <w:rsid w:val="00F55EDA"/>
    <w:rsid w:val="00F56973"/>
    <w:rsid w:val="00F56C80"/>
    <w:rsid w:val="00F56ED6"/>
    <w:rsid w:val="00F60092"/>
    <w:rsid w:val="00F601DA"/>
    <w:rsid w:val="00F602EB"/>
    <w:rsid w:val="00F60782"/>
    <w:rsid w:val="00F61C18"/>
    <w:rsid w:val="00F63ADD"/>
    <w:rsid w:val="00F63AE5"/>
    <w:rsid w:val="00F644F4"/>
    <w:rsid w:val="00F645E5"/>
    <w:rsid w:val="00F65F4B"/>
    <w:rsid w:val="00F66D79"/>
    <w:rsid w:val="00F66E24"/>
    <w:rsid w:val="00F67A69"/>
    <w:rsid w:val="00F70BFF"/>
    <w:rsid w:val="00F70C9D"/>
    <w:rsid w:val="00F7148D"/>
    <w:rsid w:val="00F7176D"/>
    <w:rsid w:val="00F719EA"/>
    <w:rsid w:val="00F71B3D"/>
    <w:rsid w:val="00F73527"/>
    <w:rsid w:val="00F736AA"/>
    <w:rsid w:val="00F74CD9"/>
    <w:rsid w:val="00F758F8"/>
    <w:rsid w:val="00F7689D"/>
    <w:rsid w:val="00F7763B"/>
    <w:rsid w:val="00F77911"/>
    <w:rsid w:val="00F8056E"/>
    <w:rsid w:val="00F808E2"/>
    <w:rsid w:val="00F80A7B"/>
    <w:rsid w:val="00F80E5D"/>
    <w:rsid w:val="00F813EE"/>
    <w:rsid w:val="00F81E78"/>
    <w:rsid w:val="00F82507"/>
    <w:rsid w:val="00F82C08"/>
    <w:rsid w:val="00F8313C"/>
    <w:rsid w:val="00F83660"/>
    <w:rsid w:val="00F83BC5"/>
    <w:rsid w:val="00F84DE5"/>
    <w:rsid w:val="00F851CE"/>
    <w:rsid w:val="00F855F2"/>
    <w:rsid w:val="00F85908"/>
    <w:rsid w:val="00F85B30"/>
    <w:rsid w:val="00F86F86"/>
    <w:rsid w:val="00F90044"/>
    <w:rsid w:val="00F91219"/>
    <w:rsid w:val="00F91D15"/>
    <w:rsid w:val="00F92444"/>
    <w:rsid w:val="00F9393E"/>
    <w:rsid w:val="00F94558"/>
    <w:rsid w:val="00F95372"/>
    <w:rsid w:val="00F96FD0"/>
    <w:rsid w:val="00F97285"/>
    <w:rsid w:val="00F97A78"/>
    <w:rsid w:val="00FA0B20"/>
    <w:rsid w:val="00FA14C2"/>
    <w:rsid w:val="00FA221C"/>
    <w:rsid w:val="00FA24E7"/>
    <w:rsid w:val="00FA2E83"/>
    <w:rsid w:val="00FA3B9A"/>
    <w:rsid w:val="00FA505D"/>
    <w:rsid w:val="00FA5EE6"/>
    <w:rsid w:val="00FA60CD"/>
    <w:rsid w:val="00FA653E"/>
    <w:rsid w:val="00FA7956"/>
    <w:rsid w:val="00FB083D"/>
    <w:rsid w:val="00FB13D0"/>
    <w:rsid w:val="00FB22C4"/>
    <w:rsid w:val="00FB2FCB"/>
    <w:rsid w:val="00FB31C0"/>
    <w:rsid w:val="00FB334C"/>
    <w:rsid w:val="00FB3720"/>
    <w:rsid w:val="00FB3BB0"/>
    <w:rsid w:val="00FB470B"/>
    <w:rsid w:val="00FB48A8"/>
    <w:rsid w:val="00FB5375"/>
    <w:rsid w:val="00FB659A"/>
    <w:rsid w:val="00FB6B01"/>
    <w:rsid w:val="00FB7C55"/>
    <w:rsid w:val="00FC04A0"/>
    <w:rsid w:val="00FC1074"/>
    <w:rsid w:val="00FC1884"/>
    <w:rsid w:val="00FC1DB3"/>
    <w:rsid w:val="00FC371D"/>
    <w:rsid w:val="00FC46B1"/>
    <w:rsid w:val="00FC4FF6"/>
    <w:rsid w:val="00FC5976"/>
    <w:rsid w:val="00FC5A68"/>
    <w:rsid w:val="00FC5F0B"/>
    <w:rsid w:val="00FD01BA"/>
    <w:rsid w:val="00FD04B4"/>
    <w:rsid w:val="00FD2100"/>
    <w:rsid w:val="00FD25EA"/>
    <w:rsid w:val="00FD2DA2"/>
    <w:rsid w:val="00FD3614"/>
    <w:rsid w:val="00FD3CA2"/>
    <w:rsid w:val="00FD436C"/>
    <w:rsid w:val="00FD446D"/>
    <w:rsid w:val="00FD47AA"/>
    <w:rsid w:val="00FD4F2C"/>
    <w:rsid w:val="00FD6394"/>
    <w:rsid w:val="00FE0DA4"/>
    <w:rsid w:val="00FE0DE5"/>
    <w:rsid w:val="00FE0E6C"/>
    <w:rsid w:val="00FE198C"/>
    <w:rsid w:val="00FE1CDC"/>
    <w:rsid w:val="00FE2B23"/>
    <w:rsid w:val="00FE3C6B"/>
    <w:rsid w:val="00FE40B4"/>
    <w:rsid w:val="00FE5A34"/>
    <w:rsid w:val="00FE70C3"/>
    <w:rsid w:val="00FE7502"/>
    <w:rsid w:val="00FE78FA"/>
    <w:rsid w:val="00FE7DB9"/>
    <w:rsid w:val="00FE7ED1"/>
    <w:rsid w:val="00FF0254"/>
    <w:rsid w:val="00FF12D5"/>
    <w:rsid w:val="00FF14F5"/>
    <w:rsid w:val="00FF2570"/>
    <w:rsid w:val="00FF2AD9"/>
    <w:rsid w:val="00FF359F"/>
    <w:rsid w:val="00FF3DCF"/>
    <w:rsid w:val="00FF492C"/>
    <w:rsid w:val="00FF4A21"/>
    <w:rsid w:val="00FF5AA3"/>
    <w:rsid w:val="00FF5AD8"/>
    <w:rsid w:val="00FF609A"/>
    <w:rsid w:val="00FF70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8A0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7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A12EE5"/>
    <w:rPr>
      <w:sz w:val="20"/>
      <w:szCs w:val="20"/>
    </w:rPr>
  </w:style>
  <w:style w:type="character" w:customStyle="1" w:styleId="FootnoteTextChar">
    <w:name w:val="Footnote Text Char"/>
    <w:basedOn w:val="DefaultParagraphFont"/>
    <w:link w:val="FootnoteText"/>
    <w:semiHidden/>
    <w:rsid w:val="00A12EE5"/>
    <w:rPr>
      <w:rFonts w:ascii="Calibri" w:hAnsi="Calibri" w:cs="Arial"/>
    </w:rPr>
  </w:style>
  <w:style w:type="character" w:styleId="FootnoteReference">
    <w:name w:val="footnote reference"/>
    <w:aliases w:val="KMC16 - Footnote Reference"/>
    <w:basedOn w:val="DefaultParagraphFont"/>
    <w:unhideWhenUsed/>
    <w:rsid w:val="00A12EE5"/>
    <w:rPr>
      <w:vertAlign w:val="superscript"/>
    </w:rPr>
  </w:style>
  <w:style w:type="paragraph" w:customStyle="1" w:styleId="KMC16-Tablecontent">
    <w:name w:val="KMC16 - Table content"/>
    <w:basedOn w:val="Normal"/>
    <w:link w:val="KMC16-TablecontentChar"/>
    <w:qFormat/>
    <w:rsid w:val="001D16B4"/>
    <w:pPr>
      <w:spacing w:before="40" w:after="40"/>
      <w:jc w:val="left"/>
    </w:pPr>
    <w:rPr>
      <w:rFonts w:ascii="Arial Narrow" w:hAnsi="Arial Narrow"/>
      <w:color w:val="000000"/>
      <w:sz w:val="20"/>
      <w:szCs w:val="22"/>
      <w:lang w:val="en-GB" w:eastAsia="en-US"/>
    </w:rPr>
  </w:style>
  <w:style w:type="character" w:customStyle="1" w:styleId="KMC16-TablecontentChar">
    <w:name w:val="KMC16 - Table content Char"/>
    <w:basedOn w:val="DefaultParagraphFont"/>
    <w:link w:val="KMC16-Tablecontent"/>
    <w:rsid w:val="001D16B4"/>
    <w:rPr>
      <w:rFonts w:ascii="Arial Narrow" w:hAnsi="Arial Narrow" w:cs="Arial"/>
      <w:color w:val="000000"/>
      <w:szCs w:val="22"/>
      <w:lang w:val="en-GB" w:eastAsia="en-US"/>
    </w:rPr>
  </w:style>
  <w:style w:type="paragraph" w:customStyle="1" w:styleId="m-5899882713797436935msolistparagraph">
    <w:name w:val="m_-5899882713797436935msolistparagraph"/>
    <w:basedOn w:val="Normal"/>
    <w:rsid w:val="00B74457"/>
    <w:pPr>
      <w:spacing w:before="100" w:beforeAutospacing="1" w:after="100" w:afterAutospacing="1"/>
      <w:jc w:val="left"/>
    </w:pPr>
    <w:rPr>
      <w:rFonts w:ascii="Times New Roman" w:hAnsi="Times New Roman" w:cs="Times New Roman"/>
    </w:rPr>
  </w:style>
  <w:style w:type="paragraph" w:customStyle="1" w:styleId="KMC16-Text">
    <w:name w:val="KMC16 - Text"/>
    <w:basedOn w:val="Normal"/>
    <w:link w:val="KMC16-TextChar"/>
    <w:qFormat/>
    <w:rsid w:val="00F44E89"/>
    <w:pPr>
      <w:spacing w:before="120" w:after="240" w:line="360" w:lineRule="auto"/>
    </w:pPr>
    <w:rPr>
      <w:rFonts w:ascii="Arial" w:eastAsia="Batang" w:hAnsi="Arial" w:cstheme="minorBidi"/>
      <w:color w:val="000000" w:themeColor="text1"/>
      <w:sz w:val="22"/>
      <w:szCs w:val="22"/>
      <w:lang w:eastAsia="en-US"/>
    </w:rPr>
  </w:style>
  <w:style w:type="character" w:customStyle="1" w:styleId="KMC16-TextChar">
    <w:name w:val="KMC16 - Text Char"/>
    <w:basedOn w:val="DefaultParagraphFont"/>
    <w:link w:val="KMC16-Text"/>
    <w:rsid w:val="00F44E89"/>
    <w:rPr>
      <w:rFonts w:ascii="Arial" w:eastAsia="Batang" w:hAnsi="Arial" w:cstheme="minorBidi"/>
      <w:color w:val="000000" w:themeColor="text1"/>
      <w:sz w:val="22"/>
      <w:szCs w:val="22"/>
      <w:lang w:eastAsia="en-US"/>
    </w:rPr>
  </w:style>
  <w:style w:type="paragraph" w:customStyle="1" w:styleId="Default">
    <w:name w:val="Default"/>
    <w:rsid w:val="009718CD"/>
    <w:pPr>
      <w:autoSpaceDE w:val="0"/>
      <w:autoSpaceDN w:val="0"/>
      <w:adjustRightInd w:val="0"/>
    </w:pPr>
    <w:rPr>
      <w:rFonts w:ascii="Arial" w:hAnsi="Arial" w:cs="Arial"/>
      <w:color w:val="000000"/>
      <w:sz w:val="24"/>
      <w:szCs w:val="24"/>
    </w:rPr>
  </w:style>
  <w:style w:type="paragraph" w:customStyle="1" w:styleId="KMC16-TableHeading">
    <w:name w:val="KMC16 - Table Heading"/>
    <w:basedOn w:val="Normal"/>
    <w:qFormat/>
    <w:rsid w:val="00E3146B"/>
    <w:pPr>
      <w:spacing w:before="40" w:after="40"/>
      <w:jc w:val="left"/>
    </w:pPr>
    <w:rPr>
      <w:rFonts w:ascii="Arial Narrow" w:hAnsi="Arial Narrow"/>
      <w:b/>
      <w:color w:val="000000"/>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1027">
      <w:bodyDiv w:val="1"/>
      <w:marLeft w:val="0"/>
      <w:marRight w:val="0"/>
      <w:marTop w:val="0"/>
      <w:marBottom w:val="0"/>
      <w:divBdr>
        <w:top w:val="none" w:sz="0" w:space="0" w:color="auto"/>
        <w:left w:val="none" w:sz="0" w:space="0" w:color="auto"/>
        <w:bottom w:val="none" w:sz="0" w:space="0" w:color="auto"/>
        <w:right w:val="none" w:sz="0" w:space="0" w:color="auto"/>
      </w:divBdr>
      <w:divsChild>
        <w:div w:id="2076928314">
          <w:marLeft w:val="0"/>
          <w:marRight w:val="0"/>
          <w:marTop w:val="0"/>
          <w:marBottom w:val="0"/>
          <w:divBdr>
            <w:top w:val="none" w:sz="0" w:space="0" w:color="auto"/>
            <w:left w:val="none" w:sz="0" w:space="0" w:color="auto"/>
            <w:bottom w:val="none" w:sz="0" w:space="0" w:color="auto"/>
            <w:right w:val="none" w:sz="0" w:space="0" w:color="auto"/>
          </w:divBdr>
          <w:divsChild>
            <w:div w:id="1027217663">
              <w:marLeft w:val="0"/>
              <w:marRight w:val="0"/>
              <w:marTop w:val="0"/>
              <w:marBottom w:val="0"/>
              <w:divBdr>
                <w:top w:val="none" w:sz="0" w:space="0" w:color="auto"/>
                <w:left w:val="none" w:sz="0" w:space="0" w:color="auto"/>
                <w:bottom w:val="none" w:sz="0" w:space="0" w:color="auto"/>
                <w:right w:val="none" w:sz="0" w:space="0" w:color="auto"/>
              </w:divBdr>
              <w:divsChild>
                <w:div w:id="1539931383">
                  <w:marLeft w:val="0"/>
                  <w:marRight w:val="0"/>
                  <w:marTop w:val="0"/>
                  <w:marBottom w:val="0"/>
                  <w:divBdr>
                    <w:top w:val="none" w:sz="0" w:space="0" w:color="auto"/>
                    <w:left w:val="none" w:sz="0" w:space="0" w:color="auto"/>
                    <w:bottom w:val="none" w:sz="0" w:space="0" w:color="auto"/>
                    <w:right w:val="none" w:sz="0" w:space="0" w:color="auto"/>
                  </w:divBdr>
                </w:div>
              </w:divsChild>
            </w:div>
            <w:div w:id="136923544">
              <w:marLeft w:val="0"/>
              <w:marRight w:val="0"/>
              <w:marTop w:val="0"/>
              <w:marBottom w:val="0"/>
              <w:divBdr>
                <w:top w:val="none" w:sz="0" w:space="0" w:color="auto"/>
                <w:left w:val="none" w:sz="0" w:space="0" w:color="auto"/>
                <w:bottom w:val="none" w:sz="0" w:space="0" w:color="auto"/>
                <w:right w:val="none" w:sz="0" w:space="0" w:color="auto"/>
              </w:divBdr>
              <w:divsChild>
                <w:div w:id="19717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34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1447764">
      <w:bodyDiv w:val="1"/>
      <w:marLeft w:val="0"/>
      <w:marRight w:val="0"/>
      <w:marTop w:val="0"/>
      <w:marBottom w:val="0"/>
      <w:divBdr>
        <w:top w:val="none" w:sz="0" w:space="0" w:color="auto"/>
        <w:left w:val="none" w:sz="0" w:space="0" w:color="auto"/>
        <w:bottom w:val="none" w:sz="0" w:space="0" w:color="auto"/>
        <w:right w:val="none" w:sz="0" w:space="0" w:color="auto"/>
      </w:divBdr>
    </w:div>
    <w:div w:id="29249177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0619485">
      <w:bodyDiv w:val="1"/>
      <w:marLeft w:val="0"/>
      <w:marRight w:val="0"/>
      <w:marTop w:val="0"/>
      <w:marBottom w:val="0"/>
      <w:divBdr>
        <w:top w:val="none" w:sz="0" w:space="0" w:color="auto"/>
        <w:left w:val="none" w:sz="0" w:space="0" w:color="auto"/>
        <w:bottom w:val="none" w:sz="0" w:space="0" w:color="auto"/>
        <w:right w:val="none" w:sz="0" w:space="0" w:color="auto"/>
      </w:divBdr>
      <w:divsChild>
        <w:div w:id="1494376772">
          <w:marLeft w:val="1080"/>
          <w:marRight w:val="0"/>
          <w:marTop w:val="100"/>
          <w:marBottom w:val="0"/>
          <w:divBdr>
            <w:top w:val="none" w:sz="0" w:space="0" w:color="auto"/>
            <w:left w:val="none" w:sz="0" w:space="0" w:color="auto"/>
            <w:bottom w:val="none" w:sz="0" w:space="0" w:color="auto"/>
            <w:right w:val="none" w:sz="0" w:space="0" w:color="auto"/>
          </w:divBdr>
        </w:div>
      </w:divsChild>
    </w:div>
    <w:div w:id="473836563">
      <w:bodyDiv w:val="1"/>
      <w:marLeft w:val="0"/>
      <w:marRight w:val="0"/>
      <w:marTop w:val="0"/>
      <w:marBottom w:val="0"/>
      <w:divBdr>
        <w:top w:val="none" w:sz="0" w:space="0" w:color="auto"/>
        <w:left w:val="none" w:sz="0" w:space="0" w:color="auto"/>
        <w:bottom w:val="none" w:sz="0" w:space="0" w:color="auto"/>
        <w:right w:val="none" w:sz="0" w:space="0" w:color="auto"/>
      </w:divBdr>
      <w:divsChild>
        <w:div w:id="1573929099">
          <w:marLeft w:val="360"/>
          <w:marRight w:val="0"/>
          <w:marTop w:val="120"/>
          <w:marBottom w:val="0"/>
          <w:divBdr>
            <w:top w:val="none" w:sz="0" w:space="0" w:color="auto"/>
            <w:left w:val="none" w:sz="0" w:space="0" w:color="auto"/>
            <w:bottom w:val="none" w:sz="0" w:space="0" w:color="auto"/>
            <w:right w:val="none" w:sz="0" w:space="0" w:color="auto"/>
          </w:divBdr>
        </w:div>
        <w:div w:id="1867063488">
          <w:marLeft w:val="360"/>
          <w:marRight w:val="0"/>
          <w:marTop w:val="120"/>
          <w:marBottom w:val="0"/>
          <w:divBdr>
            <w:top w:val="none" w:sz="0" w:space="0" w:color="auto"/>
            <w:left w:val="none" w:sz="0" w:space="0" w:color="auto"/>
            <w:bottom w:val="none" w:sz="0" w:space="0" w:color="auto"/>
            <w:right w:val="none" w:sz="0" w:space="0" w:color="auto"/>
          </w:divBdr>
        </w:div>
        <w:div w:id="742029471">
          <w:marLeft w:val="360"/>
          <w:marRight w:val="0"/>
          <w:marTop w:val="120"/>
          <w:marBottom w:val="0"/>
          <w:divBdr>
            <w:top w:val="none" w:sz="0" w:space="0" w:color="auto"/>
            <w:left w:val="none" w:sz="0" w:space="0" w:color="auto"/>
            <w:bottom w:val="none" w:sz="0" w:space="0" w:color="auto"/>
            <w:right w:val="none" w:sz="0" w:space="0" w:color="auto"/>
          </w:divBdr>
        </w:div>
      </w:divsChild>
    </w:div>
    <w:div w:id="607011397">
      <w:bodyDiv w:val="1"/>
      <w:marLeft w:val="0"/>
      <w:marRight w:val="0"/>
      <w:marTop w:val="0"/>
      <w:marBottom w:val="0"/>
      <w:divBdr>
        <w:top w:val="none" w:sz="0" w:space="0" w:color="auto"/>
        <w:left w:val="none" w:sz="0" w:space="0" w:color="auto"/>
        <w:bottom w:val="none" w:sz="0" w:space="0" w:color="auto"/>
        <w:right w:val="none" w:sz="0" w:space="0" w:color="auto"/>
      </w:divBdr>
      <w:divsChild>
        <w:div w:id="1566380510">
          <w:marLeft w:val="360"/>
          <w:marRight w:val="0"/>
          <w:marTop w:val="120"/>
          <w:marBottom w:val="0"/>
          <w:divBdr>
            <w:top w:val="none" w:sz="0" w:space="0" w:color="auto"/>
            <w:left w:val="none" w:sz="0" w:space="0" w:color="auto"/>
            <w:bottom w:val="none" w:sz="0" w:space="0" w:color="auto"/>
            <w:right w:val="none" w:sz="0" w:space="0" w:color="auto"/>
          </w:divBdr>
        </w:div>
        <w:div w:id="2116169789">
          <w:marLeft w:val="360"/>
          <w:marRight w:val="0"/>
          <w:marTop w:val="120"/>
          <w:marBottom w:val="0"/>
          <w:divBdr>
            <w:top w:val="none" w:sz="0" w:space="0" w:color="auto"/>
            <w:left w:val="none" w:sz="0" w:space="0" w:color="auto"/>
            <w:bottom w:val="none" w:sz="0" w:space="0" w:color="auto"/>
            <w:right w:val="none" w:sz="0" w:space="0" w:color="auto"/>
          </w:divBdr>
        </w:div>
      </w:divsChild>
    </w:div>
    <w:div w:id="1060976563">
      <w:bodyDiv w:val="1"/>
      <w:marLeft w:val="0"/>
      <w:marRight w:val="0"/>
      <w:marTop w:val="0"/>
      <w:marBottom w:val="0"/>
      <w:divBdr>
        <w:top w:val="none" w:sz="0" w:space="0" w:color="auto"/>
        <w:left w:val="none" w:sz="0" w:space="0" w:color="auto"/>
        <w:bottom w:val="none" w:sz="0" w:space="0" w:color="auto"/>
        <w:right w:val="none" w:sz="0" w:space="0" w:color="auto"/>
      </w:divBdr>
      <w:divsChild>
        <w:div w:id="1596210819">
          <w:marLeft w:val="360"/>
          <w:marRight w:val="0"/>
          <w:marTop w:val="200"/>
          <w:marBottom w:val="0"/>
          <w:divBdr>
            <w:top w:val="none" w:sz="0" w:space="0" w:color="auto"/>
            <w:left w:val="none" w:sz="0" w:space="0" w:color="auto"/>
            <w:bottom w:val="none" w:sz="0" w:space="0" w:color="auto"/>
            <w:right w:val="none" w:sz="0" w:space="0" w:color="auto"/>
          </w:divBdr>
        </w:div>
      </w:divsChild>
    </w:div>
    <w:div w:id="1094278998">
      <w:bodyDiv w:val="1"/>
      <w:marLeft w:val="0"/>
      <w:marRight w:val="0"/>
      <w:marTop w:val="0"/>
      <w:marBottom w:val="0"/>
      <w:divBdr>
        <w:top w:val="none" w:sz="0" w:space="0" w:color="auto"/>
        <w:left w:val="none" w:sz="0" w:space="0" w:color="auto"/>
        <w:bottom w:val="none" w:sz="0" w:space="0" w:color="auto"/>
        <w:right w:val="none" w:sz="0" w:space="0" w:color="auto"/>
      </w:divBdr>
      <w:divsChild>
        <w:div w:id="258373915">
          <w:marLeft w:val="360"/>
          <w:marRight w:val="0"/>
          <w:marTop w:val="120"/>
          <w:marBottom w:val="0"/>
          <w:divBdr>
            <w:top w:val="none" w:sz="0" w:space="0" w:color="auto"/>
            <w:left w:val="none" w:sz="0" w:space="0" w:color="auto"/>
            <w:bottom w:val="none" w:sz="0" w:space="0" w:color="auto"/>
            <w:right w:val="none" w:sz="0" w:space="0" w:color="auto"/>
          </w:divBdr>
        </w:div>
        <w:div w:id="1554926899">
          <w:marLeft w:val="360"/>
          <w:marRight w:val="0"/>
          <w:marTop w:val="12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4772">
      <w:bodyDiv w:val="1"/>
      <w:marLeft w:val="0"/>
      <w:marRight w:val="0"/>
      <w:marTop w:val="0"/>
      <w:marBottom w:val="0"/>
      <w:divBdr>
        <w:top w:val="none" w:sz="0" w:space="0" w:color="auto"/>
        <w:left w:val="none" w:sz="0" w:space="0" w:color="auto"/>
        <w:bottom w:val="none" w:sz="0" w:space="0" w:color="auto"/>
        <w:right w:val="none" w:sz="0" w:space="0" w:color="auto"/>
      </w:divBdr>
    </w:div>
    <w:div w:id="1193421395">
      <w:bodyDiv w:val="1"/>
      <w:marLeft w:val="0"/>
      <w:marRight w:val="0"/>
      <w:marTop w:val="0"/>
      <w:marBottom w:val="0"/>
      <w:divBdr>
        <w:top w:val="none" w:sz="0" w:space="0" w:color="auto"/>
        <w:left w:val="none" w:sz="0" w:space="0" w:color="auto"/>
        <w:bottom w:val="none" w:sz="0" w:space="0" w:color="auto"/>
        <w:right w:val="none" w:sz="0" w:space="0" w:color="auto"/>
      </w:divBdr>
      <w:divsChild>
        <w:div w:id="1848321996">
          <w:marLeft w:val="446"/>
          <w:marRight w:val="0"/>
          <w:marTop w:val="60"/>
          <w:marBottom w:val="0"/>
          <w:divBdr>
            <w:top w:val="none" w:sz="0" w:space="0" w:color="auto"/>
            <w:left w:val="none" w:sz="0" w:space="0" w:color="auto"/>
            <w:bottom w:val="none" w:sz="0" w:space="0" w:color="auto"/>
            <w:right w:val="none" w:sz="0" w:space="0" w:color="auto"/>
          </w:divBdr>
        </w:div>
      </w:divsChild>
    </w:div>
    <w:div w:id="1202783826">
      <w:bodyDiv w:val="1"/>
      <w:marLeft w:val="0"/>
      <w:marRight w:val="0"/>
      <w:marTop w:val="0"/>
      <w:marBottom w:val="0"/>
      <w:divBdr>
        <w:top w:val="none" w:sz="0" w:space="0" w:color="auto"/>
        <w:left w:val="none" w:sz="0" w:space="0" w:color="auto"/>
        <w:bottom w:val="none" w:sz="0" w:space="0" w:color="auto"/>
        <w:right w:val="none" w:sz="0" w:space="0" w:color="auto"/>
      </w:divBdr>
      <w:divsChild>
        <w:div w:id="123892042">
          <w:marLeft w:val="446"/>
          <w:marRight w:val="0"/>
          <w:marTop w:val="60"/>
          <w:marBottom w:val="0"/>
          <w:divBdr>
            <w:top w:val="none" w:sz="0" w:space="0" w:color="auto"/>
            <w:left w:val="none" w:sz="0" w:space="0" w:color="auto"/>
            <w:bottom w:val="none" w:sz="0" w:space="0" w:color="auto"/>
            <w:right w:val="none" w:sz="0" w:space="0" w:color="auto"/>
          </w:divBdr>
        </w:div>
      </w:divsChild>
    </w:div>
    <w:div w:id="1389916539">
      <w:bodyDiv w:val="1"/>
      <w:marLeft w:val="0"/>
      <w:marRight w:val="0"/>
      <w:marTop w:val="0"/>
      <w:marBottom w:val="0"/>
      <w:divBdr>
        <w:top w:val="none" w:sz="0" w:space="0" w:color="auto"/>
        <w:left w:val="none" w:sz="0" w:space="0" w:color="auto"/>
        <w:bottom w:val="none" w:sz="0" w:space="0" w:color="auto"/>
        <w:right w:val="none" w:sz="0" w:space="0" w:color="auto"/>
      </w:divBdr>
    </w:div>
    <w:div w:id="1427572945">
      <w:bodyDiv w:val="1"/>
      <w:marLeft w:val="0"/>
      <w:marRight w:val="0"/>
      <w:marTop w:val="0"/>
      <w:marBottom w:val="0"/>
      <w:divBdr>
        <w:top w:val="none" w:sz="0" w:space="0" w:color="auto"/>
        <w:left w:val="none" w:sz="0" w:space="0" w:color="auto"/>
        <w:bottom w:val="none" w:sz="0" w:space="0" w:color="auto"/>
        <w:right w:val="none" w:sz="0" w:space="0" w:color="auto"/>
      </w:divBdr>
    </w:div>
    <w:div w:id="1504779179">
      <w:bodyDiv w:val="1"/>
      <w:marLeft w:val="0"/>
      <w:marRight w:val="0"/>
      <w:marTop w:val="0"/>
      <w:marBottom w:val="0"/>
      <w:divBdr>
        <w:top w:val="none" w:sz="0" w:space="0" w:color="auto"/>
        <w:left w:val="none" w:sz="0" w:space="0" w:color="auto"/>
        <w:bottom w:val="none" w:sz="0" w:space="0" w:color="auto"/>
        <w:right w:val="none" w:sz="0" w:space="0" w:color="auto"/>
      </w:divBdr>
    </w:div>
    <w:div w:id="1682703118">
      <w:bodyDiv w:val="1"/>
      <w:marLeft w:val="0"/>
      <w:marRight w:val="0"/>
      <w:marTop w:val="0"/>
      <w:marBottom w:val="0"/>
      <w:divBdr>
        <w:top w:val="none" w:sz="0" w:space="0" w:color="auto"/>
        <w:left w:val="none" w:sz="0" w:space="0" w:color="auto"/>
        <w:bottom w:val="none" w:sz="0" w:space="0" w:color="auto"/>
        <w:right w:val="none" w:sz="0" w:space="0" w:color="auto"/>
      </w:divBdr>
      <w:divsChild>
        <w:div w:id="2020231246">
          <w:marLeft w:val="446"/>
          <w:marRight w:val="0"/>
          <w:marTop w:val="60"/>
          <w:marBottom w:val="0"/>
          <w:divBdr>
            <w:top w:val="none" w:sz="0" w:space="0" w:color="auto"/>
            <w:left w:val="none" w:sz="0" w:space="0" w:color="auto"/>
            <w:bottom w:val="none" w:sz="0" w:space="0" w:color="auto"/>
            <w:right w:val="none" w:sz="0" w:space="0" w:color="auto"/>
          </w:divBdr>
        </w:div>
      </w:divsChild>
    </w:div>
    <w:div w:id="1774863748">
      <w:bodyDiv w:val="1"/>
      <w:marLeft w:val="0"/>
      <w:marRight w:val="0"/>
      <w:marTop w:val="0"/>
      <w:marBottom w:val="0"/>
      <w:divBdr>
        <w:top w:val="none" w:sz="0" w:space="0" w:color="auto"/>
        <w:left w:val="none" w:sz="0" w:space="0" w:color="auto"/>
        <w:bottom w:val="none" w:sz="0" w:space="0" w:color="auto"/>
        <w:right w:val="none" w:sz="0" w:space="0" w:color="auto"/>
      </w:divBdr>
      <w:divsChild>
        <w:div w:id="1494371066">
          <w:marLeft w:val="446"/>
          <w:marRight w:val="0"/>
          <w:marTop w:val="60"/>
          <w:marBottom w:val="0"/>
          <w:divBdr>
            <w:top w:val="none" w:sz="0" w:space="0" w:color="auto"/>
            <w:left w:val="none" w:sz="0" w:space="0" w:color="auto"/>
            <w:bottom w:val="none" w:sz="0" w:space="0" w:color="auto"/>
            <w:right w:val="none" w:sz="0" w:space="0" w:color="auto"/>
          </w:divBdr>
        </w:div>
      </w:divsChild>
    </w:div>
    <w:div w:id="1783331676">
      <w:bodyDiv w:val="1"/>
      <w:marLeft w:val="0"/>
      <w:marRight w:val="0"/>
      <w:marTop w:val="0"/>
      <w:marBottom w:val="0"/>
      <w:divBdr>
        <w:top w:val="none" w:sz="0" w:space="0" w:color="auto"/>
        <w:left w:val="none" w:sz="0" w:space="0" w:color="auto"/>
        <w:bottom w:val="none" w:sz="0" w:space="0" w:color="auto"/>
        <w:right w:val="none" w:sz="0" w:space="0" w:color="auto"/>
      </w:divBdr>
      <w:divsChild>
        <w:div w:id="1290478200">
          <w:marLeft w:val="446"/>
          <w:marRight w:val="0"/>
          <w:marTop w:val="6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22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documents/variation-report/remsima-h-c-2576-ii-0082-epar-assessment-report-vari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F8C3-C07F-4C43-90F5-60C5BFA0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20466</Words>
  <Characters>113889</Characters>
  <Application>Microsoft Office Word</Application>
  <DocSecurity>0</DocSecurity>
  <Lines>949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2021-07-01T03:19:00Z</dcterms:created>
  <dcterms:modified xsi:type="dcterms:W3CDTF">2021-07-01T03:19:00Z</dcterms:modified>
</cp:coreProperties>
</file>