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8B3D24" w:rsidRDefault="00DB1BD5" w:rsidP="004A6040">
      <w:pPr>
        <w:pStyle w:val="1-MainHeading"/>
      </w:pPr>
      <w:bookmarkStart w:id="0" w:name="_Toc40706494"/>
      <w:r w:rsidRPr="008B3D24">
        <w:t>6.04</w:t>
      </w:r>
      <w:r w:rsidR="08A6B23D" w:rsidRPr="008B3D24">
        <w:t xml:space="preserve"> </w:t>
      </w:r>
      <w:r w:rsidR="00B22400" w:rsidRPr="008B3D24">
        <w:t>IXEKIZUMAB</w:t>
      </w:r>
      <w:r w:rsidR="00163F66" w:rsidRPr="008B3D24">
        <w:t>,</w:t>
      </w:r>
      <w:r w:rsidR="00163F66" w:rsidRPr="008B3D24">
        <w:br/>
      </w:r>
      <w:r w:rsidR="00856250" w:rsidRPr="008B3D24">
        <w:t>Injection 80 mg in 1 mL single dose pre-filled pen</w:t>
      </w:r>
      <w:r w:rsidR="00362F4C" w:rsidRPr="008B3D24">
        <w:t xml:space="preserve">, </w:t>
      </w:r>
      <w:r w:rsidR="00B22400" w:rsidRPr="008B3D24">
        <w:t>Taltz®</w:t>
      </w:r>
      <w:r w:rsidR="004A6040" w:rsidRPr="008B3D24">
        <w:t>,</w:t>
      </w:r>
      <w:r w:rsidR="004A6040" w:rsidRPr="008B3D24">
        <w:br/>
      </w:r>
      <w:r w:rsidR="00B22400" w:rsidRPr="008B3D24">
        <w:t>Eli Lilly</w:t>
      </w:r>
      <w:r w:rsidR="0048269E" w:rsidRPr="008B3D24">
        <w:t xml:space="preserve"> Australia Pty</w:t>
      </w:r>
      <w:r w:rsidR="00B60939" w:rsidRPr="008B3D24">
        <w:t>.</w:t>
      </w:r>
      <w:r w:rsidR="0048269E" w:rsidRPr="008B3D24">
        <w:t xml:space="preserve"> Ltd.</w:t>
      </w:r>
      <w:bookmarkEnd w:id="0"/>
    </w:p>
    <w:p w:rsidR="00B50DB8" w:rsidRPr="008B3D24" w:rsidRDefault="00B50DB8" w:rsidP="0010472B">
      <w:pPr>
        <w:pStyle w:val="2-SectionHeading"/>
      </w:pPr>
      <w:bookmarkStart w:id="1" w:name="_Toc40706496"/>
      <w:r w:rsidRPr="008B3D24">
        <w:t xml:space="preserve">Purpose of </w:t>
      </w:r>
      <w:r w:rsidR="00CD7193" w:rsidRPr="008B3D24">
        <w:t>s</w:t>
      </w:r>
      <w:r w:rsidR="00BB3A45" w:rsidRPr="008B3D24">
        <w:t>ubmission</w:t>
      </w:r>
      <w:bookmarkEnd w:id="1"/>
    </w:p>
    <w:p w:rsidR="002C2775" w:rsidRPr="008B3D24" w:rsidRDefault="0088334F" w:rsidP="00B82E83">
      <w:pPr>
        <w:pStyle w:val="3-BodyText"/>
        <w:numPr>
          <w:ilvl w:val="1"/>
          <w:numId w:val="11"/>
        </w:numPr>
      </w:pPr>
      <w:r w:rsidRPr="008B3D24">
        <w:t>The submission requested a</w:t>
      </w:r>
      <w:r w:rsidR="00BB3F04" w:rsidRPr="008B3D24">
        <w:t>n</w:t>
      </w:r>
      <w:r w:rsidRPr="008B3D24">
        <w:t xml:space="preserve"> </w:t>
      </w:r>
      <w:r w:rsidR="00BB3F04" w:rsidRPr="008B3D24">
        <w:t>A</w:t>
      </w:r>
      <w:r w:rsidRPr="008B3D24">
        <w:t xml:space="preserve">uthority </w:t>
      </w:r>
      <w:r w:rsidR="00BB3F04" w:rsidRPr="008B3D24">
        <w:t>R</w:t>
      </w:r>
      <w:r w:rsidRPr="008B3D24">
        <w:t xml:space="preserve">equired listing </w:t>
      </w:r>
      <w:r w:rsidR="00567837" w:rsidRPr="008B3D24">
        <w:t>for</w:t>
      </w:r>
      <w:r w:rsidRPr="008B3D24">
        <w:t xml:space="preserve"> ixekizumab for the treatment of adult patients with active ankylosing spondylitis</w:t>
      </w:r>
      <w:r w:rsidR="00EF7208" w:rsidRPr="008B3D24">
        <w:t xml:space="preserve"> (AS)</w:t>
      </w:r>
      <w:r w:rsidRPr="008B3D24">
        <w:t>.</w:t>
      </w:r>
      <w:r w:rsidR="008B1757" w:rsidRPr="008B3D24">
        <w:t xml:space="preserve"> </w:t>
      </w:r>
    </w:p>
    <w:p w:rsidR="00C2778B" w:rsidRPr="008B3D24" w:rsidRDefault="00DF1CE7" w:rsidP="004E18E9">
      <w:pPr>
        <w:pStyle w:val="3-BodyText"/>
      </w:pPr>
      <w:r w:rsidRPr="008B3D24">
        <w:t>The l</w:t>
      </w:r>
      <w:r w:rsidR="005750C5" w:rsidRPr="008B3D24">
        <w:t xml:space="preserve">isting was requested on the basis of a cost-minimisation analysis versus </w:t>
      </w:r>
      <w:r w:rsidR="0088334F" w:rsidRPr="008B3D24">
        <w:t>adalimumab</w:t>
      </w:r>
      <w:r w:rsidR="00B12C9E" w:rsidRPr="008B3D24">
        <w:t xml:space="preserve"> (Table 1)</w:t>
      </w:r>
      <w:r w:rsidR="005750C5" w:rsidRPr="008B3D24">
        <w:t xml:space="preserve">. </w:t>
      </w:r>
    </w:p>
    <w:p w:rsidR="008B1757" w:rsidRPr="008B3D24" w:rsidRDefault="008B1757" w:rsidP="004A6040">
      <w:pPr>
        <w:pStyle w:val="TableFigureHeading"/>
        <w:rPr>
          <w:rStyle w:val="CommentReference"/>
          <w:b/>
          <w:szCs w:val="24"/>
        </w:rPr>
      </w:pPr>
      <w:r w:rsidRPr="008B3D24">
        <w:rPr>
          <w:rStyle w:val="CommentReference"/>
          <w:b/>
          <w:szCs w:val="24"/>
        </w:rPr>
        <w:t xml:space="preserve">Table </w:t>
      </w:r>
      <w:r w:rsidR="0088334F" w:rsidRPr="008B3D24">
        <w:rPr>
          <w:rStyle w:val="CommentReference"/>
          <w:b/>
          <w:szCs w:val="24"/>
        </w:rPr>
        <w:t>1</w:t>
      </w:r>
      <w:r w:rsidRPr="008B3D24">
        <w:rPr>
          <w:rStyle w:val="CommentReference"/>
          <w:b/>
          <w:szCs w:val="24"/>
        </w:rPr>
        <w:t>:</w:t>
      </w:r>
      <w:r w:rsidR="00BC591F" w:rsidRPr="008B3D24">
        <w:rPr>
          <w:rStyle w:val="CommentReference"/>
          <w:b/>
          <w:szCs w:val="24"/>
        </w:rPr>
        <w:t xml:space="preserve"> </w:t>
      </w:r>
      <w:r w:rsidRPr="008B3D24">
        <w:rPr>
          <w:rStyle w:val="CommentReference"/>
          <w:b/>
          <w:szCs w:val="24"/>
        </w:rPr>
        <w:t>Key components of the clinical issue addressed by the submission</w:t>
      </w:r>
      <w:r w:rsidR="007170DA" w:rsidRPr="008B3D24">
        <w:rPr>
          <w:rStyle w:val="CommentReference"/>
          <w:b/>
          <w:szCs w:val="24"/>
        </w:rPr>
        <w:t xml:space="preserve"> (as stated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88334F" w:rsidRPr="008B3D24" w:rsidTr="0088334F">
        <w:tc>
          <w:tcPr>
            <w:tcW w:w="1668" w:type="dxa"/>
            <w:vAlign w:val="center"/>
          </w:tcPr>
          <w:p w:rsidR="0088334F" w:rsidRPr="008B3D24" w:rsidRDefault="0088334F" w:rsidP="0088334F">
            <w:pPr>
              <w:pStyle w:val="In-tableHeading"/>
              <w:rPr>
                <w:lang w:val="en-AU"/>
              </w:rPr>
            </w:pPr>
            <w:r w:rsidRPr="008B3D24">
              <w:rPr>
                <w:lang w:val="en-AU"/>
              </w:rPr>
              <w:t>Component</w:t>
            </w:r>
          </w:p>
        </w:tc>
        <w:tc>
          <w:tcPr>
            <w:tcW w:w="7488" w:type="dxa"/>
            <w:vAlign w:val="center"/>
          </w:tcPr>
          <w:p w:rsidR="0088334F" w:rsidRPr="008B3D24" w:rsidRDefault="0088334F" w:rsidP="0088334F">
            <w:pPr>
              <w:pStyle w:val="In-tableHeading"/>
              <w:rPr>
                <w:lang w:val="en-AU"/>
              </w:rPr>
            </w:pPr>
            <w:r w:rsidRPr="008B3D24">
              <w:rPr>
                <w:lang w:val="en-AU"/>
              </w:rPr>
              <w:t>Description</w:t>
            </w:r>
          </w:p>
        </w:tc>
      </w:tr>
      <w:tr w:rsidR="0088334F" w:rsidRPr="008B3D24" w:rsidTr="0088334F">
        <w:tc>
          <w:tcPr>
            <w:tcW w:w="1668" w:type="dxa"/>
            <w:vAlign w:val="center"/>
          </w:tcPr>
          <w:p w:rsidR="0088334F" w:rsidRPr="008B3D24" w:rsidRDefault="0088334F" w:rsidP="0088334F">
            <w:pPr>
              <w:pStyle w:val="TableText0"/>
            </w:pPr>
            <w:r w:rsidRPr="008B3D24">
              <w:t>Population</w:t>
            </w:r>
          </w:p>
        </w:tc>
        <w:tc>
          <w:tcPr>
            <w:tcW w:w="7488" w:type="dxa"/>
            <w:vAlign w:val="center"/>
          </w:tcPr>
          <w:p w:rsidR="0088334F" w:rsidRPr="008B3D24" w:rsidRDefault="0088334F" w:rsidP="0088334F">
            <w:pPr>
              <w:pStyle w:val="TableText0"/>
            </w:pPr>
            <w:r w:rsidRPr="008B3D24">
              <w:t>Adults with radiographic confirmed</w:t>
            </w:r>
            <w:r w:rsidRPr="008B3D24">
              <w:rPr>
                <w:iCs/>
              </w:rPr>
              <w:t xml:space="preserve"> </w:t>
            </w:r>
            <w:r w:rsidR="000C33DA" w:rsidRPr="008B3D24">
              <w:rPr>
                <w:iCs/>
              </w:rPr>
              <w:t>(</w:t>
            </w:r>
            <w:r w:rsidRPr="008B3D24">
              <w:rPr>
                <w:iCs/>
              </w:rPr>
              <w:t>active</w:t>
            </w:r>
            <w:r w:rsidR="000C33DA" w:rsidRPr="008B3D24">
              <w:rPr>
                <w:iCs/>
              </w:rPr>
              <w:t>)</w:t>
            </w:r>
            <w:r w:rsidRPr="008B3D24">
              <w:rPr>
                <w:i/>
                <w:iCs/>
              </w:rPr>
              <w:t xml:space="preserve"> </w:t>
            </w:r>
            <w:r w:rsidRPr="008B3D24">
              <w:t>ankylosing spondylitis</w:t>
            </w:r>
          </w:p>
        </w:tc>
      </w:tr>
      <w:tr w:rsidR="0088334F" w:rsidRPr="008B3D24" w:rsidTr="0088334F">
        <w:tc>
          <w:tcPr>
            <w:tcW w:w="1668" w:type="dxa"/>
            <w:vAlign w:val="center"/>
          </w:tcPr>
          <w:p w:rsidR="0088334F" w:rsidRPr="008B3D24" w:rsidRDefault="0088334F" w:rsidP="0088334F">
            <w:pPr>
              <w:pStyle w:val="TableText0"/>
            </w:pPr>
            <w:r w:rsidRPr="008B3D24">
              <w:t>Intervention</w:t>
            </w:r>
          </w:p>
        </w:tc>
        <w:tc>
          <w:tcPr>
            <w:tcW w:w="7488" w:type="dxa"/>
            <w:vAlign w:val="center"/>
          </w:tcPr>
          <w:p w:rsidR="0088334F" w:rsidRPr="008B3D24" w:rsidRDefault="0088334F" w:rsidP="0088334F">
            <w:pPr>
              <w:pStyle w:val="TableText0"/>
            </w:pPr>
            <w:r w:rsidRPr="008B3D24">
              <w:t>Ixekizumab 80 mg every 4 weeks</w:t>
            </w:r>
          </w:p>
        </w:tc>
      </w:tr>
      <w:tr w:rsidR="0088334F" w:rsidRPr="008B3D24" w:rsidTr="0088334F">
        <w:tc>
          <w:tcPr>
            <w:tcW w:w="1668" w:type="dxa"/>
            <w:vAlign w:val="center"/>
          </w:tcPr>
          <w:p w:rsidR="0088334F" w:rsidRPr="008B3D24" w:rsidRDefault="0088334F" w:rsidP="0088334F">
            <w:pPr>
              <w:pStyle w:val="TableText0"/>
            </w:pPr>
            <w:r w:rsidRPr="008B3D24">
              <w:t>Comparator</w:t>
            </w:r>
          </w:p>
        </w:tc>
        <w:tc>
          <w:tcPr>
            <w:tcW w:w="7488" w:type="dxa"/>
            <w:vAlign w:val="center"/>
          </w:tcPr>
          <w:p w:rsidR="0088334F" w:rsidRPr="008B3D24" w:rsidRDefault="0088334F" w:rsidP="0088334F">
            <w:pPr>
              <w:pStyle w:val="TableText0"/>
            </w:pPr>
            <w:r w:rsidRPr="008B3D24">
              <w:rPr>
                <w:b/>
                <w:bCs w:val="0"/>
              </w:rPr>
              <w:t>Main comparator</w:t>
            </w:r>
            <w:r w:rsidRPr="008B3D24">
              <w:t>: Adalimumab 40 mg,</w:t>
            </w:r>
            <w:r w:rsidR="00216624" w:rsidRPr="008B3D24">
              <w:rPr>
                <w:iCs/>
              </w:rPr>
              <w:t xml:space="preserve"> </w:t>
            </w:r>
            <w:r w:rsidRPr="008B3D24">
              <w:rPr>
                <w:iCs/>
              </w:rPr>
              <w:t>every 2 weeks</w:t>
            </w:r>
          </w:p>
          <w:p w:rsidR="0088334F" w:rsidRPr="008B3D24" w:rsidRDefault="0088334F" w:rsidP="0088334F">
            <w:pPr>
              <w:pStyle w:val="TableText0"/>
            </w:pPr>
            <w:r w:rsidRPr="008B3D24">
              <w:rPr>
                <w:b/>
                <w:bCs w:val="0"/>
              </w:rPr>
              <w:t>Secondary comparator</w:t>
            </w:r>
            <w:r w:rsidRPr="008B3D24">
              <w:t>: Secukinumab 150 mg at weeks 0,1,2,3 and 4 followed by</w:t>
            </w:r>
            <w:r w:rsidR="00FE6057" w:rsidRPr="008B3D24">
              <w:t xml:space="preserve"> the same</w:t>
            </w:r>
            <w:r w:rsidRPr="008B3D24">
              <w:rPr>
                <w:iCs/>
              </w:rPr>
              <w:t xml:space="preserve"> </w:t>
            </w:r>
            <w:r w:rsidRPr="008B3D24">
              <w:t>dose every month</w:t>
            </w:r>
          </w:p>
        </w:tc>
      </w:tr>
      <w:tr w:rsidR="0088334F" w:rsidRPr="008B3D24" w:rsidTr="0088334F">
        <w:tc>
          <w:tcPr>
            <w:tcW w:w="1668" w:type="dxa"/>
            <w:vAlign w:val="center"/>
          </w:tcPr>
          <w:p w:rsidR="0088334F" w:rsidRPr="008B3D24" w:rsidRDefault="0088334F" w:rsidP="0088334F">
            <w:pPr>
              <w:pStyle w:val="TableText0"/>
            </w:pPr>
            <w:r w:rsidRPr="008B3D24">
              <w:t>Outcomes</w:t>
            </w:r>
          </w:p>
        </w:tc>
        <w:tc>
          <w:tcPr>
            <w:tcW w:w="7488" w:type="dxa"/>
            <w:vAlign w:val="center"/>
          </w:tcPr>
          <w:p w:rsidR="0088334F" w:rsidRPr="008B3D24" w:rsidRDefault="0088334F" w:rsidP="0088334F">
            <w:pPr>
              <w:pStyle w:val="TableText0"/>
            </w:pPr>
            <w:r w:rsidRPr="008B3D24">
              <w:t>Efficacy: ASAS20, ASAS40 and BASDAI 50</w:t>
            </w:r>
            <w:r w:rsidR="00A3654F" w:rsidRPr="008B3D24">
              <w:t xml:space="preserve"> </w:t>
            </w:r>
            <w:r w:rsidR="00A3654F" w:rsidRPr="008B3D24">
              <w:rPr>
                <w:iCs/>
              </w:rPr>
              <w:t xml:space="preserve">(or change in BASDAI from baseline </w:t>
            </w:r>
            <w:r w:rsidR="00A3654F" w:rsidRPr="008B3D24">
              <w:rPr>
                <w:iCs/>
                <w:vertAlign w:val="superscript"/>
              </w:rPr>
              <w:t>a</w:t>
            </w:r>
            <w:r w:rsidR="00A3654F" w:rsidRPr="008B3D24">
              <w:rPr>
                <w:iCs/>
              </w:rPr>
              <w:t>)</w:t>
            </w:r>
          </w:p>
          <w:p w:rsidR="0088334F" w:rsidRPr="008B3D24" w:rsidRDefault="0088334F" w:rsidP="00216624">
            <w:pPr>
              <w:pStyle w:val="TableText0"/>
            </w:pPr>
            <w:r w:rsidRPr="008B3D24">
              <w:t>Safety: Frequency of TEAE, SAE and discontinuations.</w:t>
            </w:r>
          </w:p>
        </w:tc>
      </w:tr>
      <w:tr w:rsidR="0088334F" w:rsidRPr="008B3D24" w:rsidTr="0088334F">
        <w:tc>
          <w:tcPr>
            <w:tcW w:w="1668" w:type="dxa"/>
            <w:vAlign w:val="center"/>
          </w:tcPr>
          <w:p w:rsidR="0088334F" w:rsidRPr="008B3D24" w:rsidRDefault="0088334F" w:rsidP="0088334F">
            <w:pPr>
              <w:pStyle w:val="TableText0"/>
            </w:pPr>
            <w:r w:rsidRPr="008B3D24">
              <w:t>Clinical claim</w:t>
            </w:r>
          </w:p>
        </w:tc>
        <w:tc>
          <w:tcPr>
            <w:tcW w:w="7488" w:type="dxa"/>
            <w:vAlign w:val="center"/>
          </w:tcPr>
          <w:p w:rsidR="0088334F" w:rsidRPr="008B3D24" w:rsidRDefault="0088334F" w:rsidP="0088334F">
            <w:pPr>
              <w:pStyle w:val="TableText0"/>
            </w:pPr>
            <w:r w:rsidRPr="008B3D24">
              <w:t xml:space="preserve">In adults with active ankylosing spondylitis, ixekizumab </w:t>
            </w:r>
            <w:r w:rsidRPr="008B3D24">
              <w:rPr>
                <w:iCs/>
              </w:rPr>
              <w:t>has</w:t>
            </w:r>
            <w:r w:rsidRPr="008B3D24">
              <w:t xml:space="preserve"> non-inferior</w:t>
            </w:r>
            <w:r w:rsidR="004058E4" w:rsidRPr="008B3D24">
              <w:t xml:space="preserve"> </w:t>
            </w:r>
            <w:r w:rsidR="00A3654F" w:rsidRPr="008B3D24">
              <w:rPr>
                <w:vertAlign w:val="superscript"/>
              </w:rPr>
              <w:t>b</w:t>
            </w:r>
            <w:r w:rsidRPr="008B3D24">
              <w:t xml:space="preserve"> </w:t>
            </w:r>
            <w:r w:rsidRPr="008B3D24">
              <w:rPr>
                <w:iCs/>
              </w:rPr>
              <w:t xml:space="preserve">efficacy </w:t>
            </w:r>
            <w:r w:rsidRPr="008B3D24">
              <w:t xml:space="preserve">and </w:t>
            </w:r>
            <w:r w:rsidRPr="008B3D24">
              <w:rPr>
                <w:iCs/>
              </w:rPr>
              <w:t>comparable</w:t>
            </w:r>
            <w:r w:rsidRPr="008B3D24">
              <w:t xml:space="preserve"> safety</w:t>
            </w:r>
            <w:r w:rsidRPr="008B3D24">
              <w:rPr>
                <w:iCs/>
              </w:rPr>
              <w:t xml:space="preserve"> with</w:t>
            </w:r>
            <w:r w:rsidRPr="008B3D24">
              <w:t xml:space="preserve"> adalimumab or secukinumab.</w:t>
            </w:r>
          </w:p>
        </w:tc>
      </w:tr>
    </w:tbl>
    <w:p w:rsidR="0088334F" w:rsidRPr="008B3D24" w:rsidRDefault="0088334F" w:rsidP="0088334F">
      <w:pPr>
        <w:pStyle w:val="TableFigureFooter"/>
      </w:pPr>
      <w:r w:rsidRPr="008B3D24">
        <w:t>Source: Table 1.1.1, p30 of the submission</w:t>
      </w:r>
      <w:r w:rsidR="004058E4" w:rsidRPr="008B3D24">
        <w:t xml:space="preserve"> </w:t>
      </w:r>
      <w:r w:rsidR="004058E4" w:rsidRPr="008B3D24">
        <w:rPr>
          <w:iCs/>
        </w:rPr>
        <w:t>and added during the evaluation</w:t>
      </w:r>
      <w:r w:rsidR="004058E4" w:rsidRPr="008B3D24">
        <w:t xml:space="preserve"> </w:t>
      </w:r>
    </w:p>
    <w:p w:rsidR="0088334F" w:rsidRPr="008B3D24" w:rsidRDefault="0088334F" w:rsidP="0088334F">
      <w:pPr>
        <w:pStyle w:val="TableFigureFooter"/>
      </w:pPr>
      <w:r w:rsidRPr="008B3D24">
        <w:t>ASAS = Assessment of Spondylo</w:t>
      </w:r>
      <w:r w:rsidR="00216624" w:rsidRPr="008B3D24">
        <w:t>A</w:t>
      </w:r>
      <w:r w:rsidRPr="008B3D24">
        <w:t xml:space="preserve">rthritis </w:t>
      </w:r>
      <w:r w:rsidR="009B2060" w:rsidRPr="008B3D24">
        <w:t>i</w:t>
      </w:r>
      <w:r w:rsidRPr="008B3D24">
        <w:t xml:space="preserve">nternational Society; </w:t>
      </w:r>
      <w:r w:rsidR="00D77A0C" w:rsidRPr="008B3D24">
        <w:rPr>
          <w:rFonts w:cs="Times New Roman"/>
          <w:lang w:eastAsia="en-GB"/>
        </w:rPr>
        <w:t xml:space="preserve">ASAS20/40 = Assessment of </w:t>
      </w:r>
      <w:r w:rsidR="00216624" w:rsidRPr="008B3D24">
        <w:rPr>
          <w:rFonts w:cs="Times New Roman"/>
          <w:lang w:eastAsia="en-GB"/>
        </w:rPr>
        <w:t>SpondyloArthritis</w:t>
      </w:r>
      <w:r w:rsidR="00D77A0C" w:rsidRPr="008B3D24">
        <w:rPr>
          <w:rFonts w:cs="Times New Roman"/>
          <w:lang w:eastAsia="en-GB"/>
        </w:rPr>
        <w:t xml:space="preserve"> </w:t>
      </w:r>
      <w:r w:rsidR="009B2060" w:rsidRPr="008B3D24">
        <w:rPr>
          <w:rFonts w:cs="Times New Roman"/>
          <w:lang w:eastAsia="en-GB"/>
        </w:rPr>
        <w:t>i</w:t>
      </w:r>
      <w:r w:rsidR="00D77A0C" w:rsidRPr="008B3D24">
        <w:rPr>
          <w:rFonts w:cs="Times New Roman"/>
          <w:lang w:eastAsia="en-GB"/>
        </w:rPr>
        <w:t xml:space="preserve">nternational Society 20%/40% response criteria; </w:t>
      </w:r>
      <w:r w:rsidR="00A3654F" w:rsidRPr="008B3D24">
        <w:t xml:space="preserve">BASDAI = </w:t>
      </w:r>
      <w:r w:rsidRPr="008B3D24">
        <w:t>Bath ankylosing spondylitis disease activity index</w:t>
      </w:r>
      <w:r w:rsidR="00A3654F" w:rsidRPr="008B3D24">
        <w:t xml:space="preserve">; </w:t>
      </w:r>
      <w:r w:rsidR="00D77A0C" w:rsidRPr="008B3D24">
        <w:t xml:space="preserve">BASDAI 50 = Bath ankylosing spondylitis disease activity index 50, defined as a ≥ 50% improvement in BASDAI score from baseline; </w:t>
      </w:r>
      <w:r w:rsidR="00E2473E" w:rsidRPr="008B3D24">
        <w:t xml:space="preserve">PBAC = Pharmaceutical Benefits Advisory Committee; </w:t>
      </w:r>
      <w:r w:rsidR="00A3654F" w:rsidRPr="008B3D24">
        <w:t>SAE = serious adverse events; TEAE = treatment-emergent adverse events</w:t>
      </w:r>
    </w:p>
    <w:p w:rsidR="00A3654F" w:rsidRPr="008B3D24" w:rsidRDefault="00A3654F" w:rsidP="00A3654F">
      <w:pPr>
        <w:pStyle w:val="TableFigureFooter"/>
        <w:rPr>
          <w:iCs/>
        </w:rPr>
      </w:pPr>
      <w:r w:rsidRPr="008B3D24">
        <w:rPr>
          <w:iCs/>
          <w:vertAlign w:val="superscript"/>
        </w:rPr>
        <w:t>a</w:t>
      </w:r>
      <w:r w:rsidRPr="008B3D24">
        <w:rPr>
          <w:iCs/>
        </w:rPr>
        <w:t xml:space="preserve"> For BASDAI response, the comparison of ixekizumab with adalimumab used BASDAI</w:t>
      </w:r>
      <w:r w:rsidR="00B01838" w:rsidRPr="008B3D24">
        <w:rPr>
          <w:iCs/>
        </w:rPr>
        <w:t xml:space="preserve"> </w:t>
      </w:r>
      <w:r w:rsidRPr="008B3D24">
        <w:rPr>
          <w:iCs/>
        </w:rPr>
        <w:t>50, whereas the comparison with secukinumab used the change in BASDAI from baseline</w:t>
      </w:r>
      <w:r w:rsidR="001E747A" w:rsidRPr="008B3D24">
        <w:rPr>
          <w:iCs/>
        </w:rPr>
        <w:t>.</w:t>
      </w:r>
      <w:r w:rsidRPr="008B3D24">
        <w:rPr>
          <w:iCs/>
        </w:rPr>
        <w:t xml:space="preserve"> </w:t>
      </w:r>
    </w:p>
    <w:p w:rsidR="00A3654F" w:rsidRPr="008B3D24" w:rsidRDefault="00A3654F" w:rsidP="00A3654F">
      <w:pPr>
        <w:pStyle w:val="TableFigureFooter"/>
      </w:pPr>
      <w:r w:rsidRPr="008B3D24">
        <w:rPr>
          <w:vertAlign w:val="superscript"/>
        </w:rPr>
        <w:t>b</w:t>
      </w:r>
      <w:r w:rsidRPr="008B3D24">
        <w:t xml:space="preserve"> The submission reiterated that for the purpose of this submission, PBAC’s clinical claim terminology “non-inferior” also has the same meaning as comparable or similar </w:t>
      </w:r>
    </w:p>
    <w:p w:rsidR="005C25FF" w:rsidRPr="008B3D24" w:rsidRDefault="005C25FF" w:rsidP="004A6040">
      <w:pPr>
        <w:pStyle w:val="2-SectionHeading"/>
      </w:pPr>
      <w:bookmarkStart w:id="2" w:name="_Toc40706497"/>
      <w:r w:rsidRPr="008B3D24">
        <w:t>Background</w:t>
      </w:r>
      <w:bookmarkEnd w:id="2"/>
    </w:p>
    <w:p w:rsidR="005C25FF" w:rsidRPr="008B3D24" w:rsidRDefault="005C25FF" w:rsidP="004A6040">
      <w:pPr>
        <w:pStyle w:val="4-SubsectionHeading"/>
      </w:pPr>
      <w:bookmarkStart w:id="3" w:name="_Toc22897638"/>
      <w:bookmarkStart w:id="4" w:name="_Toc40706498"/>
      <w:r w:rsidRPr="008B3D24">
        <w:t>Registration status</w:t>
      </w:r>
      <w:bookmarkEnd w:id="3"/>
      <w:bookmarkEnd w:id="4"/>
    </w:p>
    <w:p w:rsidR="00C056A9" w:rsidRPr="008B3D24" w:rsidRDefault="0088334F" w:rsidP="00B82E83">
      <w:pPr>
        <w:pStyle w:val="3-BodyText"/>
        <w:numPr>
          <w:ilvl w:val="1"/>
          <w:numId w:val="12"/>
        </w:numPr>
      </w:pPr>
      <w:r w:rsidRPr="008B3D24">
        <w:t xml:space="preserve">Ixekizumab </w:t>
      </w:r>
      <w:r w:rsidR="005C25FF" w:rsidRPr="008B3D24">
        <w:t xml:space="preserve">was </w:t>
      </w:r>
      <w:r w:rsidR="00E422CD" w:rsidRPr="008B3D24">
        <w:t xml:space="preserve">registered by the </w:t>
      </w:r>
      <w:r w:rsidR="005C25FF" w:rsidRPr="008B3D24">
        <w:t>T</w:t>
      </w:r>
      <w:r w:rsidR="00330A8B" w:rsidRPr="008B3D24">
        <w:t xml:space="preserve">herapeutic </w:t>
      </w:r>
      <w:r w:rsidR="005C25FF" w:rsidRPr="008B3D24">
        <w:t>G</w:t>
      </w:r>
      <w:r w:rsidR="00330A8B" w:rsidRPr="008B3D24">
        <w:t xml:space="preserve">oods </w:t>
      </w:r>
      <w:r w:rsidR="005C25FF" w:rsidRPr="008B3D24">
        <w:t>A</w:t>
      </w:r>
      <w:r w:rsidR="00330A8B" w:rsidRPr="008B3D24">
        <w:t>dministration (TGA)</w:t>
      </w:r>
      <w:r w:rsidR="005C25FF" w:rsidRPr="008B3D24">
        <w:t xml:space="preserve"> on </w:t>
      </w:r>
      <w:r w:rsidR="00F7439D" w:rsidRPr="008B3D24">
        <w:t xml:space="preserve">6 </w:t>
      </w:r>
      <w:r w:rsidRPr="008B3D24">
        <w:t>March 2020</w:t>
      </w:r>
      <w:r w:rsidR="005C25FF" w:rsidRPr="008B3D24">
        <w:t xml:space="preserve"> for </w:t>
      </w:r>
      <w:r w:rsidRPr="008B3D24">
        <w:t xml:space="preserve">treatment of </w:t>
      </w:r>
      <w:r w:rsidR="00F7439D" w:rsidRPr="008B3D24">
        <w:t xml:space="preserve">active </w:t>
      </w:r>
      <w:r w:rsidR="005D614B" w:rsidRPr="008B3D24">
        <w:t>AS</w:t>
      </w:r>
      <w:r w:rsidR="00F7439D" w:rsidRPr="008B3D24">
        <w:t xml:space="preserve"> in adult patients</w:t>
      </w:r>
      <w:r w:rsidRPr="008B3D24">
        <w:t xml:space="preserve">. </w:t>
      </w:r>
      <w:r w:rsidR="005C25FF" w:rsidRPr="008B3D24">
        <w:t xml:space="preserve">At the time of evaluation for PBAC consideration, </w:t>
      </w:r>
      <w:r w:rsidRPr="008B3D24">
        <w:t>the TGA Delegate</w:t>
      </w:r>
      <w:r w:rsidR="00330A8B" w:rsidRPr="008B3D24">
        <w:t xml:space="preserve">’s Overview </w:t>
      </w:r>
      <w:r w:rsidRPr="008B3D24">
        <w:t>and A</w:t>
      </w:r>
      <w:r w:rsidR="00330A8B" w:rsidRPr="008B3D24">
        <w:t xml:space="preserve">dvisory </w:t>
      </w:r>
      <w:r w:rsidRPr="008B3D24">
        <w:t>C</w:t>
      </w:r>
      <w:r w:rsidR="00330A8B" w:rsidRPr="008B3D24">
        <w:t>ommittee on Medicines (AC</w:t>
      </w:r>
      <w:r w:rsidRPr="008B3D24">
        <w:t>M</w:t>
      </w:r>
      <w:r w:rsidR="00330A8B" w:rsidRPr="008B3D24">
        <w:t>)</w:t>
      </w:r>
      <w:r w:rsidRPr="008B3D24">
        <w:t xml:space="preserve"> </w:t>
      </w:r>
      <w:r w:rsidR="00E2473E" w:rsidRPr="008B3D24">
        <w:t>a</w:t>
      </w:r>
      <w:r w:rsidRPr="008B3D24">
        <w:t>dvice</w:t>
      </w:r>
      <w:r w:rsidR="005C25FF" w:rsidRPr="008B3D24">
        <w:t xml:space="preserve"> were available. </w:t>
      </w:r>
    </w:p>
    <w:p w:rsidR="005C25FF" w:rsidRPr="008B3D24" w:rsidRDefault="005C25FF" w:rsidP="004E18E9">
      <w:pPr>
        <w:pStyle w:val="4-SubsectionHeading"/>
      </w:pPr>
      <w:bookmarkStart w:id="5" w:name="_Toc22897639"/>
      <w:bookmarkStart w:id="6" w:name="_Toc40706499"/>
      <w:r w:rsidRPr="008B3D24">
        <w:t>Previous PBAC consideration</w:t>
      </w:r>
      <w:bookmarkEnd w:id="5"/>
      <w:bookmarkEnd w:id="6"/>
    </w:p>
    <w:p w:rsidR="00C056A9" w:rsidRPr="008B3D24" w:rsidRDefault="00C056A9" w:rsidP="00C056A9">
      <w:pPr>
        <w:pStyle w:val="3-BodyText"/>
      </w:pPr>
      <w:r w:rsidRPr="008B3D24">
        <w:t xml:space="preserve">Ixekizumab has previously been considered by PBAC for severe chronic plaque psoriasis (July 2016) and severe psoriatic arthritis (July 2018), and is listed on the PBS for these indications. This submission requested an extension of the current ixekizumab PBS listing to include active AS. </w:t>
      </w:r>
    </w:p>
    <w:p w:rsidR="005E4168" w:rsidRPr="008B3D24" w:rsidRDefault="005E4168" w:rsidP="005E4168">
      <w:pPr>
        <w:pStyle w:val="2-SectionHeading"/>
      </w:pPr>
      <w:bookmarkStart w:id="7" w:name="_Toc30410042"/>
      <w:bookmarkStart w:id="8" w:name="_Toc40706500"/>
      <w:r w:rsidRPr="008B3D24">
        <w:lastRenderedPageBreak/>
        <w:t>Requested listing</w:t>
      </w:r>
      <w:bookmarkEnd w:id="7"/>
      <w:bookmarkEnd w:id="8"/>
    </w:p>
    <w:p w:rsidR="00B82E83" w:rsidRPr="008B3D24" w:rsidRDefault="00B61765" w:rsidP="001E325D">
      <w:pPr>
        <w:pStyle w:val="3-BodyText"/>
        <w:numPr>
          <w:ilvl w:val="1"/>
          <w:numId w:val="18"/>
        </w:numPr>
        <w:rPr>
          <w:i/>
        </w:rPr>
      </w:pPr>
      <w:r w:rsidRPr="008B3D24">
        <w:t xml:space="preserve">An abridged listing is provided below. </w:t>
      </w:r>
      <w:r w:rsidR="001E325D" w:rsidRPr="008B3D24">
        <w:t>Suggestions and additions proposed by the Secretariat are added in italics and suggested deletions are crossed out with strikethrough</w:t>
      </w:r>
      <w:r w:rsidR="001E325D" w:rsidRPr="008B3D24">
        <w:rPr>
          <w:i/>
        </w:rPr>
        <w:t xml:space="preserve">. </w:t>
      </w:r>
    </w:p>
    <w:tbl>
      <w:tblPr>
        <w:tblW w:w="8914" w:type="dxa"/>
        <w:tblBorders>
          <w:top w:val="single" w:sz="4" w:space="0" w:color="auto"/>
          <w:bottom w:val="single" w:sz="4" w:space="0" w:color="auto"/>
          <w:insideH w:val="single" w:sz="4" w:space="0" w:color="auto"/>
        </w:tblBorders>
        <w:tblLook w:val="04A0" w:firstRow="1" w:lastRow="0" w:firstColumn="1" w:lastColumn="0" w:noHBand="0" w:noVBand="1"/>
      </w:tblPr>
      <w:tblGrid>
        <w:gridCol w:w="2552"/>
        <w:gridCol w:w="973"/>
        <w:gridCol w:w="995"/>
        <w:gridCol w:w="825"/>
        <w:gridCol w:w="2152"/>
        <w:gridCol w:w="1417"/>
      </w:tblGrid>
      <w:tr w:rsidR="005E6FD0" w:rsidRPr="008B3D24" w:rsidTr="00DA36F1">
        <w:tc>
          <w:tcPr>
            <w:tcW w:w="2552" w:type="dxa"/>
            <w:tcBorders>
              <w:bottom w:val="single" w:sz="4" w:space="0" w:color="auto"/>
            </w:tcBorders>
          </w:tcPr>
          <w:p w:rsidR="005E6FD0" w:rsidRPr="008B3D24" w:rsidRDefault="005E6FD0" w:rsidP="00DA36F1">
            <w:pPr>
              <w:pStyle w:val="Tabletext"/>
              <w:rPr>
                <w:b/>
                <w:bCs/>
              </w:rPr>
            </w:pPr>
            <w:r w:rsidRPr="008B3D24">
              <w:rPr>
                <w:b/>
              </w:rPr>
              <w:t>Name, restriction, manner of administration, form</w:t>
            </w:r>
          </w:p>
        </w:tc>
        <w:tc>
          <w:tcPr>
            <w:tcW w:w="973" w:type="dxa"/>
            <w:tcBorders>
              <w:bottom w:val="single" w:sz="4" w:space="0" w:color="auto"/>
            </w:tcBorders>
          </w:tcPr>
          <w:p w:rsidR="005E6FD0" w:rsidRPr="008B3D24" w:rsidRDefault="005E6FD0" w:rsidP="00DA36F1">
            <w:pPr>
              <w:pStyle w:val="Tabletext"/>
              <w:jc w:val="center"/>
              <w:rPr>
                <w:b/>
                <w:bCs/>
              </w:rPr>
            </w:pPr>
            <w:r w:rsidRPr="008B3D24">
              <w:rPr>
                <w:b/>
              </w:rPr>
              <w:t>Maximum quantity (packs)</w:t>
            </w:r>
          </w:p>
        </w:tc>
        <w:tc>
          <w:tcPr>
            <w:tcW w:w="995" w:type="dxa"/>
            <w:tcBorders>
              <w:bottom w:val="single" w:sz="4" w:space="0" w:color="auto"/>
            </w:tcBorders>
          </w:tcPr>
          <w:p w:rsidR="005E6FD0" w:rsidRPr="008B3D24" w:rsidRDefault="005E6FD0" w:rsidP="00DA36F1">
            <w:pPr>
              <w:pStyle w:val="Tabletext"/>
              <w:jc w:val="center"/>
              <w:rPr>
                <w:b/>
                <w:bCs/>
              </w:rPr>
            </w:pPr>
            <w:r w:rsidRPr="008B3D24">
              <w:rPr>
                <w:b/>
              </w:rPr>
              <w:t>Maximum quantity (units)</w:t>
            </w:r>
          </w:p>
        </w:tc>
        <w:tc>
          <w:tcPr>
            <w:tcW w:w="825" w:type="dxa"/>
            <w:tcBorders>
              <w:bottom w:val="single" w:sz="4" w:space="0" w:color="auto"/>
            </w:tcBorders>
          </w:tcPr>
          <w:p w:rsidR="005E6FD0" w:rsidRPr="008B3D24" w:rsidRDefault="005E6FD0" w:rsidP="00DA36F1">
            <w:pPr>
              <w:pStyle w:val="Tabletext"/>
              <w:rPr>
                <w:b/>
                <w:bCs/>
              </w:rPr>
            </w:pPr>
            <w:r w:rsidRPr="008B3D24">
              <w:rPr>
                <w:b/>
              </w:rPr>
              <w:t>No. of repeats</w:t>
            </w:r>
          </w:p>
        </w:tc>
        <w:tc>
          <w:tcPr>
            <w:tcW w:w="2152" w:type="dxa"/>
          </w:tcPr>
          <w:p w:rsidR="005E6FD0" w:rsidRPr="008B3D24" w:rsidRDefault="005E6FD0" w:rsidP="00DA36F1">
            <w:pPr>
              <w:pStyle w:val="Tabletext"/>
              <w:rPr>
                <w:b/>
                <w:bCs/>
              </w:rPr>
            </w:pPr>
            <w:r w:rsidRPr="008B3D24">
              <w:rPr>
                <w:b/>
              </w:rPr>
              <w:t>Dispensed price for maximum quantity</w:t>
            </w:r>
          </w:p>
        </w:tc>
        <w:tc>
          <w:tcPr>
            <w:tcW w:w="1417" w:type="dxa"/>
          </w:tcPr>
          <w:p w:rsidR="005E6FD0" w:rsidRPr="008B3D24" w:rsidRDefault="005E6FD0" w:rsidP="00DA36F1">
            <w:pPr>
              <w:pStyle w:val="Tabletext"/>
              <w:rPr>
                <w:b/>
                <w:bCs/>
              </w:rPr>
            </w:pPr>
            <w:r w:rsidRPr="008B3D24">
              <w:rPr>
                <w:b/>
              </w:rPr>
              <w:t>Proprietary name and manufacturer</w:t>
            </w:r>
          </w:p>
        </w:tc>
      </w:tr>
      <w:tr w:rsidR="005E6FD0" w:rsidRPr="008B3D24" w:rsidTr="00DA36F1">
        <w:tc>
          <w:tcPr>
            <w:tcW w:w="2552" w:type="dxa"/>
            <w:tcBorders>
              <w:top w:val="single" w:sz="4" w:space="0" w:color="auto"/>
              <w:bottom w:val="nil"/>
            </w:tcBorders>
            <w:vAlign w:val="center"/>
          </w:tcPr>
          <w:p w:rsidR="005E6FD0" w:rsidRPr="008B3D24" w:rsidRDefault="005E6FD0" w:rsidP="00DA36F1">
            <w:pPr>
              <w:pStyle w:val="Tabletext"/>
            </w:pPr>
            <w:r w:rsidRPr="008B3D24">
              <w:t>IXEKIZUMAB</w:t>
            </w:r>
          </w:p>
          <w:p w:rsidR="005E6FD0" w:rsidRPr="008B3D24" w:rsidRDefault="005E6FD0" w:rsidP="00DA36F1">
            <w:pPr>
              <w:pStyle w:val="Tabletext"/>
            </w:pPr>
            <w:r w:rsidRPr="008B3D24">
              <w:t>Initial</w:t>
            </w:r>
            <w:r w:rsidR="00E2473E" w:rsidRPr="008B3D24">
              <w:t>-</w:t>
            </w:r>
            <w:r w:rsidRPr="008B3D24">
              <w:t>1 and initial</w:t>
            </w:r>
            <w:r w:rsidR="00E2473E" w:rsidRPr="008B3D24">
              <w:t>-</w:t>
            </w:r>
            <w:r w:rsidRPr="008B3D24">
              <w:t>2</w:t>
            </w:r>
            <w:r w:rsidR="00F45C1D" w:rsidRPr="008B3D24">
              <w:t xml:space="preserve"> </w:t>
            </w:r>
            <w:r w:rsidRPr="008B3D24">
              <w:rPr>
                <w:vertAlign w:val="superscript"/>
              </w:rPr>
              <w:t>a</w:t>
            </w:r>
            <w:r w:rsidRPr="008B3D24">
              <w:t xml:space="preserve"> </w:t>
            </w:r>
          </w:p>
          <w:p w:rsidR="005E6FD0" w:rsidRPr="008B3D24" w:rsidRDefault="005E6FD0" w:rsidP="00DA36F1">
            <w:pPr>
              <w:pStyle w:val="Tabletext"/>
              <w:rPr>
                <w:b/>
                <w:bCs/>
                <w:i/>
                <w:iCs/>
              </w:rPr>
            </w:pPr>
            <w:r w:rsidRPr="008B3D24">
              <w:t>80</w:t>
            </w:r>
            <w:r w:rsidR="00EF7208" w:rsidRPr="008B3D24">
              <w:t xml:space="preserve"> </w:t>
            </w:r>
            <w:r w:rsidRPr="008B3D24">
              <w:t>mg/</w:t>
            </w:r>
            <w:r w:rsidR="00EF7208" w:rsidRPr="008B3D24">
              <w:t xml:space="preserve"> </w:t>
            </w:r>
            <w:r w:rsidRPr="008B3D24">
              <w:t>mL, 2 x 1</w:t>
            </w:r>
            <w:r w:rsidR="00EF7208" w:rsidRPr="008B3D24">
              <w:t xml:space="preserve"> </w:t>
            </w:r>
            <w:r w:rsidRPr="008B3D24">
              <w:t>mL pen device</w:t>
            </w:r>
          </w:p>
        </w:tc>
        <w:tc>
          <w:tcPr>
            <w:tcW w:w="973" w:type="dxa"/>
            <w:tcBorders>
              <w:top w:val="single" w:sz="4" w:space="0" w:color="auto"/>
              <w:bottom w:val="nil"/>
            </w:tcBorders>
            <w:vAlign w:val="center"/>
          </w:tcPr>
          <w:p w:rsidR="005E6FD0" w:rsidRPr="008B3D24" w:rsidRDefault="005E6FD0" w:rsidP="00DA36F1">
            <w:pPr>
              <w:pStyle w:val="Tabletext"/>
              <w:jc w:val="center"/>
              <w:rPr>
                <w:rFonts w:ascii="Times" w:hAnsi="Times"/>
              </w:rPr>
            </w:pPr>
            <w:r w:rsidRPr="008B3D24">
              <w:t>1</w:t>
            </w:r>
          </w:p>
        </w:tc>
        <w:tc>
          <w:tcPr>
            <w:tcW w:w="995" w:type="dxa"/>
            <w:tcBorders>
              <w:top w:val="single" w:sz="4" w:space="0" w:color="auto"/>
              <w:bottom w:val="nil"/>
            </w:tcBorders>
            <w:vAlign w:val="center"/>
          </w:tcPr>
          <w:p w:rsidR="005E6FD0" w:rsidRPr="008B3D24" w:rsidRDefault="005E6FD0" w:rsidP="00DA36F1">
            <w:pPr>
              <w:pStyle w:val="Tabletext"/>
              <w:jc w:val="center"/>
              <w:rPr>
                <w:rFonts w:ascii="Times" w:hAnsi="Times"/>
              </w:rPr>
            </w:pPr>
            <w:r w:rsidRPr="008B3D24">
              <w:t>2</w:t>
            </w:r>
          </w:p>
        </w:tc>
        <w:tc>
          <w:tcPr>
            <w:tcW w:w="825" w:type="dxa"/>
            <w:tcBorders>
              <w:top w:val="single" w:sz="4" w:space="0" w:color="auto"/>
              <w:bottom w:val="nil"/>
            </w:tcBorders>
            <w:vAlign w:val="center"/>
          </w:tcPr>
          <w:p w:rsidR="005E6FD0" w:rsidRPr="008B3D24" w:rsidRDefault="005E6FD0" w:rsidP="00DA36F1">
            <w:pPr>
              <w:pStyle w:val="Tabletext"/>
              <w:jc w:val="center"/>
              <w:rPr>
                <w:rFonts w:ascii="Times" w:hAnsi="Times"/>
              </w:rPr>
            </w:pPr>
            <w:r w:rsidRPr="008B3D24">
              <w:t>1</w:t>
            </w:r>
          </w:p>
        </w:tc>
        <w:tc>
          <w:tcPr>
            <w:tcW w:w="2152" w:type="dxa"/>
            <w:vMerge w:val="restart"/>
            <w:vAlign w:val="center"/>
          </w:tcPr>
          <w:p w:rsidR="005E6FD0" w:rsidRPr="008B3D24" w:rsidRDefault="005E6FD0" w:rsidP="00DA36F1">
            <w:pPr>
              <w:pStyle w:val="Tabletext"/>
              <w:jc w:val="center"/>
            </w:pPr>
            <w:r w:rsidRPr="008B3D24">
              <w:t>$3,41</w:t>
            </w:r>
            <w:r w:rsidR="008C278A" w:rsidRPr="008B3D24">
              <w:t>2</w:t>
            </w:r>
            <w:r w:rsidRPr="008B3D24">
              <w:t>.04 published price</w:t>
            </w:r>
          </w:p>
          <w:p w:rsidR="005E6FD0" w:rsidRPr="008B3D24" w:rsidRDefault="005E6FD0" w:rsidP="00DA36F1">
            <w:pPr>
              <w:pStyle w:val="Tabletext"/>
              <w:jc w:val="center"/>
              <w:rPr>
                <w:rFonts w:ascii="Times" w:hAnsi="Times"/>
              </w:rPr>
            </w:pPr>
            <w:r w:rsidRPr="008B3D24">
              <w:t>$</w:t>
            </w:r>
            <w:r w:rsidR="0064432C">
              <w:rPr>
                <w:noProof/>
                <w:color w:val="000000"/>
                <w:highlight w:val="black"/>
              </w:rPr>
              <w:t>'''''''''''''''''''''</w:t>
            </w:r>
            <w:r w:rsidRPr="008B3D24">
              <w:t xml:space="preserve"> effective price</w:t>
            </w:r>
          </w:p>
        </w:tc>
        <w:tc>
          <w:tcPr>
            <w:tcW w:w="1417" w:type="dxa"/>
            <w:vMerge w:val="restart"/>
            <w:vAlign w:val="center"/>
          </w:tcPr>
          <w:p w:rsidR="005E6FD0" w:rsidRPr="008B3D24" w:rsidRDefault="005E6FD0" w:rsidP="00DA36F1">
            <w:pPr>
              <w:pStyle w:val="Tabletext"/>
              <w:jc w:val="center"/>
            </w:pPr>
            <w:r w:rsidRPr="008B3D24">
              <w:t xml:space="preserve">Taltz® </w:t>
            </w:r>
          </w:p>
          <w:p w:rsidR="005E6FD0" w:rsidRPr="008B3D24" w:rsidRDefault="005E6FD0" w:rsidP="00DA36F1">
            <w:pPr>
              <w:pStyle w:val="Tabletext"/>
              <w:jc w:val="center"/>
              <w:rPr>
                <w:rFonts w:ascii="Times" w:hAnsi="Times"/>
              </w:rPr>
            </w:pPr>
            <w:r w:rsidRPr="008B3D24">
              <w:t>Eli Lilly Australia Pty Ltd.</w:t>
            </w:r>
          </w:p>
        </w:tc>
      </w:tr>
      <w:tr w:rsidR="005E6FD0" w:rsidRPr="008B3D24" w:rsidTr="00DA36F1">
        <w:tc>
          <w:tcPr>
            <w:tcW w:w="2552" w:type="dxa"/>
            <w:tcBorders>
              <w:top w:val="nil"/>
              <w:bottom w:val="single" w:sz="4" w:space="0" w:color="auto"/>
            </w:tcBorders>
            <w:vAlign w:val="center"/>
          </w:tcPr>
          <w:p w:rsidR="005E6FD0" w:rsidRPr="008B3D24" w:rsidRDefault="005E6FD0" w:rsidP="00DA36F1">
            <w:pPr>
              <w:pStyle w:val="Tabletext"/>
            </w:pPr>
            <w:r w:rsidRPr="008B3D24">
              <w:t>Continuing treatment</w:t>
            </w:r>
          </w:p>
          <w:p w:rsidR="005E6FD0" w:rsidRPr="008B3D24" w:rsidRDefault="005E6FD0" w:rsidP="00DA36F1">
            <w:pPr>
              <w:pStyle w:val="Tabletext"/>
            </w:pPr>
            <w:r w:rsidRPr="008B3D24">
              <w:t>80</w:t>
            </w:r>
            <w:r w:rsidR="00EF7208" w:rsidRPr="008B3D24">
              <w:t xml:space="preserve"> </w:t>
            </w:r>
            <w:r w:rsidRPr="008B3D24">
              <w:t>mg/</w:t>
            </w:r>
            <w:r w:rsidR="00EF7208" w:rsidRPr="008B3D24">
              <w:t xml:space="preserve"> </w:t>
            </w:r>
            <w:r w:rsidRPr="008B3D24">
              <w:t>mL, 2 x 1</w:t>
            </w:r>
            <w:r w:rsidR="00EF7208" w:rsidRPr="008B3D24">
              <w:t xml:space="preserve"> </w:t>
            </w:r>
            <w:r w:rsidRPr="008B3D24">
              <w:t>mL pen device</w:t>
            </w:r>
          </w:p>
        </w:tc>
        <w:tc>
          <w:tcPr>
            <w:tcW w:w="973" w:type="dxa"/>
            <w:tcBorders>
              <w:top w:val="nil"/>
              <w:bottom w:val="single" w:sz="4" w:space="0" w:color="auto"/>
            </w:tcBorders>
            <w:vAlign w:val="center"/>
          </w:tcPr>
          <w:p w:rsidR="005E6FD0" w:rsidRPr="008B3D24" w:rsidRDefault="005E6FD0" w:rsidP="00DA36F1">
            <w:pPr>
              <w:pStyle w:val="Tabletext"/>
              <w:jc w:val="center"/>
            </w:pPr>
            <w:r w:rsidRPr="008B3D24">
              <w:t>1</w:t>
            </w:r>
          </w:p>
        </w:tc>
        <w:tc>
          <w:tcPr>
            <w:tcW w:w="995" w:type="dxa"/>
            <w:tcBorders>
              <w:top w:val="nil"/>
              <w:bottom w:val="single" w:sz="4" w:space="0" w:color="auto"/>
            </w:tcBorders>
            <w:vAlign w:val="center"/>
          </w:tcPr>
          <w:p w:rsidR="005E6FD0" w:rsidRPr="008B3D24" w:rsidRDefault="005E6FD0" w:rsidP="00DA36F1">
            <w:pPr>
              <w:pStyle w:val="Tabletext"/>
              <w:jc w:val="center"/>
            </w:pPr>
            <w:r w:rsidRPr="008B3D24">
              <w:t>2</w:t>
            </w:r>
          </w:p>
        </w:tc>
        <w:tc>
          <w:tcPr>
            <w:tcW w:w="825" w:type="dxa"/>
            <w:tcBorders>
              <w:top w:val="nil"/>
              <w:bottom w:val="single" w:sz="4" w:space="0" w:color="auto"/>
            </w:tcBorders>
            <w:vAlign w:val="center"/>
          </w:tcPr>
          <w:p w:rsidR="005E6FD0" w:rsidRPr="008B3D24" w:rsidRDefault="005E6FD0" w:rsidP="00DA36F1">
            <w:pPr>
              <w:pStyle w:val="Tabletext"/>
              <w:jc w:val="center"/>
            </w:pPr>
            <w:r w:rsidRPr="008B3D24">
              <w:t>2</w:t>
            </w:r>
          </w:p>
        </w:tc>
        <w:tc>
          <w:tcPr>
            <w:tcW w:w="2152" w:type="dxa"/>
            <w:vMerge/>
            <w:vAlign w:val="center"/>
          </w:tcPr>
          <w:p w:rsidR="005E6FD0" w:rsidRPr="008B3D24" w:rsidRDefault="005E6FD0" w:rsidP="00DA36F1">
            <w:pPr>
              <w:pStyle w:val="Tabletext"/>
              <w:jc w:val="center"/>
            </w:pPr>
          </w:p>
        </w:tc>
        <w:tc>
          <w:tcPr>
            <w:tcW w:w="1417" w:type="dxa"/>
            <w:vMerge/>
            <w:vAlign w:val="center"/>
          </w:tcPr>
          <w:p w:rsidR="005E6FD0" w:rsidRPr="008B3D24" w:rsidRDefault="005E6FD0" w:rsidP="00DA36F1">
            <w:pPr>
              <w:pStyle w:val="Tabletext"/>
              <w:jc w:val="center"/>
            </w:pPr>
          </w:p>
        </w:tc>
      </w:tr>
    </w:tbl>
    <w:p w:rsidR="005E6FD0" w:rsidRPr="008B3D24" w:rsidRDefault="005E6FD0" w:rsidP="005E6FD0">
      <w:pPr>
        <w:pStyle w:val="TableFooter"/>
      </w:pPr>
      <w:r w:rsidRPr="008B3D24">
        <w:t>Source: Table 1.4.1, p46 of the submission</w:t>
      </w:r>
    </w:p>
    <w:p w:rsidR="005E6FD0" w:rsidRPr="008B3D24" w:rsidRDefault="005E6FD0" w:rsidP="005E6FD0">
      <w:pPr>
        <w:pStyle w:val="TableFooter"/>
        <w:rPr>
          <w:i/>
          <w:iCs/>
        </w:rPr>
      </w:pPr>
      <w:r w:rsidRPr="008B3D24">
        <w:rPr>
          <w:vertAlign w:val="superscript"/>
        </w:rPr>
        <w:t>a</w:t>
      </w:r>
      <w:r w:rsidRPr="008B3D24">
        <w:t xml:space="preserve"> Initial treatment-1 is for new patients, or patients recommencing treatment after a break of 5 years or more; and Initial treatment-2 is for those who change or recommence after a break in biological medicine treatment of less than 5 years. </w:t>
      </w:r>
    </w:p>
    <w:tbl>
      <w:tblPr>
        <w:tblW w:w="4950" w:type="pct"/>
        <w:tblLook w:val="0000" w:firstRow="0" w:lastRow="0" w:firstColumn="0" w:lastColumn="0" w:noHBand="0" w:noVBand="0"/>
      </w:tblPr>
      <w:tblGrid>
        <w:gridCol w:w="1982"/>
        <w:gridCol w:w="6945"/>
      </w:tblGrid>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
              </w:rPr>
            </w:pPr>
            <w:r w:rsidRPr="008B3D24">
              <w:rPr>
                <w:b/>
              </w:rPr>
              <w:t>Severity:</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i/>
                <w:iCs/>
              </w:rPr>
            </w:pPr>
            <w:r w:rsidRPr="008B3D24">
              <w:t xml:space="preserve">Ankylosing Spondylitis </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
              </w:rPr>
            </w:pPr>
            <w:r w:rsidRPr="008B3D24">
              <w:rPr>
                <w:b/>
              </w:rPr>
              <w:t>Condition:</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pPr>
            <w:r w:rsidRPr="008B3D24">
              <w:t>Active Ankylosing Spondylitis</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
              </w:rPr>
            </w:pPr>
            <w:r w:rsidRPr="008B3D24">
              <w:rPr>
                <w:b/>
              </w:rPr>
              <w:t>PBS Indication:</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strike/>
              </w:rPr>
            </w:pPr>
            <w:r w:rsidRPr="008B3D24">
              <w:t>Initial treatment 1</w:t>
            </w:r>
            <w:r w:rsidR="00E2473E" w:rsidRPr="008B3D24">
              <w:t xml:space="preserve"> </w:t>
            </w:r>
            <w:r w:rsidRPr="008B3D24">
              <w:t>-</w:t>
            </w:r>
            <w:r w:rsidR="00E2473E" w:rsidRPr="008B3D24">
              <w:t xml:space="preserve"> </w:t>
            </w:r>
            <w:r w:rsidRPr="008B3D24">
              <w:t xml:space="preserve">new patients </w:t>
            </w:r>
            <w:r w:rsidRPr="008B3D24">
              <w:rPr>
                <w:strike/>
              </w:rPr>
              <w:t>or patients recommencing treatment after a break of 5 years or more</w:t>
            </w:r>
          </w:p>
          <w:p w:rsidR="00E07D7F" w:rsidRPr="008B3D24" w:rsidRDefault="00E07D7F" w:rsidP="00DA36F1">
            <w:pPr>
              <w:pStyle w:val="TableText0"/>
            </w:pPr>
            <w:r w:rsidRPr="008B3D24">
              <w:t>Initial treatment 2</w:t>
            </w:r>
            <w:r w:rsidR="00E2473E" w:rsidRPr="008B3D24">
              <w:t xml:space="preserve"> </w:t>
            </w:r>
            <w:r w:rsidRPr="008B3D24">
              <w:t>-</w:t>
            </w:r>
            <w:r w:rsidR="00E2473E" w:rsidRPr="008B3D24">
              <w:t xml:space="preserve"> </w:t>
            </w:r>
            <w:r w:rsidRPr="008B3D24">
              <w:t>change or recommencement of treatment after a break in biological medicine treatment less than 5 years</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pPr>
            <w:r w:rsidRPr="008B3D24">
              <w:rPr>
                <w:b/>
              </w:rPr>
              <w:t>Treatment phase:</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CB7776">
            <w:pPr>
              <w:pStyle w:val="TableText0"/>
              <w:rPr>
                <w:strike/>
              </w:rPr>
            </w:pPr>
            <w:r w:rsidRPr="008B3D24">
              <w:t>Initial treatment</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i/>
              </w:rPr>
            </w:pPr>
            <w:r w:rsidRPr="008B3D24">
              <w:rPr>
                <w:b/>
              </w:rPr>
              <w:t>Restriction:</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pPr>
            <w:r w:rsidRPr="008B3D24">
              <w:fldChar w:fldCharType="begin">
                <w:ffData>
                  <w:name w:val=""/>
                  <w:enabled/>
                  <w:calcOnExit w:val="0"/>
                  <w:checkBox>
                    <w:sizeAuto/>
                    <w:default w:val="1"/>
                  </w:checkBox>
                </w:ffData>
              </w:fldChar>
            </w:r>
            <w:r w:rsidRPr="008B3D24">
              <w:instrText xml:space="preserve"> FORMCHECKBOX </w:instrText>
            </w:r>
            <w:r w:rsidR="00093936">
              <w:fldChar w:fldCharType="separate"/>
            </w:r>
            <w:r w:rsidRPr="008B3D24">
              <w:fldChar w:fldCharType="end"/>
            </w:r>
            <w:r w:rsidRPr="008B3D24">
              <w:t>Authority Required - In Writing</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
              </w:rPr>
            </w:pPr>
            <w:r w:rsidRPr="008B3D24">
              <w:rPr>
                <w:b/>
              </w:rPr>
              <w:t>Treatment criteria:</w:t>
            </w:r>
          </w:p>
          <w:p w:rsidR="00E07D7F" w:rsidRPr="008B3D24" w:rsidRDefault="00E07D7F" w:rsidP="00DA36F1">
            <w:pPr>
              <w:pStyle w:val="TableText0"/>
              <w:rPr>
                <w:i/>
              </w:rPr>
            </w:pP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pPr>
            <w:r w:rsidRPr="008B3D24">
              <w:t>Must be treated by a rheumatologist; OR</w:t>
            </w:r>
          </w:p>
          <w:p w:rsidR="00E07D7F" w:rsidRPr="008B3D24" w:rsidRDefault="00E07D7F" w:rsidP="00DA36F1">
            <w:pPr>
              <w:pStyle w:val="TableText0"/>
              <w:rPr>
                <w:rFonts w:cs="Arial"/>
              </w:rPr>
            </w:pPr>
            <w:r w:rsidRPr="008B3D24">
              <w:t>Must be treated by a clinical immunologist with expertise in the management of ankylosing spondylitis.</w:t>
            </w:r>
          </w:p>
        </w:tc>
      </w:tr>
      <w:tr w:rsidR="00E07D7F" w:rsidRPr="008B3D24" w:rsidTr="00DA36F1">
        <w:trPr>
          <w:cantSplit/>
          <w:trHeight w:val="2467"/>
        </w:trPr>
        <w:tc>
          <w:tcPr>
            <w:tcW w:w="1110" w:type="pct"/>
            <w:vMerge w:val="restart"/>
            <w:tcBorders>
              <w:top w:val="single" w:sz="4" w:space="0" w:color="auto"/>
              <w:left w:val="single" w:sz="4" w:space="0" w:color="auto"/>
              <w:right w:val="single" w:sz="4" w:space="0" w:color="auto"/>
            </w:tcBorders>
          </w:tcPr>
          <w:p w:rsidR="00E07D7F" w:rsidRPr="008B3D24" w:rsidRDefault="00E07D7F" w:rsidP="00DA36F1">
            <w:pPr>
              <w:pStyle w:val="TableText0"/>
              <w:rPr>
                <w:b/>
              </w:rPr>
            </w:pPr>
            <w:r w:rsidRPr="008B3D24">
              <w:rPr>
                <w:b/>
              </w:rPr>
              <w:t>Clinical criteria:</w:t>
            </w:r>
          </w:p>
          <w:p w:rsidR="00E07D7F" w:rsidRPr="008B3D24" w:rsidRDefault="00E07D7F" w:rsidP="00DA36F1">
            <w:pPr>
              <w:pStyle w:val="TableText0"/>
              <w:rPr>
                <w:i/>
              </w:rPr>
            </w:pP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Cs w:val="0"/>
              </w:rPr>
            </w:pPr>
            <w:r w:rsidRPr="008B3D24">
              <w:rPr>
                <w:bCs w:val="0"/>
              </w:rPr>
              <w:t>Initial Treatment 1 (</w:t>
            </w:r>
            <w:r w:rsidR="00F54990" w:rsidRPr="008B3D24">
              <w:rPr>
                <w:bCs w:val="0"/>
              </w:rPr>
              <w:t>n</w:t>
            </w:r>
            <w:r w:rsidRPr="008B3D24">
              <w:rPr>
                <w:bCs w:val="0"/>
              </w:rPr>
              <w:t xml:space="preserve">ew </w:t>
            </w:r>
            <w:r w:rsidR="00F54990" w:rsidRPr="008B3D24">
              <w:rPr>
                <w:bCs w:val="0"/>
              </w:rPr>
              <w:t>p</w:t>
            </w:r>
            <w:r w:rsidRPr="008B3D24">
              <w:rPr>
                <w:bCs w:val="0"/>
              </w:rPr>
              <w:t xml:space="preserve">atients </w:t>
            </w:r>
            <w:r w:rsidRPr="008B3D24">
              <w:rPr>
                <w:bCs w:val="0"/>
                <w:strike/>
              </w:rPr>
              <w:t>or patients recommencing treatment after a break of 5 years or more</w:t>
            </w:r>
            <w:r w:rsidRPr="008B3D24">
              <w:rPr>
                <w:bCs w:val="0"/>
              </w:rPr>
              <w:t>)</w:t>
            </w:r>
          </w:p>
          <w:p w:rsidR="00E07D7F" w:rsidRPr="008B3D24" w:rsidRDefault="00E07D7F" w:rsidP="00B82E83">
            <w:pPr>
              <w:pStyle w:val="TableText0"/>
              <w:numPr>
                <w:ilvl w:val="0"/>
                <w:numId w:val="7"/>
              </w:numPr>
              <w:ind w:left="313" w:hanging="283"/>
            </w:pPr>
            <w:r w:rsidRPr="008B3D24">
              <w:t>The condition must be radiographically (plain X-ray) confirmed Grade II bilateral sacroiliitis or Grade III unilateral sacroiliitis, AND</w:t>
            </w:r>
          </w:p>
          <w:p w:rsidR="00E07D7F" w:rsidRPr="008B3D24" w:rsidRDefault="00E07D7F" w:rsidP="00B82E83">
            <w:pPr>
              <w:pStyle w:val="TableText0"/>
              <w:numPr>
                <w:ilvl w:val="0"/>
                <w:numId w:val="7"/>
              </w:numPr>
              <w:ind w:left="313" w:hanging="283"/>
            </w:pPr>
            <w:r w:rsidRPr="008B3D24">
              <w:t>Patient must not have received any PBS-subsidised treatment with a biological medicine for this condition, AND</w:t>
            </w:r>
          </w:p>
          <w:p w:rsidR="00E07D7F" w:rsidRPr="008B3D24" w:rsidRDefault="00E07D7F" w:rsidP="00B82E83">
            <w:pPr>
              <w:pStyle w:val="TableText0"/>
              <w:numPr>
                <w:ilvl w:val="0"/>
                <w:numId w:val="7"/>
              </w:numPr>
              <w:ind w:left="313" w:hanging="283"/>
            </w:pPr>
            <w:r w:rsidRPr="008B3D24">
              <w:t>Patients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p>
          <w:p w:rsidR="00E07D7F" w:rsidRPr="008B3D24" w:rsidRDefault="00E07D7F" w:rsidP="00B82E83">
            <w:pPr>
              <w:pStyle w:val="TableText0"/>
              <w:numPr>
                <w:ilvl w:val="0"/>
                <w:numId w:val="7"/>
              </w:numPr>
              <w:ind w:left="313" w:hanging="283"/>
              <w:rPr>
                <w:bCs w:val="0"/>
              </w:rPr>
            </w:pPr>
            <w:r w:rsidRPr="008B3D24">
              <w:t>Patient must have failed to achieve an adequate response following treatment with at least 2 non-steroidal anti-inflammatory drugs (NSAIDS), whilst completing an appropriate exercise program, for a total period of 3 months</w:t>
            </w:r>
          </w:p>
          <w:p w:rsidR="00E422CD" w:rsidRPr="008B3D24" w:rsidRDefault="00E422CD" w:rsidP="00B82E83">
            <w:pPr>
              <w:pStyle w:val="TableText0"/>
              <w:numPr>
                <w:ilvl w:val="0"/>
                <w:numId w:val="7"/>
              </w:numPr>
              <w:ind w:left="313" w:hanging="283"/>
              <w:rPr>
                <w:bCs w:val="0"/>
              </w:rPr>
            </w:pPr>
            <w:r w:rsidRPr="008B3D24">
              <w:rPr>
                <w:bCs w:val="0"/>
              </w:rPr>
              <w:t xml:space="preserve"> </w:t>
            </w:r>
            <w:r w:rsidRPr="008B3D24">
              <w:rPr>
                <w:i/>
                <w:sz w:val="18"/>
                <w:szCs w:val="18"/>
              </w:rPr>
              <w:t>Patient must not receive more than 16 weeks of treatment under this restriction</w:t>
            </w:r>
          </w:p>
        </w:tc>
      </w:tr>
      <w:tr w:rsidR="00E07D7F" w:rsidRPr="008B3D24" w:rsidTr="00CB7776">
        <w:trPr>
          <w:cantSplit/>
          <w:trHeight w:val="1493"/>
        </w:trPr>
        <w:tc>
          <w:tcPr>
            <w:tcW w:w="1110" w:type="pct"/>
            <w:vMerge/>
            <w:tcBorders>
              <w:left w:val="single" w:sz="4" w:space="0" w:color="auto"/>
              <w:bottom w:val="single" w:sz="4" w:space="0" w:color="auto"/>
              <w:right w:val="single" w:sz="4" w:space="0" w:color="auto"/>
            </w:tcBorders>
          </w:tcPr>
          <w:p w:rsidR="00E07D7F" w:rsidRPr="008B3D24" w:rsidRDefault="00E07D7F" w:rsidP="00DA36F1">
            <w:pPr>
              <w:pStyle w:val="TableText0"/>
              <w:rPr>
                <w:b/>
              </w:rPr>
            </w:pP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Cs w:val="0"/>
              </w:rPr>
            </w:pPr>
            <w:r w:rsidRPr="008B3D24">
              <w:rPr>
                <w:bCs w:val="0"/>
              </w:rPr>
              <w:t>Initial Treatment 2 (</w:t>
            </w:r>
            <w:r w:rsidR="00F54990" w:rsidRPr="008B3D24">
              <w:rPr>
                <w:bCs w:val="0"/>
              </w:rPr>
              <w:t>c</w:t>
            </w:r>
            <w:r w:rsidRPr="008B3D24">
              <w:rPr>
                <w:bCs w:val="0"/>
              </w:rPr>
              <w:t>hange or recommencement of treatment after a break in biological medicine treatment of less than 5 years)</w:t>
            </w:r>
          </w:p>
          <w:p w:rsidR="00E07D7F" w:rsidRPr="008B3D24" w:rsidRDefault="00E07D7F" w:rsidP="00B82E83">
            <w:pPr>
              <w:pStyle w:val="TableText0"/>
              <w:numPr>
                <w:ilvl w:val="0"/>
                <w:numId w:val="5"/>
              </w:numPr>
              <w:ind w:left="313" w:hanging="283"/>
            </w:pPr>
            <w:r w:rsidRPr="008B3D24">
              <w:t>Patient must have received prior PBS-subsidised treatment with a biological medicine for this condition in this treatment cycle, AND</w:t>
            </w:r>
          </w:p>
          <w:p w:rsidR="00E07D7F" w:rsidRPr="008B3D24" w:rsidRDefault="00E07D7F" w:rsidP="00B82E83">
            <w:pPr>
              <w:pStyle w:val="TableText0"/>
              <w:numPr>
                <w:ilvl w:val="0"/>
                <w:numId w:val="5"/>
              </w:numPr>
              <w:ind w:left="313" w:hanging="283"/>
            </w:pPr>
            <w:r w:rsidRPr="008B3D24">
              <w:rPr>
                <w:rFonts w:cs="Arial"/>
              </w:rPr>
              <w:t>Patient must not have already failed, or ceased to respond to, PBS-subsidised treatment with this drug for this condition during the current treatment cycle</w:t>
            </w:r>
          </w:p>
          <w:p w:rsidR="00E422CD" w:rsidRPr="008B3D24" w:rsidRDefault="00E422CD" w:rsidP="00B82E83">
            <w:pPr>
              <w:pStyle w:val="TableText0"/>
              <w:numPr>
                <w:ilvl w:val="0"/>
                <w:numId w:val="5"/>
              </w:numPr>
              <w:ind w:left="313" w:hanging="283"/>
            </w:pPr>
            <w:r w:rsidRPr="008B3D24">
              <w:rPr>
                <w:i/>
                <w:sz w:val="18"/>
                <w:szCs w:val="18"/>
              </w:rPr>
              <w:t>Patient must not receive more than 16 weeks of treatment under this restriction</w:t>
            </w:r>
          </w:p>
        </w:tc>
      </w:tr>
      <w:tr w:rsidR="00E07D7F" w:rsidRPr="008B3D24" w:rsidTr="00DA36F1">
        <w:trPr>
          <w:cantSplit/>
        </w:trPr>
        <w:tc>
          <w:tcPr>
            <w:tcW w:w="111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b/>
              </w:rPr>
            </w:pPr>
            <w:r w:rsidRPr="008B3D24">
              <w:rPr>
                <w:b/>
              </w:rPr>
              <w:t>Population criteria:</w:t>
            </w:r>
          </w:p>
        </w:tc>
        <w:tc>
          <w:tcPr>
            <w:tcW w:w="3890" w:type="pct"/>
            <w:tcBorders>
              <w:top w:val="single" w:sz="4" w:space="0" w:color="auto"/>
              <w:left w:val="single" w:sz="4" w:space="0" w:color="auto"/>
              <w:bottom w:val="single" w:sz="4" w:space="0" w:color="auto"/>
              <w:right w:val="single" w:sz="4" w:space="0" w:color="auto"/>
            </w:tcBorders>
          </w:tcPr>
          <w:p w:rsidR="00E07D7F" w:rsidRPr="008B3D24" w:rsidRDefault="00E07D7F" w:rsidP="00DA36F1">
            <w:pPr>
              <w:pStyle w:val="TableText0"/>
              <w:rPr>
                <w:i/>
                <w:iCs/>
                <w:color w:val="FF0000"/>
              </w:rPr>
            </w:pPr>
            <w:r w:rsidRPr="008B3D24">
              <w:rPr>
                <w:strike/>
              </w:rPr>
              <w:t>Patient must be an adult</w:t>
            </w:r>
            <w:r w:rsidR="00E422CD" w:rsidRPr="008B3D24">
              <w:rPr>
                <w:i/>
                <w:sz w:val="18"/>
                <w:szCs w:val="18"/>
              </w:rPr>
              <w:t xml:space="preserve"> Patient must be aged 18 years or older</w:t>
            </w:r>
          </w:p>
        </w:tc>
      </w:tr>
    </w:tbl>
    <w:p w:rsidR="00411C11" w:rsidRPr="008B3D24" w:rsidRDefault="00411C11" w:rsidP="00E07D7F">
      <w:pPr>
        <w:pStyle w:val="TableFigureFooter"/>
      </w:pPr>
    </w:p>
    <w:tbl>
      <w:tblPr>
        <w:tblW w:w="4950" w:type="pct"/>
        <w:tblLook w:val="0000" w:firstRow="0" w:lastRow="0" w:firstColumn="0" w:lastColumn="0" w:noHBand="0" w:noVBand="0"/>
      </w:tblPr>
      <w:tblGrid>
        <w:gridCol w:w="1837"/>
        <w:gridCol w:w="7090"/>
      </w:tblGrid>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Severity:</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 xml:space="preserve">Ankylosing Spondylitis </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Condition:</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Active Ankylosing Spondylitis</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PBS Indication:</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Continuing treatment - patient that has responded to the most recent treatment cycle with ixekizumab in ankylosing spondylitis.</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Treatment phase:</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Continuing treatment</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i/>
              </w:rPr>
            </w:pPr>
            <w:r w:rsidRPr="008B3D24">
              <w:rPr>
                <w:b/>
              </w:rPr>
              <w:t>Restriction:</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fldChar w:fldCharType="begin">
                <w:ffData>
                  <w:name w:val=""/>
                  <w:enabled/>
                  <w:calcOnExit w:val="0"/>
                  <w:checkBox>
                    <w:sizeAuto/>
                    <w:default w:val="1"/>
                  </w:checkBox>
                </w:ffData>
              </w:fldChar>
            </w:r>
            <w:r w:rsidRPr="008B3D24">
              <w:instrText xml:space="preserve"> FORMCHECKBOX </w:instrText>
            </w:r>
            <w:r w:rsidR="00093936">
              <w:fldChar w:fldCharType="separate"/>
            </w:r>
            <w:r w:rsidRPr="008B3D24">
              <w:fldChar w:fldCharType="end"/>
            </w:r>
            <w:r w:rsidRPr="008B3D24">
              <w:t>Authority Required - In Writing</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Treatment criteria:</w:t>
            </w:r>
          </w:p>
          <w:p w:rsidR="00607E20" w:rsidRPr="008B3D24" w:rsidRDefault="00607E20" w:rsidP="00DA36F1">
            <w:pPr>
              <w:pStyle w:val="TableText0"/>
              <w:rPr>
                <w:i/>
              </w:rPr>
            </w:pP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Must be treated by a rheumatologist; OR</w:t>
            </w:r>
          </w:p>
          <w:p w:rsidR="00607E20" w:rsidRPr="008B3D24" w:rsidRDefault="00607E20" w:rsidP="00DA36F1">
            <w:pPr>
              <w:pStyle w:val="TableText0"/>
              <w:rPr>
                <w:rFonts w:cs="Arial"/>
              </w:rPr>
            </w:pPr>
            <w:r w:rsidRPr="008B3D24">
              <w:t>Must be treated by a clinical immunologist with expertise in the management of ankylosing spondylitis.</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Clinical criteria:</w:t>
            </w:r>
          </w:p>
          <w:p w:rsidR="00607E20" w:rsidRPr="008B3D24" w:rsidRDefault="00607E20" w:rsidP="00DA36F1">
            <w:pPr>
              <w:pStyle w:val="TableText0"/>
              <w:rPr>
                <w:i/>
              </w:rPr>
            </w:pP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paragraph"/>
              <w:spacing w:before="0" w:beforeAutospacing="0" w:after="0" w:afterAutospacing="0"/>
              <w:textAlignment w:val="baseline"/>
              <w:rPr>
                <w:rFonts w:ascii="Segoe UI" w:hAnsi="Segoe UI" w:cs="Segoe UI"/>
                <w:sz w:val="18"/>
                <w:szCs w:val="18"/>
              </w:rPr>
            </w:pPr>
            <w:r w:rsidRPr="008B3D24">
              <w:rPr>
                <w:rStyle w:val="normaltextrun"/>
                <w:rFonts w:ascii="Arial Narrow" w:hAnsi="Arial Narrow" w:cs="Segoe UI"/>
                <w:sz w:val="20"/>
                <w:szCs w:val="20"/>
              </w:rPr>
              <w:t>Patient must have received this drug as their most recent course of PBS-subsidised</w:t>
            </w:r>
            <w:r w:rsidRPr="008B3D24">
              <w:rPr>
                <w:rStyle w:val="apple-converted-space"/>
                <w:rFonts w:cs="Segoe UI"/>
                <w:sz w:val="20"/>
                <w:szCs w:val="20"/>
              </w:rPr>
              <w:t> </w:t>
            </w:r>
            <w:r w:rsidRPr="008B3D24">
              <w:rPr>
                <w:rStyle w:val="normaltextrun"/>
                <w:rFonts w:ascii="Arial Narrow" w:hAnsi="Arial Narrow" w:cs="Segoe UI"/>
                <w:sz w:val="20"/>
                <w:szCs w:val="20"/>
              </w:rPr>
              <w:t>biological disease modifying anti-rheumatic drug (</w:t>
            </w:r>
            <w:r w:rsidRPr="008B3D24">
              <w:rPr>
                <w:rStyle w:val="spellingerror"/>
                <w:rFonts w:ascii="Arial Narrow" w:hAnsi="Arial Narrow" w:cs="Segoe UI"/>
                <w:sz w:val="20"/>
                <w:szCs w:val="20"/>
              </w:rPr>
              <w:t>bDMARD</w:t>
            </w:r>
            <w:r w:rsidRPr="008B3D24">
              <w:rPr>
                <w:rStyle w:val="normaltextrun"/>
                <w:rFonts w:ascii="Arial Narrow" w:hAnsi="Arial Narrow" w:cs="Segoe UI"/>
                <w:sz w:val="20"/>
                <w:szCs w:val="20"/>
              </w:rPr>
              <w:t>)</w:t>
            </w:r>
            <w:r w:rsidRPr="008B3D24">
              <w:rPr>
                <w:rStyle w:val="apple-converted-space"/>
                <w:rFonts w:cs="Segoe UI"/>
                <w:sz w:val="20"/>
                <w:szCs w:val="20"/>
              </w:rPr>
              <w:t> </w:t>
            </w:r>
            <w:r w:rsidRPr="008B3D24">
              <w:rPr>
                <w:rStyle w:val="normaltextrun"/>
                <w:rFonts w:ascii="Arial Narrow" w:hAnsi="Arial Narrow" w:cs="Segoe UI"/>
                <w:sz w:val="20"/>
                <w:szCs w:val="20"/>
              </w:rPr>
              <w:t>treatment in this treatment cycle,</w:t>
            </w:r>
            <w:r w:rsidRPr="008B3D24">
              <w:rPr>
                <w:rStyle w:val="eop"/>
                <w:rFonts w:ascii="Arial Narrow" w:hAnsi="Arial Narrow" w:cs="Segoe UI"/>
                <w:sz w:val="20"/>
                <w:szCs w:val="20"/>
              </w:rPr>
              <w:t> </w:t>
            </w:r>
          </w:p>
          <w:p w:rsidR="00607E20" w:rsidRPr="008B3D24" w:rsidRDefault="00607E20" w:rsidP="00DA36F1">
            <w:pPr>
              <w:pStyle w:val="paragraph"/>
              <w:spacing w:before="0" w:beforeAutospacing="0" w:after="0" w:afterAutospacing="0"/>
              <w:textAlignment w:val="baseline"/>
              <w:rPr>
                <w:rFonts w:ascii="Segoe UI" w:hAnsi="Segoe UI" w:cs="Segoe UI"/>
                <w:sz w:val="18"/>
                <w:szCs w:val="18"/>
              </w:rPr>
            </w:pPr>
            <w:r w:rsidRPr="008B3D24">
              <w:rPr>
                <w:rStyle w:val="normaltextrun"/>
                <w:rFonts w:ascii="Arial Narrow" w:hAnsi="Arial Narrow" w:cs="Segoe UI"/>
                <w:sz w:val="20"/>
                <w:szCs w:val="20"/>
              </w:rPr>
              <w:t>AND</w:t>
            </w:r>
            <w:r w:rsidRPr="008B3D24">
              <w:rPr>
                <w:rStyle w:val="eop"/>
                <w:rFonts w:ascii="Arial Narrow" w:hAnsi="Arial Narrow" w:cs="Segoe UI"/>
                <w:sz w:val="20"/>
                <w:szCs w:val="20"/>
              </w:rPr>
              <w:t> </w:t>
            </w:r>
          </w:p>
          <w:p w:rsidR="00607E20" w:rsidRPr="008B3D24" w:rsidRDefault="00607E20" w:rsidP="00DA36F1">
            <w:pPr>
              <w:pStyle w:val="paragraph"/>
              <w:spacing w:before="0" w:beforeAutospacing="0" w:after="0" w:afterAutospacing="0"/>
              <w:textAlignment w:val="baseline"/>
              <w:rPr>
                <w:rStyle w:val="eop"/>
                <w:rFonts w:ascii="Arial Narrow" w:hAnsi="Arial Narrow" w:cs="Segoe UI"/>
                <w:sz w:val="20"/>
                <w:szCs w:val="20"/>
              </w:rPr>
            </w:pPr>
            <w:r w:rsidRPr="008B3D24">
              <w:rPr>
                <w:rStyle w:val="normaltextrun"/>
                <w:rFonts w:ascii="Arial Narrow" w:hAnsi="Arial Narrow" w:cs="Segoe UI"/>
                <w:sz w:val="20"/>
                <w:szCs w:val="20"/>
              </w:rPr>
              <w:t>Patient must have demonstrated an adequate response to treatment with this drug.</w:t>
            </w:r>
            <w:r w:rsidRPr="008B3D24">
              <w:rPr>
                <w:rStyle w:val="eop"/>
                <w:rFonts w:ascii="Arial Narrow" w:hAnsi="Arial Narrow" w:cs="Segoe UI"/>
                <w:sz w:val="20"/>
                <w:szCs w:val="20"/>
              </w:rPr>
              <w:t> </w:t>
            </w:r>
          </w:p>
          <w:p w:rsidR="001E325D" w:rsidRPr="008B3D24" w:rsidRDefault="001E325D" w:rsidP="00DA36F1">
            <w:pPr>
              <w:pStyle w:val="paragraph"/>
              <w:spacing w:before="0" w:beforeAutospacing="0" w:after="0" w:afterAutospacing="0"/>
              <w:textAlignment w:val="baseline"/>
              <w:rPr>
                <w:rStyle w:val="normaltextrun"/>
                <w:rFonts w:ascii="Arial Narrow" w:hAnsi="Arial Narrow" w:cs="Segoe UI"/>
                <w:i/>
                <w:sz w:val="20"/>
                <w:szCs w:val="20"/>
              </w:rPr>
            </w:pPr>
            <w:r w:rsidRPr="008B3D24">
              <w:rPr>
                <w:rStyle w:val="normaltextrun"/>
                <w:rFonts w:ascii="Arial Narrow" w:hAnsi="Arial Narrow" w:cs="Segoe UI"/>
                <w:i/>
                <w:sz w:val="20"/>
                <w:szCs w:val="20"/>
              </w:rPr>
              <w:t>AND</w:t>
            </w:r>
          </w:p>
          <w:p w:rsidR="001E325D" w:rsidRPr="008B3D24" w:rsidRDefault="001E325D" w:rsidP="00DA36F1">
            <w:pPr>
              <w:pStyle w:val="paragraph"/>
              <w:spacing w:before="0" w:beforeAutospacing="0" w:after="0" w:afterAutospacing="0"/>
              <w:textAlignment w:val="baseline"/>
              <w:rPr>
                <w:rFonts w:ascii="Segoe UI" w:hAnsi="Segoe UI" w:cs="Segoe UI"/>
                <w:i/>
                <w:sz w:val="18"/>
                <w:szCs w:val="18"/>
              </w:rPr>
            </w:pPr>
            <w:r w:rsidRPr="008B3D24">
              <w:rPr>
                <w:rFonts w:ascii="Arial Narrow" w:eastAsiaTheme="majorEastAsia" w:hAnsi="Arial Narrow" w:cstheme="majorBidi"/>
                <w:bCs/>
                <w:i/>
                <w:sz w:val="20"/>
                <w:szCs w:val="18"/>
                <w:lang w:eastAsia="en-AU"/>
              </w:rPr>
              <w:t>Patient must not receive more than 24 weeks of treatment under this restriction</w:t>
            </w:r>
          </w:p>
        </w:tc>
      </w:tr>
      <w:tr w:rsidR="00607E20" w:rsidRPr="008B3D24" w:rsidTr="00B2415E">
        <w:trPr>
          <w:cantSplit/>
          <w:trHeight w:val="80"/>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Population criteria:</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rPr>
                <w:strike/>
              </w:rPr>
              <w:t>Patient must be an adult</w:t>
            </w:r>
            <w:r w:rsidR="006941BC" w:rsidRPr="008B3D24">
              <w:t xml:space="preserve"> </w:t>
            </w:r>
            <w:r w:rsidR="001E325D" w:rsidRPr="008B3D24">
              <w:rPr>
                <w:i/>
                <w:szCs w:val="18"/>
              </w:rPr>
              <w:t>Patient must be aged 18 years or older</w:t>
            </w:r>
          </w:p>
        </w:tc>
      </w:tr>
      <w:tr w:rsidR="00607E20" w:rsidRPr="008B3D24" w:rsidTr="00DA36F1">
        <w:trPr>
          <w:cantSplit/>
        </w:trPr>
        <w:tc>
          <w:tcPr>
            <w:tcW w:w="1029"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rPr>
                <w:b/>
              </w:rPr>
            </w:pPr>
            <w:r w:rsidRPr="008B3D24">
              <w:rPr>
                <w:b/>
              </w:rPr>
              <w:t>Definitions:</w:t>
            </w:r>
          </w:p>
        </w:tc>
        <w:tc>
          <w:tcPr>
            <w:tcW w:w="3971" w:type="pct"/>
            <w:tcBorders>
              <w:top w:val="single" w:sz="4" w:space="0" w:color="auto"/>
              <w:left w:val="single" w:sz="4" w:space="0" w:color="auto"/>
              <w:bottom w:val="single" w:sz="4" w:space="0" w:color="auto"/>
              <w:right w:val="single" w:sz="4" w:space="0" w:color="auto"/>
            </w:tcBorders>
          </w:tcPr>
          <w:p w:rsidR="00607E20" w:rsidRPr="008B3D24" w:rsidRDefault="00607E20" w:rsidP="00DA36F1">
            <w:pPr>
              <w:pStyle w:val="TableText0"/>
            </w:pPr>
            <w:r w:rsidRPr="008B3D24">
              <w:t>An adequate response is defined as an improvement from baseline of at least 2 of the BASDAI and 1 of the following:</w:t>
            </w:r>
          </w:p>
          <w:p w:rsidR="00607E20" w:rsidRPr="008B3D24" w:rsidRDefault="00607E20" w:rsidP="00DA36F1">
            <w:pPr>
              <w:pStyle w:val="TableText0"/>
            </w:pPr>
            <w:r w:rsidRPr="008B3D24">
              <w:t>(a) an ESR measurement no greater than 25 mm per hour; or</w:t>
            </w:r>
          </w:p>
          <w:p w:rsidR="00607E20" w:rsidRPr="008B3D24" w:rsidRDefault="00607E20" w:rsidP="00DA36F1">
            <w:pPr>
              <w:pStyle w:val="TableText0"/>
            </w:pPr>
            <w:r w:rsidRPr="008B3D24">
              <w:t>(b) a CRP measurement no greater than 10 mg per L; or</w:t>
            </w:r>
          </w:p>
          <w:p w:rsidR="00607E20" w:rsidRPr="008B3D24" w:rsidRDefault="00607E20" w:rsidP="00DA36F1">
            <w:pPr>
              <w:pStyle w:val="TableText0"/>
            </w:pPr>
            <w:r w:rsidRPr="008B3D24">
              <w:t>(c) an ESR or CRP measurement reduced by at least 20% from baseline.</w:t>
            </w:r>
          </w:p>
        </w:tc>
      </w:tr>
    </w:tbl>
    <w:p w:rsidR="00E07D7F" w:rsidRPr="008B3D24" w:rsidRDefault="00E07D7F" w:rsidP="00E07D7F">
      <w:pPr>
        <w:pStyle w:val="TableFigureFooter"/>
      </w:pPr>
      <w:r w:rsidRPr="008B3D24">
        <w:t xml:space="preserve">Source: Table 1.4.2, pp 47-48 of the submission. </w:t>
      </w:r>
    </w:p>
    <w:p w:rsidR="004044CA" w:rsidRPr="008B3D24" w:rsidRDefault="00E07D7F" w:rsidP="00D30A91">
      <w:pPr>
        <w:pStyle w:val="TableFigureFooter"/>
      </w:pPr>
      <w:r w:rsidRPr="008B3D24">
        <w:t>BASDAI = Bath Ankylosing Spondylitis Disease Activity Index; bDMARD = biological disease modifying anti-rheumatic drug; CRP = C-reactive protein; ESR = erythrocyte sedimentation rate; NSAID = non-steroidal anti-inflammatory drug</w:t>
      </w:r>
      <w:r w:rsidR="00364863" w:rsidRPr="008B3D24">
        <w:t>; PBS = Pharmaceutical Benefits Scheme</w:t>
      </w:r>
      <w:r w:rsidRPr="008B3D24">
        <w:t xml:space="preserve"> </w:t>
      </w:r>
    </w:p>
    <w:p w:rsidR="00067BB0" w:rsidRPr="008B3D24" w:rsidRDefault="00991EDA" w:rsidP="0028567E">
      <w:pPr>
        <w:pStyle w:val="3-BodyText"/>
      </w:pPr>
      <w:r w:rsidRPr="008B3D24">
        <w:t>The submission requested a listing consistent with the existing b</w:t>
      </w:r>
      <w:r w:rsidR="00462716" w:rsidRPr="008B3D24">
        <w:t>iological medicines</w:t>
      </w:r>
      <w:r w:rsidRPr="008B3D24">
        <w:t xml:space="preserve"> for </w:t>
      </w:r>
      <w:r w:rsidR="005D614B" w:rsidRPr="008B3D24">
        <w:t>AS</w:t>
      </w:r>
      <w:r w:rsidR="008C780F" w:rsidRPr="008B3D24">
        <w:t xml:space="preserve"> with </w:t>
      </w:r>
      <w:r w:rsidR="00A1674B" w:rsidRPr="008B3D24">
        <w:t>a</w:t>
      </w:r>
      <w:r w:rsidR="008C780F" w:rsidRPr="008B3D24">
        <w:t>n initial treatment period of 16 weeks</w:t>
      </w:r>
      <w:r w:rsidR="000F5CE2" w:rsidRPr="008B3D24">
        <w:t xml:space="preserve"> and continuing treatment period of </w:t>
      </w:r>
      <w:r w:rsidR="002743ED" w:rsidRPr="008B3D24">
        <w:t>24</w:t>
      </w:r>
      <w:r w:rsidR="00FD4373" w:rsidRPr="008B3D24">
        <w:softHyphen/>
      </w:r>
      <w:r w:rsidR="000F5CE2" w:rsidRPr="008B3D24">
        <w:t xml:space="preserve"> </w:t>
      </w:r>
      <w:r w:rsidR="00FD4373" w:rsidRPr="008B3D24">
        <w:t>week</w:t>
      </w:r>
      <w:r w:rsidR="000F5CE2" w:rsidRPr="008B3D24">
        <w:t>s</w:t>
      </w:r>
      <w:r w:rsidRPr="008B3D24">
        <w:t>. </w:t>
      </w:r>
    </w:p>
    <w:p w:rsidR="00991EDA" w:rsidRPr="008B3D24" w:rsidRDefault="00991EDA" w:rsidP="0028567E">
      <w:pPr>
        <w:pStyle w:val="3-BodyText"/>
      </w:pPr>
      <w:r w:rsidRPr="008B3D24">
        <w:rPr>
          <w:iCs/>
        </w:rPr>
        <w:t xml:space="preserve">The submission did not </w:t>
      </w:r>
      <w:r w:rsidR="00FC2B60" w:rsidRPr="008B3D24">
        <w:rPr>
          <w:iCs/>
        </w:rPr>
        <w:t>request a</w:t>
      </w:r>
      <w:r w:rsidR="00CB51A4" w:rsidRPr="008B3D24">
        <w:rPr>
          <w:iCs/>
        </w:rPr>
        <w:t xml:space="preserve"> separate</w:t>
      </w:r>
      <w:r w:rsidRPr="008B3D24">
        <w:rPr>
          <w:iCs/>
        </w:rPr>
        <w:t xml:space="preserve"> </w:t>
      </w:r>
      <w:r w:rsidR="00B61765" w:rsidRPr="008B3D24">
        <w:rPr>
          <w:iCs/>
        </w:rPr>
        <w:t>I</w:t>
      </w:r>
      <w:r w:rsidR="00E2473E" w:rsidRPr="008B3D24">
        <w:rPr>
          <w:iCs/>
        </w:rPr>
        <w:t>nitial</w:t>
      </w:r>
      <w:r w:rsidRPr="008B3D24">
        <w:rPr>
          <w:iCs/>
        </w:rPr>
        <w:t>-3 restriction for patients recommencing treatment after a treatment break of more than 5 years</w:t>
      </w:r>
      <w:r w:rsidR="00CB51A4" w:rsidRPr="008B3D24">
        <w:rPr>
          <w:iCs/>
        </w:rPr>
        <w:t xml:space="preserve"> (rather, this was included in the </w:t>
      </w:r>
      <w:r w:rsidR="00B61765" w:rsidRPr="008B3D24">
        <w:rPr>
          <w:iCs/>
        </w:rPr>
        <w:t>I</w:t>
      </w:r>
      <w:r w:rsidR="00CB51A4" w:rsidRPr="008B3D24">
        <w:rPr>
          <w:iCs/>
        </w:rPr>
        <w:t>nitial-1 restriction)</w:t>
      </w:r>
      <w:r w:rsidR="00FC2B60" w:rsidRPr="008B3D24">
        <w:rPr>
          <w:iCs/>
        </w:rPr>
        <w:t xml:space="preserve">, balance of supply restrictions, </w:t>
      </w:r>
      <w:r w:rsidR="00526142" w:rsidRPr="008B3D24">
        <w:rPr>
          <w:iCs/>
        </w:rPr>
        <w:t xml:space="preserve">or </w:t>
      </w:r>
      <w:r w:rsidR="0028567E" w:rsidRPr="008B3D24">
        <w:rPr>
          <w:iCs/>
        </w:rPr>
        <w:t xml:space="preserve">a </w:t>
      </w:r>
      <w:r w:rsidR="00526142" w:rsidRPr="008B3D24">
        <w:rPr>
          <w:iCs/>
        </w:rPr>
        <w:t>grandfathering restriction.</w:t>
      </w:r>
      <w:r w:rsidR="006941BC" w:rsidRPr="008B3D24">
        <w:rPr>
          <w:iCs/>
        </w:rPr>
        <w:t xml:space="preserve"> </w:t>
      </w:r>
      <w:r w:rsidR="00D71279" w:rsidRPr="008B3D24">
        <w:t xml:space="preserve">The </w:t>
      </w:r>
      <w:r w:rsidR="00586ADF" w:rsidRPr="008B3D24">
        <w:t>S</w:t>
      </w:r>
      <w:r w:rsidR="0008772F">
        <w:t>ponsor advised in its Pre-S</w:t>
      </w:r>
      <w:r w:rsidR="00D71279" w:rsidRPr="008B3D24">
        <w:t>ub</w:t>
      </w:r>
      <w:r w:rsidR="0008772F">
        <w:t>-Committee R</w:t>
      </w:r>
      <w:r w:rsidR="00D71279" w:rsidRPr="008B3D24">
        <w:t>esponse (PSCR) that there are currently no patients that would need to be transitioned to PBS treatment and a grandfathering restriction was not required (page 3).</w:t>
      </w:r>
      <w:r w:rsidR="00067BB0" w:rsidRPr="008B3D24">
        <w:t xml:space="preserve"> </w:t>
      </w:r>
      <w:r w:rsidR="00B61765" w:rsidRPr="008B3D24">
        <w:t>The Secretariat proposed wording for Initial-3 and balance of supply restrictions</w:t>
      </w:r>
      <w:r w:rsidR="00DE6080" w:rsidRPr="008B3D24">
        <w:t xml:space="preserve"> during the evaluation</w:t>
      </w:r>
      <w:r w:rsidR="00B61765" w:rsidRPr="008B3D24">
        <w:t xml:space="preserve">. </w:t>
      </w:r>
    </w:p>
    <w:p w:rsidR="00CA7D8D" w:rsidRPr="00B2415E" w:rsidRDefault="00CA7D8D" w:rsidP="00CA7D8D">
      <w:pPr>
        <w:pStyle w:val="3-BodyText"/>
      </w:pPr>
      <w:r w:rsidRPr="008B3D24">
        <w:t xml:space="preserve">The </w:t>
      </w:r>
      <w:r w:rsidR="00492635">
        <w:t>S</w:t>
      </w:r>
      <w:r w:rsidRPr="008B3D24">
        <w:t xml:space="preserve">ponsor requested a Special Pricing Arrangement (SPA) for this indication. A SPA </w:t>
      </w:r>
      <w:r w:rsidR="00C72958" w:rsidRPr="008B3D24">
        <w:t xml:space="preserve">is </w:t>
      </w:r>
      <w:r w:rsidRPr="008B3D24">
        <w:t xml:space="preserve">currently in place for </w:t>
      </w:r>
      <w:r w:rsidR="00067BB0" w:rsidRPr="008B3D24">
        <w:t xml:space="preserve">ixekizumab </w:t>
      </w:r>
      <w:r w:rsidR="00492635">
        <w:t xml:space="preserve">for </w:t>
      </w:r>
      <w:r w:rsidRPr="008B3D24">
        <w:t xml:space="preserve">the plaque psoriasis and psoriatic arthritis indications. </w:t>
      </w:r>
      <w:r w:rsidRPr="008B3D24">
        <w:rPr>
          <w:iCs/>
        </w:rPr>
        <w:t>The</w:t>
      </w:r>
      <w:r w:rsidR="008C278A" w:rsidRPr="008B3D24">
        <w:rPr>
          <w:iCs/>
        </w:rPr>
        <w:t xml:space="preserve"> requested published price was consistent with the current published price.</w:t>
      </w:r>
    </w:p>
    <w:p w:rsidR="00B2415E" w:rsidRPr="00B2415E" w:rsidRDefault="00B2415E" w:rsidP="00B2415E">
      <w:pPr>
        <w:ind w:firstLine="720"/>
        <w:rPr>
          <w:i/>
          <w:color w:val="0066FF"/>
        </w:rPr>
      </w:pPr>
      <w:r w:rsidRPr="00B2415E">
        <w:rPr>
          <w:i/>
        </w:rPr>
        <w:t>For more detail on PBAC’s view, see section 7 PBAC outcome.</w:t>
      </w:r>
    </w:p>
    <w:p w:rsidR="00B2415E" w:rsidRPr="008B3D24" w:rsidRDefault="00B2415E" w:rsidP="00B2415E">
      <w:pPr>
        <w:pStyle w:val="3-BodyText"/>
        <w:numPr>
          <w:ilvl w:val="0"/>
          <w:numId w:val="0"/>
        </w:numPr>
        <w:ind w:left="720"/>
      </w:pPr>
    </w:p>
    <w:p w:rsidR="00B50DB8" w:rsidRPr="008B3D24" w:rsidRDefault="00203181" w:rsidP="004E18E9">
      <w:pPr>
        <w:pStyle w:val="2-SectionHeading"/>
      </w:pPr>
      <w:bookmarkStart w:id="9" w:name="_Toc40706501"/>
      <w:r w:rsidRPr="008B3D24">
        <w:t xml:space="preserve">Population and </w:t>
      </w:r>
      <w:r w:rsidR="008E0D3C" w:rsidRPr="008B3D24">
        <w:t>d</w:t>
      </w:r>
      <w:r w:rsidRPr="008B3D24">
        <w:t>isease</w:t>
      </w:r>
      <w:bookmarkEnd w:id="9"/>
    </w:p>
    <w:p w:rsidR="00C54B70" w:rsidRPr="008B3D24" w:rsidRDefault="00C54B70" w:rsidP="00B82E83">
      <w:pPr>
        <w:pStyle w:val="3-BodyText"/>
        <w:numPr>
          <w:ilvl w:val="1"/>
          <w:numId w:val="14"/>
        </w:numPr>
      </w:pPr>
      <w:r w:rsidRPr="008B3D24">
        <w:t>AS is a form of progressive axial spondyloarthritis caused by chronic inflammation and enthesitis (inflammation of soft tissues like, muscles, tendons or ligaments where these enter the bones) involving the spine, sacroiliac joints and thoracic cage.</w:t>
      </w:r>
    </w:p>
    <w:p w:rsidR="00B15317" w:rsidRPr="008B3D24" w:rsidRDefault="00B15317" w:rsidP="004E18E9">
      <w:pPr>
        <w:pStyle w:val="3-BodyText"/>
      </w:pPr>
      <w:r w:rsidRPr="008B3D24">
        <w:t xml:space="preserve">Ixekizumab is proposed as an alternative to the currently PBS-listed </w:t>
      </w:r>
      <w:r w:rsidR="002C0492" w:rsidRPr="008B3D24">
        <w:t>biologic</w:t>
      </w:r>
      <w:r w:rsidR="00B95EFA" w:rsidRPr="008B3D24">
        <w:t>al</w:t>
      </w:r>
      <w:r w:rsidR="002C0492" w:rsidRPr="008B3D24">
        <w:t xml:space="preserve"> medicines </w:t>
      </w:r>
      <w:r w:rsidRPr="008B3D24">
        <w:t>(secukinumab, adalimumab, etanercept, golimumab, infliximab and certolizumab pegol) for</w:t>
      </w:r>
      <w:r w:rsidR="00067BB0" w:rsidRPr="008B3D24">
        <w:t xml:space="preserve"> AS</w:t>
      </w:r>
      <w:r w:rsidRPr="008B3D24">
        <w:t xml:space="preserve">. </w:t>
      </w:r>
    </w:p>
    <w:p w:rsidR="00B15317" w:rsidRPr="00B2415E" w:rsidRDefault="00B15317" w:rsidP="004E18E9">
      <w:pPr>
        <w:pStyle w:val="3-BodyText"/>
      </w:pPr>
      <w:r w:rsidRPr="008B3D24">
        <w:t xml:space="preserve">Ixekizumab is a humanised immunoglobulin G subclass 4 (IgG4) monoclonal antibody that binds with high affinity to the proinflammatory cytokine interleukin 17 alpha (IL-17A). It </w:t>
      </w:r>
      <w:r w:rsidR="00D71279" w:rsidRPr="008B3D24">
        <w:t>is the seventh biological medicine and</w:t>
      </w:r>
      <w:r w:rsidR="00997777" w:rsidRPr="008B3D24">
        <w:t xml:space="preserve"> </w:t>
      </w:r>
      <w:r w:rsidRPr="008B3D24">
        <w:t>the second</w:t>
      </w:r>
      <w:r w:rsidR="008C278A" w:rsidRPr="008B3D24">
        <w:t xml:space="preserve"> </w:t>
      </w:r>
      <w:r w:rsidRPr="008B3D24">
        <w:t xml:space="preserve">IL-17A inhibitor to be proposed for listing on the PBS for </w:t>
      </w:r>
      <w:r w:rsidR="00A5658F" w:rsidRPr="008B3D24">
        <w:t>AS</w:t>
      </w:r>
      <w:r w:rsidRPr="008B3D24">
        <w:t>, following the PBS listing of secukinumab for this indication in 2016</w:t>
      </w:r>
      <w:r w:rsidR="00997777" w:rsidRPr="008B3D24">
        <w:rPr>
          <w:i/>
        </w:rPr>
        <w:t>.</w:t>
      </w:r>
    </w:p>
    <w:p w:rsidR="00B2415E" w:rsidRPr="00B2415E" w:rsidRDefault="00B2415E" w:rsidP="00B2415E">
      <w:pPr>
        <w:ind w:firstLine="720"/>
        <w:rPr>
          <w:i/>
          <w:color w:val="0066FF"/>
        </w:rPr>
      </w:pPr>
      <w:r w:rsidRPr="00B2415E">
        <w:rPr>
          <w:i/>
        </w:rPr>
        <w:t>For more detail on PBAC’s view, see section 7 PBAC outcome.</w:t>
      </w:r>
    </w:p>
    <w:p w:rsidR="00B50DB8" w:rsidRPr="008B3D24" w:rsidRDefault="00B50DB8" w:rsidP="004E18E9">
      <w:pPr>
        <w:pStyle w:val="2-SectionHeading"/>
      </w:pPr>
      <w:bookmarkStart w:id="10" w:name="_Toc40706502"/>
      <w:r w:rsidRPr="008B3D24">
        <w:t>Comparator</w:t>
      </w:r>
      <w:bookmarkEnd w:id="10"/>
    </w:p>
    <w:p w:rsidR="0078516D" w:rsidRPr="008B3D24" w:rsidRDefault="0078516D" w:rsidP="00B82E83">
      <w:pPr>
        <w:pStyle w:val="3-BodyText"/>
        <w:numPr>
          <w:ilvl w:val="1"/>
          <w:numId w:val="15"/>
        </w:numPr>
        <w:rPr>
          <w:iCs/>
        </w:rPr>
      </w:pPr>
      <w:r w:rsidRPr="008B3D24">
        <w:t xml:space="preserve">The submission nominated adalimumab as the main comparator, with secukinumab as a secondary comparator. Adalimumab was nominated as the main comparator because it is the market share leader in active </w:t>
      </w:r>
      <w:r w:rsidR="00A5658F" w:rsidRPr="008B3D24">
        <w:t>AS</w:t>
      </w:r>
      <w:r w:rsidRPr="008B3D24">
        <w:t xml:space="preserve"> (41.4% market share),</w:t>
      </w:r>
      <w:r w:rsidR="005C307D" w:rsidRPr="008B3D24">
        <w:t xml:space="preserve"> </w:t>
      </w:r>
      <w:r w:rsidRPr="008B3D24">
        <w:t xml:space="preserve">and would be the medicine most likely to be replaced in the market if the requested PBS listing of ixekizumab is recommended. Secukinumab </w:t>
      </w:r>
      <w:r w:rsidR="0056783D" w:rsidRPr="008B3D24">
        <w:t xml:space="preserve">(7.8% market share) </w:t>
      </w:r>
      <w:r w:rsidRPr="008B3D24">
        <w:t>was nominated as the secondary comparator</w:t>
      </w:r>
      <w:r w:rsidR="00660DF6" w:rsidRPr="008B3D24">
        <w:t>,</w:t>
      </w:r>
      <w:r w:rsidRPr="008B3D24">
        <w:t xml:space="preserve"> as the pharmacological analogue of ixekizumab. </w:t>
      </w:r>
    </w:p>
    <w:p w:rsidR="00963219" w:rsidRPr="008B3D24" w:rsidRDefault="00963219" w:rsidP="00963219">
      <w:pPr>
        <w:pStyle w:val="3-BodyText"/>
        <w:rPr>
          <w:iCs/>
        </w:rPr>
      </w:pPr>
      <w:r w:rsidRPr="008B3D24">
        <w:rPr>
          <w:iCs/>
        </w:rPr>
        <w:t>Under Section 101(3B) of the National Health Act (1953)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 shall not recommend to the Minister that the drug, preparation or class be made available as pharmaceutical benefits under this Part unless the Committee is satisfied that the first-mentioned therapy, for some patients, provides a significant improvement in efficacy or reduction of toxicity over the alternative therapy or therapies.</w:t>
      </w:r>
    </w:p>
    <w:p w:rsidR="7E28A1F3" w:rsidRDefault="00A23340" w:rsidP="1C801CC2">
      <w:pPr>
        <w:pStyle w:val="3-BodyText"/>
        <w:rPr>
          <w:iCs/>
        </w:rPr>
      </w:pPr>
      <w:r w:rsidRPr="008B3D24">
        <w:t>A</w:t>
      </w:r>
      <w:r w:rsidR="00963219" w:rsidRPr="008B3D24">
        <w:rPr>
          <w:iCs/>
        </w:rPr>
        <w:t xml:space="preserve">dalimumab and secukinumab were appropriate comparators; however, ixekizumab may replace any of the six currently PBS-listed </w:t>
      </w:r>
      <w:r w:rsidR="00045489" w:rsidRPr="008B3D24">
        <w:rPr>
          <w:iCs/>
        </w:rPr>
        <w:t>biological medicine</w:t>
      </w:r>
      <w:r w:rsidR="00963219" w:rsidRPr="008B3D24">
        <w:rPr>
          <w:iCs/>
        </w:rPr>
        <w:t>s for AS</w:t>
      </w:r>
      <w:r w:rsidR="00872029" w:rsidRPr="008B3D24">
        <w:rPr>
          <w:iCs/>
        </w:rPr>
        <w:t xml:space="preserve">. </w:t>
      </w:r>
      <w:r w:rsidR="00067BB0" w:rsidRPr="008B3D24">
        <w:rPr>
          <w:iCs/>
        </w:rPr>
        <w:t xml:space="preserve">The PBAC noted no evidence was provided </w:t>
      </w:r>
      <w:r w:rsidR="00063EBE" w:rsidRPr="008B3D24">
        <w:rPr>
          <w:iCs/>
        </w:rPr>
        <w:t xml:space="preserve">to demonstrate ixekizumab </w:t>
      </w:r>
      <w:r w:rsidR="00CC1E9A" w:rsidRPr="008B3D24">
        <w:rPr>
          <w:iCs/>
        </w:rPr>
        <w:t>provided</w:t>
      </w:r>
      <w:r w:rsidR="00063EBE" w:rsidRPr="008B3D24">
        <w:rPr>
          <w:iCs/>
        </w:rPr>
        <w:t xml:space="preserve"> an improvement in efficacy or reduction of toxicity over the alternative therapies</w:t>
      </w:r>
      <w:r w:rsidR="00067BB0" w:rsidRPr="008B3D24">
        <w:rPr>
          <w:iCs/>
        </w:rPr>
        <w:t xml:space="preserve">. </w:t>
      </w:r>
    </w:p>
    <w:p w:rsidR="00B2415E" w:rsidRPr="00B2415E" w:rsidRDefault="00B2415E" w:rsidP="00B2415E">
      <w:pPr>
        <w:ind w:firstLine="720"/>
        <w:rPr>
          <w:i/>
          <w:color w:val="0066FF"/>
        </w:rPr>
      </w:pPr>
      <w:r w:rsidRPr="00B2415E">
        <w:rPr>
          <w:i/>
        </w:rPr>
        <w:t>For more detail on PBAC’s view, see section 7 PBAC outcome.</w:t>
      </w:r>
    </w:p>
    <w:p w:rsidR="00B2415E" w:rsidRPr="008B3D24" w:rsidRDefault="00B2415E" w:rsidP="00B2415E">
      <w:pPr>
        <w:pStyle w:val="3-BodyText"/>
        <w:numPr>
          <w:ilvl w:val="0"/>
          <w:numId w:val="0"/>
        </w:numPr>
        <w:rPr>
          <w:iCs/>
        </w:rPr>
      </w:pPr>
    </w:p>
    <w:p w:rsidR="00223D5A" w:rsidRPr="008B3D24" w:rsidRDefault="00223D5A" w:rsidP="00223D5A">
      <w:pPr>
        <w:pStyle w:val="2-SectionHeading"/>
      </w:pPr>
      <w:bookmarkStart w:id="11" w:name="_Toc40706503"/>
      <w:bookmarkStart w:id="12" w:name="_Toc22897640"/>
      <w:r w:rsidRPr="008B3D24">
        <w:t>Consideration of the evidence</w:t>
      </w:r>
      <w:bookmarkEnd w:id="11"/>
    </w:p>
    <w:p w:rsidR="00AB3BAE" w:rsidRPr="008B3D24" w:rsidRDefault="00AB3BAE" w:rsidP="002E4F02">
      <w:pPr>
        <w:pStyle w:val="4-SubsectionHeading"/>
      </w:pPr>
      <w:bookmarkStart w:id="13" w:name="_Toc40706504"/>
      <w:r w:rsidRPr="008B3D24">
        <w:t xml:space="preserve">Sponsor hearing </w:t>
      </w:r>
    </w:p>
    <w:p w:rsidR="00AB3BAE" w:rsidRPr="008B3D24" w:rsidRDefault="00AB3BAE" w:rsidP="00AB3BAE">
      <w:pPr>
        <w:pStyle w:val="3-BodyText"/>
        <w:numPr>
          <w:ilvl w:val="1"/>
          <w:numId w:val="20"/>
        </w:numPr>
        <w:rPr>
          <w:rFonts w:eastAsiaTheme="minorEastAsia" w:cstheme="minorBidi"/>
        </w:rPr>
      </w:pPr>
      <w:r w:rsidRPr="008B3D24">
        <w:t xml:space="preserve">There was no hearing for this item. </w:t>
      </w:r>
    </w:p>
    <w:p w:rsidR="00AB3BAE" w:rsidRPr="008B3D24" w:rsidRDefault="00AB3BAE" w:rsidP="00AB3BAE">
      <w:pPr>
        <w:pStyle w:val="4-SubsectionHeading"/>
      </w:pPr>
      <w:r w:rsidRPr="008B3D24">
        <w:t>Consumer comments</w:t>
      </w:r>
    </w:p>
    <w:p w:rsidR="00AB3BAE" w:rsidRPr="008B3D24" w:rsidRDefault="00AB3BAE" w:rsidP="00AB3BAE">
      <w:pPr>
        <w:pStyle w:val="3-BodyText"/>
        <w:numPr>
          <w:ilvl w:val="1"/>
          <w:numId w:val="20"/>
        </w:numPr>
        <w:rPr>
          <w:rFonts w:eastAsiaTheme="minorEastAsia" w:cstheme="minorBidi"/>
        </w:rPr>
      </w:pPr>
      <w:r w:rsidRPr="008B3D24">
        <w:t>The PBAC noted and welcomed the input from one individual via the Consumer Comments facility on the PBS website.</w:t>
      </w:r>
      <w:r w:rsidR="006941BC" w:rsidRPr="008B3D24">
        <w:t xml:space="preserve"> </w:t>
      </w:r>
      <w:r w:rsidRPr="008B3D24">
        <w:t xml:space="preserve">The comments described </w:t>
      </w:r>
      <w:r w:rsidR="00067BB0" w:rsidRPr="008B3D24">
        <w:t xml:space="preserve">the significant </w:t>
      </w:r>
      <w:r w:rsidR="00A23340" w:rsidRPr="008B3D24">
        <w:t xml:space="preserve">negative </w:t>
      </w:r>
      <w:r w:rsidR="00067BB0" w:rsidRPr="008B3D24">
        <w:t>impact of AS on quality of life and the importance of having a variety of treatment options available.</w:t>
      </w:r>
    </w:p>
    <w:p w:rsidR="00B60939" w:rsidRPr="008B3D24" w:rsidRDefault="00B60939" w:rsidP="002E4F02">
      <w:pPr>
        <w:pStyle w:val="4-SubsectionHeading"/>
      </w:pPr>
      <w:r w:rsidRPr="008B3D24">
        <w:t>Clinical</w:t>
      </w:r>
      <w:r w:rsidR="008F4040" w:rsidRPr="008B3D24">
        <w:t xml:space="preserve"> trials</w:t>
      </w:r>
      <w:bookmarkEnd w:id="12"/>
      <w:bookmarkEnd w:id="13"/>
    </w:p>
    <w:p w:rsidR="008F4040" w:rsidRPr="008B3D24" w:rsidRDefault="008F4040" w:rsidP="003A57C4">
      <w:pPr>
        <w:pStyle w:val="3-BodyText"/>
        <w:numPr>
          <w:ilvl w:val="1"/>
          <w:numId w:val="20"/>
        </w:numPr>
        <w:rPr>
          <w:rFonts w:eastAsiaTheme="minorEastAsia" w:cstheme="minorBidi"/>
        </w:rPr>
      </w:pPr>
      <w:r w:rsidRPr="008B3D24">
        <w:t>The submission was based on</w:t>
      </w:r>
      <w:r w:rsidR="003702E8" w:rsidRPr="008B3D24">
        <w:t xml:space="preserve"> (Table 2)</w:t>
      </w:r>
      <w:r w:rsidRPr="008B3D24">
        <w:t>:</w:t>
      </w:r>
      <w:r w:rsidR="32D08527" w:rsidRPr="008B3D24">
        <w:t xml:space="preserve"> </w:t>
      </w:r>
    </w:p>
    <w:p w:rsidR="008F4040" w:rsidRPr="008B3D24" w:rsidRDefault="32D08527" w:rsidP="00E6306E">
      <w:pPr>
        <w:pStyle w:val="3-BodyText"/>
        <w:numPr>
          <w:ilvl w:val="2"/>
          <w:numId w:val="1"/>
        </w:numPr>
        <w:ind w:left="1434" w:hanging="357"/>
      </w:pPr>
      <w:r w:rsidRPr="008B3D24">
        <w:t>one direct randomised trial (COAST-V, N = 341) that compared ixekizumab with adalimumab (and placebo) in biological medicine-naïve patients with AS;</w:t>
      </w:r>
    </w:p>
    <w:p w:rsidR="008F4040" w:rsidRPr="008B3D24" w:rsidRDefault="32D08527" w:rsidP="00E6306E">
      <w:pPr>
        <w:pStyle w:val="3-BodyText"/>
        <w:numPr>
          <w:ilvl w:val="2"/>
          <w:numId w:val="1"/>
        </w:numPr>
        <w:ind w:left="1434" w:hanging="357"/>
        <w:rPr>
          <w:rFonts w:eastAsiaTheme="minorEastAsia" w:cstheme="minorBidi"/>
        </w:rPr>
      </w:pPr>
      <w:r w:rsidRPr="008B3D24">
        <w:t>one randomised trial (COAST-W, N = 316) that compared ixekizumab with placebo in tumour necrosis factor inhibitor (TNFi)-experienced patients with AS; and</w:t>
      </w:r>
    </w:p>
    <w:p w:rsidR="008F4040" w:rsidRPr="008B3D24" w:rsidRDefault="32D08527" w:rsidP="00E6306E">
      <w:pPr>
        <w:pStyle w:val="3-BodyText"/>
        <w:numPr>
          <w:ilvl w:val="2"/>
          <w:numId w:val="1"/>
        </w:numPr>
        <w:ind w:left="1434" w:hanging="357"/>
        <w:rPr>
          <w:rFonts w:eastAsiaTheme="minorEastAsia" w:cstheme="minorBidi"/>
        </w:rPr>
      </w:pPr>
      <w:r w:rsidRPr="008B3D24">
        <w:t xml:space="preserve">two randomised trials (MEASURE 2, N = 219 and MEASURE 4, N = 350) that compared secukinumab with placebo in both TNFi-naïve and TNFi-experienced </w:t>
      </w:r>
      <w:r w:rsidRPr="008B3D24">
        <w:rPr>
          <w:color w:val="000000" w:themeColor="text1"/>
        </w:rPr>
        <w:t xml:space="preserve">patients with AS. </w:t>
      </w:r>
    </w:p>
    <w:p w:rsidR="008F4040" w:rsidRPr="008B3D24" w:rsidRDefault="3DC7790B" w:rsidP="009865C4">
      <w:pPr>
        <w:pStyle w:val="3-BodyText"/>
        <w:rPr>
          <w:rFonts w:eastAsiaTheme="minorEastAsia" w:cstheme="minorBidi"/>
        </w:rPr>
      </w:pPr>
      <w:r w:rsidRPr="008B3D24">
        <w:rPr>
          <w:color w:val="000000" w:themeColor="text1"/>
        </w:rPr>
        <w:t>The submission also presented an additional placebo-controlled trial of secukinumab (MEASURE</w:t>
      </w:r>
      <w:r w:rsidRPr="008B3D24">
        <w:t xml:space="preserve"> 5, N = 458) as a sensitivity analysis as only an abstract was available for this trial. The submission excluded two other placebo-controlled secukinumab trials, MEASURE 1 and MEASURE 3, as they used intravenous secukinumab loading doses. </w:t>
      </w:r>
    </w:p>
    <w:p w:rsidR="008F4040" w:rsidRPr="008B3D24" w:rsidRDefault="008F4040" w:rsidP="008F4040">
      <w:pPr>
        <w:pStyle w:val="TableFigureHeading"/>
        <w:rPr>
          <w:rStyle w:val="CommentReference"/>
          <w:b/>
          <w:szCs w:val="24"/>
        </w:rPr>
      </w:pPr>
      <w:r w:rsidRPr="008B3D24">
        <w:rPr>
          <w:rStyle w:val="CommentReference"/>
          <w:b/>
          <w:szCs w:val="24"/>
        </w:rPr>
        <w:t>Table 2: Trials and associated reports presented in the submission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3"/>
        <w:gridCol w:w="5056"/>
        <w:gridCol w:w="2528"/>
      </w:tblGrid>
      <w:tr w:rsidR="008F4040" w:rsidRPr="008B3D24" w:rsidTr="009452DA">
        <w:trPr>
          <w:cantSplit/>
          <w:tblHeader/>
        </w:trPr>
        <w:tc>
          <w:tcPr>
            <w:tcW w:w="785" w:type="pct"/>
            <w:vAlign w:val="center"/>
          </w:tcPr>
          <w:p w:rsidR="008F4040" w:rsidRPr="008B3D24" w:rsidRDefault="008F4040" w:rsidP="009452DA">
            <w:pPr>
              <w:pStyle w:val="In-tableHeading"/>
              <w:jc w:val="center"/>
              <w:rPr>
                <w:lang w:val="en-AU"/>
              </w:rPr>
            </w:pPr>
            <w:r w:rsidRPr="008B3D24">
              <w:rPr>
                <w:lang w:val="en-AU"/>
              </w:rPr>
              <w:t>Trial ID</w:t>
            </w:r>
          </w:p>
        </w:tc>
        <w:tc>
          <w:tcPr>
            <w:tcW w:w="2810" w:type="pct"/>
            <w:vAlign w:val="center"/>
          </w:tcPr>
          <w:p w:rsidR="008F4040" w:rsidRPr="008B3D24" w:rsidRDefault="008F4040" w:rsidP="009452DA">
            <w:pPr>
              <w:pStyle w:val="In-tableHeading"/>
              <w:rPr>
                <w:lang w:val="en-AU"/>
              </w:rPr>
            </w:pPr>
            <w:r w:rsidRPr="008B3D24">
              <w:rPr>
                <w:lang w:val="en-AU"/>
              </w:rPr>
              <w:t>Protocol title/ Publication title</w:t>
            </w:r>
          </w:p>
        </w:tc>
        <w:tc>
          <w:tcPr>
            <w:tcW w:w="1405" w:type="pct"/>
            <w:vAlign w:val="center"/>
          </w:tcPr>
          <w:p w:rsidR="008F4040" w:rsidRPr="008B3D24" w:rsidRDefault="008F4040" w:rsidP="009452DA">
            <w:pPr>
              <w:pStyle w:val="In-tableHeading"/>
              <w:rPr>
                <w:lang w:val="en-AU"/>
              </w:rPr>
            </w:pPr>
            <w:r w:rsidRPr="008B3D24">
              <w:rPr>
                <w:lang w:val="en-AU"/>
              </w:rPr>
              <w:t>Publication citation</w:t>
            </w:r>
          </w:p>
        </w:tc>
      </w:tr>
      <w:tr w:rsidR="008F4040" w:rsidRPr="008B3D24" w:rsidTr="009452DA">
        <w:trPr>
          <w:cantSplit/>
        </w:trPr>
        <w:tc>
          <w:tcPr>
            <w:tcW w:w="785" w:type="pct"/>
            <w:vMerge w:val="restart"/>
            <w:vAlign w:val="center"/>
          </w:tcPr>
          <w:p w:rsidR="008F4040" w:rsidRPr="008B3D24" w:rsidRDefault="008F4040" w:rsidP="00B2415E">
            <w:pPr>
              <w:pStyle w:val="TableText0"/>
            </w:pPr>
            <w:r w:rsidRPr="008B3D24">
              <w:t>COAST-V</w:t>
            </w:r>
          </w:p>
          <w:p w:rsidR="008F4040" w:rsidRPr="008B3D24" w:rsidRDefault="008F4040" w:rsidP="00B2415E">
            <w:pPr>
              <w:pStyle w:val="TableText0"/>
              <w:rPr>
                <w:rFonts w:ascii="Times" w:hAnsi="Times"/>
              </w:rPr>
            </w:pPr>
            <w:r w:rsidRPr="008B3D24">
              <w:t>(NCT02696785)</w:t>
            </w:r>
          </w:p>
        </w:tc>
        <w:tc>
          <w:tcPr>
            <w:tcW w:w="2810" w:type="pct"/>
            <w:tcBorders>
              <w:bottom w:val="nil"/>
            </w:tcBorders>
            <w:vAlign w:val="center"/>
          </w:tcPr>
          <w:p w:rsidR="008F4040" w:rsidRPr="008B3D24" w:rsidRDefault="008F4040" w:rsidP="00B2415E">
            <w:pPr>
              <w:pStyle w:val="TableText0"/>
            </w:pPr>
            <w:r w:rsidRPr="008B3D24">
              <w:t>A Multicenter, Randomised, Double-Blind, Active and Placebo-Controlled 16-Week Study Followed by Long Term Evaluation of Efficacy and Safety of Ixekizumab (LY2439821) in bDMARD-Naive Patients with Radiographic Axial Spondyloarthritis. Eli Lilly and Company.</w:t>
            </w:r>
          </w:p>
        </w:tc>
        <w:tc>
          <w:tcPr>
            <w:tcW w:w="1405" w:type="pct"/>
            <w:tcBorders>
              <w:bottom w:val="nil"/>
            </w:tcBorders>
            <w:vAlign w:val="center"/>
          </w:tcPr>
          <w:p w:rsidR="008F4040" w:rsidRPr="008B3D24" w:rsidRDefault="008F4040" w:rsidP="00B2415E">
            <w:pPr>
              <w:pStyle w:val="TableText0"/>
            </w:pPr>
            <w:r w:rsidRPr="008B3D24">
              <w:t>9 October 2018.</w:t>
            </w:r>
          </w:p>
          <w:p w:rsidR="008F4040" w:rsidRPr="008B3D24" w:rsidRDefault="008F4040" w:rsidP="00B2415E">
            <w:pPr>
              <w:pStyle w:val="TableText0"/>
              <w:rPr>
                <w:rFonts w:ascii="Times" w:hAnsi="Times"/>
              </w:rPr>
            </w:pPr>
          </w:p>
        </w:tc>
      </w:tr>
      <w:tr w:rsidR="008F4040" w:rsidRPr="008B3D24" w:rsidTr="009452DA">
        <w:trPr>
          <w:cantSplit/>
        </w:trPr>
        <w:tc>
          <w:tcPr>
            <w:tcW w:w="785" w:type="pct"/>
            <w:vMerge/>
            <w:vAlign w:val="center"/>
          </w:tcPr>
          <w:p w:rsidR="008F4040" w:rsidRPr="008B3D24" w:rsidRDefault="008F4040" w:rsidP="00B2415E">
            <w:pPr>
              <w:pStyle w:val="TableText0"/>
            </w:pPr>
          </w:p>
        </w:tc>
        <w:tc>
          <w:tcPr>
            <w:tcW w:w="2810" w:type="pct"/>
            <w:tcBorders>
              <w:top w:val="nil"/>
              <w:bottom w:val="nil"/>
            </w:tcBorders>
            <w:vAlign w:val="center"/>
          </w:tcPr>
          <w:p w:rsidR="008F4040" w:rsidRPr="008B3D24" w:rsidRDefault="008F4040" w:rsidP="00B2415E">
            <w:pPr>
              <w:pStyle w:val="TableText0"/>
              <w:rPr>
                <w:u w:val="single"/>
              </w:rPr>
            </w:pPr>
            <w:r w:rsidRPr="008B3D24">
              <w:t>van der Heijde et al. Ixekizumab, an interleukin-17A antagonist in the treatment of ankylosing spondylitis or radiographic axial spondyloarthritis in patients previously untreated with biological disease-modifying anti-rheumatic drugs (COAST-V): 16 week results of a phase 3 randomised, double-blind, active-controlled and placebo-controlled trial.</w:t>
            </w:r>
          </w:p>
        </w:tc>
        <w:tc>
          <w:tcPr>
            <w:tcW w:w="1405" w:type="pct"/>
            <w:tcBorders>
              <w:top w:val="nil"/>
              <w:bottom w:val="nil"/>
            </w:tcBorders>
            <w:vAlign w:val="center"/>
          </w:tcPr>
          <w:p w:rsidR="008F4040" w:rsidRPr="008B3D24" w:rsidRDefault="008F4040" w:rsidP="00B2415E">
            <w:pPr>
              <w:pStyle w:val="TableText0"/>
            </w:pPr>
            <w:r w:rsidRPr="008B3D24">
              <w:t>Lancet 2018; 392: 2441-2451.</w:t>
            </w:r>
          </w:p>
          <w:p w:rsidR="008F4040" w:rsidRPr="008B3D24" w:rsidRDefault="008F4040" w:rsidP="00B2415E">
            <w:pPr>
              <w:pStyle w:val="TableText0"/>
            </w:pPr>
          </w:p>
        </w:tc>
      </w:tr>
      <w:tr w:rsidR="008F4040" w:rsidRPr="008B3D24" w:rsidTr="009452DA">
        <w:trPr>
          <w:cantSplit/>
        </w:trPr>
        <w:tc>
          <w:tcPr>
            <w:tcW w:w="785" w:type="pct"/>
            <w:vMerge w:val="restart"/>
            <w:vAlign w:val="center"/>
          </w:tcPr>
          <w:p w:rsidR="008F4040" w:rsidRPr="008B3D24" w:rsidRDefault="008F4040" w:rsidP="00B2415E">
            <w:pPr>
              <w:pStyle w:val="TableText0"/>
            </w:pPr>
            <w:r w:rsidRPr="008B3D24">
              <w:t>COAST-W</w:t>
            </w:r>
          </w:p>
          <w:p w:rsidR="008F4040" w:rsidRPr="008B3D24" w:rsidRDefault="008F4040" w:rsidP="00B2415E">
            <w:pPr>
              <w:pStyle w:val="TableText0"/>
              <w:rPr>
                <w:rFonts w:ascii="Times" w:hAnsi="Times"/>
              </w:rPr>
            </w:pPr>
            <w:r w:rsidRPr="008B3D24">
              <w:t>(NCT02696798)</w:t>
            </w:r>
          </w:p>
        </w:tc>
        <w:tc>
          <w:tcPr>
            <w:tcW w:w="2810" w:type="pct"/>
            <w:tcBorders>
              <w:bottom w:val="nil"/>
            </w:tcBorders>
            <w:vAlign w:val="center"/>
          </w:tcPr>
          <w:p w:rsidR="008F4040" w:rsidRPr="008B3D24" w:rsidRDefault="008F4040" w:rsidP="00B2415E">
            <w:pPr>
              <w:pStyle w:val="TableText0"/>
              <w:rPr>
                <w:rFonts w:ascii="Times" w:hAnsi="Times"/>
              </w:rPr>
            </w:pPr>
            <w:r w:rsidRPr="008B3D24">
              <w:t>A Multicenter, Randomised, Double-Blind, Placebo-Controlled 16-Week Study Followed by Long-Term Evaluation of Efficacy and Safety of Ixekizumab (LY2439821) in TNFi-Experienced Patients with Radiographic Axial Spondyloarthritis.</w:t>
            </w:r>
            <w:r w:rsidRPr="008B3D24">
              <w:rPr>
                <w:iCs/>
              </w:rPr>
              <w:t xml:space="preserve"> </w:t>
            </w:r>
            <w:r w:rsidRPr="008B3D24">
              <w:t>Eli Lilly and Company.</w:t>
            </w:r>
          </w:p>
        </w:tc>
        <w:tc>
          <w:tcPr>
            <w:tcW w:w="1405" w:type="pct"/>
            <w:tcBorders>
              <w:bottom w:val="nil"/>
            </w:tcBorders>
            <w:vAlign w:val="center"/>
          </w:tcPr>
          <w:p w:rsidR="008F4040" w:rsidRPr="008B3D24" w:rsidRDefault="008F4040" w:rsidP="00B2415E">
            <w:pPr>
              <w:pStyle w:val="TableText0"/>
            </w:pPr>
            <w:r w:rsidRPr="008B3D24">
              <w:t>11 September 2018.</w:t>
            </w:r>
          </w:p>
        </w:tc>
      </w:tr>
      <w:tr w:rsidR="008F4040" w:rsidRPr="008B3D24" w:rsidTr="009452DA">
        <w:trPr>
          <w:cantSplit/>
        </w:trPr>
        <w:tc>
          <w:tcPr>
            <w:tcW w:w="785" w:type="pct"/>
            <w:vMerge/>
            <w:vAlign w:val="center"/>
          </w:tcPr>
          <w:p w:rsidR="008F4040" w:rsidRPr="008B3D24" w:rsidRDefault="008F4040" w:rsidP="00B2415E">
            <w:pPr>
              <w:pStyle w:val="TableText0"/>
            </w:pPr>
          </w:p>
        </w:tc>
        <w:tc>
          <w:tcPr>
            <w:tcW w:w="2810" w:type="pct"/>
            <w:tcBorders>
              <w:top w:val="nil"/>
              <w:bottom w:val="nil"/>
            </w:tcBorders>
            <w:vAlign w:val="center"/>
          </w:tcPr>
          <w:p w:rsidR="008F4040" w:rsidRPr="008B3D24" w:rsidRDefault="008F4040" w:rsidP="00B2415E">
            <w:pPr>
              <w:pStyle w:val="TableText0"/>
            </w:pPr>
            <w:r w:rsidRPr="008B3D24">
              <w:t xml:space="preserve">Deodhar et al. Efficacy and Safety of Ixekizumab in the Treatment of Radiographic Axial Spondyloarthritis: Sixteen-Week Results From a Phase III Randomised, Double-Blind, Placebo-Controlled Trial in Patients With Prior Inadequate Response to or Intolerance of Tumor Necrosis Factor Inhibitors. </w:t>
            </w:r>
          </w:p>
        </w:tc>
        <w:tc>
          <w:tcPr>
            <w:tcW w:w="1405" w:type="pct"/>
            <w:tcBorders>
              <w:top w:val="nil"/>
              <w:bottom w:val="nil"/>
            </w:tcBorders>
            <w:vAlign w:val="center"/>
          </w:tcPr>
          <w:p w:rsidR="008F4040" w:rsidRPr="008B3D24" w:rsidRDefault="008F4040" w:rsidP="00B2415E">
            <w:pPr>
              <w:pStyle w:val="TableText0"/>
            </w:pPr>
            <w:r w:rsidRPr="008B3D24">
              <w:t>Arthritis Rheumatol 2019; 71 (4): 599-611.</w:t>
            </w:r>
          </w:p>
        </w:tc>
      </w:tr>
      <w:tr w:rsidR="008F4040" w:rsidRPr="008B3D24" w:rsidTr="00B2415E">
        <w:trPr>
          <w:cantSplit/>
          <w:trHeight w:val="295"/>
        </w:trPr>
        <w:tc>
          <w:tcPr>
            <w:tcW w:w="785" w:type="pct"/>
            <w:vAlign w:val="center"/>
          </w:tcPr>
          <w:p w:rsidR="008F4040" w:rsidRPr="008B3D24" w:rsidRDefault="008F4040" w:rsidP="00B2415E">
            <w:pPr>
              <w:pStyle w:val="TableText0"/>
            </w:pPr>
            <w:r w:rsidRPr="008B3D24">
              <w:t>MEASURE 2</w:t>
            </w:r>
          </w:p>
          <w:p w:rsidR="008F4040" w:rsidRPr="008B3D24" w:rsidRDefault="008F4040" w:rsidP="00B2415E">
            <w:pPr>
              <w:pStyle w:val="TableText0"/>
            </w:pPr>
            <w:r w:rsidRPr="008B3D24">
              <w:t>(NCT01649375)</w:t>
            </w:r>
          </w:p>
        </w:tc>
        <w:tc>
          <w:tcPr>
            <w:tcW w:w="2810" w:type="pct"/>
            <w:tcBorders>
              <w:top w:val="single" w:sz="4" w:space="0" w:color="auto"/>
              <w:bottom w:val="single" w:sz="4" w:space="0" w:color="auto"/>
            </w:tcBorders>
            <w:vAlign w:val="center"/>
          </w:tcPr>
          <w:p w:rsidR="008F4040" w:rsidRPr="008B3D24" w:rsidRDefault="007B3AFB" w:rsidP="00B2415E">
            <w:pPr>
              <w:pStyle w:val="TableText0"/>
            </w:pPr>
            <w:r w:rsidRPr="008B3D24">
              <w:t>Baeten et al. (2015)</w:t>
            </w:r>
            <w:r w:rsidR="00C47936" w:rsidRPr="008B3D24">
              <w:t xml:space="preserve"> </w:t>
            </w:r>
            <w:r w:rsidR="008F4040" w:rsidRPr="008B3D24">
              <w:t xml:space="preserve">Secukinumab, an Interleukin-17A Inhibitor, in Ankylosing Spondylitis. </w:t>
            </w:r>
          </w:p>
        </w:tc>
        <w:tc>
          <w:tcPr>
            <w:tcW w:w="1405" w:type="pct"/>
            <w:tcBorders>
              <w:top w:val="single" w:sz="4" w:space="0" w:color="auto"/>
              <w:bottom w:val="single" w:sz="4" w:space="0" w:color="auto"/>
            </w:tcBorders>
            <w:vAlign w:val="center"/>
          </w:tcPr>
          <w:p w:rsidR="008F4040" w:rsidRPr="008B3D24" w:rsidRDefault="008F4040" w:rsidP="00B2415E">
            <w:pPr>
              <w:pStyle w:val="TableText0"/>
            </w:pPr>
            <w:r w:rsidRPr="008B3D24">
              <w:t>New Engl J Med 2015; 373: 2534-2548.</w:t>
            </w:r>
          </w:p>
        </w:tc>
      </w:tr>
      <w:tr w:rsidR="008F4040" w:rsidRPr="008B3D24" w:rsidTr="009452DA">
        <w:trPr>
          <w:cantSplit/>
        </w:trPr>
        <w:tc>
          <w:tcPr>
            <w:tcW w:w="785" w:type="pct"/>
            <w:vAlign w:val="center"/>
          </w:tcPr>
          <w:p w:rsidR="008F4040" w:rsidRPr="008B3D24" w:rsidRDefault="008F4040" w:rsidP="00B2415E">
            <w:pPr>
              <w:pStyle w:val="TableText0"/>
            </w:pPr>
            <w:r w:rsidRPr="008B3D24">
              <w:t>MEASURE 4</w:t>
            </w:r>
          </w:p>
          <w:p w:rsidR="008F4040" w:rsidRPr="008B3D24" w:rsidRDefault="008F4040" w:rsidP="00B2415E">
            <w:pPr>
              <w:pStyle w:val="TableText0"/>
            </w:pPr>
            <w:r w:rsidRPr="008B3D24">
              <w:t>(NCT02159053)</w:t>
            </w:r>
          </w:p>
        </w:tc>
        <w:tc>
          <w:tcPr>
            <w:tcW w:w="2810" w:type="pct"/>
            <w:tcBorders>
              <w:top w:val="single" w:sz="4" w:space="0" w:color="auto"/>
              <w:bottom w:val="single" w:sz="4" w:space="0" w:color="auto"/>
            </w:tcBorders>
            <w:vAlign w:val="center"/>
          </w:tcPr>
          <w:p w:rsidR="008F4040" w:rsidRPr="008B3D24" w:rsidRDefault="007B3AFB" w:rsidP="00B2415E">
            <w:pPr>
              <w:pStyle w:val="TableText0"/>
            </w:pPr>
            <w:r w:rsidRPr="008B3D24">
              <w:t>Kivitz et al. (2018)</w:t>
            </w:r>
            <w:r w:rsidR="008F4040" w:rsidRPr="008B3D24">
              <w:t xml:space="preserve"> Efficacy and Safety of Secukinumab 150</w:t>
            </w:r>
            <w:r w:rsidR="00C47936" w:rsidRPr="008B3D24">
              <w:t xml:space="preserve"> </w:t>
            </w:r>
            <w:r w:rsidR="008F4040" w:rsidRPr="008B3D24">
              <w:t xml:space="preserve">mg with and Without Loading Regimen in Ankylosing Spondylitis: 104-week Results from MEASURE 4 Study. </w:t>
            </w:r>
          </w:p>
        </w:tc>
        <w:tc>
          <w:tcPr>
            <w:tcW w:w="1405" w:type="pct"/>
            <w:tcBorders>
              <w:top w:val="single" w:sz="4" w:space="0" w:color="auto"/>
              <w:bottom w:val="single" w:sz="4" w:space="0" w:color="auto"/>
            </w:tcBorders>
            <w:vAlign w:val="center"/>
          </w:tcPr>
          <w:p w:rsidR="008F4040" w:rsidRPr="008B3D24" w:rsidRDefault="008F4040" w:rsidP="00B2415E">
            <w:pPr>
              <w:pStyle w:val="TableText0"/>
            </w:pPr>
            <w:r w:rsidRPr="008B3D24">
              <w:t>Rheumatol Ther 2018; 5: 447-462.</w:t>
            </w:r>
          </w:p>
        </w:tc>
      </w:tr>
      <w:tr w:rsidR="008F4040" w:rsidRPr="008B3D24" w:rsidTr="009452DA">
        <w:trPr>
          <w:cantSplit/>
        </w:trPr>
        <w:tc>
          <w:tcPr>
            <w:tcW w:w="785" w:type="pct"/>
            <w:tcBorders>
              <w:bottom w:val="single" w:sz="4" w:space="0" w:color="auto"/>
            </w:tcBorders>
            <w:vAlign w:val="center"/>
          </w:tcPr>
          <w:p w:rsidR="008F4040" w:rsidRPr="008B3D24" w:rsidRDefault="008F4040" w:rsidP="00B2415E">
            <w:pPr>
              <w:pStyle w:val="TableText0"/>
            </w:pPr>
            <w:r w:rsidRPr="008B3D24">
              <w:t>MEASURE 5</w:t>
            </w:r>
          </w:p>
        </w:tc>
        <w:tc>
          <w:tcPr>
            <w:tcW w:w="2810" w:type="pct"/>
            <w:tcBorders>
              <w:top w:val="single" w:sz="4" w:space="0" w:color="auto"/>
              <w:bottom w:val="single" w:sz="4" w:space="0" w:color="auto"/>
            </w:tcBorders>
          </w:tcPr>
          <w:p w:rsidR="008F4040" w:rsidRPr="008B3D24" w:rsidRDefault="008F4040" w:rsidP="00B2415E">
            <w:pPr>
              <w:pStyle w:val="TableText0"/>
            </w:pPr>
            <w:r w:rsidRPr="008B3D24">
              <w:t xml:space="preserve">Huang et al. Secukinumab provides rapid and significant improvement in the signs and symptoms of ankylosing spondylitis: primary (16-week) results from a phase 3 China-centric study, measure 5. </w:t>
            </w:r>
          </w:p>
        </w:tc>
        <w:tc>
          <w:tcPr>
            <w:tcW w:w="1405" w:type="pct"/>
            <w:tcBorders>
              <w:top w:val="single" w:sz="4" w:space="0" w:color="auto"/>
              <w:bottom w:val="single" w:sz="4" w:space="0" w:color="auto"/>
            </w:tcBorders>
          </w:tcPr>
          <w:p w:rsidR="008F4040" w:rsidRPr="008B3D24" w:rsidRDefault="008F4040" w:rsidP="00B2415E">
            <w:pPr>
              <w:pStyle w:val="TableText0"/>
            </w:pPr>
            <w:r w:rsidRPr="008B3D24">
              <w:t>Ann Rheum Dis 2019; 78: 894-895.</w:t>
            </w:r>
          </w:p>
        </w:tc>
      </w:tr>
    </w:tbl>
    <w:p w:rsidR="008F4040" w:rsidRPr="008B3D24" w:rsidRDefault="008F4040" w:rsidP="008F4040">
      <w:pPr>
        <w:pStyle w:val="TableFigureFooter"/>
      </w:pPr>
      <w:r w:rsidRPr="008B3D24">
        <w:t>Source: Table 2.2.1, p62 of the submission.</w:t>
      </w:r>
    </w:p>
    <w:p w:rsidR="008F4040" w:rsidRPr="008B3D24" w:rsidRDefault="008F4040" w:rsidP="008F4040">
      <w:pPr>
        <w:pStyle w:val="TableFigureFooter"/>
        <w:rPr>
          <w:sz w:val="20"/>
        </w:rPr>
      </w:pPr>
      <w:r w:rsidRPr="008B3D24">
        <w:t>bDMARDS = biological disease-modifying anti-rheumatic drugs; TNFi = tumour necrosis factor inhibitor</w:t>
      </w:r>
    </w:p>
    <w:p w:rsidR="008F4040" w:rsidRPr="008B3D24" w:rsidRDefault="008F4040" w:rsidP="008F4040">
      <w:pPr>
        <w:pStyle w:val="3-BodyText"/>
      </w:pPr>
      <w:r w:rsidRPr="008B3D24">
        <w:t xml:space="preserve">The key features of the included trials are summarised in </w:t>
      </w:r>
      <w:r w:rsidR="00C47936" w:rsidRPr="008B3D24">
        <w:t>T</w:t>
      </w:r>
      <w:r w:rsidRPr="008B3D24">
        <w:t xml:space="preserve">able </w:t>
      </w:r>
      <w:r w:rsidR="00C47936" w:rsidRPr="008B3D24">
        <w:t>3</w:t>
      </w:r>
      <w:r w:rsidRPr="008B3D24">
        <w:t xml:space="preserve">. </w:t>
      </w:r>
    </w:p>
    <w:p w:rsidR="008F4040" w:rsidRPr="008B3D24" w:rsidRDefault="008F4040" w:rsidP="008F4040">
      <w:pPr>
        <w:pStyle w:val="TableFigureHeading"/>
        <w:rPr>
          <w:rStyle w:val="CommentReference"/>
          <w:b/>
          <w:szCs w:val="24"/>
        </w:rPr>
      </w:pPr>
      <w:r w:rsidRPr="008B3D24">
        <w:rPr>
          <w:rStyle w:val="CommentReference"/>
          <w:b/>
          <w:szCs w:val="24"/>
        </w:rPr>
        <w:t>Table 3: 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26"/>
        <w:gridCol w:w="992"/>
        <w:gridCol w:w="850"/>
        <w:gridCol w:w="3969"/>
        <w:gridCol w:w="1651"/>
      </w:tblGrid>
      <w:tr w:rsidR="008F4040" w:rsidRPr="008B3D24" w:rsidTr="009452DA">
        <w:trPr>
          <w:cantSplit/>
          <w:tblHeader/>
        </w:trPr>
        <w:tc>
          <w:tcPr>
            <w:tcW w:w="1129" w:type="dxa"/>
            <w:shd w:val="clear" w:color="auto" w:fill="auto"/>
            <w:vAlign w:val="center"/>
          </w:tcPr>
          <w:p w:rsidR="008F4040" w:rsidRPr="008B3D24" w:rsidRDefault="008F4040" w:rsidP="009452DA">
            <w:pPr>
              <w:pStyle w:val="In-tableHeading"/>
              <w:rPr>
                <w:lang w:val="en-AU"/>
              </w:rPr>
            </w:pPr>
            <w:r w:rsidRPr="008B3D24">
              <w:rPr>
                <w:lang w:val="en-AU"/>
              </w:rPr>
              <w:t>Trial</w:t>
            </w:r>
          </w:p>
        </w:tc>
        <w:tc>
          <w:tcPr>
            <w:tcW w:w="426" w:type="dxa"/>
            <w:shd w:val="clear" w:color="auto" w:fill="auto"/>
            <w:vAlign w:val="center"/>
          </w:tcPr>
          <w:p w:rsidR="008F4040" w:rsidRPr="008B3D24" w:rsidRDefault="008F4040" w:rsidP="009452DA">
            <w:pPr>
              <w:pStyle w:val="In-tableHeading"/>
              <w:jc w:val="center"/>
              <w:rPr>
                <w:lang w:val="en-AU"/>
              </w:rPr>
            </w:pPr>
            <w:r w:rsidRPr="008B3D24">
              <w:rPr>
                <w:lang w:val="en-AU"/>
              </w:rPr>
              <w:t>N</w:t>
            </w:r>
          </w:p>
        </w:tc>
        <w:tc>
          <w:tcPr>
            <w:tcW w:w="992" w:type="dxa"/>
            <w:shd w:val="clear" w:color="auto" w:fill="auto"/>
            <w:vAlign w:val="center"/>
          </w:tcPr>
          <w:p w:rsidR="008F4040" w:rsidRPr="008B3D24" w:rsidRDefault="008F4040" w:rsidP="009452DA">
            <w:pPr>
              <w:pStyle w:val="In-tableHeading"/>
              <w:jc w:val="center"/>
              <w:rPr>
                <w:lang w:val="en-AU"/>
              </w:rPr>
            </w:pPr>
            <w:r w:rsidRPr="008B3D24">
              <w:rPr>
                <w:lang w:val="en-AU"/>
              </w:rPr>
              <w:t>Design/ duration</w:t>
            </w:r>
          </w:p>
        </w:tc>
        <w:tc>
          <w:tcPr>
            <w:tcW w:w="850" w:type="dxa"/>
            <w:shd w:val="clear" w:color="auto" w:fill="auto"/>
            <w:vAlign w:val="center"/>
          </w:tcPr>
          <w:p w:rsidR="008F4040" w:rsidRPr="008B3D24" w:rsidRDefault="008F4040" w:rsidP="009452DA">
            <w:pPr>
              <w:pStyle w:val="In-tableHeading"/>
              <w:jc w:val="center"/>
              <w:rPr>
                <w:lang w:val="en-AU"/>
              </w:rPr>
            </w:pPr>
            <w:r w:rsidRPr="008B3D24">
              <w:rPr>
                <w:lang w:val="en-AU"/>
              </w:rPr>
              <w:t>Risk of bias</w:t>
            </w:r>
          </w:p>
        </w:tc>
        <w:tc>
          <w:tcPr>
            <w:tcW w:w="3969" w:type="dxa"/>
            <w:shd w:val="clear" w:color="auto" w:fill="auto"/>
            <w:vAlign w:val="center"/>
          </w:tcPr>
          <w:p w:rsidR="008F4040" w:rsidRPr="008B3D24" w:rsidRDefault="008F4040" w:rsidP="009452DA">
            <w:pPr>
              <w:pStyle w:val="In-tableHeading"/>
              <w:jc w:val="center"/>
              <w:rPr>
                <w:lang w:val="en-AU"/>
              </w:rPr>
            </w:pPr>
            <w:r w:rsidRPr="008B3D24">
              <w:rPr>
                <w:lang w:val="en-AU"/>
              </w:rPr>
              <w:t>Patient population</w:t>
            </w:r>
          </w:p>
        </w:tc>
        <w:tc>
          <w:tcPr>
            <w:tcW w:w="1651" w:type="dxa"/>
            <w:shd w:val="clear" w:color="auto" w:fill="auto"/>
            <w:vAlign w:val="center"/>
          </w:tcPr>
          <w:p w:rsidR="008F4040" w:rsidRPr="008B3D24" w:rsidRDefault="008F4040" w:rsidP="009452DA">
            <w:pPr>
              <w:pStyle w:val="In-tableHeading"/>
              <w:jc w:val="center"/>
              <w:rPr>
                <w:lang w:val="en-AU"/>
              </w:rPr>
            </w:pPr>
            <w:r w:rsidRPr="008B3D24">
              <w:rPr>
                <w:lang w:val="en-AU"/>
              </w:rPr>
              <w:t>Outcomes</w:t>
            </w:r>
          </w:p>
        </w:tc>
      </w:tr>
      <w:tr w:rsidR="008F4040" w:rsidRPr="008B3D24" w:rsidTr="009452DA">
        <w:trPr>
          <w:cantSplit/>
        </w:trPr>
        <w:tc>
          <w:tcPr>
            <w:tcW w:w="9017" w:type="dxa"/>
            <w:gridSpan w:val="6"/>
            <w:shd w:val="clear" w:color="auto" w:fill="auto"/>
            <w:vAlign w:val="center"/>
          </w:tcPr>
          <w:p w:rsidR="008F4040" w:rsidRPr="008B3D24" w:rsidRDefault="00C47936" w:rsidP="009452DA">
            <w:pPr>
              <w:pStyle w:val="TableText0"/>
              <w:rPr>
                <w:b/>
                <w:bCs w:val="0"/>
                <w:u w:val="single"/>
              </w:rPr>
            </w:pPr>
            <w:r w:rsidRPr="008B3D24">
              <w:rPr>
                <w:b/>
                <w:bCs w:val="0"/>
              </w:rPr>
              <w:t>I</w:t>
            </w:r>
            <w:r w:rsidR="008F4040" w:rsidRPr="008B3D24">
              <w:rPr>
                <w:b/>
                <w:bCs w:val="0"/>
              </w:rPr>
              <w:t>xekizumab vs. adalimumab (vs. placebo)</w:t>
            </w:r>
          </w:p>
        </w:tc>
      </w:tr>
      <w:tr w:rsidR="008F4040" w:rsidRPr="008B3D24" w:rsidTr="009452DA">
        <w:trPr>
          <w:cantSplit/>
          <w:trHeight w:val="1849"/>
        </w:trPr>
        <w:tc>
          <w:tcPr>
            <w:tcW w:w="1129" w:type="dxa"/>
            <w:shd w:val="clear" w:color="auto" w:fill="auto"/>
            <w:vAlign w:val="center"/>
          </w:tcPr>
          <w:p w:rsidR="008F4040" w:rsidRPr="008B3D24" w:rsidRDefault="008F4040" w:rsidP="009452DA">
            <w:pPr>
              <w:pStyle w:val="TableText0"/>
            </w:pPr>
            <w:r w:rsidRPr="008B3D24">
              <w:t xml:space="preserve">COAST-V </w:t>
            </w:r>
          </w:p>
        </w:tc>
        <w:tc>
          <w:tcPr>
            <w:tcW w:w="426" w:type="dxa"/>
            <w:shd w:val="clear" w:color="auto" w:fill="auto"/>
            <w:vAlign w:val="center"/>
          </w:tcPr>
          <w:p w:rsidR="008F4040" w:rsidRPr="008B3D24" w:rsidRDefault="008F4040" w:rsidP="009452DA">
            <w:pPr>
              <w:pStyle w:val="TableText0"/>
              <w:jc w:val="center"/>
            </w:pPr>
            <w:r w:rsidRPr="008B3D24">
              <w:t>341</w:t>
            </w:r>
          </w:p>
        </w:tc>
        <w:tc>
          <w:tcPr>
            <w:tcW w:w="992" w:type="dxa"/>
            <w:shd w:val="clear" w:color="auto" w:fill="auto"/>
            <w:vAlign w:val="center"/>
          </w:tcPr>
          <w:p w:rsidR="008F4040" w:rsidRPr="008B3D24" w:rsidRDefault="008F4040" w:rsidP="009452DA">
            <w:pPr>
              <w:pStyle w:val="TableText0"/>
              <w:jc w:val="center"/>
            </w:pPr>
            <w:r w:rsidRPr="008B3D24">
              <w:t>R, DB, MC</w:t>
            </w:r>
          </w:p>
          <w:p w:rsidR="008F4040" w:rsidRPr="008B3D24" w:rsidRDefault="008F4040" w:rsidP="009452DA">
            <w:pPr>
              <w:pStyle w:val="TableText0"/>
              <w:jc w:val="center"/>
            </w:pPr>
            <w:r w:rsidRPr="008B3D24">
              <w:t>16 weeks </w:t>
            </w:r>
          </w:p>
        </w:tc>
        <w:tc>
          <w:tcPr>
            <w:tcW w:w="850" w:type="dxa"/>
            <w:shd w:val="clear" w:color="auto" w:fill="auto"/>
            <w:vAlign w:val="center"/>
          </w:tcPr>
          <w:p w:rsidR="008F4040" w:rsidRPr="008B3D24" w:rsidRDefault="008F4040" w:rsidP="009452DA">
            <w:pPr>
              <w:pStyle w:val="TableText0"/>
              <w:jc w:val="center"/>
              <w:rPr>
                <w:vertAlign w:val="superscript"/>
              </w:rPr>
            </w:pPr>
            <w:r w:rsidRPr="008B3D24">
              <w:t>Unclear </w:t>
            </w:r>
            <w:r w:rsidRPr="008B3D24">
              <w:rPr>
                <w:vertAlign w:val="superscript"/>
              </w:rPr>
              <w:t>a</w:t>
            </w:r>
          </w:p>
        </w:tc>
        <w:tc>
          <w:tcPr>
            <w:tcW w:w="3969" w:type="dxa"/>
            <w:shd w:val="clear" w:color="auto" w:fill="auto"/>
            <w:vAlign w:val="center"/>
          </w:tcPr>
          <w:p w:rsidR="008F4040" w:rsidRPr="008B3D24" w:rsidRDefault="008F4040" w:rsidP="009452DA">
            <w:pPr>
              <w:pStyle w:val="TableText0"/>
              <w:jc w:val="center"/>
            </w:pPr>
            <w:r w:rsidRPr="008B3D24">
              <w:t>Adults, AS (ASAS </w:t>
            </w:r>
            <w:r w:rsidRPr="008B3D24">
              <w:rPr>
                <w:vertAlign w:val="superscript"/>
              </w:rPr>
              <w:t>b</w:t>
            </w:r>
            <w:r w:rsidRPr="008B3D24">
              <w:t>), b</w:t>
            </w:r>
            <w:r w:rsidR="00462716" w:rsidRPr="008B3D24">
              <w:t>iological medicine</w:t>
            </w:r>
            <w:r w:rsidRPr="008B3D24">
              <w:t>-naïve, BASDAI score ≥</w:t>
            </w:r>
            <w:r w:rsidR="00C47936" w:rsidRPr="008B3D24">
              <w:t xml:space="preserve"> </w:t>
            </w:r>
            <w:r w:rsidRPr="008B3D24">
              <w:t>4 and total back pain ≥</w:t>
            </w:r>
            <w:r w:rsidR="00C47936" w:rsidRPr="008B3D24">
              <w:t xml:space="preserve"> </w:t>
            </w:r>
            <w:r w:rsidRPr="008B3D24">
              <w:t>4 on an NRS, inadequate response to ≥</w:t>
            </w:r>
            <w:r w:rsidR="00C47936" w:rsidRPr="008B3D24">
              <w:t xml:space="preserve"> </w:t>
            </w:r>
            <w:r w:rsidRPr="008B3D24">
              <w:t xml:space="preserve">2 NSAIDs or intolerance to NSAIDs, prior therapy </w:t>
            </w:r>
            <w:r w:rsidR="00E645B5" w:rsidRPr="008B3D24">
              <w:t>for AS</w:t>
            </w:r>
            <w:r w:rsidRPr="008B3D24">
              <w:t xml:space="preserve"> for ≥ 12 weeks</w:t>
            </w:r>
          </w:p>
        </w:tc>
        <w:tc>
          <w:tcPr>
            <w:tcW w:w="1651" w:type="dxa"/>
            <w:shd w:val="clear" w:color="auto" w:fill="auto"/>
            <w:vAlign w:val="center"/>
          </w:tcPr>
          <w:p w:rsidR="008F4040" w:rsidRPr="008B3D24" w:rsidRDefault="008F4040" w:rsidP="009452DA">
            <w:pPr>
              <w:pStyle w:val="TableText0"/>
              <w:jc w:val="center"/>
              <w:rPr>
                <w:u w:val="single"/>
              </w:rPr>
            </w:pPr>
            <w:r w:rsidRPr="008B3D24">
              <w:rPr>
                <w:u w:val="single"/>
              </w:rPr>
              <w:t>Primary</w:t>
            </w:r>
          </w:p>
          <w:p w:rsidR="008F4040" w:rsidRPr="008B3D24" w:rsidRDefault="008F4040" w:rsidP="009452DA">
            <w:pPr>
              <w:pStyle w:val="TableText0"/>
              <w:jc w:val="center"/>
            </w:pPr>
            <w:r w:rsidRPr="008B3D24">
              <w:t xml:space="preserve">ASAS40 </w:t>
            </w:r>
          </w:p>
          <w:p w:rsidR="008F4040" w:rsidRPr="008B3D24" w:rsidRDefault="008F4040" w:rsidP="009452DA">
            <w:pPr>
              <w:pStyle w:val="TableText0"/>
              <w:jc w:val="center"/>
              <w:rPr>
                <w:u w:val="single"/>
              </w:rPr>
            </w:pPr>
            <w:r w:rsidRPr="008B3D24">
              <w:rPr>
                <w:u w:val="single"/>
              </w:rPr>
              <w:t>Secondary </w:t>
            </w:r>
          </w:p>
          <w:p w:rsidR="008F4040" w:rsidRPr="008B3D24" w:rsidRDefault="008F4040" w:rsidP="009452DA">
            <w:pPr>
              <w:pStyle w:val="TableText0"/>
              <w:jc w:val="center"/>
            </w:pPr>
            <w:r w:rsidRPr="008B3D24">
              <w:t xml:space="preserve">ASAS20, </w:t>
            </w:r>
            <w:r w:rsidR="00B01838" w:rsidRPr="008B3D24">
              <w:t>BASDAI 50</w:t>
            </w:r>
            <w:r w:rsidRPr="008B3D24">
              <w:t xml:space="preserve">, change in BASDAI, </w:t>
            </w:r>
          </w:p>
          <w:p w:rsidR="008F4040" w:rsidRPr="008B3D24" w:rsidRDefault="008F4040" w:rsidP="009452DA">
            <w:pPr>
              <w:pStyle w:val="TableText0"/>
              <w:jc w:val="center"/>
            </w:pPr>
            <w:r w:rsidRPr="008B3D24">
              <w:t xml:space="preserve"> A</w:t>
            </w:r>
            <w:r w:rsidR="00C47936" w:rsidRPr="008B3D24">
              <w:t>S</w:t>
            </w:r>
            <w:r w:rsidRPr="008B3D24">
              <w:t>DAS clinical improvement</w:t>
            </w:r>
            <w:r w:rsidR="008C278A" w:rsidRPr="008B3D24">
              <w:t>, ASDAS inactive disease</w:t>
            </w:r>
            <w:r w:rsidRPr="008B3D24">
              <w:t xml:space="preserve"> </w:t>
            </w:r>
          </w:p>
        </w:tc>
      </w:tr>
      <w:tr w:rsidR="008F4040" w:rsidRPr="008B3D24" w:rsidTr="009452DA">
        <w:trPr>
          <w:cantSplit/>
        </w:trPr>
        <w:tc>
          <w:tcPr>
            <w:tcW w:w="9017" w:type="dxa"/>
            <w:gridSpan w:val="6"/>
            <w:shd w:val="clear" w:color="auto" w:fill="auto"/>
            <w:vAlign w:val="center"/>
          </w:tcPr>
          <w:p w:rsidR="008F4040" w:rsidRPr="008B3D24" w:rsidRDefault="00C47936" w:rsidP="009452DA">
            <w:pPr>
              <w:pStyle w:val="TableText0"/>
              <w:rPr>
                <w:u w:val="single"/>
              </w:rPr>
            </w:pPr>
            <w:r w:rsidRPr="008B3D24">
              <w:rPr>
                <w:b/>
                <w:bCs w:val="0"/>
              </w:rPr>
              <w:t>I</w:t>
            </w:r>
            <w:r w:rsidR="008F4040" w:rsidRPr="008B3D24">
              <w:rPr>
                <w:b/>
                <w:bCs w:val="0"/>
              </w:rPr>
              <w:t>xekizumab vs. placebo</w:t>
            </w:r>
          </w:p>
        </w:tc>
      </w:tr>
      <w:tr w:rsidR="008F4040" w:rsidRPr="008B3D24" w:rsidTr="009452DA">
        <w:trPr>
          <w:cantSplit/>
        </w:trPr>
        <w:tc>
          <w:tcPr>
            <w:tcW w:w="1129" w:type="dxa"/>
            <w:shd w:val="clear" w:color="auto" w:fill="auto"/>
            <w:vAlign w:val="center"/>
          </w:tcPr>
          <w:p w:rsidR="008F4040" w:rsidRPr="008B3D24" w:rsidRDefault="008F4040" w:rsidP="009452DA">
            <w:pPr>
              <w:pStyle w:val="TableText0"/>
            </w:pPr>
            <w:r w:rsidRPr="008B3D24">
              <w:t xml:space="preserve">COAST-W </w:t>
            </w:r>
          </w:p>
        </w:tc>
        <w:tc>
          <w:tcPr>
            <w:tcW w:w="426" w:type="dxa"/>
            <w:shd w:val="clear" w:color="auto" w:fill="auto"/>
            <w:vAlign w:val="center"/>
          </w:tcPr>
          <w:p w:rsidR="008F4040" w:rsidRPr="008B3D24" w:rsidRDefault="008F4040" w:rsidP="009452DA">
            <w:pPr>
              <w:pStyle w:val="TableText0"/>
              <w:jc w:val="center"/>
            </w:pPr>
            <w:r w:rsidRPr="008B3D24">
              <w:t>316</w:t>
            </w:r>
          </w:p>
        </w:tc>
        <w:tc>
          <w:tcPr>
            <w:tcW w:w="992" w:type="dxa"/>
            <w:shd w:val="clear" w:color="auto" w:fill="auto"/>
            <w:vAlign w:val="center"/>
          </w:tcPr>
          <w:p w:rsidR="008F4040" w:rsidRPr="008B3D24" w:rsidRDefault="008F4040" w:rsidP="009452DA">
            <w:pPr>
              <w:pStyle w:val="TableText0"/>
              <w:jc w:val="center"/>
            </w:pPr>
            <w:r w:rsidRPr="008B3D24">
              <w:t>R, DB, MC</w:t>
            </w:r>
          </w:p>
          <w:p w:rsidR="008F4040" w:rsidRPr="008B3D24" w:rsidRDefault="008F4040" w:rsidP="009452DA">
            <w:pPr>
              <w:pStyle w:val="TableText0"/>
              <w:jc w:val="center"/>
            </w:pPr>
            <w:r w:rsidRPr="008B3D24">
              <w:t>16 weeks </w:t>
            </w:r>
          </w:p>
        </w:tc>
        <w:tc>
          <w:tcPr>
            <w:tcW w:w="850" w:type="dxa"/>
            <w:shd w:val="clear" w:color="auto" w:fill="auto"/>
            <w:vAlign w:val="center"/>
          </w:tcPr>
          <w:p w:rsidR="008F4040" w:rsidRPr="008B3D24" w:rsidRDefault="008F4040" w:rsidP="009452DA">
            <w:pPr>
              <w:pStyle w:val="TableText0"/>
              <w:jc w:val="center"/>
              <w:rPr>
                <w:vertAlign w:val="superscript"/>
              </w:rPr>
            </w:pPr>
            <w:r w:rsidRPr="008B3D24">
              <w:t>Unclear </w:t>
            </w:r>
            <w:r w:rsidRPr="008B3D24">
              <w:rPr>
                <w:vertAlign w:val="superscript"/>
              </w:rPr>
              <w:t>c</w:t>
            </w:r>
          </w:p>
        </w:tc>
        <w:tc>
          <w:tcPr>
            <w:tcW w:w="3969" w:type="dxa"/>
            <w:shd w:val="clear" w:color="auto" w:fill="auto"/>
            <w:vAlign w:val="center"/>
          </w:tcPr>
          <w:p w:rsidR="008F4040" w:rsidRPr="008B3D24" w:rsidRDefault="008F4040" w:rsidP="009452DA">
            <w:pPr>
              <w:pStyle w:val="TableText0"/>
              <w:jc w:val="center"/>
            </w:pPr>
            <w:r w:rsidRPr="008B3D24">
              <w:t>Adults with AS (</w:t>
            </w:r>
            <w:r w:rsidR="008C278A" w:rsidRPr="008B3D24">
              <w:t xml:space="preserve">ASAS </w:t>
            </w:r>
            <w:r w:rsidR="008C278A" w:rsidRPr="008B3D24">
              <w:rPr>
                <w:vertAlign w:val="superscript"/>
              </w:rPr>
              <w:t>b</w:t>
            </w:r>
            <w:r w:rsidRPr="008B3D24">
              <w:t>) </w:t>
            </w:r>
            <w:r w:rsidRPr="008B3D24">
              <w:rPr>
                <w:vertAlign w:val="superscript"/>
              </w:rPr>
              <w:t>d</w:t>
            </w:r>
            <w:r w:rsidRPr="008B3D24">
              <w:t>, TNFi-experienced, BASDAI score of ≥</w:t>
            </w:r>
            <w:r w:rsidR="00C47936" w:rsidRPr="008B3D24">
              <w:t xml:space="preserve"> </w:t>
            </w:r>
            <w:r w:rsidRPr="008B3D24">
              <w:t xml:space="preserve">4 and </w:t>
            </w:r>
            <w:r w:rsidR="008C278A" w:rsidRPr="008B3D24">
              <w:t>spinal</w:t>
            </w:r>
            <w:r w:rsidRPr="008B3D24">
              <w:t xml:space="preserve"> pain ≥</w:t>
            </w:r>
            <w:r w:rsidR="00C47936" w:rsidRPr="008B3D24">
              <w:t xml:space="preserve"> </w:t>
            </w:r>
            <w:r w:rsidRPr="008B3D24">
              <w:t>4 on an NRS, inadequate response to ≥</w:t>
            </w:r>
            <w:r w:rsidR="00C47936" w:rsidRPr="008B3D24">
              <w:t xml:space="preserve"> </w:t>
            </w:r>
            <w:r w:rsidRPr="008B3D24">
              <w:t xml:space="preserve">2 NSAIDs or history of intolerance to NSAIDs, prior therapy </w:t>
            </w:r>
            <w:r w:rsidR="00E645B5" w:rsidRPr="008B3D24">
              <w:t xml:space="preserve">for </w:t>
            </w:r>
            <w:r w:rsidRPr="008B3D24">
              <w:t xml:space="preserve">≥ 12 weeks </w:t>
            </w:r>
          </w:p>
        </w:tc>
        <w:tc>
          <w:tcPr>
            <w:tcW w:w="1651" w:type="dxa"/>
            <w:shd w:val="clear" w:color="auto" w:fill="auto"/>
            <w:vAlign w:val="center"/>
          </w:tcPr>
          <w:p w:rsidR="008F4040" w:rsidRPr="008B3D24" w:rsidRDefault="008F4040" w:rsidP="009452DA">
            <w:pPr>
              <w:pStyle w:val="TableText0"/>
              <w:jc w:val="center"/>
              <w:rPr>
                <w:u w:val="single"/>
              </w:rPr>
            </w:pPr>
            <w:r w:rsidRPr="008B3D24">
              <w:rPr>
                <w:u w:val="single"/>
              </w:rPr>
              <w:t>Primary</w:t>
            </w:r>
          </w:p>
          <w:p w:rsidR="008F4040" w:rsidRPr="008B3D24" w:rsidRDefault="008F4040" w:rsidP="009452DA">
            <w:pPr>
              <w:pStyle w:val="TableText0"/>
              <w:jc w:val="center"/>
            </w:pPr>
            <w:r w:rsidRPr="008B3D24">
              <w:t xml:space="preserve">ASAS40 </w:t>
            </w:r>
          </w:p>
          <w:p w:rsidR="008F4040" w:rsidRPr="008B3D24" w:rsidRDefault="008F4040" w:rsidP="009452DA">
            <w:pPr>
              <w:pStyle w:val="TableText0"/>
              <w:jc w:val="center"/>
              <w:rPr>
                <w:u w:val="single"/>
              </w:rPr>
            </w:pPr>
            <w:r w:rsidRPr="008B3D24">
              <w:rPr>
                <w:u w:val="single"/>
              </w:rPr>
              <w:t>Secondary</w:t>
            </w:r>
            <w:r w:rsidR="00427ECC" w:rsidRPr="008B3D24">
              <w:rPr>
                <w:u w:val="single"/>
              </w:rPr>
              <w:t xml:space="preserve"> </w:t>
            </w:r>
            <w:r w:rsidR="00494DF1" w:rsidRPr="008B3D24">
              <w:rPr>
                <w:vertAlign w:val="superscript"/>
              </w:rPr>
              <w:t>e</w:t>
            </w:r>
          </w:p>
          <w:p w:rsidR="008F4040" w:rsidRPr="008B3D24" w:rsidRDefault="008F4040" w:rsidP="009452DA">
            <w:pPr>
              <w:pStyle w:val="TableText0"/>
              <w:jc w:val="center"/>
            </w:pPr>
            <w:r w:rsidRPr="008B3D24">
              <w:t xml:space="preserve">ASAS20, </w:t>
            </w:r>
          </w:p>
          <w:p w:rsidR="008F4040" w:rsidRPr="008B3D24" w:rsidRDefault="008F4040" w:rsidP="009452DA">
            <w:pPr>
              <w:pStyle w:val="TableText0"/>
              <w:jc w:val="center"/>
            </w:pPr>
            <w:r w:rsidRPr="008B3D24">
              <w:t xml:space="preserve"> change in BASDAI</w:t>
            </w:r>
          </w:p>
        </w:tc>
      </w:tr>
      <w:tr w:rsidR="008F4040" w:rsidRPr="008B3D24" w:rsidTr="009452DA">
        <w:trPr>
          <w:cantSplit/>
        </w:trPr>
        <w:tc>
          <w:tcPr>
            <w:tcW w:w="1129" w:type="dxa"/>
            <w:shd w:val="clear" w:color="auto" w:fill="auto"/>
            <w:vAlign w:val="center"/>
          </w:tcPr>
          <w:p w:rsidR="008F4040" w:rsidRPr="008B3D24" w:rsidRDefault="008F4040" w:rsidP="009452DA">
            <w:pPr>
              <w:pStyle w:val="TableText0"/>
            </w:pPr>
            <w:r w:rsidRPr="008B3D24">
              <w:t>Meta-analysis</w:t>
            </w:r>
          </w:p>
        </w:tc>
        <w:tc>
          <w:tcPr>
            <w:tcW w:w="426" w:type="dxa"/>
            <w:shd w:val="clear" w:color="auto" w:fill="auto"/>
            <w:vAlign w:val="center"/>
          </w:tcPr>
          <w:p w:rsidR="008F4040" w:rsidRPr="008B3D24" w:rsidRDefault="008F4040" w:rsidP="009452DA">
            <w:pPr>
              <w:pStyle w:val="TableText0"/>
              <w:jc w:val="center"/>
            </w:pPr>
            <w:r w:rsidRPr="008B3D24">
              <w:t>657</w:t>
            </w:r>
          </w:p>
        </w:tc>
        <w:tc>
          <w:tcPr>
            <w:tcW w:w="7462" w:type="dxa"/>
            <w:gridSpan w:val="4"/>
            <w:shd w:val="clear" w:color="auto" w:fill="auto"/>
            <w:vAlign w:val="center"/>
          </w:tcPr>
          <w:p w:rsidR="008F4040" w:rsidRPr="008B3D24" w:rsidRDefault="008F4040" w:rsidP="009452DA">
            <w:pPr>
              <w:pStyle w:val="TableText0"/>
              <w:rPr>
                <w:u w:val="single"/>
              </w:rPr>
            </w:pPr>
            <w:r w:rsidRPr="008B3D24">
              <w:t xml:space="preserve">COAST-V and COAST-W; assessed ASAS20, ASAS40 and change in BASDAI </w:t>
            </w:r>
          </w:p>
        </w:tc>
      </w:tr>
      <w:tr w:rsidR="008F4040" w:rsidRPr="008B3D24" w:rsidTr="009452DA">
        <w:trPr>
          <w:cantSplit/>
        </w:trPr>
        <w:tc>
          <w:tcPr>
            <w:tcW w:w="9017" w:type="dxa"/>
            <w:gridSpan w:val="6"/>
            <w:shd w:val="clear" w:color="auto" w:fill="auto"/>
            <w:vAlign w:val="center"/>
          </w:tcPr>
          <w:p w:rsidR="008F4040" w:rsidRPr="008B3D24" w:rsidRDefault="008F4040" w:rsidP="009452DA">
            <w:pPr>
              <w:pStyle w:val="TableText0"/>
              <w:rPr>
                <w:u w:val="single"/>
              </w:rPr>
            </w:pPr>
            <w:r w:rsidRPr="008B3D24">
              <w:rPr>
                <w:b/>
                <w:bCs w:val="0"/>
              </w:rPr>
              <w:t>Secukinumab vs. placebo</w:t>
            </w:r>
          </w:p>
        </w:tc>
      </w:tr>
      <w:tr w:rsidR="008F4040" w:rsidRPr="008B3D24" w:rsidTr="009452DA">
        <w:trPr>
          <w:cantSplit/>
        </w:trPr>
        <w:tc>
          <w:tcPr>
            <w:tcW w:w="1129" w:type="dxa"/>
            <w:shd w:val="clear" w:color="auto" w:fill="auto"/>
            <w:vAlign w:val="center"/>
          </w:tcPr>
          <w:p w:rsidR="008F4040" w:rsidRPr="008B3D24" w:rsidRDefault="008F4040" w:rsidP="009452DA">
            <w:pPr>
              <w:pStyle w:val="TableText0"/>
              <w:spacing w:before="120"/>
            </w:pPr>
            <w:r w:rsidRPr="008B3D24">
              <w:t>MEASURE 2</w:t>
            </w:r>
          </w:p>
        </w:tc>
        <w:tc>
          <w:tcPr>
            <w:tcW w:w="426" w:type="dxa"/>
            <w:shd w:val="clear" w:color="auto" w:fill="auto"/>
            <w:vAlign w:val="center"/>
          </w:tcPr>
          <w:p w:rsidR="008F4040" w:rsidRPr="008B3D24" w:rsidRDefault="008F4040" w:rsidP="009452DA">
            <w:pPr>
              <w:pStyle w:val="TableText0"/>
              <w:jc w:val="center"/>
            </w:pPr>
            <w:r w:rsidRPr="008B3D24">
              <w:t>219</w:t>
            </w:r>
          </w:p>
        </w:tc>
        <w:tc>
          <w:tcPr>
            <w:tcW w:w="992" w:type="dxa"/>
            <w:shd w:val="clear" w:color="auto" w:fill="auto"/>
            <w:vAlign w:val="center"/>
          </w:tcPr>
          <w:p w:rsidR="008F4040" w:rsidRPr="008B3D24" w:rsidRDefault="008F4040" w:rsidP="009452DA">
            <w:pPr>
              <w:pStyle w:val="TableText0"/>
              <w:jc w:val="center"/>
            </w:pPr>
            <w:r w:rsidRPr="008B3D24">
              <w:t>R, DB, MC</w:t>
            </w:r>
          </w:p>
          <w:p w:rsidR="008F4040" w:rsidRPr="008B3D24" w:rsidRDefault="008F4040" w:rsidP="009452DA">
            <w:pPr>
              <w:pStyle w:val="TableText0"/>
              <w:jc w:val="center"/>
            </w:pPr>
            <w:r w:rsidRPr="008B3D24">
              <w:t>16 weeks</w:t>
            </w:r>
          </w:p>
        </w:tc>
        <w:tc>
          <w:tcPr>
            <w:tcW w:w="850" w:type="dxa"/>
            <w:shd w:val="clear" w:color="auto" w:fill="auto"/>
            <w:vAlign w:val="center"/>
          </w:tcPr>
          <w:p w:rsidR="008F4040" w:rsidRPr="008B3D24" w:rsidRDefault="008F4040" w:rsidP="009452DA">
            <w:pPr>
              <w:pStyle w:val="TableText0"/>
              <w:jc w:val="center"/>
            </w:pPr>
            <w:r w:rsidRPr="008B3D24">
              <w:t>Low</w:t>
            </w:r>
          </w:p>
        </w:tc>
        <w:tc>
          <w:tcPr>
            <w:tcW w:w="3969" w:type="dxa"/>
            <w:vMerge w:val="restart"/>
            <w:shd w:val="clear" w:color="auto" w:fill="auto"/>
            <w:vAlign w:val="center"/>
          </w:tcPr>
          <w:p w:rsidR="008F4040" w:rsidRPr="008B3D24" w:rsidRDefault="008F4040" w:rsidP="009452DA">
            <w:pPr>
              <w:pStyle w:val="TableText0"/>
              <w:jc w:val="center"/>
            </w:pPr>
            <w:r w:rsidRPr="008B3D24">
              <w:t>Adults with AS (mNY)</w:t>
            </w:r>
            <w:r w:rsidR="008C278A" w:rsidRPr="008B3D24">
              <w:t xml:space="preserve"> </w:t>
            </w:r>
            <w:r w:rsidR="008C278A" w:rsidRPr="008B3D24">
              <w:rPr>
                <w:vertAlign w:val="superscript"/>
              </w:rPr>
              <w:t>d</w:t>
            </w:r>
            <w:r w:rsidRPr="008B3D24">
              <w:t>, TNFi-experienced or naïve, BASDAI score of ≥</w:t>
            </w:r>
            <w:r w:rsidR="00C47936" w:rsidRPr="008B3D24">
              <w:t xml:space="preserve"> </w:t>
            </w:r>
            <w:r w:rsidRPr="008B3D24">
              <w:t>4 and total back pain ≥</w:t>
            </w:r>
            <w:r w:rsidR="00C47936" w:rsidRPr="008B3D24">
              <w:t xml:space="preserve"> </w:t>
            </w:r>
            <w:r w:rsidRPr="008B3D24">
              <w:t>4 on a 0-10 cm VAS, failed or inadequate response or intolerant to NSAIDs </w:t>
            </w:r>
          </w:p>
        </w:tc>
        <w:tc>
          <w:tcPr>
            <w:tcW w:w="1651" w:type="dxa"/>
            <w:vMerge w:val="restart"/>
            <w:shd w:val="clear" w:color="auto" w:fill="auto"/>
            <w:vAlign w:val="center"/>
          </w:tcPr>
          <w:p w:rsidR="008F4040" w:rsidRPr="008B3D24" w:rsidRDefault="008F4040" w:rsidP="009452DA">
            <w:pPr>
              <w:pStyle w:val="TableText0"/>
              <w:jc w:val="center"/>
              <w:rPr>
                <w:u w:val="single"/>
              </w:rPr>
            </w:pPr>
            <w:r w:rsidRPr="008B3D24">
              <w:rPr>
                <w:u w:val="single"/>
              </w:rPr>
              <w:t>Primary</w:t>
            </w:r>
          </w:p>
          <w:p w:rsidR="008F4040" w:rsidRPr="008B3D24" w:rsidRDefault="008F4040" w:rsidP="009452DA">
            <w:pPr>
              <w:pStyle w:val="TableText0"/>
              <w:jc w:val="center"/>
            </w:pPr>
            <w:r w:rsidRPr="008B3D24">
              <w:t xml:space="preserve">ASAS20 </w:t>
            </w:r>
          </w:p>
          <w:p w:rsidR="008F4040" w:rsidRPr="008B3D24" w:rsidRDefault="008F4040" w:rsidP="009452DA">
            <w:pPr>
              <w:pStyle w:val="TableText0"/>
              <w:jc w:val="center"/>
              <w:rPr>
                <w:u w:val="single"/>
              </w:rPr>
            </w:pPr>
            <w:r w:rsidRPr="008B3D24">
              <w:rPr>
                <w:u w:val="single"/>
              </w:rPr>
              <w:t>Secondary</w:t>
            </w:r>
            <w:r w:rsidRPr="008B3D24">
              <w:t> </w:t>
            </w:r>
            <w:r w:rsidR="00494DF1" w:rsidRPr="008B3D24">
              <w:rPr>
                <w:vertAlign w:val="superscript"/>
              </w:rPr>
              <w:t>f</w:t>
            </w:r>
          </w:p>
          <w:p w:rsidR="008F4040" w:rsidRPr="008B3D24" w:rsidRDefault="008F4040" w:rsidP="009452DA">
            <w:pPr>
              <w:pStyle w:val="TableText0"/>
              <w:jc w:val="center"/>
            </w:pPr>
            <w:r w:rsidRPr="008B3D24">
              <w:t xml:space="preserve">ASAS40, </w:t>
            </w:r>
          </w:p>
          <w:p w:rsidR="008F4040" w:rsidRPr="008B3D24" w:rsidRDefault="008F4040" w:rsidP="009452DA">
            <w:pPr>
              <w:pStyle w:val="TableText0"/>
              <w:jc w:val="center"/>
            </w:pPr>
            <w:r w:rsidRPr="008B3D24">
              <w:t xml:space="preserve"> change in BASDAI</w:t>
            </w:r>
          </w:p>
        </w:tc>
      </w:tr>
      <w:tr w:rsidR="008F4040" w:rsidRPr="008B3D24" w:rsidTr="009452DA">
        <w:trPr>
          <w:cantSplit/>
        </w:trPr>
        <w:tc>
          <w:tcPr>
            <w:tcW w:w="1129" w:type="dxa"/>
            <w:shd w:val="clear" w:color="auto" w:fill="auto"/>
            <w:vAlign w:val="center"/>
          </w:tcPr>
          <w:p w:rsidR="008F4040" w:rsidRPr="008B3D24" w:rsidRDefault="008F4040" w:rsidP="009452DA">
            <w:pPr>
              <w:pStyle w:val="TableText0"/>
            </w:pPr>
            <w:r w:rsidRPr="008B3D24">
              <w:t xml:space="preserve">MEASURE 4 </w:t>
            </w:r>
          </w:p>
        </w:tc>
        <w:tc>
          <w:tcPr>
            <w:tcW w:w="426" w:type="dxa"/>
            <w:shd w:val="clear" w:color="auto" w:fill="auto"/>
            <w:vAlign w:val="center"/>
          </w:tcPr>
          <w:p w:rsidR="008F4040" w:rsidRPr="008B3D24" w:rsidRDefault="008F4040" w:rsidP="009452DA">
            <w:pPr>
              <w:pStyle w:val="TableText0"/>
              <w:jc w:val="center"/>
            </w:pPr>
            <w:r w:rsidRPr="008B3D24">
              <w:t>350</w:t>
            </w:r>
          </w:p>
        </w:tc>
        <w:tc>
          <w:tcPr>
            <w:tcW w:w="992" w:type="dxa"/>
            <w:shd w:val="clear" w:color="auto" w:fill="auto"/>
            <w:vAlign w:val="center"/>
          </w:tcPr>
          <w:p w:rsidR="008F4040" w:rsidRPr="008B3D24" w:rsidRDefault="008F4040" w:rsidP="009452DA">
            <w:pPr>
              <w:pStyle w:val="TableText0"/>
              <w:jc w:val="center"/>
            </w:pPr>
            <w:r w:rsidRPr="008B3D24">
              <w:t>R, DB, MC</w:t>
            </w:r>
          </w:p>
          <w:p w:rsidR="008F4040" w:rsidRPr="008B3D24" w:rsidRDefault="008F4040" w:rsidP="009452DA">
            <w:pPr>
              <w:pStyle w:val="TableText0"/>
              <w:jc w:val="center"/>
            </w:pPr>
            <w:r w:rsidRPr="008B3D24">
              <w:t>16 weeks</w:t>
            </w:r>
          </w:p>
        </w:tc>
        <w:tc>
          <w:tcPr>
            <w:tcW w:w="850" w:type="dxa"/>
            <w:shd w:val="clear" w:color="auto" w:fill="auto"/>
            <w:vAlign w:val="center"/>
          </w:tcPr>
          <w:p w:rsidR="008F4040" w:rsidRPr="008B3D24" w:rsidRDefault="008F4040" w:rsidP="009452DA">
            <w:pPr>
              <w:pStyle w:val="TableText0"/>
              <w:jc w:val="center"/>
            </w:pPr>
            <w:r w:rsidRPr="008B3D24">
              <w:t>Low</w:t>
            </w:r>
          </w:p>
        </w:tc>
        <w:tc>
          <w:tcPr>
            <w:tcW w:w="3969" w:type="dxa"/>
            <w:vMerge/>
            <w:shd w:val="clear" w:color="auto" w:fill="auto"/>
            <w:vAlign w:val="center"/>
          </w:tcPr>
          <w:p w:rsidR="008F4040" w:rsidRPr="008B3D24" w:rsidRDefault="008F4040" w:rsidP="009452DA">
            <w:pPr>
              <w:pStyle w:val="TableText0"/>
              <w:jc w:val="center"/>
            </w:pPr>
          </w:p>
        </w:tc>
        <w:tc>
          <w:tcPr>
            <w:tcW w:w="1651" w:type="dxa"/>
            <w:vMerge/>
            <w:shd w:val="clear" w:color="auto" w:fill="auto"/>
            <w:vAlign w:val="center"/>
          </w:tcPr>
          <w:p w:rsidR="008F4040" w:rsidRPr="008B3D24" w:rsidRDefault="008F4040" w:rsidP="009452DA">
            <w:pPr>
              <w:pStyle w:val="TableText0"/>
              <w:jc w:val="center"/>
            </w:pPr>
          </w:p>
        </w:tc>
      </w:tr>
      <w:tr w:rsidR="008F4040" w:rsidRPr="008B3D24" w:rsidTr="009452DA">
        <w:trPr>
          <w:cantSplit/>
        </w:trPr>
        <w:tc>
          <w:tcPr>
            <w:tcW w:w="1129" w:type="dxa"/>
            <w:shd w:val="clear" w:color="auto" w:fill="auto"/>
            <w:vAlign w:val="center"/>
          </w:tcPr>
          <w:p w:rsidR="008F4040" w:rsidRPr="008B3D24" w:rsidRDefault="008F4040" w:rsidP="009452DA">
            <w:pPr>
              <w:pStyle w:val="TableText0"/>
            </w:pPr>
            <w:r w:rsidRPr="008B3D24">
              <w:t>Meta-analysis</w:t>
            </w:r>
          </w:p>
        </w:tc>
        <w:tc>
          <w:tcPr>
            <w:tcW w:w="426" w:type="dxa"/>
            <w:shd w:val="clear" w:color="auto" w:fill="auto"/>
            <w:vAlign w:val="center"/>
          </w:tcPr>
          <w:p w:rsidR="008F4040" w:rsidRPr="008B3D24" w:rsidRDefault="008F4040" w:rsidP="009452DA">
            <w:pPr>
              <w:pStyle w:val="TableText0"/>
              <w:jc w:val="center"/>
            </w:pPr>
            <w:r w:rsidRPr="008B3D24">
              <w:t>569</w:t>
            </w:r>
          </w:p>
        </w:tc>
        <w:tc>
          <w:tcPr>
            <w:tcW w:w="7462" w:type="dxa"/>
            <w:gridSpan w:val="4"/>
            <w:shd w:val="clear" w:color="auto" w:fill="auto"/>
            <w:vAlign w:val="center"/>
          </w:tcPr>
          <w:p w:rsidR="008F4040" w:rsidRPr="008B3D24" w:rsidRDefault="00A62075" w:rsidP="009452DA">
            <w:pPr>
              <w:pStyle w:val="TableText0"/>
            </w:pPr>
            <w:r w:rsidRPr="008B3D24">
              <w:t>MEASURE 2</w:t>
            </w:r>
            <w:r w:rsidR="008F4040" w:rsidRPr="008B3D24">
              <w:t xml:space="preserve"> and </w:t>
            </w:r>
            <w:r w:rsidRPr="008B3D24">
              <w:t>MEASURE 4</w:t>
            </w:r>
            <w:r w:rsidR="008F4040" w:rsidRPr="008B3D24">
              <w:t>; assessed ASAS20, ASAS40 and change in BASDAI</w:t>
            </w:r>
          </w:p>
        </w:tc>
      </w:tr>
    </w:tbl>
    <w:p w:rsidR="008F4040" w:rsidRPr="008B3D24" w:rsidRDefault="008F4040" w:rsidP="003702E8">
      <w:pPr>
        <w:pStyle w:val="TableFigureFooter"/>
        <w:jc w:val="both"/>
      </w:pPr>
      <w:r w:rsidRPr="008B3D24">
        <w:t xml:space="preserve">Source: Table 2.2.3, p65 and Table 2.7.3, p101 of the submission; </w:t>
      </w:r>
      <w:r w:rsidRPr="008B3D24">
        <w:rPr>
          <w:iCs/>
        </w:rPr>
        <w:t>Table RHBV14.5, pp158-</w:t>
      </w:r>
      <w:r w:rsidR="008C278A" w:rsidRPr="008B3D24">
        <w:rPr>
          <w:iCs/>
        </w:rPr>
        <w:t xml:space="preserve">160 </w:t>
      </w:r>
      <w:r w:rsidRPr="008B3D24">
        <w:rPr>
          <w:iCs/>
        </w:rPr>
        <w:t xml:space="preserve">COAST-V CSR; Table RHBW.14.5, pp168-169 COAST-W CSR </w:t>
      </w:r>
    </w:p>
    <w:p w:rsidR="008F4040" w:rsidRPr="008B3D24" w:rsidRDefault="008F4040" w:rsidP="003702E8">
      <w:pPr>
        <w:pStyle w:val="TableFigureFooter"/>
        <w:jc w:val="both"/>
      </w:pPr>
      <w:r w:rsidRPr="008B3D24">
        <w:t xml:space="preserve">AS = ankylosing spondylitis; ASAS </w:t>
      </w:r>
      <w:r w:rsidR="007007E5" w:rsidRPr="008B3D24">
        <w:t xml:space="preserve">= </w:t>
      </w:r>
      <w:r w:rsidRPr="008B3D24">
        <w:t xml:space="preserve">Assessment of </w:t>
      </w:r>
      <w:r w:rsidR="009F09C5" w:rsidRPr="008B3D24">
        <w:t xml:space="preserve">SpondyloArthritis </w:t>
      </w:r>
      <w:r w:rsidR="009B2060" w:rsidRPr="008B3D24">
        <w:t xml:space="preserve">international </w:t>
      </w:r>
      <w:r w:rsidRPr="008B3D24">
        <w:t xml:space="preserve">Society; </w:t>
      </w:r>
      <w:r w:rsidR="00D77A0C" w:rsidRPr="008B3D24">
        <w:rPr>
          <w:rFonts w:cs="Times New Roman"/>
          <w:lang w:eastAsia="en-GB"/>
        </w:rPr>
        <w:t xml:space="preserve">ASAS20/40 = Assessment of SpondyloArthritis </w:t>
      </w:r>
      <w:r w:rsidR="009B2060" w:rsidRPr="008B3D24">
        <w:rPr>
          <w:rFonts w:cs="Times New Roman"/>
          <w:lang w:eastAsia="en-GB"/>
        </w:rPr>
        <w:t>i</w:t>
      </w:r>
      <w:r w:rsidR="00D77A0C" w:rsidRPr="008B3D24">
        <w:rPr>
          <w:rFonts w:cs="Times New Roman"/>
          <w:lang w:eastAsia="en-GB"/>
        </w:rPr>
        <w:t xml:space="preserve">nternational Society 20%/40% response criteria; </w:t>
      </w:r>
      <w:r w:rsidRPr="008B3D24">
        <w:t xml:space="preserve">ASDAS </w:t>
      </w:r>
      <w:r w:rsidR="007007E5" w:rsidRPr="008B3D24">
        <w:t>=</w:t>
      </w:r>
      <w:r w:rsidR="006941BC" w:rsidRPr="008B3D24">
        <w:t xml:space="preserve"> </w:t>
      </w:r>
      <w:r w:rsidRPr="008B3D24">
        <w:t xml:space="preserve">ankylosing spondylitis disease activity score; BASDAI = Bath ankylosing spondylitis disease activity index; </w:t>
      </w:r>
      <w:r w:rsidR="00D77A0C" w:rsidRPr="008B3D24">
        <w:t xml:space="preserve">BASDAI 50 = Bath ankylosing spondylitis disease activity index 50, defined as a ≥ 50% improvement in BASDAI score from baseline; </w:t>
      </w:r>
      <w:r w:rsidRPr="008B3D24">
        <w:t xml:space="preserve">BASFI = Bath ankylosing spondylitis functional index; DB = double blind; MC = multi-centre; HI = health index; </w:t>
      </w:r>
      <w:r w:rsidR="00B630DA" w:rsidRPr="008B3D24">
        <w:t xml:space="preserve">hsCRP = high sensitivity c-reactive protein; </w:t>
      </w:r>
      <w:r w:rsidRPr="008B3D24">
        <w:t xml:space="preserve">mNY = modified New York criteria; NRS = numeric rating scale; NSAID = non-steroidal anti-inflammatory drug; </w:t>
      </w:r>
      <w:r w:rsidR="00A236D5" w:rsidRPr="008B3D24">
        <w:t xml:space="preserve">Q4W = every 4 weeks; </w:t>
      </w:r>
      <w:r w:rsidRPr="008B3D24">
        <w:t>R = randomised; SpA = spondylo</w:t>
      </w:r>
      <w:r w:rsidR="003A57C4" w:rsidRPr="008B3D24">
        <w:t>a</w:t>
      </w:r>
      <w:r w:rsidRPr="008B3D24">
        <w:t>rthritis; TNFi = tumour necrosis factor inhibitor; VAS = visual analogue scale; vs. = versus</w:t>
      </w:r>
    </w:p>
    <w:p w:rsidR="008F4040" w:rsidRPr="008B3D24" w:rsidRDefault="008F4040" w:rsidP="003702E8">
      <w:pPr>
        <w:pStyle w:val="TableFigureFooter"/>
        <w:jc w:val="both"/>
        <w:rPr>
          <w:iCs/>
        </w:rPr>
      </w:pPr>
      <w:r w:rsidRPr="008B3D24">
        <w:rPr>
          <w:vertAlign w:val="superscript"/>
        </w:rPr>
        <w:t>a</w:t>
      </w:r>
      <w:r w:rsidRPr="008B3D24">
        <w:t xml:space="preserve"> </w:t>
      </w:r>
      <w:r w:rsidRPr="008B3D24">
        <w:rPr>
          <w:iCs/>
        </w:rPr>
        <w:t>COAST-V had several important protocol deviations: 4.7% of patients took an incorrect study medication</w:t>
      </w:r>
      <w:r w:rsidR="00186387" w:rsidRPr="008B3D24">
        <w:rPr>
          <w:iCs/>
        </w:rPr>
        <w:t xml:space="preserve"> (</w:t>
      </w:r>
      <w:r w:rsidR="00F9558D" w:rsidRPr="008B3D24">
        <w:rPr>
          <w:iCs/>
        </w:rPr>
        <w:t xml:space="preserve">6.2% </w:t>
      </w:r>
      <w:r w:rsidR="00186387" w:rsidRPr="008B3D24">
        <w:rPr>
          <w:iCs/>
        </w:rPr>
        <w:t>in ixe</w:t>
      </w:r>
      <w:r w:rsidR="00A236D5" w:rsidRPr="008B3D24">
        <w:rPr>
          <w:iCs/>
        </w:rPr>
        <w:t xml:space="preserve">kizumab Q4W arm vs. </w:t>
      </w:r>
      <w:r w:rsidR="00F9558D" w:rsidRPr="008B3D24">
        <w:rPr>
          <w:iCs/>
        </w:rPr>
        <w:t xml:space="preserve">2.2% in </w:t>
      </w:r>
      <w:r w:rsidR="00A236D5" w:rsidRPr="008B3D24">
        <w:rPr>
          <w:iCs/>
        </w:rPr>
        <w:t xml:space="preserve">adalimumab </w:t>
      </w:r>
      <w:r w:rsidR="00F9558D" w:rsidRPr="008B3D24">
        <w:rPr>
          <w:iCs/>
        </w:rPr>
        <w:t xml:space="preserve">and 4.6% in </w:t>
      </w:r>
      <w:r w:rsidR="00A236D5" w:rsidRPr="008B3D24">
        <w:rPr>
          <w:iCs/>
        </w:rPr>
        <w:t>placebo)</w:t>
      </w:r>
      <w:r w:rsidRPr="008B3D24">
        <w:rPr>
          <w:iCs/>
        </w:rPr>
        <w:t>, 0.6% had unqualified personnel perform assessments</w:t>
      </w:r>
      <w:r w:rsidR="00A236D5" w:rsidRPr="008B3D24">
        <w:rPr>
          <w:iCs/>
        </w:rPr>
        <w:t xml:space="preserve"> (</w:t>
      </w:r>
      <w:r w:rsidR="00F9558D" w:rsidRPr="008B3D24">
        <w:rPr>
          <w:iCs/>
        </w:rPr>
        <w:t>1.1% in</w:t>
      </w:r>
      <w:r w:rsidR="00A236D5" w:rsidRPr="008B3D24">
        <w:rPr>
          <w:iCs/>
        </w:rPr>
        <w:t xml:space="preserve"> placebo and </w:t>
      </w:r>
      <w:r w:rsidR="00F9558D" w:rsidRPr="008B3D24">
        <w:rPr>
          <w:iCs/>
        </w:rPr>
        <w:t xml:space="preserve">1.1% in </w:t>
      </w:r>
      <w:r w:rsidR="00A236D5" w:rsidRPr="008B3D24">
        <w:rPr>
          <w:iCs/>
        </w:rPr>
        <w:t xml:space="preserve">adalimumab vs. </w:t>
      </w:r>
      <w:r w:rsidR="00F9558D" w:rsidRPr="008B3D24">
        <w:rPr>
          <w:iCs/>
        </w:rPr>
        <w:t xml:space="preserve">0% in </w:t>
      </w:r>
      <w:r w:rsidR="00A236D5" w:rsidRPr="008B3D24">
        <w:rPr>
          <w:iCs/>
        </w:rPr>
        <w:t xml:space="preserve">ixekizumab </w:t>
      </w:r>
      <w:r w:rsidR="004B6AD6" w:rsidRPr="008B3D24">
        <w:rPr>
          <w:iCs/>
        </w:rPr>
        <w:t xml:space="preserve">Q4W </w:t>
      </w:r>
      <w:r w:rsidR="00A236D5" w:rsidRPr="008B3D24">
        <w:rPr>
          <w:iCs/>
        </w:rPr>
        <w:t>arm</w:t>
      </w:r>
      <w:r w:rsidR="00F9558D" w:rsidRPr="008B3D24">
        <w:rPr>
          <w:iCs/>
        </w:rPr>
        <w:t>)</w:t>
      </w:r>
      <w:r w:rsidRPr="008B3D24">
        <w:rPr>
          <w:iCs/>
        </w:rPr>
        <w:t xml:space="preserve"> 5% did not have AS at screening</w:t>
      </w:r>
      <w:r w:rsidR="00A236D5" w:rsidRPr="008B3D24">
        <w:rPr>
          <w:iCs/>
        </w:rPr>
        <w:t xml:space="preserve"> (</w:t>
      </w:r>
      <w:r w:rsidR="004B6AD6" w:rsidRPr="008B3D24">
        <w:rPr>
          <w:iCs/>
        </w:rPr>
        <w:t>7.8%</w:t>
      </w:r>
      <w:r w:rsidR="00A236D5" w:rsidRPr="008B3D24">
        <w:rPr>
          <w:iCs/>
        </w:rPr>
        <w:t xml:space="preserve"> in adalimumab and </w:t>
      </w:r>
      <w:r w:rsidR="004B6AD6" w:rsidRPr="008B3D24">
        <w:rPr>
          <w:iCs/>
        </w:rPr>
        <w:t xml:space="preserve">6.2% </w:t>
      </w:r>
      <w:r w:rsidR="00A236D5" w:rsidRPr="008B3D24">
        <w:rPr>
          <w:iCs/>
        </w:rPr>
        <w:t xml:space="preserve">ixekizumab </w:t>
      </w:r>
      <w:r w:rsidR="004B6AD6" w:rsidRPr="008B3D24">
        <w:rPr>
          <w:iCs/>
        </w:rPr>
        <w:t xml:space="preserve">Q4W </w:t>
      </w:r>
      <w:r w:rsidR="00A236D5" w:rsidRPr="008B3D24">
        <w:rPr>
          <w:iCs/>
        </w:rPr>
        <w:t xml:space="preserve">vs. </w:t>
      </w:r>
      <w:r w:rsidR="004B6AD6" w:rsidRPr="008B3D24">
        <w:rPr>
          <w:iCs/>
        </w:rPr>
        <w:t xml:space="preserve">4.6% in </w:t>
      </w:r>
      <w:r w:rsidR="00A236D5" w:rsidRPr="008B3D24">
        <w:rPr>
          <w:iCs/>
        </w:rPr>
        <w:t>placebo)</w:t>
      </w:r>
      <w:r w:rsidRPr="008B3D24">
        <w:rPr>
          <w:iCs/>
        </w:rPr>
        <w:t>, 1.5% did not have active AS</w:t>
      </w:r>
      <w:r w:rsidR="00A236D5" w:rsidRPr="008B3D24">
        <w:rPr>
          <w:iCs/>
        </w:rPr>
        <w:t xml:space="preserve"> (</w:t>
      </w:r>
      <w:r w:rsidR="004B6AD6" w:rsidRPr="008B3D24">
        <w:rPr>
          <w:iCs/>
        </w:rPr>
        <w:t xml:space="preserve">2.2% </w:t>
      </w:r>
      <w:r w:rsidR="00A236D5" w:rsidRPr="008B3D24">
        <w:rPr>
          <w:iCs/>
        </w:rPr>
        <w:t xml:space="preserve">in adalimumab vs. </w:t>
      </w:r>
      <w:r w:rsidR="004B6AD6" w:rsidRPr="008B3D24">
        <w:rPr>
          <w:iCs/>
        </w:rPr>
        <w:t xml:space="preserve">0% in </w:t>
      </w:r>
      <w:r w:rsidR="00A236D5" w:rsidRPr="008B3D24">
        <w:rPr>
          <w:iCs/>
        </w:rPr>
        <w:t>ixekizumab</w:t>
      </w:r>
      <w:r w:rsidR="004B6AD6" w:rsidRPr="008B3D24">
        <w:rPr>
          <w:iCs/>
        </w:rPr>
        <w:t xml:space="preserve"> Q4W</w:t>
      </w:r>
      <w:r w:rsidR="00A236D5" w:rsidRPr="008B3D24">
        <w:rPr>
          <w:iCs/>
        </w:rPr>
        <w:t xml:space="preserve"> or placebo)</w:t>
      </w:r>
      <w:r w:rsidRPr="008B3D24">
        <w:rPr>
          <w:iCs/>
        </w:rPr>
        <w:t>, and 11.7% provided improper informed consent</w:t>
      </w:r>
      <w:r w:rsidR="00A236D5" w:rsidRPr="008B3D24">
        <w:rPr>
          <w:iCs/>
        </w:rPr>
        <w:t xml:space="preserve"> (</w:t>
      </w:r>
      <w:r w:rsidR="00DB5B06" w:rsidRPr="008B3D24">
        <w:rPr>
          <w:iCs/>
        </w:rPr>
        <w:t xml:space="preserve">14.8% in </w:t>
      </w:r>
      <w:r w:rsidR="00A236D5" w:rsidRPr="008B3D24">
        <w:rPr>
          <w:iCs/>
        </w:rPr>
        <w:t xml:space="preserve">ixekizumab </w:t>
      </w:r>
      <w:r w:rsidR="00427ECC" w:rsidRPr="008B3D24">
        <w:rPr>
          <w:iCs/>
        </w:rPr>
        <w:t xml:space="preserve">Q4W </w:t>
      </w:r>
      <w:r w:rsidR="00A236D5" w:rsidRPr="008B3D24">
        <w:rPr>
          <w:iCs/>
        </w:rPr>
        <w:t xml:space="preserve">or </w:t>
      </w:r>
      <w:r w:rsidR="00DB5B06" w:rsidRPr="008B3D24">
        <w:rPr>
          <w:iCs/>
        </w:rPr>
        <w:t xml:space="preserve">12.2% in </w:t>
      </w:r>
      <w:r w:rsidR="00A236D5" w:rsidRPr="008B3D24">
        <w:rPr>
          <w:iCs/>
        </w:rPr>
        <w:t xml:space="preserve">adalimumab arms vs. </w:t>
      </w:r>
      <w:r w:rsidR="00DB5B06" w:rsidRPr="008B3D24">
        <w:rPr>
          <w:iCs/>
        </w:rPr>
        <w:t xml:space="preserve">8% in </w:t>
      </w:r>
      <w:r w:rsidR="00A236D5" w:rsidRPr="008B3D24">
        <w:rPr>
          <w:iCs/>
        </w:rPr>
        <w:t>placebo)</w:t>
      </w:r>
      <w:r w:rsidRPr="008B3D24">
        <w:rPr>
          <w:iCs/>
        </w:rPr>
        <w:t>. The risk of bias was considered low for all other domains</w:t>
      </w:r>
      <w:r w:rsidR="001E747A" w:rsidRPr="008B3D24">
        <w:rPr>
          <w:iCs/>
        </w:rPr>
        <w:t>.</w:t>
      </w:r>
    </w:p>
    <w:p w:rsidR="008F4040" w:rsidRPr="008B3D24" w:rsidRDefault="008F4040" w:rsidP="003702E8">
      <w:pPr>
        <w:pStyle w:val="TableFigureFooter"/>
        <w:jc w:val="both"/>
        <w:rPr>
          <w:iCs/>
        </w:rPr>
      </w:pPr>
      <w:r w:rsidRPr="008B3D24">
        <w:rPr>
          <w:iCs/>
          <w:vertAlign w:val="superscript"/>
        </w:rPr>
        <w:t xml:space="preserve">b </w:t>
      </w:r>
      <w:r w:rsidRPr="008B3D24">
        <w:rPr>
          <w:iCs/>
        </w:rPr>
        <w:t>ASAS criteria for classification of axial spondyl</w:t>
      </w:r>
      <w:r w:rsidR="0026370A">
        <w:rPr>
          <w:iCs/>
        </w:rPr>
        <w:t>o</w:t>
      </w:r>
      <w:r w:rsidRPr="008B3D24">
        <w:rPr>
          <w:iCs/>
        </w:rPr>
        <w:t>arthritis. Requires sacroiliitis on imaging (COAST trials required X-ray</w:t>
      </w:r>
      <w:r w:rsidR="008C278A" w:rsidRPr="008B3D24">
        <w:rPr>
          <w:iCs/>
        </w:rPr>
        <w:t xml:space="preserve"> as per mNY criteria</w:t>
      </w:r>
      <w:r w:rsidRPr="008B3D24">
        <w:rPr>
          <w:iCs/>
        </w:rPr>
        <w:t>) and ≥ 1 SpA feature</w:t>
      </w:r>
    </w:p>
    <w:p w:rsidR="008F4040" w:rsidRPr="008B3D24" w:rsidRDefault="008F4040" w:rsidP="003702E8">
      <w:pPr>
        <w:pStyle w:val="TableFigureFooter"/>
        <w:jc w:val="both"/>
      </w:pPr>
      <w:r w:rsidRPr="008B3D24">
        <w:rPr>
          <w:vertAlign w:val="superscript"/>
        </w:rPr>
        <w:t xml:space="preserve">c </w:t>
      </w:r>
      <w:r w:rsidRPr="008B3D24">
        <w:rPr>
          <w:iCs/>
        </w:rPr>
        <w:t xml:space="preserve">COAST-W had several important protocol deviations: </w:t>
      </w:r>
      <w:bookmarkStart w:id="14" w:name="_Hlk39589967"/>
      <w:r w:rsidR="00DB5B06" w:rsidRPr="008B3D24">
        <w:rPr>
          <w:iCs/>
        </w:rPr>
        <w:t xml:space="preserve">4.4% had unqualified staff perform assessments (4.8% in placebo vs. 2.6% in ixekizumab Q4W), </w:t>
      </w:r>
      <w:r w:rsidRPr="008B3D24">
        <w:rPr>
          <w:iCs/>
        </w:rPr>
        <w:t>5.4% of patients did not have AS at screening</w:t>
      </w:r>
      <w:r w:rsidR="00DB5B06" w:rsidRPr="008B3D24">
        <w:rPr>
          <w:iCs/>
        </w:rPr>
        <w:t xml:space="preserve"> (similar between arms)</w:t>
      </w:r>
      <w:r w:rsidRPr="008B3D24">
        <w:rPr>
          <w:iCs/>
        </w:rPr>
        <w:t>, 1.3% did not have active AS</w:t>
      </w:r>
      <w:r w:rsidR="00DB5B06" w:rsidRPr="008B3D24">
        <w:rPr>
          <w:iCs/>
        </w:rPr>
        <w:t xml:space="preserve"> (1.9% in placebo vs. 0% in ixekizumab Q4W arm)</w:t>
      </w:r>
      <w:r w:rsidRPr="008B3D24">
        <w:rPr>
          <w:iCs/>
        </w:rPr>
        <w:t>, and 11.7% provided improper informed consent</w:t>
      </w:r>
      <w:r w:rsidR="00DB5B06" w:rsidRPr="008B3D24">
        <w:rPr>
          <w:iCs/>
        </w:rPr>
        <w:t xml:space="preserve"> (14.4% in placebo vs. 10.5% in ixekizumab Q4W)</w:t>
      </w:r>
      <w:r w:rsidRPr="008B3D24">
        <w:rPr>
          <w:iCs/>
        </w:rPr>
        <w:t xml:space="preserve">. </w:t>
      </w:r>
      <w:bookmarkEnd w:id="14"/>
      <w:r w:rsidRPr="008B3D24">
        <w:rPr>
          <w:iCs/>
        </w:rPr>
        <w:t>The risk of bias was considered low for all other domains</w:t>
      </w:r>
      <w:r w:rsidR="001E747A" w:rsidRPr="008B3D24">
        <w:rPr>
          <w:iCs/>
        </w:rPr>
        <w:t>.</w:t>
      </w:r>
    </w:p>
    <w:p w:rsidR="008F4040" w:rsidRPr="008B3D24" w:rsidRDefault="008F4040" w:rsidP="003702E8">
      <w:pPr>
        <w:pStyle w:val="TableFigureFooter"/>
        <w:jc w:val="both"/>
      </w:pPr>
      <w:r w:rsidRPr="008B3D24">
        <w:rPr>
          <w:vertAlign w:val="superscript"/>
        </w:rPr>
        <w:t xml:space="preserve">d </w:t>
      </w:r>
      <w:r w:rsidRPr="008B3D24">
        <w:t>Requires definitive sacroiliitis on conventional x-rays (unilateral grade 3-4 or bilateral grade 2-4) and one of: low back pain (≥ 3 months) improved by exercise but not rest, limited lumbar spine motion, or decreased chest expansion</w:t>
      </w:r>
    </w:p>
    <w:p w:rsidR="00494DF1" w:rsidRPr="008B3D24" w:rsidRDefault="00494DF1" w:rsidP="003702E8">
      <w:pPr>
        <w:pStyle w:val="TableFigureFooter"/>
        <w:jc w:val="both"/>
        <w:rPr>
          <w:iCs/>
        </w:rPr>
      </w:pPr>
      <w:r w:rsidRPr="008B3D24">
        <w:rPr>
          <w:iCs/>
          <w:vertAlign w:val="superscript"/>
        </w:rPr>
        <w:t>e</w:t>
      </w:r>
      <w:r w:rsidRPr="008B3D24">
        <w:rPr>
          <w:iCs/>
        </w:rPr>
        <w:t xml:space="preserve"> Other secondary outcomes included: Proportion of patients achieving an ASAS20 response, ASDAS &lt; 2.1; Change from baseline in ASDAS, BASDAI, BASFI, SF-36 PCS score, ASAS HI, MRI of the spine (SPARCC score)</w:t>
      </w:r>
    </w:p>
    <w:p w:rsidR="00494DF1" w:rsidRPr="008B3D24" w:rsidRDefault="00494DF1" w:rsidP="003702E8">
      <w:pPr>
        <w:pStyle w:val="TableFigureFooter"/>
        <w:jc w:val="both"/>
        <w:rPr>
          <w:iCs/>
        </w:rPr>
      </w:pPr>
      <w:r w:rsidRPr="008B3D24">
        <w:rPr>
          <w:iCs/>
          <w:vertAlign w:val="superscript"/>
        </w:rPr>
        <w:t>f</w:t>
      </w:r>
      <w:r w:rsidRPr="008B3D24">
        <w:rPr>
          <w:iCs/>
        </w:rPr>
        <w:t xml:space="preserve"> Other secondary outcomes included: change from baseline in hsCRP, BASDAI, SF-36 PCS, ASQoL</w:t>
      </w:r>
      <w:r w:rsidR="00427ECC" w:rsidRPr="008B3D24">
        <w:rPr>
          <w:iCs/>
        </w:rPr>
        <w:t xml:space="preserve"> and</w:t>
      </w:r>
      <w:r w:rsidRPr="008B3D24">
        <w:rPr>
          <w:iCs/>
        </w:rPr>
        <w:t xml:space="preserve"> overall safety</w:t>
      </w:r>
    </w:p>
    <w:p w:rsidR="00494DF1" w:rsidRPr="008B3D24" w:rsidRDefault="00494DF1" w:rsidP="00494DF1">
      <w:pPr>
        <w:pStyle w:val="TableFigureFooter"/>
        <w:rPr>
          <w:iCs/>
        </w:rPr>
      </w:pPr>
    </w:p>
    <w:p w:rsidR="00494DF1" w:rsidRPr="008B3D24" w:rsidRDefault="00494DF1" w:rsidP="008F4040">
      <w:pPr>
        <w:pStyle w:val="TableFigureFooter"/>
        <w:rPr>
          <w:iCs/>
        </w:rPr>
      </w:pPr>
    </w:p>
    <w:p w:rsidR="008F4040" w:rsidRPr="008B3D24" w:rsidRDefault="008F4040" w:rsidP="00EC5836">
      <w:pPr>
        <w:pStyle w:val="TableFigureFooter"/>
        <w:rPr>
          <w:sz w:val="20"/>
        </w:rPr>
      </w:pPr>
    </w:p>
    <w:p w:rsidR="008F4040" w:rsidRPr="008B3D24" w:rsidRDefault="008F4040" w:rsidP="008F4040">
      <w:pPr>
        <w:pStyle w:val="3-BodyText"/>
      </w:pPr>
      <w:r w:rsidRPr="008B3D24">
        <w:t xml:space="preserve">The comparison with adalimumab was based on a </w:t>
      </w:r>
      <w:r w:rsidRPr="008B3D24">
        <w:rPr>
          <w:iCs/>
        </w:rPr>
        <w:t>post-hoc</w:t>
      </w:r>
      <w:r w:rsidRPr="008B3D24">
        <w:t xml:space="preserve"> analysis of the COAST-V trial. COAST-V was powered to detect superiority with placebo and the pre-specified analyses compared ixekizumab and adalimumab with placebo.</w:t>
      </w:r>
      <w:r w:rsidR="006941BC" w:rsidRPr="008B3D24">
        <w:t xml:space="preserve"> </w:t>
      </w:r>
    </w:p>
    <w:p w:rsidR="008F4040" w:rsidRPr="008B3D24" w:rsidRDefault="008F4040" w:rsidP="008F4040">
      <w:pPr>
        <w:pStyle w:val="3-BodyText"/>
        <w:rPr>
          <w:iCs/>
        </w:rPr>
      </w:pPr>
      <w:r w:rsidRPr="008B3D24">
        <w:t>The comparison with secukinumab was based on an indirect treatment comparison (ITC) that compared the meta-analysis of ixekizumab trials (COAST-V and COAST-W) with the meta-analysis of secukinumab trials (</w:t>
      </w:r>
      <w:r w:rsidR="00A62075" w:rsidRPr="008B3D24">
        <w:t>MEASURE 2</w:t>
      </w:r>
      <w:r w:rsidRPr="008B3D24">
        <w:t xml:space="preserve"> and </w:t>
      </w:r>
      <w:r w:rsidR="00A62075" w:rsidRPr="008B3D24">
        <w:t>MEASURE 4</w:t>
      </w:r>
      <w:r w:rsidRPr="008B3D24">
        <w:t>)</w:t>
      </w:r>
      <w:r w:rsidR="004F7FB2" w:rsidRPr="008B3D24">
        <w:t>, with placebo as the common reference</w:t>
      </w:r>
      <w:r w:rsidRPr="008B3D24">
        <w:t xml:space="preserve">. </w:t>
      </w:r>
      <w:r w:rsidR="00A62075" w:rsidRPr="008B3D24">
        <w:rPr>
          <w:iCs/>
        </w:rPr>
        <w:t>MEASURE 4</w:t>
      </w:r>
      <w:r w:rsidRPr="008B3D24">
        <w:rPr>
          <w:iCs/>
        </w:rPr>
        <w:t xml:space="preserve"> was not considered by the PBAC at its March 2016 consideration of secukinumab for AS. </w:t>
      </w:r>
    </w:p>
    <w:p w:rsidR="008F4040" w:rsidRPr="008B3D24" w:rsidRDefault="008F4040" w:rsidP="00EC5836">
      <w:pPr>
        <w:pStyle w:val="3-BodyText"/>
        <w:rPr>
          <w:iCs/>
        </w:rPr>
      </w:pPr>
      <w:r w:rsidRPr="008B3D24">
        <w:rPr>
          <w:iCs/>
        </w:rPr>
        <w:t xml:space="preserve">The ixekizumab and secukinumab trials used different diagnostic criteria. The secukinumab trials used the modified New York (mNY) criteria while the ixekizumab trials used the 2009 ASAS criteria for classification of axial </w:t>
      </w:r>
      <w:r w:rsidR="0026370A" w:rsidRPr="008B3D24">
        <w:rPr>
          <w:iCs/>
        </w:rPr>
        <w:t>spondyloarthritis</w:t>
      </w:r>
      <w:r w:rsidRPr="008B3D24">
        <w:rPr>
          <w:iCs/>
        </w:rPr>
        <w:t>. Th</w:t>
      </w:r>
      <w:r w:rsidR="008C278A" w:rsidRPr="008B3D24">
        <w:rPr>
          <w:iCs/>
        </w:rPr>
        <w:t xml:space="preserve">e ixekizumab trials </w:t>
      </w:r>
      <w:r w:rsidRPr="008B3D24">
        <w:rPr>
          <w:iCs/>
        </w:rPr>
        <w:t xml:space="preserve">required patients to have radiographic sacroiliitis on x-ray as per the mNY criteria. However, the ASAS criteria </w:t>
      </w:r>
      <w:r w:rsidR="008C278A" w:rsidRPr="008B3D24">
        <w:rPr>
          <w:iCs/>
        </w:rPr>
        <w:t xml:space="preserve">also </w:t>
      </w:r>
      <w:r w:rsidRPr="008B3D24">
        <w:rPr>
          <w:iCs/>
        </w:rPr>
        <w:t xml:space="preserve">allow identification of sacroiliitis on magnetic resonance imaging (MRI). The ASAS criteria require age of onset below 45 years, and at least one SpA features (inflammatory back pain, elevated CRP, family history, response to NSAIDs or extraspinal manifestations). An overview of the differences is presented in Table 4. </w:t>
      </w:r>
    </w:p>
    <w:p w:rsidR="008F4040" w:rsidRPr="008B3D24" w:rsidRDefault="008F4040" w:rsidP="008F4040">
      <w:pPr>
        <w:keepNext/>
        <w:rPr>
          <w:rFonts w:ascii="Arial Narrow" w:eastAsiaTheme="majorEastAsia" w:hAnsi="Arial Narrow" w:cstheme="majorBidi"/>
          <w:b/>
          <w:bCs/>
          <w:sz w:val="20"/>
        </w:rPr>
      </w:pPr>
      <w:r w:rsidRPr="008B3D24">
        <w:rPr>
          <w:rFonts w:ascii="Arial Narrow" w:eastAsiaTheme="majorEastAsia" w:hAnsi="Arial Narrow" w:cstheme="majorBidi"/>
          <w:b/>
          <w:bCs/>
          <w:sz w:val="20"/>
        </w:rPr>
        <w:t>Table 4: Summary of inclusion and exclusion criteria across included trials</w:t>
      </w:r>
    </w:p>
    <w:tbl>
      <w:tblPr>
        <w:tblStyle w:val="TableGrid"/>
        <w:tblW w:w="0" w:type="auto"/>
        <w:tblLook w:val="04A0" w:firstRow="1" w:lastRow="0" w:firstColumn="1" w:lastColumn="0" w:noHBand="0" w:noVBand="1"/>
        <w:tblCaption w:val="Table 4: Summary of inclusion and exclusion criteria across included trials"/>
      </w:tblPr>
      <w:tblGrid>
        <w:gridCol w:w="2263"/>
        <w:gridCol w:w="1383"/>
        <w:gridCol w:w="202"/>
        <w:gridCol w:w="1585"/>
        <w:gridCol w:w="1792"/>
        <w:gridCol w:w="1792"/>
      </w:tblGrid>
      <w:tr w:rsidR="008F4040" w:rsidRPr="008B3D24" w:rsidTr="00596F29">
        <w:trPr>
          <w:tblHeader/>
        </w:trPr>
        <w:tc>
          <w:tcPr>
            <w:tcW w:w="2263" w:type="dxa"/>
          </w:tcPr>
          <w:p w:rsidR="008F4040" w:rsidRPr="008B3D24" w:rsidRDefault="008F4040" w:rsidP="009452DA">
            <w:pPr>
              <w:rPr>
                <w:rFonts w:ascii="Arial Narrow" w:hAnsi="Arial Narrow"/>
                <w:b/>
                <w:bCs/>
                <w:snapToGrid w:val="0"/>
                <w:sz w:val="20"/>
              </w:rPr>
            </w:pPr>
            <w:r w:rsidRPr="008B3D24">
              <w:rPr>
                <w:rFonts w:ascii="Arial Narrow" w:hAnsi="Arial Narrow"/>
                <w:b/>
                <w:bCs/>
                <w:snapToGrid w:val="0"/>
                <w:sz w:val="20"/>
              </w:rPr>
              <w:t>Criterion</w:t>
            </w:r>
          </w:p>
        </w:tc>
        <w:tc>
          <w:tcPr>
            <w:tcW w:w="1383" w:type="dxa"/>
          </w:tcPr>
          <w:p w:rsidR="008F4040" w:rsidRPr="008B3D24" w:rsidRDefault="008F4040" w:rsidP="009452DA">
            <w:pPr>
              <w:jc w:val="center"/>
              <w:rPr>
                <w:rFonts w:ascii="Arial Narrow" w:hAnsi="Arial Narrow"/>
                <w:b/>
                <w:bCs/>
                <w:snapToGrid w:val="0"/>
                <w:sz w:val="20"/>
              </w:rPr>
            </w:pPr>
            <w:r w:rsidRPr="008B3D24">
              <w:rPr>
                <w:rFonts w:ascii="Arial Narrow" w:hAnsi="Arial Narrow"/>
                <w:b/>
                <w:bCs/>
                <w:snapToGrid w:val="0"/>
                <w:sz w:val="20"/>
              </w:rPr>
              <w:t>COAST-V</w:t>
            </w:r>
          </w:p>
        </w:tc>
        <w:tc>
          <w:tcPr>
            <w:tcW w:w="1787" w:type="dxa"/>
            <w:gridSpan w:val="2"/>
          </w:tcPr>
          <w:p w:rsidR="008F4040" w:rsidRPr="008B3D24" w:rsidRDefault="008F4040" w:rsidP="009452DA">
            <w:pPr>
              <w:jc w:val="center"/>
              <w:rPr>
                <w:rFonts w:ascii="Arial Narrow" w:hAnsi="Arial Narrow"/>
                <w:b/>
                <w:bCs/>
                <w:snapToGrid w:val="0"/>
                <w:sz w:val="20"/>
              </w:rPr>
            </w:pPr>
            <w:r w:rsidRPr="008B3D24">
              <w:rPr>
                <w:rFonts w:ascii="Arial Narrow" w:hAnsi="Arial Narrow"/>
                <w:b/>
                <w:bCs/>
                <w:snapToGrid w:val="0"/>
                <w:sz w:val="20"/>
              </w:rPr>
              <w:t>COAST-W</w:t>
            </w:r>
          </w:p>
        </w:tc>
        <w:tc>
          <w:tcPr>
            <w:tcW w:w="1792" w:type="dxa"/>
          </w:tcPr>
          <w:p w:rsidR="008F4040" w:rsidRPr="008B3D24" w:rsidRDefault="00A62075" w:rsidP="009452DA">
            <w:pPr>
              <w:jc w:val="center"/>
              <w:rPr>
                <w:rFonts w:ascii="Arial Narrow" w:hAnsi="Arial Narrow"/>
                <w:b/>
                <w:bCs/>
                <w:snapToGrid w:val="0"/>
                <w:sz w:val="20"/>
              </w:rPr>
            </w:pPr>
            <w:r w:rsidRPr="008B3D24">
              <w:rPr>
                <w:rFonts w:ascii="Arial Narrow" w:hAnsi="Arial Narrow"/>
                <w:b/>
                <w:bCs/>
                <w:snapToGrid w:val="0"/>
                <w:sz w:val="20"/>
              </w:rPr>
              <w:t>MEASURE 2</w:t>
            </w:r>
          </w:p>
        </w:tc>
        <w:tc>
          <w:tcPr>
            <w:tcW w:w="1792" w:type="dxa"/>
          </w:tcPr>
          <w:p w:rsidR="008F4040" w:rsidRPr="008B3D24" w:rsidRDefault="00A62075" w:rsidP="009452DA">
            <w:pPr>
              <w:jc w:val="center"/>
              <w:rPr>
                <w:rFonts w:ascii="Arial Narrow" w:hAnsi="Arial Narrow"/>
                <w:b/>
                <w:bCs/>
                <w:snapToGrid w:val="0"/>
                <w:sz w:val="20"/>
              </w:rPr>
            </w:pPr>
            <w:r w:rsidRPr="008B3D24">
              <w:rPr>
                <w:rFonts w:ascii="Arial Narrow" w:hAnsi="Arial Narrow"/>
                <w:b/>
                <w:bCs/>
                <w:snapToGrid w:val="0"/>
                <w:sz w:val="20"/>
              </w:rPr>
              <w:t>MEASURE 4</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 xml:space="preserve">AS diagnosis </w:t>
            </w:r>
          </w:p>
        </w:tc>
        <w:tc>
          <w:tcPr>
            <w:tcW w:w="3170" w:type="dxa"/>
            <w:gridSpan w:val="3"/>
            <w:vAlign w:val="center"/>
          </w:tcPr>
          <w:p w:rsidR="008F4040" w:rsidRPr="008B3D24" w:rsidRDefault="008F4040" w:rsidP="009452DA">
            <w:pPr>
              <w:jc w:val="center"/>
              <w:rPr>
                <w:rFonts w:ascii="Arial Narrow" w:hAnsi="Arial Narrow"/>
                <w:iCs/>
                <w:snapToGrid w:val="0"/>
                <w:sz w:val="20"/>
                <w:vertAlign w:val="superscript"/>
              </w:rPr>
            </w:pPr>
            <w:r w:rsidRPr="008B3D24">
              <w:rPr>
                <w:rFonts w:ascii="Arial Narrow" w:hAnsi="Arial Narrow"/>
                <w:iCs/>
                <w:snapToGrid w:val="0"/>
                <w:sz w:val="20"/>
              </w:rPr>
              <w:t xml:space="preserve">ASAS criteria </w:t>
            </w:r>
            <w:r w:rsidRPr="008B3D24">
              <w:rPr>
                <w:rFonts w:ascii="Arial Narrow" w:hAnsi="Arial Narrow"/>
                <w:iCs/>
                <w:snapToGrid w:val="0"/>
                <w:sz w:val="20"/>
                <w:vertAlign w:val="superscript"/>
              </w:rPr>
              <w:t>a</w:t>
            </w:r>
          </w:p>
        </w:tc>
        <w:tc>
          <w:tcPr>
            <w:tcW w:w="3584" w:type="dxa"/>
            <w:gridSpan w:val="2"/>
          </w:tcPr>
          <w:p w:rsidR="008F4040" w:rsidRPr="008B3D24" w:rsidRDefault="008F4040" w:rsidP="009452DA">
            <w:pPr>
              <w:jc w:val="center"/>
              <w:rPr>
                <w:rFonts w:ascii="Arial Narrow" w:hAnsi="Arial Narrow"/>
                <w:iCs/>
                <w:snapToGrid w:val="0"/>
                <w:sz w:val="20"/>
                <w:vertAlign w:val="superscript"/>
              </w:rPr>
            </w:pPr>
            <w:r w:rsidRPr="008B3D24">
              <w:rPr>
                <w:rFonts w:ascii="Arial Narrow" w:hAnsi="Arial Narrow"/>
                <w:iCs/>
                <w:snapToGrid w:val="0"/>
                <w:sz w:val="20"/>
              </w:rPr>
              <w:t xml:space="preserve">Modified New York criteria </w:t>
            </w:r>
            <w:r w:rsidRPr="008B3D24">
              <w:rPr>
                <w:rFonts w:ascii="Arial Narrow" w:hAnsi="Arial Narrow"/>
                <w:iCs/>
                <w:snapToGrid w:val="0"/>
                <w:sz w:val="20"/>
                <w:vertAlign w:val="superscript"/>
              </w:rPr>
              <w:t>b</w:t>
            </w:r>
          </w:p>
        </w:tc>
      </w:tr>
      <w:tr w:rsidR="008F4040" w:rsidRPr="008B3D24" w:rsidTr="009452DA">
        <w:tc>
          <w:tcPr>
            <w:tcW w:w="2263" w:type="dxa"/>
          </w:tcPr>
          <w:p w:rsidR="008F4040" w:rsidRPr="008B3D24" w:rsidRDefault="008F4040" w:rsidP="009452DA">
            <w:pPr>
              <w:tabs>
                <w:tab w:val="left" w:pos="170"/>
              </w:tabs>
              <w:rPr>
                <w:rFonts w:ascii="Arial Narrow" w:hAnsi="Arial Narrow"/>
                <w:snapToGrid w:val="0"/>
                <w:sz w:val="20"/>
                <w:vertAlign w:val="superscript"/>
              </w:rPr>
            </w:pPr>
            <w:r w:rsidRPr="008B3D24">
              <w:rPr>
                <w:rFonts w:ascii="Arial Narrow" w:hAnsi="Arial Narrow"/>
                <w:snapToGrid w:val="0"/>
                <w:sz w:val="20"/>
              </w:rPr>
              <w:tab/>
              <w:t xml:space="preserve">sacroiliitis on radiograph </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Modified New York criteria</w:t>
            </w:r>
          </w:p>
        </w:tc>
        <w:tc>
          <w:tcPr>
            <w:tcW w:w="3584" w:type="dxa"/>
            <w:gridSpan w:val="2"/>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Modified New York criteria</w:t>
            </w:r>
          </w:p>
        </w:tc>
      </w:tr>
      <w:tr w:rsidR="008F4040" w:rsidRPr="008B3D24" w:rsidTr="009452DA">
        <w:tc>
          <w:tcPr>
            <w:tcW w:w="2263" w:type="dxa"/>
          </w:tcPr>
          <w:p w:rsidR="008F4040" w:rsidRPr="008B3D24" w:rsidRDefault="00F33F5E" w:rsidP="00F33F5E">
            <w:pPr>
              <w:rPr>
                <w:rFonts w:ascii="Arial Narrow" w:hAnsi="Arial Narrow"/>
                <w:snapToGrid w:val="0"/>
                <w:sz w:val="20"/>
                <w:vertAlign w:val="superscript"/>
              </w:rPr>
            </w:pPr>
            <w:r w:rsidRPr="008B3D24">
              <w:rPr>
                <w:rFonts w:ascii="Arial Narrow" w:hAnsi="Arial Narrow"/>
                <w:snapToGrid w:val="0"/>
                <w:sz w:val="20"/>
              </w:rPr>
              <w:t xml:space="preserve">   </w:t>
            </w:r>
            <w:r w:rsidR="008F4040" w:rsidRPr="008B3D24">
              <w:rPr>
                <w:rFonts w:ascii="Arial Narrow" w:hAnsi="Arial Narrow"/>
                <w:snapToGrid w:val="0"/>
                <w:sz w:val="20"/>
              </w:rPr>
              <w:t xml:space="preserve">SpA features </w:t>
            </w:r>
            <w:r w:rsidR="008F4040" w:rsidRPr="008B3D24">
              <w:rPr>
                <w:rFonts w:ascii="Arial Narrow" w:hAnsi="Arial Narrow"/>
                <w:snapToGrid w:val="0"/>
                <w:sz w:val="20"/>
                <w:vertAlign w:val="superscript"/>
              </w:rPr>
              <w:t>c</w:t>
            </w:r>
          </w:p>
        </w:tc>
        <w:tc>
          <w:tcPr>
            <w:tcW w:w="3170" w:type="dxa"/>
            <w:gridSpan w:val="3"/>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w:t>
            </w:r>
            <w:r w:rsidR="000126EF" w:rsidRPr="008B3D24">
              <w:rPr>
                <w:rFonts w:ascii="Arial Narrow" w:hAnsi="Arial Narrow"/>
                <w:iCs/>
                <w:snapToGrid w:val="0"/>
                <w:sz w:val="20"/>
              </w:rPr>
              <w:t xml:space="preserve"> </w:t>
            </w:r>
            <w:r w:rsidRPr="008B3D24">
              <w:rPr>
                <w:rFonts w:ascii="Arial Narrow" w:hAnsi="Arial Narrow"/>
                <w:iCs/>
                <w:snapToGrid w:val="0"/>
                <w:sz w:val="20"/>
              </w:rPr>
              <w:t>1</w:t>
            </w:r>
          </w:p>
        </w:tc>
        <w:tc>
          <w:tcPr>
            <w:tcW w:w="3584" w:type="dxa"/>
            <w:gridSpan w:val="2"/>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Not required</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Back pain ≥ 3 months</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Yes (Modified New York criteria)</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Yes (trial criterion)</w:t>
            </w:r>
          </w:p>
        </w:tc>
      </w:tr>
      <w:tr w:rsidR="008F4040" w:rsidRPr="008B3D24" w:rsidTr="009452DA">
        <w:tc>
          <w:tcPr>
            <w:tcW w:w="2263" w:type="dxa"/>
          </w:tcPr>
          <w:p w:rsidR="008F4040" w:rsidRPr="008B3D24" w:rsidRDefault="007007E5" w:rsidP="009452DA">
            <w:pPr>
              <w:rPr>
                <w:rFonts w:ascii="Arial Narrow" w:hAnsi="Arial Narrow"/>
                <w:snapToGrid w:val="0"/>
                <w:sz w:val="20"/>
              </w:rPr>
            </w:pPr>
            <w:r w:rsidRPr="008B3D24">
              <w:rPr>
                <w:rFonts w:ascii="Arial Narrow" w:hAnsi="Arial Narrow"/>
                <w:snapToGrid w:val="0"/>
                <w:sz w:val="20"/>
              </w:rPr>
              <w:t xml:space="preserve">   </w:t>
            </w:r>
            <w:r w:rsidR="008F4040" w:rsidRPr="008B3D24">
              <w:rPr>
                <w:rFonts w:ascii="Arial Narrow" w:hAnsi="Arial Narrow"/>
                <w:snapToGrid w:val="0"/>
                <w:sz w:val="20"/>
              </w:rPr>
              <w:t>Age &lt; 45 years at onset</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Yes</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No</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ESR or CRP threshold</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 xml:space="preserve">No </w:t>
            </w:r>
            <w:r w:rsidRPr="008B3D24">
              <w:rPr>
                <w:rFonts w:ascii="Arial Narrow" w:hAnsi="Arial Narrow"/>
                <w:iCs/>
                <w:snapToGrid w:val="0"/>
                <w:sz w:val="20"/>
                <w:vertAlign w:val="superscript"/>
              </w:rPr>
              <w:t>c</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No</w:t>
            </w:r>
          </w:p>
        </w:tc>
      </w:tr>
      <w:tr w:rsidR="008C278A" w:rsidRPr="008B3D24" w:rsidTr="00F544C4">
        <w:tc>
          <w:tcPr>
            <w:tcW w:w="2263" w:type="dxa"/>
          </w:tcPr>
          <w:p w:rsidR="008C278A" w:rsidRPr="008B3D24" w:rsidRDefault="008C278A" w:rsidP="009452DA">
            <w:pPr>
              <w:rPr>
                <w:rFonts w:ascii="Arial Narrow" w:hAnsi="Arial Narrow"/>
                <w:snapToGrid w:val="0"/>
                <w:sz w:val="20"/>
              </w:rPr>
            </w:pPr>
            <w:r w:rsidRPr="008B3D24">
              <w:rPr>
                <w:rFonts w:ascii="Arial Narrow" w:hAnsi="Arial Narrow"/>
                <w:snapToGrid w:val="0"/>
                <w:sz w:val="20"/>
              </w:rPr>
              <w:t xml:space="preserve">BASDAI ≥ 4 </w:t>
            </w:r>
          </w:p>
        </w:tc>
        <w:tc>
          <w:tcPr>
            <w:tcW w:w="3170" w:type="dxa"/>
            <w:gridSpan w:val="3"/>
            <w:vAlign w:val="center"/>
          </w:tcPr>
          <w:p w:rsidR="008C278A" w:rsidRPr="008B3D24" w:rsidRDefault="008C278A" w:rsidP="008C278A">
            <w:pPr>
              <w:jc w:val="center"/>
              <w:rPr>
                <w:rFonts w:ascii="Arial Narrow" w:hAnsi="Arial Narrow"/>
                <w:iCs/>
                <w:snapToGrid w:val="0"/>
                <w:sz w:val="20"/>
              </w:rPr>
            </w:pPr>
            <w:r w:rsidRPr="008B3D24">
              <w:rPr>
                <w:rFonts w:ascii="Arial Narrow" w:hAnsi="Arial Narrow"/>
                <w:iCs/>
                <w:snapToGrid w:val="0"/>
                <w:sz w:val="20"/>
              </w:rPr>
              <w:t>Yes</w:t>
            </w:r>
          </w:p>
        </w:tc>
        <w:tc>
          <w:tcPr>
            <w:tcW w:w="3584" w:type="dxa"/>
            <w:gridSpan w:val="2"/>
            <w:vAlign w:val="center"/>
          </w:tcPr>
          <w:p w:rsidR="008C278A" w:rsidRPr="008B3D24" w:rsidRDefault="008C278A" w:rsidP="009452DA">
            <w:pPr>
              <w:jc w:val="center"/>
              <w:rPr>
                <w:rFonts w:ascii="Arial Narrow" w:hAnsi="Arial Narrow"/>
                <w:iCs/>
                <w:snapToGrid w:val="0"/>
                <w:sz w:val="20"/>
              </w:rPr>
            </w:pPr>
            <w:r w:rsidRPr="008B3D24">
              <w:rPr>
                <w:rFonts w:ascii="Arial Narrow" w:hAnsi="Arial Narrow"/>
                <w:iCs/>
                <w:snapToGrid w:val="0"/>
                <w:sz w:val="20"/>
              </w:rPr>
              <w:t>Yes</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Pain</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 4 out of 10 (NRS)</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 4 out of 10 (VAS)</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NSAID use</w:t>
            </w:r>
          </w:p>
        </w:tc>
        <w:tc>
          <w:tcPr>
            <w:tcW w:w="3170" w:type="dxa"/>
            <w:gridSpan w:val="3"/>
          </w:tcPr>
          <w:p w:rsidR="008F4040" w:rsidRPr="008B3D24" w:rsidRDefault="008F4040" w:rsidP="009452DA">
            <w:pPr>
              <w:rPr>
                <w:rFonts w:ascii="Arial Narrow" w:hAnsi="Arial Narrow"/>
                <w:iCs/>
                <w:snapToGrid w:val="0"/>
                <w:sz w:val="20"/>
              </w:rPr>
            </w:pPr>
            <w:r w:rsidRPr="008B3D24">
              <w:rPr>
                <w:rFonts w:ascii="Arial Narrow" w:hAnsi="Arial Narrow"/>
                <w:iCs/>
                <w:snapToGrid w:val="0"/>
                <w:sz w:val="20"/>
              </w:rPr>
              <w:t xml:space="preserve">Inadequate response ≥ 2, or intolerance </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Pain despite maximal dose</w:t>
            </w:r>
          </w:p>
        </w:tc>
      </w:tr>
      <w:tr w:rsidR="008F4040" w:rsidRPr="008B3D24" w:rsidTr="009452DA">
        <w:tc>
          <w:tcPr>
            <w:tcW w:w="2263" w:type="dxa"/>
          </w:tcPr>
          <w:p w:rsidR="008F4040" w:rsidRPr="008B3D24" w:rsidRDefault="00462716" w:rsidP="009452DA">
            <w:pPr>
              <w:rPr>
                <w:rFonts w:ascii="Arial Narrow" w:hAnsi="Arial Narrow"/>
                <w:snapToGrid w:val="0"/>
                <w:sz w:val="20"/>
              </w:rPr>
            </w:pPr>
            <w:r w:rsidRPr="008B3D24">
              <w:rPr>
                <w:rFonts w:ascii="Arial Narrow" w:hAnsi="Arial Narrow"/>
                <w:snapToGrid w:val="0"/>
                <w:sz w:val="20"/>
              </w:rPr>
              <w:t>Biological medicine</w:t>
            </w:r>
            <w:r w:rsidR="008F4040" w:rsidRPr="008B3D24">
              <w:rPr>
                <w:rFonts w:ascii="Arial Narrow" w:hAnsi="Arial Narrow"/>
                <w:snapToGrid w:val="0"/>
                <w:sz w:val="20"/>
              </w:rPr>
              <w:t xml:space="preserve"> use</w:t>
            </w:r>
          </w:p>
        </w:tc>
        <w:tc>
          <w:tcPr>
            <w:tcW w:w="1585"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No</w:t>
            </w:r>
          </w:p>
        </w:tc>
        <w:tc>
          <w:tcPr>
            <w:tcW w:w="1585" w:type="dxa"/>
          </w:tcPr>
          <w:p w:rsidR="008F4040" w:rsidRPr="008B3D24" w:rsidRDefault="008F4040" w:rsidP="009452DA">
            <w:pPr>
              <w:jc w:val="center"/>
              <w:rPr>
                <w:rFonts w:ascii="Arial Narrow" w:hAnsi="Arial Narrow"/>
                <w:iCs/>
                <w:snapToGrid w:val="0"/>
                <w:sz w:val="20"/>
                <w:vertAlign w:val="superscript"/>
              </w:rPr>
            </w:pPr>
            <w:r w:rsidRPr="008B3D24">
              <w:rPr>
                <w:rFonts w:ascii="Arial Narrow" w:hAnsi="Arial Narrow"/>
                <w:iCs/>
                <w:snapToGrid w:val="0"/>
                <w:sz w:val="20"/>
              </w:rPr>
              <w:t xml:space="preserve">1 – 2 TNFi </w:t>
            </w:r>
            <w:r w:rsidRPr="008B3D24">
              <w:rPr>
                <w:rFonts w:ascii="Arial Narrow" w:hAnsi="Arial Narrow"/>
                <w:iCs/>
                <w:snapToGrid w:val="0"/>
                <w:sz w:val="20"/>
                <w:vertAlign w:val="superscript"/>
              </w:rPr>
              <w:t>d</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 xml:space="preserve">Up to 1 TNFi </w:t>
            </w:r>
            <w:r w:rsidRPr="008B3D24">
              <w:rPr>
                <w:rFonts w:ascii="Arial Narrow" w:hAnsi="Arial Narrow"/>
                <w:iCs/>
                <w:snapToGrid w:val="0"/>
                <w:sz w:val="20"/>
                <w:vertAlign w:val="superscript"/>
              </w:rPr>
              <w:t>d</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 xml:space="preserve">Duration of prior therapy </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 12 weeks</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Not stated</w:t>
            </w:r>
          </w:p>
        </w:tc>
      </w:tr>
      <w:tr w:rsidR="008F4040" w:rsidRPr="008B3D24" w:rsidTr="009452DA">
        <w:tc>
          <w:tcPr>
            <w:tcW w:w="2263" w:type="dxa"/>
          </w:tcPr>
          <w:p w:rsidR="008F4040" w:rsidRPr="008B3D24" w:rsidRDefault="008F4040" w:rsidP="009452DA">
            <w:pPr>
              <w:rPr>
                <w:rFonts w:ascii="Arial Narrow" w:hAnsi="Arial Narrow"/>
                <w:snapToGrid w:val="0"/>
                <w:sz w:val="20"/>
              </w:rPr>
            </w:pPr>
            <w:r w:rsidRPr="008B3D24">
              <w:rPr>
                <w:rFonts w:ascii="Arial Narrow" w:hAnsi="Arial Narrow"/>
                <w:snapToGrid w:val="0"/>
                <w:sz w:val="20"/>
              </w:rPr>
              <w:t>Total spinal ankylosis</w:t>
            </w:r>
          </w:p>
        </w:tc>
        <w:tc>
          <w:tcPr>
            <w:tcW w:w="3170" w:type="dxa"/>
            <w:gridSpan w:val="3"/>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Excluded</w:t>
            </w:r>
          </w:p>
        </w:tc>
        <w:tc>
          <w:tcPr>
            <w:tcW w:w="3584" w:type="dxa"/>
            <w:gridSpan w:val="2"/>
            <w:vAlign w:val="center"/>
          </w:tcPr>
          <w:p w:rsidR="008F4040" w:rsidRPr="008B3D24" w:rsidRDefault="008F4040" w:rsidP="009452DA">
            <w:pPr>
              <w:jc w:val="center"/>
              <w:rPr>
                <w:rFonts w:ascii="Arial Narrow" w:hAnsi="Arial Narrow"/>
                <w:iCs/>
                <w:snapToGrid w:val="0"/>
                <w:sz w:val="20"/>
              </w:rPr>
            </w:pPr>
            <w:r w:rsidRPr="008B3D24">
              <w:rPr>
                <w:rFonts w:ascii="Arial Narrow" w:hAnsi="Arial Narrow"/>
                <w:iCs/>
                <w:snapToGrid w:val="0"/>
                <w:sz w:val="20"/>
              </w:rPr>
              <w:t>Excluded</w:t>
            </w:r>
          </w:p>
        </w:tc>
      </w:tr>
    </w:tbl>
    <w:p w:rsidR="008F4040" w:rsidRPr="008B3D24" w:rsidRDefault="008F4040" w:rsidP="008F4040">
      <w:pPr>
        <w:contextualSpacing/>
        <w:rPr>
          <w:rFonts w:ascii="Arial Narrow" w:hAnsi="Arial Narrow"/>
          <w:snapToGrid w:val="0"/>
          <w:sz w:val="18"/>
          <w:szCs w:val="22"/>
        </w:rPr>
      </w:pPr>
      <w:r w:rsidRPr="008B3D24">
        <w:rPr>
          <w:rFonts w:ascii="Arial Narrow" w:hAnsi="Arial Narrow"/>
          <w:snapToGrid w:val="0"/>
          <w:sz w:val="18"/>
          <w:szCs w:val="22"/>
        </w:rPr>
        <w:t>Source: Section 2.4, p</w:t>
      </w:r>
      <w:r w:rsidR="00C47936" w:rsidRPr="008B3D24">
        <w:rPr>
          <w:rFonts w:ascii="Arial Narrow" w:hAnsi="Arial Narrow"/>
          <w:snapToGrid w:val="0"/>
          <w:sz w:val="18"/>
          <w:szCs w:val="22"/>
        </w:rPr>
        <w:t>p</w:t>
      </w:r>
      <w:r w:rsidRPr="008B3D24">
        <w:rPr>
          <w:rFonts w:ascii="Arial Narrow" w:hAnsi="Arial Narrow"/>
          <w:snapToGrid w:val="0"/>
          <w:sz w:val="18"/>
          <w:szCs w:val="22"/>
        </w:rPr>
        <w:t xml:space="preserve">73-74; Section 2(i).4, pp131-132 submission; Section 9.3, pp48-49 COAST-V CSR; Section 9.3, pp47-48 COAST-V CSR; Rudwaleit </w:t>
      </w:r>
      <w:r w:rsidRPr="008B3D24">
        <w:rPr>
          <w:rFonts w:ascii="Arial Narrow" w:hAnsi="Arial Narrow"/>
          <w:iCs/>
          <w:snapToGrid w:val="0"/>
          <w:sz w:val="18"/>
          <w:szCs w:val="22"/>
        </w:rPr>
        <w:t>et al.</w:t>
      </w:r>
      <w:r w:rsidRPr="008B3D24">
        <w:rPr>
          <w:rFonts w:ascii="Arial Narrow" w:hAnsi="Arial Narrow"/>
          <w:snapToGrid w:val="0"/>
          <w:sz w:val="18"/>
          <w:szCs w:val="22"/>
        </w:rPr>
        <w:t xml:space="preserve"> 2009</w:t>
      </w:r>
    </w:p>
    <w:p w:rsidR="008F4040" w:rsidRPr="008B3D24" w:rsidRDefault="008F4040" w:rsidP="008F4040">
      <w:pPr>
        <w:contextualSpacing/>
        <w:rPr>
          <w:rFonts w:ascii="Arial Narrow" w:hAnsi="Arial Narrow"/>
          <w:snapToGrid w:val="0"/>
          <w:sz w:val="18"/>
          <w:szCs w:val="22"/>
        </w:rPr>
      </w:pPr>
      <w:bookmarkStart w:id="15" w:name="_Hlk37840372"/>
      <w:r w:rsidRPr="008B3D24">
        <w:rPr>
          <w:rFonts w:ascii="Arial Narrow" w:hAnsi="Arial Narrow"/>
          <w:snapToGrid w:val="0"/>
          <w:sz w:val="18"/>
          <w:szCs w:val="22"/>
        </w:rPr>
        <w:t xml:space="preserve">AS = ankylosing spondylitis; ASAS= Assessment of SpondyloArthritis </w:t>
      </w:r>
      <w:r w:rsidR="009B2060" w:rsidRPr="008B3D24">
        <w:rPr>
          <w:rFonts w:ascii="Arial Narrow" w:hAnsi="Arial Narrow"/>
          <w:snapToGrid w:val="0"/>
          <w:sz w:val="18"/>
          <w:szCs w:val="22"/>
        </w:rPr>
        <w:t xml:space="preserve">international </w:t>
      </w:r>
      <w:r w:rsidRPr="008B3D24">
        <w:rPr>
          <w:rFonts w:ascii="Arial Narrow" w:hAnsi="Arial Narrow"/>
          <w:snapToGrid w:val="0"/>
          <w:sz w:val="18"/>
          <w:szCs w:val="22"/>
        </w:rPr>
        <w:t xml:space="preserve">Society; </w:t>
      </w:r>
      <w:r w:rsidR="00586335" w:rsidRPr="008B3D24">
        <w:rPr>
          <w:rFonts w:ascii="Arial Narrow" w:hAnsi="Arial Narrow"/>
          <w:snapToGrid w:val="0"/>
          <w:sz w:val="18"/>
          <w:szCs w:val="22"/>
        </w:rPr>
        <w:t xml:space="preserve">BASDAI = Bath ankylosing spondylitis disease activity index; </w:t>
      </w:r>
      <w:r w:rsidRPr="008B3D24">
        <w:rPr>
          <w:rFonts w:ascii="Arial Narrow" w:hAnsi="Arial Narrow"/>
          <w:snapToGrid w:val="0"/>
          <w:sz w:val="18"/>
          <w:szCs w:val="22"/>
        </w:rPr>
        <w:t xml:space="preserve">CRP = </w:t>
      </w:r>
      <w:r w:rsidR="00C47936" w:rsidRPr="008B3D24">
        <w:rPr>
          <w:rFonts w:ascii="Arial Narrow" w:hAnsi="Arial Narrow"/>
          <w:snapToGrid w:val="0"/>
          <w:sz w:val="18"/>
          <w:szCs w:val="22"/>
        </w:rPr>
        <w:t>c</w:t>
      </w:r>
      <w:r w:rsidRPr="008B3D24">
        <w:rPr>
          <w:rFonts w:ascii="Arial Narrow" w:hAnsi="Arial Narrow"/>
          <w:snapToGrid w:val="0"/>
          <w:sz w:val="18"/>
          <w:szCs w:val="22"/>
        </w:rPr>
        <w:t xml:space="preserve">-reactive protein; CSR = clinical study report; ESR = erythrocyte sedimentation rate; </w:t>
      </w:r>
      <w:r w:rsidR="007007E5" w:rsidRPr="008B3D24">
        <w:rPr>
          <w:rFonts w:ascii="Arial Narrow" w:hAnsi="Arial Narrow"/>
          <w:snapToGrid w:val="0"/>
          <w:sz w:val="18"/>
          <w:szCs w:val="22"/>
        </w:rPr>
        <w:t xml:space="preserve">NRS = numeric rating scale; </w:t>
      </w:r>
      <w:r w:rsidRPr="008B3D24">
        <w:rPr>
          <w:rFonts w:ascii="Arial Narrow" w:hAnsi="Arial Narrow"/>
          <w:snapToGrid w:val="0"/>
          <w:sz w:val="18"/>
          <w:szCs w:val="22"/>
        </w:rPr>
        <w:t xml:space="preserve">NSAID = nonsteroidal anti-inflammatory drugs; SpA = </w:t>
      </w:r>
      <w:r w:rsidR="006A323C" w:rsidRPr="008B3D24">
        <w:rPr>
          <w:rFonts w:ascii="Arial Narrow" w:hAnsi="Arial Narrow"/>
          <w:snapToGrid w:val="0"/>
          <w:sz w:val="18"/>
          <w:szCs w:val="22"/>
        </w:rPr>
        <w:t>S</w:t>
      </w:r>
      <w:r w:rsidR="00F95524" w:rsidRPr="008B3D24">
        <w:rPr>
          <w:rFonts w:ascii="Arial Narrow" w:hAnsi="Arial Narrow"/>
          <w:snapToGrid w:val="0"/>
          <w:sz w:val="18"/>
          <w:szCs w:val="22"/>
        </w:rPr>
        <w:t>pondyloArthritis</w:t>
      </w:r>
      <w:r w:rsidRPr="008B3D24">
        <w:rPr>
          <w:rFonts w:ascii="Arial Narrow" w:hAnsi="Arial Narrow"/>
          <w:snapToGrid w:val="0"/>
          <w:sz w:val="18"/>
          <w:szCs w:val="22"/>
        </w:rPr>
        <w:t xml:space="preserve">; </w:t>
      </w:r>
      <w:r w:rsidR="007007E5" w:rsidRPr="008B3D24">
        <w:rPr>
          <w:rFonts w:ascii="Arial Narrow" w:hAnsi="Arial Narrow"/>
          <w:snapToGrid w:val="0"/>
          <w:sz w:val="18"/>
          <w:szCs w:val="22"/>
        </w:rPr>
        <w:t xml:space="preserve">TNFi = tumour necrosis factor inhibitor; </w:t>
      </w:r>
      <w:r w:rsidRPr="008B3D24">
        <w:rPr>
          <w:rFonts w:ascii="Arial Narrow" w:hAnsi="Arial Narrow"/>
          <w:snapToGrid w:val="0"/>
          <w:sz w:val="18"/>
          <w:szCs w:val="22"/>
        </w:rPr>
        <w:t>VAS = visual analogue scale</w:t>
      </w:r>
    </w:p>
    <w:bookmarkEnd w:id="15"/>
    <w:p w:rsidR="008F4040" w:rsidRPr="008B3D24" w:rsidRDefault="008F4040" w:rsidP="008F4040">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 xml:space="preserve">a </w:t>
      </w:r>
      <w:r w:rsidRPr="008B3D24">
        <w:rPr>
          <w:rFonts w:ascii="Arial Narrow" w:hAnsi="Arial Narrow"/>
          <w:snapToGrid w:val="0"/>
          <w:sz w:val="18"/>
          <w:szCs w:val="22"/>
        </w:rPr>
        <w:t xml:space="preserve">2009 ASAS criteria for classification of axial </w:t>
      </w:r>
      <w:r w:rsidR="0026370A" w:rsidRPr="008B3D24">
        <w:rPr>
          <w:rFonts w:ascii="Arial Narrow" w:hAnsi="Arial Narrow"/>
          <w:snapToGrid w:val="0"/>
          <w:sz w:val="18"/>
          <w:szCs w:val="22"/>
        </w:rPr>
        <w:t>spondyloarthritis</w:t>
      </w:r>
      <w:r w:rsidRPr="008B3D24">
        <w:rPr>
          <w:rFonts w:ascii="Arial Narrow" w:hAnsi="Arial Narrow"/>
          <w:snapToGrid w:val="0"/>
          <w:sz w:val="18"/>
          <w:szCs w:val="22"/>
        </w:rPr>
        <w:t xml:space="preserve">. Requires sacroiliitis on imaging (COAST trials required X-ray) and ≥ 1 SpA feature (Rudwaleit </w:t>
      </w:r>
      <w:r w:rsidR="001E747A" w:rsidRPr="008B3D24">
        <w:rPr>
          <w:rFonts w:ascii="Arial Narrow" w:hAnsi="Arial Narrow"/>
          <w:iCs/>
          <w:snapToGrid w:val="0"/>
          <w:sz w:val="18"/>
          <w:szCs w:val="22"/>
        </w:rPr>
        <w:t>et al.</w:t>
      </w:r>
      <w:r w:rsidR="001E747A" w:rsidRPr="008B3D24">
        <w:rPr>
          <w:rFonts w:ascii="Arial Narrow" w:hAnsi="Arial Narrow"/>
          <w:snapToGrid w:val="0"/>
          <w:sz w:val="18"/>
          <w:szCs w:val="22"/>
        </w:rPr>
        <w:t xml:space="preserve"> </w:t>
      </w:r>
      <w:r w:rsidRPr="008B3D24">
        <w:rPr>
          <w:rFonts w:ascii="Arial Narrow" w:hAnsi="Arial Narrow"/>
          <w:snapToGrid w:val="0"/>
          <w:sz w:val="18"/>
          <w:szCs w:val="22"/>
        </w:rPr>
        <w:t>2009)</w:t>
      </w:r>
    </w:p>
    <w:p w:rsidR="008F4040" w:rsidRPr="008B3D24" w:rsidRDefault="008F4040" w:rsidP="008F4040">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b</w:t>
      </w:r>
      <w:r w:rsidRPr="008B3D24">
        <w:rPr>
          <w:rFonts w:ascii="Arial Narrow" w:hAnsi="Arial Narrow"/>
          <w:snapToGrid w:val="0"/>
          <w:sz w:val="18"/>
          <w:szCs w:val="22"/>
        </w:rPr>
        <w:t xml:space="preserve"> Requires definitive sacroiliitis on conventional x-rays (unilateral grade 3-4 or bilateral grade 2-4) and one of: low back pain (≥ 3 months) improved by exercise but not rest, limited lumbar spine motion, or decreased chest expansion</w:t>
      </w:r>
      <w:r w:rsidR="00C47936" w:rsidRPr="008B3D24">
        <w:rPr>
          <w:rFonts w:ascii="Arial Narrow" w:hAnsi="Arial Narrow"/>
          <w:snapToGrid w:val="0"/>
          <w:sz w:val="18"/>
          <w:szCs w:val="22"/>
        </w:rPr>
        <w:t>.</w:t>
      </w:r>
    </w:p>
    <w:p w:rsidR="008F4040" w:rsidRPr="008B3D24" w:rsidRDefault="008F4040" w:rsidP="008F4040">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c</w:t>
      </w:r>
      <w:r w:rsidRPr="008B3D24">
        <w:rPr>
          <w:rFonts w:ascii="Arial Narrow" w:hAnsi="Arial Narrow"/>
          <w:snapToGrid w:val="0"/>
          <w:sz w:val="18"/>
          <w:szCs w:val="22"/>
        </w:rPr>
        <w:t xml:space="preserve"> SpA feature</w:t>
      </w:r>
      <w:r w:rsidR="006E343D" w:rsidRPr="008B3D24">
        <w:rPr>
          <w:rFonts w:ascii="Arial Narrow" w:hAnsi="Arial Narrow"/>
          <w:snapToGrid w:val="0"/>
          <w:sz w:val="18"/>
          <w:szCs w:val="22"/>
        </w:rPr>
        <w:t>s</w:t>
      </w:r>
      <w:r w:rsidRPr="008B3D24">
        <w:rPr>
          <w:rFonts w:ascii="Arial Narrow" w:hAnsi="Arial Narrow"/>
          <w:snapToGrid w:val="0"/>
          <w:sz w:val="18"/>
          <w:szCs w:val="22"/>
        </w:rPr>
        <w:t xml:space="preserve"> include any of: inflammatory back pain, dactylitis, arthritis, enthesitis, uveitis, psoriasis, Crohn’s disease/ulcerative colitis, good response to NSAIDs, family history of SpA, elevated CRP </w:t>
      </w:r>
    </w:p>
    <w:p w:rsidR="008F4040" w:rsidRPr="008B3D24" w:rsidRDefault="008F4040" w:rsidP="008F4040">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d</w:t>
      </w:r>
      <w:r w:rsidRPr="008B3D24">
        <w:rPr>
          <w:rFonts w:ascii="Arial Narrow" w:hAnsi="Arial Narrow"/>
          <w:snapToGrid w:val="0"/>
          <w:sz w:val="18"/>
          <w:szCs w:val="22"/>
        </w:rPr>
        <w:t xml:space="preserve"> Inadequate response</w:t>
      </w:r>
    </w:p>
    <w:p w:rsidR="008F4040" w:rsidRPr="008B3D24" w:rsidRDefault="008F4040" w:rsidP="008F4040">
      <w:pPr>
        <w:pStyle w:val="3-BodyText"/>
        <w:rPr>
          <w:iCs/>
        </w:rPr>
      </w:pPr>
      <w:r w:rsidRPr="008B3D24">
        <w:rPr>
          <w:iCs/>
        </w:rPr>
        <w:t xml:space="preserve">The proposed PBS restrictions were better aligned with the mNY criteria. Although the mNY and ASAS criteria differed, they appear to diagnose the same patients with AS. Boel </w:t>
      </w:r>
      <w:r w:rsidR="00662929" w:rsidRPr="008B3D24">
        <w:t>et al.</w:t>
      </w:r>
      <w:r w:rsidR="00C45681" w:rsidRPr="008B3D24">
        <w:t xml:space="preserve"> </w:t>
      </w:r>
      <w:r w:rsidRPr="008B3D24">
        <w:rPr>
          <w:iCs/>
        </w:rPr>
        <w:t>(2019)</w:t>
      </w:r>
      <w:r w:rsidR="005A3CA7" w:rsidRPr="008B3D24">
        <w:rPr>
          <w:rStyle w:val="FootnoteReference"/>
          <w:iCs/>
        </w:rPr>
        <w:footnoteReference w:id="2"/>
      </w:r>
      <w:r w:rsidR="008C278A" w:rsidRPr="008B3D24">
        <w:rPr>
          <w:iCs/>
        </w:rPr>
        <w:t>, a study of 4,041 people diagnosed with ax-SpA,</w:t>
      </w:r>
      <w:r w:rsidRPr="008B3D24">
        <w:rPr>
          <w:iCs/>
        </w:rPr>
        <w:t xml:space="preserve"> reported that almost all patients who meet the mNY criteria met the ASAS criteria if the age criterion in the ASAS criteria was disregarded.</w:t>
      </w:r>
      <w:r w:rsidR="006941BC" w:rsidRPr="008B3D24">
        <w:rPr>
          <w:iCs/>
        </w:rPr>
        <w:t xml:space="preserve"> </w:t>
      </w:r>
    </w:p>
    <w:p w:rsidR="00A23F58" w:rsidRPr="008B3D24" w:rsidRDefault="005A3CA7" w:rsidP="0008450C">
      <w:pPr>
        <w:pStyle w:val="3-BodyText"/>
        <w:rPr>
          <w:iCs/>
        </w:rPr>
      </w:pPr>
      <w:r w:rsidRPr="008B3D24">
        <w:t xml:space="preserve">The submission claimed there were no trial-related factors that would reduce the internal validity of the trial or increase the risk of bias. </w:t>
      </w:r>
      <w:r w:rsidRPr="008B3D24">
        <w:rPr>
          <w:iCs/>
        </w:rPr>
        <w:t xml:space="preserve">The ixekizumab trials (COAST-V and COAST-W) were considered to have an unclear risk of bias as they had </w:t>
      </w:r>
      <w:r w:rsidR="00975E22" w:rsidRPr="008B3D24">
        <w:rPr>
          <w:iCs/>
        </w:rPr>
        <w:t>s</w:t>
      </w:r>
      <w:r w:rsidRPr="008B3D24">
        <w:rPr>
          <w:iCs/>
        </w:rPr>
        <w:t>everal major protocol deviations</w:t>
      </w:r>
      <w:r w:rsidR="00975E22" w:rsidRPr="008B3D24">
        <w:rPr>
          <w:iCs/>
        </w:rPr>
        <w:t xml:space="preserve">, including some which were imbalanced between treatment arms such as provision of incorrect trial medication (COAST-V only), enrolment of patients who did not have radiographically confirmed active AS, assessments performed by unqualified site personnel and problems with obtaining timely and accurate </w:t>
      </w:r>
      <w:r w:rsidR="00A9071C" w:rsidRPr="008B3D24">
        <w:rPr>
          <w:iCs/>
        </w:rPr>
        <w:t xml:space="preserve">updated </w:t>
      </w:r>
      <w:r w:rsidR="00975E22" w:rsidRPr="008B3D24">
        <w:rPr>
          <w:iCs/>
        </w:rPr>
        <w:t>informed consent (both trials).</w:t>
      </w:r>
      <w:r w:rsidR="00975E22" w:rsidRPr="008B3D24">
        <w:t xml:space="preserve"> </w:t>
      </w:r>
      <w:r w:rsidR="00975E22" w:rsidRPr="008B3D24">
        <w:rPr>
          <w:iCs/>
        </w:rPr>
        <w:t xml:space="preserve">All other domains were considered to have a low risk of bias. </w:t>
      </w:r>
      <w:r w:rsidR="0008450C" w:rsidRPr="008B3D24">
        <w:rPr>
          <w:iCs/>
        </w:rPr>
        <w:t xml:space="preserve">The impact of the protocol deviations on the reliability of the trial results was unclear. The results from the per-protocol results that excluded patients with significant protocol deviations and a trial site with Good Clinical Practice issues was included in the evaluation. </w:t>
      </w:r>
    </w:p>
    <w:p w:rsidR="00A23F58" w:rsidRPr="008B3D24" w:rsidRDefault="00A23F58" w:rsidP="00A23F58">
      <w:pPr>
        <w:pStyle w:val="3-BodyText"/>
      </w:pPr>
      <w:r w:rsidRPr="008B3D24">
        <w:t xml:space="preserve">The ixekizumab and secukinumab trials included arms with dosing regimens that differed from the approved Product Information. The results for these arms are not presented </w:t>
      </w:r>
      <w:r w:rsidR="00A23340" w:rsidRPr="008B3D24">
        <w:t>below</w:t>
      </w:r>
      <w:r w:rsidRPr="008B3D24">
        <w:t xml:space="preserve">. </w:t>
      </w:r>
    </w:p>
    <w:p w:rsidR="00B60939" w:rsidRPr="008B3D24" w:rsidRDefault="00B60939" w:rsidP="00EC5836">
      <w:pPr>
        <w:pStyle w:val="4-SubsectionHeading"/>
      </w:pPr>
      <w:bookmarkStart w:id="16" w:name="_Toc22897641"/>
      <w:bookmarkStart w:id="17" w:name="_Toc40706505"/>
      <w:r w:rsidRPr="008B3D24">
        <w:t>Comparative effectiveness</w:t>
      </w:r>
      <w:bookmarkEnd w:id="16"/>
      <w:bookmarkEnd w:id="17"/>
    </w:p>
    <w:p w:rsidR="00A23F58" w:rsidRPr="008B3D24" w:rsidRDefault="00A23F58" w:rsidP="00A23F58">
      <w:pPr>
        <w:pStyle w:val="3-BodyText"/>
        <w:rPr>
          <w:snapToGrid/>
        </w:rPr>
      </w:pPr>
      <w:r w:rsidRPr="008B3D24">
        <w:rPr>
          <w:snapToGrid/>
        </w:rPr>
        <w:t xml:space="preserve">Under the proposed PBS criteria, continued treatment is dependent on demonstrating and maintaining response to therapy, assessed after a minimum of 12 weeks following initial therapy (and every 24 weeks ongoing thereafter). Response is defined as a reduction from baseline in the </w:t>
      </w:r>
      <w:r w:rsidR="00492635" w:rsidRPr="008B3D24">
        <w:t xml:space="preserve">Bath </w:t>
      </w:r>
      <w:r w:rsidR="00492635">
        <w:t>A</w:t>
      </w:r>
      <w:r w:rsidR="00492635" w:rsidRPr="008B3D24">
        <w:t xml:space="preserve">nkylosing </w:t>
      </w:r>
      <w:r w:rsidR="00492635">
        <w:t>S</w:t>
      </w:r>
      <w:r w:rsidR="00492635" w:rsidRPr="008B3D24">
        <w:t xml:space="preserve">pondylitis </w:t>
      </w:r>
      <w:r w:rsidR="00492635">
        <w:t>D</w:t>
      </w:r>
      <w:r w:rsidR="00492635" w:rsidRPr="008B3D24">
        <w:t xml:space="preserve">isease </w:t>
      </w:r>
      <w:r w:rsidR="00492635">
        <w:t>A</w:t>
      </w:r>
      <w:r w:rsidR="00492635" w:rsidRPr="008B3D24">
        <w:t xml:space="preserve">ctivity </w:t>
      </w:r>
      <w:r w:rsidR="00492635">
        <w:t>I</w:t>
      </w:r>
      <w:r w:rsidR="00492635" w:rsidRPr="008B3D24">
        <w:t>ndex</w:t>
      </w:r>
      <w:r w:rsidR="00492635" w:rsidRPr="008B3D24">
        <w:rPr>
          <w:snapToGrid/>
        </w:rPr>
        <w:t xml:space="preserve"> </w:t>
      </w:r>
      <w:r w:rsidR="00492635">
        <w:rPr>
          <w:snapToGrid/>
        </w:rPr>
        <w:t>(</w:t>
      </w:r>
      <w:r w:rsidRPr="008B3D24">
        <w:rPr>
          <w:snapToGrid/>
        </w:rPr>
        <w:t>BASDAI</w:t>
      </w:r>
      <w:r w:rsidR="00492635">
        <w:rPr>
          <w:snapToGrid/>
        </w:rPr>
        <w:t>)</w:t>
      </w:r>
      <w:r w:rsidRPr="008B3D24">
        <w:rPr>
          <w:snapToGrid/>
        </w:rPr>
        <w:t xml:space="preserve"> score by 2 or more units and one of the following: an </w:t>
      </w:r>
      <w:r w:rsidR="00492635" w:rsidRPr="00492635">
        <w:rPr>
          <w:snapToGrid/>
        </w:rPr>
        <w:t>erythrocyte sedimentation rate</w:t>
      </w:r>
      <w:r w:rsidR="00492635" w:rsidRPr="008B3D24">
        <w:rPr>
          <w:snapToGrid/>
        </w:rPr>
        <w:t xml:space="preserve"> </w:t>
      </w:r>
      <w:r w:rsidR="00492635">
        <w:rPr>
          <w:snapToGrid/>
        </w:rPr>
        <w:t>(</w:t>
      </w:r>
      <w:r w:rsidRPr="008B3D24">
        <w:rPr>
          <w:snapToGrid/>
        </w:rPr>
        <w:t>ESR</w:t>
      </w:r>
      <w:r w:rsidR="00492635">
        <w:rPr>
          <w:snapToGrid/>
        </w:rPr>
        <w:t>)</w:t>
      </w:r>
      <w:r w:rsidRPr="008B3D24">
        <w:rPr>
          <w:snapToGrid/>
        </w:rPr>
        <w:t xml:space="preserve"> measurement no greater than 25 mm per hour, a </w:t>
      </w:r>
      <w:r w:rsidR="00492635">
        <w:rPr>
          <w:snapToGrid/>
        </w:rPr>
        <w:t>c-reactive protein (</w:t>
      </w:r>
      <w:r w:rsidRPr="008B3D24">
        <w:rPr>
          <w:snapToGrid/>
        </w:rPr>
        <w:t>CRP</w:t>
      </w:r>
      <w:r w:rsidR="00492635">
        <w:rPr>
          <w:snapToGrid/>
        </w:rPr>
        <w:t>)</w:t>
      </w:r>
      <w:r w:rsidRPr="008B3D24">
        <w:rPr>
          <w:snapToGrid/>
        </w:rPr>
        <w:t xml:space="preserve"> measurement no greater than 10</w:t>
      </w:r>
      <w:r w:rsidR="00BA6866" w:rsidRPr="008B3D24">
        <w:rPr>
          <w:snapToGrid/>
        </w:rPr>
        <w:t xml:space="preserve"> </w:t>
      </w:r>
      <w:r w:rsidRPr="008B3D24">
        <w:rPr>
          <w:snapToGrid/>
        </w:rPr>
        <w:t xml:space="preserve">mg/L, or an </w:t>
      </w:r>
      <w:r w:rsidR="00492635">
        <w:rPr>
          <w:snapToGrid/>
        </w:rPr>
        <w:t>ESR</w:t>
      </w:r>
      <w:r w:rsidR="00492635" w:rsidRPr="008B3D24">
        <w:rPr>
          <w:snapToGrid/>
        </w:rPr>
        <w:t xml:space="preserve"> </w:t>
      </w:r>
      <w:r w:rsidRPr="008B3D24">
        <w:rPr>
          <w:snapToGrid/>
        </w:rPr>
        <w:t xml:space="preserve">or CRP or measurement reduced by at least 20% from baseline. </w:t>
      </w:r>
      <w:r w:rsidR="00E538FB" w:rsidRPr="008B3D24">
        <w:rPr>
          <w:iCs/>
          <w:snapToGrid/>
        </w:rPr>
        <w:t xml:space="preserve">The trials did not report an outcome that fully aligned to the PBS continuation criteria. </w:t>
      </w:r>
      <w:r w:rsidR="00E538FB" w:rsidRPr="008B3D24">
        <w:rPr>
          <w:snapToGrid/>
        </w:rPr>
        <w:t xml:space="preserve">BASDAI 50 response (≥ 50% reduction in BASDAI score) was reported in the ixekizumab trials. </w:t>
      </w:r>
      <w:r w:rsidR="00E538FB" w:rsidRPr="008B3D24">
        <w:rPr>
          <w:iCs/>
          <w:snapToGrid/>
        </w:rPr>
        <w:t>As</w:t>
      </w:r>
      <w:r w:rsidR="00E538FB" w:rsidRPr="008B3D24">
        <w:rPr>
          <w:snapToGrid/>
        </w:rPr>
        <w:t xml:space="preserve"> </w:t>
      </w:r>
      <w:r w:rsidR="00E538FB" w:rsidRPr="008B3D24">
        <w:rPr>
          <w:iCs/>
          <w:snapToGrid/>
        </w:rPr>
        <w:t xml:space="preserve">both the ixekizumab and secukinumab trials recruited participants with BASDAI ≥ 4, a BASDAI 50 response corresponded to a ≥ 2-point reduction in the BASDAI score. </w:t>
      </w:r>
      <w:r w:rsidR="00E538FB" w:rsidRPr="008B3D24">
        <w:rPr>
          <w:snapToGrid/>
        </w:rPr>
        <w:t>BASDAI 50 response rates were not reported in the secukinumab trial publications.</w:t>
      </w:r>
      <w:r w:rsidR="0008450C" w:rsidRPr="008B3D24">
        <w:t xml:space="preserve"> Therefore, for the comparison with secukinumab, the submission presented a comparison of the mean change in BASDAI score from baseline.</w:t>
      </w:r>
      <w:r w:rsidR="00E538FB" w:rsidRPr="008B3D24">
        <w:rPr>
          <w:iCs/>
          <w:snapToGrid/>
        </w:rPr>
        <w:t xml:space="preserve"> However, the PBAC considered BASDAI 50 response rates from the MEASURE 2 trial at its March 2016 consideration of secukinumab</w:t>
      </w:r>
      <w:r w:rsidR="002873E7" w:rsidRPr="008B3D24">
        <w:rPr>
          <w:iCs/>
          <w:snapToGrid/>
        </w:rPr>
        <w:t xml:space="preserve"> (Table 2, </w:t>
      </w:r>
      <w:r w:rsidR="002873E7" w:rsidRPr="008B3D24">
        <w:rPr>
          <w:iCs/>
        </w:rPr>
        <w:t>secukinumab, Public Summary Document</w:t>
      </w:r>
      <w:r w:rsidR="0008772F">
        <w:rPr>
          <w:iCs/>
        </w:rPr>
        <w:t xml:space="preserve"> (PSD)</w:t>
      </w:r>
      <w:r w:rsidR="002873E7" w:rsidRPr="008B3D24">
        <w:rPr>
          <w:iCs/>
        </w:rPr>
        <w:t>, March 2016 PBAC meeting)</w:t>
      </w:r>
      <w:r w:rsidR="00E538FB" w:rsidRPr="008B3D24">
        <w:rPr>
          <w:iCs/>
          <w:snapToGrid/>
        </w:rPr>
        <w:t>.</w:t>
      </w:r>
    </w:p>
    <w:p w:rsidR="00243A89" w:rsidRPr="008B3D24" w:rsidRDefault="00243A89" w:rsidP="00250F30">
      <w:pPr>
        <w:pStyle w:val="3-BodyText"/>
        <w:rPr>
          <w:iCs/>
        </w:rPr>
      </w:pPr>
      <w:r w:rsidRPr="008B3D24">
        <w:rPr>
          <w:iCs/>
        </w:rPr>
        <w:t xml:space="preserve">The proportion of patients with an </w:t>
      </w:r>
      <w:r w:rsidR="00145EDE" w:rsidRPr="008B3D24">
        <w:rPr>
          <w:iCs/>
        </w:rPr>
        <w:t>ankylosing spondylitis disease activity score (</w:t>
      </w:r>
      <w:r w:rsidRPr="008B3D24">
        <w:rPr>
          <w:iCs/>
        </w:rPr>
        <w:t>ASDAS</w:t>
      </w:r>
      <w:r w:rsidR="00145EDE" w:rsidRPr="008B3D24">
        <w:rPr>
          <w:iCs/>
        </w:rPr>
        <w:t>)</w:t>
      </w:r>
      <w:r w:rsidRPr="008B3D24">
        <w:rPr>
          <w:iCs/>
        </w:rPr>
        <w:t xml:space="preserve"> clinical improvement was included in the evaluation as the ASAS-EULAR guidelines (van der Heijde 2017) recommended that the ASDAS was favoured compared to the BASDAI for assessing disease activity and response/continuation of </w:t>
      </w:r>
      <w:r w:rsidR="00045489" w:rsidRPr="008B3D24">
        <w:rPr>
          <w:iCs/>
        </w:rPr>
        <w:t>biological medicine</w:t>
      </w:r>
      <w:r w:rsidRPr="008B3D24">
        <w:rPr>
          <w:iCs/>
        </w:rPr>
        <w:t>s. The ASDAS is a relatively new index for measuring disease activity in AS, which combines patient-reported outcomes and levels of CRP into one index. The publication stated that ASDAS is a better index than BASDAI for several reasons</w:t>
      </w:r>
      <w:r w:rsidR="00FF0EAB" w:rsidRPr="008B3D24">
        <w:rPr>
          <w:iCs/>
        </w:rPr>
        <w:t xml:space="preserve"> including better correlation with patients’ and physicians’ opinion of disease activity, high scores being a predictor of TNFi continuation (which can be seen as a surrogate outcome for efficacy) and use of validated cut-offs.</w:t>
      </w:r>
    </w:p>
    <w:p w:rsidR="00250F30" w:rsidRPr="008B3D24" w:rsidRDefault="00250F30" w:rsidP="00250F30">
      <w:pPr>
        <w:pStyle w:val="3-BodyText"/>
        <w:rPr>
          <w:iCs/>
        </w:rPr>
      </w:pPr>
      <w:r w:rsidRPr="008B3D24">
        <w:t xml:space="preserve">Tables </w:t>
      </w:r>
      <w:r w:rsidR="006A323C" w:rsidRPr="008B3D24">
        <w:t>5</w:t>
      </w:r>
      <w:r w:rsidRPr="008B3D24">
        <w:t xml:space="preserve"> presents the results of the key effectiveness outcomes from the COAST</w:t>
      </w:r>
      <w:r w:rsidR="009865C4" w:rsidRPr="008B3D24">
        <w:t>-</w:t>
      </w:r>
      <w:r w:rsidRPr="008B3D24">
        <w:t xml:space="preserve">V trial. </w:t>
      </w:r>
    </w:p>
    <w:p w:rsidR="00250F30" w:rsidRPr="008B3D24" w:rsidRDefault="00250F30" w:rsidP="00250F30">
      <w:pPr>
        <w:pStyle w:val="In-tableHeading"/>
        <w:rPr>
          <w:lang w:val="en-AU"/>
        </w:rPr>
      </w:pPr>
      <w:r w:rsidRPr="008B3D24">
        <w:rPr>
          <w:rStyle w:val="CommentReference"/>
          <w:b/>
          <w:szCs w:val="24"/>
          <w:lang w:val="en-AU"/>
        </w:rPr>
        <w:t xml:space="preserve">Table </w:t>
      </w:r>
      <w:r w:rsidR="006A323C" w:rsidRPr="008B3D24">
        <w:rPr>
          <w:rStyle w:val="CommentReference"/>
          <w:b/>
          <w:szCs w:val="24"/>
          <w:lang w:val="en-AU"/>
        </w:rPr>
        <w:t>5</w:t>
      </w:r>
      <w:r w:rsidRPr="008B3D24">
        <w:rPr>
          <w:rStyle w:val="CommentReference"/>
          <w:b/>
          <w:szCs w:val="24"/>
          <w:lang w:val="en-AU"/>
        </w:rPr>
        <w:t>: Treatment response rates at Week 16 (NRI) for ITT population in COAST-V</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gridCol w:w="1134"/>
        <w:gridCol w:w="1559"/>
        <w:gridCol w:w="1560"/>
        <w:gridCol w:w="1657"/>
      </w:tblGrid>
      <w:tr w:rsidR="00250F30" w:rsidRPr="008B3D24" w:rsidTr="00EC697D">
        <w:trPr>
          <w:tblHeader/>
        </w:trPr>
        <w:tc>
          <w:tcPr>
            <w:tcW w:w="846" w:type="dxa"/>
            <w:vMerge w:val="restart"/>
          </w:tcPr>
          <w:p w:rsidR="00250F30" w:rsidRPr="008B3D24" w:rsidRDefault="00250F30" w:rsidP="009452DA">
            <w:pPr>
              <w:pStyle w:val="TableText0"/>
            </w:pPr>
          </w:p>
        </w:tc>
        <w:tc>
          <w:tcPr>
            <w:tcW w:w="1134" w:type="dxa"/>
            <w:vMerge w:val="restart"/>
            <w:vAlign w:val="center"/>
          </w:tcPr>
          <w:p w:rsidR="00250F30" w:rsidRPr="008B3D24" w:rsidRDefault="00250F30" w:rsidP="009452DA">
            <w:pPr>
              <w:pStyle w:val="TableText0"/>
              <w:jc w:val="center"/>
              <w:rPr>
                <w:b/>
                <w:bCs w:val="0"/>
              </w:rPr>
            </w:pPr>
            <w:r w:rsidRPr="008B3D24">
              <w:rPr>
                <w:b/>
                <w:bCs w:val="0"/>
              </w:rPr>
              <w:t>IXEQ4W</w:t>
            </w:r>
          </w:p>
          <w:p w:rsidR="00250F30" w:rsidRPr="008B3D24" w:rsidRDefault="00250F30" w:rsidP="009452DA">
            <w:pPr>
              <w:pStyle w:val="TableText0"/>
              <w:jc w:val="center"/>
              <w:rPr>
                <w:b/>
                <w:bCs w:val="0"/>
              </w:rPr>
            </w:pPr>
            <w:r w:rsidRPr="008B3D24">
              <w:rPr>
                <w:b/>
                <w:bCs w:val="0"/>
              </w:rPr>
              <w:t>n/N (%)</w:t>
            </w:r>
          </w:p>
        </w:tc>
        <w:tc>
          <w:tcPr>
            <w:tcW w:w="1134" w:type="dxa"/>
            <w:vMerge w:val="restart"/>
            <w:vAlign w:val="center"/>
          </w:tcPr>
          <w:p w:rsidR="00250F30" w:rsidRPr="008B3D24" w:rsidRDefault="00250F30" w:rsidP="009452DA">
            <w:pPr>
              <w:pStyle w:val="TableText0"/>
              <w:jc w:val="center"/>
              <w:rPr>
                <w:b/>
                <w:bCs w:val="0"/>
              </w:rPr>
            </w:pPr>
            <w:r w:rsidRPr="008B3D24">
              <w:rPr>
                <w:b/>
                <w:bCs w:val="0"/>
              </w:rPr>
              <w:t>ADA</w:t>
            </w:r>
          </w:p>
          <w:p w:rsidR="00250F30" w:rsidRPr="008B3D24" w:rsidRDefault="00250F30" w:rsidP="009452DA">
            <w:pPr>
              <w:pStyle w:val="TableText0"/>
              <w:jc w:val="center"/>
              <w:rPr>
                <w:b/>
                <w:bCs w:val="0"/>
              </w:rPr>
            </w:pPr>
            <w:r w:rsidRPr="008B3D24">
              <w:rPr>
                <w:b/>
                <w:bCs w:val="0"/>
              </w:rPr>
              <w:t>n/N (%)</w:t>
            </w:r>
          </w:p>
        </w:tc>
        <w:tc>
          <w:tcPr>
            <w:tcW w:w="1134" w:type="dxa"/>
            <w:vMerge w:val="restart"/>
            <w:vAlign w:val="center"/>
          </w:tcPr>
          <w:p w:rsidR="00250F30" w:rsidRPr="008B3D24" w:rsidRDefault="00250F30" w:rsidP="009452DA">
            <w:pPr>
              <w:pStyle w:val="TableText0"/>
              <w:jc w:val="center"/>
              <w:rPr>
                <w:b/>
                <w:bCs w:val="0"/>
              </w:rPr>
            </w:pPr>
            <w:r w:rsidRPr="008B3D24">
              <w:rPr>
                <w:b/>
                <w:bCs w:val="0"/>
              </w:rPr>
              <w:t>PBO</w:t>
            </w:r>
          </w:p>
          <w:p w:rsidR="00250F30" w:rsidRPr="008B3D24" w:rsidRDefault="00250F30" w:rsidP="009452DA">
            <w:pPr>
              <w:pStyle w:val="TableText0"/>
              <w:jc w:val="center"/>
              <w:rPr>
                <w:b/>
                <w:bCs w:val="0"/>
              </w:rPr>
            </w:pPr>
            <w:r w:rsidRPr="008B3D24">
              <w:rPr>
                <w:b/>
                <w:bCs w:val="0"/>
              </w:rPr>
              <w:t>n/N (%)</w:t>
            </w:r>
          </w:p>
        </w:tc>
        <w:tc>
          <w:tcPr>
            <w:tcW w:w="4776" w:type="dxa"/>
            <w:gridSpan w:val="3"/>
            <w:tcBorders>
              <w:bottom w:val="single" w:sz="4" w:space="0" w:color="auto"/>
            </w:tcBorders>
          </w:tcPr>
          <w:p w:rsidR="00250F30" w:rsidRPr="008B3D24" w:rsidRDefault="00250F30" w:rsidP="009452DA">
            <w:pPr>
              <w:pStyle w:val="TableText0"/>
              <w:jc w:val="center"/>
              <w:rPr>
                <w:b/>
                <w:bCs w:val="0"/>
              </w:rPr>
            </w:pPr>
            <w:r w:rsidRPr="008B3D24">
              <w:rPr>
                <w:b/>
                <w:bCs w:val="0"/>
              </w:rPr>
              <w:t>IXEQ4W vs</w:t>
            </w:r>
            <w:r w:rsidR="00A15191" w:rsidRPr="008B3D24">
              <w:rPr>
                <w:b/>
                <w:bCs w:val="0"/>
              </w:rPr>
              <w:t>.</w:t>
            </w:r>
            <w:r w:rsidRPr="008B3D24">
              <w:rPr>
                <w:b/>
                <w:bCs w:val="0"/>
              </w:rPr>
              <w:t xml:space="preserve"> ADA </w:t>
            </w:r>
          </w:p>
        </w:tc>
      </w:tr>
      <w:tr w:rsidR="00250F30" w:rsidRPr="008B3D24" w:rsidTr="00EC697D">
        <w:tc>
          <w:tcPr>
            <w:tcW w:w="846" w:type="dxa"/>
            <w:vMerge/>
          </w:tcPr>
          <w:p w:rsidR="00250F30" w:rsidRPr="008B3D24" w:rsidRDefault="00250F30" w:rsidP="009452DA">
            <w:pPr>
              <w:pStyle w:val="TableText0"/>
            </w:pPr>
          </w:p>
        </w:tc>
        <w:tc>
          <w:tcPr>
            <w:tcW w:w="1134" w:type="dxa"/>
            <w:vMerge/>
            <w:vAlign w:val="center"/>
          </w:tcPr>
          <w:p w:rsidR="00250F30" w:rsidRPr="008B3D24" w:rsidRDefault="00250F30" w:rsidP="009452DA">
            <w:pPr>
              <w:pStyle w:val="TableText0"/>
            </w:pPr>
          </w:p>
        </w:tc>
        <w:tc>
          <w:tcPr>
            <w:tcW w:w="1134" w:type="dxa"/>
            <w:vMerge/>
            <w:vAlign w:val="center"/>
          </w:tcPr>
          <w:p w:rsidR="00250F30" w:rsidRPr="008B3D24" w:rsidRDefault="00250F30" w:rsidP="009452DA">
            <w:pPr>
              <w:pStyle w:val="TableText0"/>
            </w:pPr>
          </w:p>
        </w:tc>
        <w:tc>
          <w:tcPr>
            <w:tcW w:w="1134" w:type="dxa"/>
            <w:vMerge/>
          </w:tcPr>
          <w:p w:rsidR="00250F30" w:rsidRPr="008B3D24" w:rsidRDefault="00250F30" w:rsidP="009452DA">
            <w:pPr>
              <w:pStyle w:val="TableText0"/>
              <w:rPr>
                <w:b/>
              </w:rPr>
            </w:pPr>
          </w:p>
        </w:tc>
        <w:tc>
          <w:tcPr>
            <w:tcW w:w="1559" w:type="dxa"/>
            <w:vAlign w:val="center"/>
          </w:tcPr>
          <w:p w:rsidR="00250F30" w:rsidRPr="008B3D24" w:rsidRDefault="00250F30" w:rsidP="009452DA">
            <w:pPr>
              <w:pStyle w:val="TableText0"/>
              <w:jc w:val="center"/>
              <w:rPr>
                <w:b/>
              </w:rPr>
            </w:pPr>
            <w:r w:rsidRPr="008B3D24">
              <w:rPr>
                <w:b/>
              </w:rPr>
              <w:t xml:space="preserve">RD (95% CI) </w:t>
            </w:r>
            <w:r w:rsidRPr="008B3D24">
              <w:rPr>
                <w:b/>
                <w:vertAlign w:val="superscript"/>
              </w:rPr>
              <w:t>a</w:t>
            </w:r>
          </w:p>
        </w:tc>
        <w:tc>
          <w:tcPr>
            <w:tcW w:w="1560" w:type="dxa"/>
            <w:vAlign w:val="center"/>
          </w:tcPr>
          <w:p w:rsidR="00250F30" w:rsidRPr="008B3D24" w:rsidRDefault="00250F30" w:rsidP="009452DA">
            <w:pPr>
              <w:pStyle w:val="TableText0"/>
              <w:jc w:val="center"/>
              <w:rPr>
                <w:b/>
              </w:rPr>
            </w:pPr>
            <w:r w:rsidRPr="008B3D24">
              <w:rPr>
                <w:b/>
              </w:rPr>
              <w:t xml:space="preserve">RR (95% CI) </w:t>
            </w:r>
            <w:r w:rsidRPr="008B3D24">
              <w:rPr>
                <w:b/>
                <w:vertAlign w:val="superscript"/>
              </w:rPr>
              <w:t>a</w:t>
            </w:r>
          </w:p>
        </w:tc>
        <w:tc>
          <w:tcPr>
            <w:tcW w:w="1657" w:type="dxa"/>
            <w:vAlign w:val="center"/>
          </w:tcPr>
          <w:p w:rsidR="00250F30" w:rsidRPr="008B3D24" w:rsidRDefault="00250F30" w:rsidP="009452DA">
            <w:pPr>
              <w:pStyle w:val="TableText0"/>
              <w:jc w:val="center"/>
              <w:rPr>
                <w:b/>
              </w:rPr>
            </w:pPr>
            <w:r w:rsidRPr="008B3D24">
              <w:rPr>
                <w:b/>
              </w:rPr>
              <w:t>OR (95% CI)</w:t>
            </w:r>
            <w:r w:rsidRPr="008B3D24">
              <w:rPr>
                <w:b/>
                <w:vertAlign w:val="superscript"/>
              </w:rPr>
              <w:t xml:space="preserve"> </w:t>
            </w:r>
          </w:p>
        </w:tc>
      </w:tr>
      <w:tr w:rsidR="00250F30" w:rsidRPr="008B3D24" w:rsidTr="009452DA">
        <w:tc>
          <w:tcPr>
            <w:tcW w:w="9024" w:type="dxa"/>
            <w:gridSpan w:val="7"/>
            <w:vAlign w:val="center"/>
          </w:tcPr>
          <w:p w:rsidR="00250F30" w:rsidRPr="008B3D24" w:rsidRDefault="00250F30" w:rsidP="009452DA">
            <w:pPr>
              <w:pStyle w:val="TableText0"/>
            </w:pPr>
            <w:r w:rsidRPr="008B3D24">
              <w:rPr>
                <w:b/>
              </w:rPr>
              <w:t>ASAS20</w:t>
            </w:r>
          </w:p>
        </w:tc>
      </w:tr>
      <w:tr w:rsidR="00250F30" w:rsidRPr="008B3D24" w:rsidTr="00EC697D">
        <w:tc>
          <w:tcPr>
            <w:tcW w:w="846" w:type="dxa"/>
            <w:vAlign w:val="center"/>
          </w:tcPr>
          <w:p w:rsidR="00250F30" w:rsidRPr="008B3D24" w:rsidRDefault="00250F30" w:rsidP="009452DA">
            <w:pPr>
              <w:pStyle w:val="TableText0"/>
            </w:pPr>
            <w:r w:rsidRPr="008B3D24">
              <w:t>ITT</w:t>
            </w:r>
          </w:p>
        </w:tc>
        <w:tc>
          <w:tcPr>
            <w:tcW w:w="1134" w:type="dxa"/>
            <w:vAlign w:val="center"/>
          </w:tcPr>
          <w:p w:rsidR="00250F30" w:rsidRPr="008B3D24" w:rsidRDefault="00250F30" w:rsidP="009452DA">
            <w:pPr>
              <w:pStyle w:val="TableText0"/>
              <w:jc w:val="center"/>
            </w:pPr>
            <w:r w:rsidRPr="008B3D24">
              <w:t>52/81 (64)</w:t>
            </w:r>
          </w:p>
        </w:tc>
        <w:tc>
          <w:tcPr>
            <w:tcW w:w="1134" w:type="dxa"/>
            <w:vAlign w:val="center"/>
          </w:tcPr>
          <w:p w:rsidR="00250F30" w:rsidRPr="008B3D24" w:rsidRDefault="00250F30" w:rsidP="009452DA">
            <w:pPr>
              <w:pStyle w:val="TableText0"/>
              <w:jc w:val="center"/>
            </w:pPr>
            <w:r w:rsidRPr="008B3D24">
              <w:t>53/90 (59)</w:t>
            </w:r>
          </w:p>
        </w:tc>
        <w:tc>
          <w:tcPr>
            <w:tcW w:w="1134" w:type="dxa"/>
            <w:vAlign w:val="center"/>
          </w:tcPr>
          <w:p w:rsidR="00250F30" w:rsidRPr="008B3D24" w:rsidRDefault="00250F30" w:rsidP="009452DA">
            <w:pPr>
              <w:pStyle w:val="TableText0"/>
              <w:jc w:val="center"/>
            </w:pPr>
            <w:r w:rsidRPr="008B3D24">
              <w:t>35/87 (40)</w:t>
            </w:r>
          </w:p>
        </w:tc>
        <w:tc>
          <w:tcPr>
            <w:tcW w:w="1559" w:type="dxa"/>
            <w:vAlign w:val="center"/>
          </w:tcPr>
          <w:p w:rsidR="00250F30" w:rsidRPr="008B3D24" w:rsidRDefault="00250F30" w:rsidP="009452DA">
            <w:pPr>
              <w:pStyle w:val="TableText0"/>
              <w:jc w:val="center"/>
            </w:pPr>
            <w:r w:rsidRPr="008B3D24">
              <w:t>5.3 (-9.3,19.9)</w:t>
            </w:r>
          </w:p>
        </w:tc>
        <w:tc>
          <w:tcPr>
            <w:tcW w:w="1560" w:type="dxa"/>
            <w:vAlign w:val="center"/>
          </w:tcPr>
          <w:p w:rsidR="00250F30" w:rsidRPr="008B3D24" w:rsidRDefault="00250F30" w:rsidP="009452DA">
            <w:pPr>
              <w:pStyle w:val="TableText0"/>
              <w:jc w:val="center"/>
            </w:pPr>
            <w:r w:rsidRPr="008B3D24">
              <w:t>1.09 (0.86,1.38)</w:t>
            </w:r>
          </w:p>
        </w:tc>
        <w:tc>
          <w:tcPr>
            <w:tcW w:w="1657" w:type="dxa"/>
            <w:vAlign w:val="center"/>
          </w:tcPr>
          <w:p w:rsidR="00250F30" w:rsidRPr="008B3D24" w:rsidRDefault="00250F30" w:rsidP="009452DA">
            <w:pPr>
              <w:pStyle w:val="TableText0"/>
              <w:jc w:val="center"/>
            </w:pPr>
            <w:r w:rsidRPr="008B3D24">
              <w:t xml:space="preserve">1.21 (0.65, 2.26) </w:t>
            </w:r>
            <w:r w:rsidRPr="008B3D24">
              <w:rPr>
                <w:bCs w:val="0"/>
                <w:vertAlign w:val="superscript"/>
              </w:rPr>
              <w:t>b</w:t>
            </w:r>
          </w:p>
        </w:tc>
      </w:tr>
      <w:tr w:rsidR="00250F30" w:rsidRPr="008B3D24" w:rsidTr="009452DA">
        <w:tc>
          <w:tcPr>
            <w:tcW w:w="9024" w:type="dxa"/>
            <w:gridSpan w:val="7"/>
            <w:vAlign w:val="center"/>
          </w:tcPr>
          <w:p w:rsidR="00250F30" w:rsidRPr="008B3D24" w:rsidRDefault="00250F30" w:rsidP="009452DA">
            <w:pPr>
              <w:pStyle w:val="TableText0"/>
            </w:pPr>
            <w:r w:rsidRPr="008B3D24">
              <w:rPr>
                <w:b/>
              </w:rPr>
              <w:t>ASAS40</w:t>
            </w:r>
          </w:p>
        </w:tc>
      </w:tr>
      <w:tr w:rsidR="00250F30" w:rsidRPr="008B3D24" w:rsidTr="00EC697D">
        <w:tc>
          <w:tcPr>
            <w:tcW w:w="846" w:type="dxa"/>
            <w:vAlign w:val="center"/>
          </w:tcPr>
          <w:p w:rsidR="00250F30" w:rsidRPr="008B3D24" w:rsidRDefault="00250F30" w:rsidP="009452DA">
            <w:pPr>
              <w:pStyle w:val="TableText0"/>
            </w:pPr>
            <w:r w:rsidRPr="008B3D24">
              <w:t>ITT</w:t>
            </w:r>
          </w:p>
        </w:tc>
        <w:tc>
          <w:tcPr>
            <w:tcW w:w="1134" w:type="dxa"/>
            <w:vAlign w:val="center"/>
          </w:tcPr>
          <w:p w:rsidR="00250F30" w:rsidRPr="008B3D24" w:rsidRDefault="00250F30" w:rsidP="009452DA">
            <w:pPr>
              <w:pStyle w:val="TableText0"/>
              <w:jc w:val="center"/>
            </w:pPr>
            <w:r w:rsidRPr="008B3D24">
              <w:t>39/81 (48)</w:t>
            </w:r>
          </w:p>
        </w:tc>
        <w:tc>
          <w:tcPr>
            <w:tcW w:w="1134" w:type="dxa"/>
            <w:vAlign w:val="center"/>
          </w:tcPr>
          <w:p w:rsidR="00250F30" w:rsidRPr="008B3D24" w:rsidRDefault="00250F30" w:rsidP="009452DA">
            <w:pPr>
              <w:pStyle w:val="TableText0"/>
              <w:jc w:val="center"/>
            </w:pPr>
            <w:r w:rsidRPr="008B3D24">
              <w:t>32/90(36)</w:t>
            </w:r>
          </w:p>
        </w:tc>
        <w:tc>
          <w:tcPr>
            <w:tcW w:w="1134" w:type="dxa"/>
            <w:vAlign w:val="center"/>
          </w:tcPr>
          <w:p w:rsidR="00250F30" w:rsidRPr="008B3D24" w:rsidRDefault="00250F30" w:rsidP="009452DA">
            <w:pPr>
              <w:pStyle w:val="TableText0"/>
              <w:jc w:val="center"/>
            </w:pPr>
            <w:r w:rsidRPr="008B3D24">
              <w:t>16/87 (18)</w:t>
            </w:r>
          </w:p>
        </w:tc>
        <w:tc>
          <w:tcPr>
            <w:tcW w:w="1559" w:type="dxa"/>
            <w:vAlign w:val="center"/>
          </w:tcPr>
          <w:p w:rsidR="00250F30" w:rsidRPr="008B3D24" w:rsidRDefault="00250F30" w:rsidP="009452DA">
            <w:pPr>
              <w:pStyle w:val="TableText0"/>
              <w:jc w:val="center"/>
            </w:pPr>
            <w:r w:rsidRPr="008B3D24">
              <w:t>12.6 (-2.1, 27.3)</w:t>
            </w:r>
          </w:p>
        </w:tc>
        <w:tc>
          <w:tcPr>
            <w:tcW w:w="1560" w:type="dxa"/>
            <w:vAlign w:val="center"/>
          </w:tcPr>
          <w:p w:rsidR="00250F30" w:rsidRPr="008B3D24" w:rsidRDefault="00250F30" w:rsidP="009452DA">
            <w:pPr>
              <w:pStyle w:val="TableText0"/>
              <w:jc w:val="center"/>
            </w:pPr>
            <w:r w:rsidRPr="008B3D24">
              <w:t>1.35 (0.95, 1.94)</w:t>
            </w:r>
          </w:p>
        </w:tc>
        <w:tc>
          <w:tcPr>
            <w:tcW w:w="1657" w:type="dxa"/>
            <w:vAlign w:val="center"/>
          </w:tcPr>
          <w:p w:rsidR="00250F30" w:rsidRPr="008B3D24" w:rsidRDefault="00250F30" w:rsidP="009452DA">
            <w:pPr>
              <w:pStyle w:val="TableText0"/>
              <w:jc w:val="center"/>
            </w:pPr>
            <w:r w:rsidRPr="008B3D24">
              <w:t xml:space="preserve">1.63 (0.88, 3.04) </w:t>
            </w:r>
            <w:r w:rsidRPr="008B3D24">
              <w:rPr>
                <w:bCs w:val="0"/>
                <w:vertAlign w:val="superscript"/>
              </w:rPr>
              <w:t>b</w:t>
            </w:r>
          </w:p>
        </w:tc>
      </w:tr>
      <w:tr w:rsidR="00250F30" w:rsidRPr="008B3D24" w:rsidTr="009452DA">
        <w:tc>
          <w:tcPr>
            <w:tcW w:w="9024" w:type="dxa"/>
            <w:gridSpan w:val="7"/>
          </w:tcPr>
          <w:p w:rsidR="00250F30" w:rsidRPr="008B3D24" w:rsidRDefault="00B01838" w:rsidP="009452DA">
            <w:pPr>
              <w:pStyle w:val="TableText0"/>
            </w:pPr>
            <w:r w:rsidRPr="008B3D24">
              <w:rPr>
                <w:b/>
              </w:rPr>
              <w:t>BASDAI 50</w:t>
            </w:r>
          </w:p>
        </w:tc>
      </w:tr>
      <w:tr w:rsidR="00250F30" w:rsidRPr="008B3D24" w:rsidTr="00EC697D">
        <w:tc>
          <w:tcPr>
            <w:tcW w:w="846" w:type="dxa"/>
            <w:vAlign w:val="center"/>
          </w:tcPr>
          <w:p w:rsidR="00250F30" w:rsidRPr="008B3D24" w:rsidRDefault="00250F30" w:rsidP="009452DA">
            <w:pPr>
              <w:pStyle w:val="TableText0"/>
            </w:pPr>
            <w:r w:rsidRPr="008B3D24">
              <w:t>ITT</w:t>
            </w:r>
          </w:p>
        </w:tc>
        <w:tc>
          <w:tcPr>
            <w:tcW w:w="1134" w:type="dxa"/>
            <w:vAlign w:val="center"/>
          </w:tcPr>
          <w:p w:rsidR="00250F30" w:rsidRPr="008B3D24" w:rsidRDefault="00250F30" w:rsidP="009452DA">
            <w:pPr>
              <w:pStyle w:val="TableText0"/>
              <w:jc w:val="center"/>
            </w:pPr>
            <w:r w:rsidRPr="008B3D24">
              <w:t>34/81 (42)</w:t>
            </w:r>
          </w:p>
        </w:tc>
        <w:tc>
          <w:tcPr>
            <w:tcW w:w="1134" w:type="dxa"/>
            <w:vAlign w:val="center"/>
          </w:tcPr>
          <w:p w:rsidR="00250F30" w:rsidRPr="008B3D24" w:rsidRDefault="00250F30" w:rsidP="009452DA">
            <w:pPr>
              <w:pStyle w:val="TableText0"/>
              <w:jc w:val="center"/>
            </w:pPr>
            <w:r w:rsidRPr="008B3D24">
              <w:t>29/90 (32)</w:t>
            </w:r>
          </w:p>
        </w:tc>
        <w:tc>
          <w:tcPr>
            <w:tcW w:w="1134" w:type="dxa"/>
            <w:vAlign w:val="center"/>
          </w:tcPr>
          <w:p w:rsidR="00250F30" w:rsidRPr="008B3D24" w:rsidRDefault="00250F30" w:rsidP="009452DA">
            <w:pPr>
              <w:pStyle w:val="TableText0"/>
              <w:jc w:val="center"/>
            </w:pPr>
            <w:r w:rsidRPr="008B3D24">
              <w:t>15/87 (17)</w:t>
            </w:r>
          </w:p>
        </w:tc>
        <w:tc>
          <w:tcPr>
            <w:tcW w:w="1559" w:type="dxa"/>
            <w:vAlign w:val="center"/>
          </w:tcPr>
          <w:p w:rsidR="00250F30" w:rsidRPr="008B3D24" w:rsidRDefault="00250F30" w:rsidP="009452DA">
            <w:pPr>
              <w:pStyle w:val="TableText0"/>
              <w:jc w:val="center"/>
            </w:pPr>
            <w:r w:rsidRPr="008B3D24">
              <w:t>9.8 (-4.7, 24.2)</w:t>
            </w:r>
          </w:p>
        </w:tc>
        <w:tc>
          <w:tcPr>
            <w:tcW w:w="1560" w:type="dxa"/>
            <w:vAlign w:val="center"/>
          </w:tcPr>
          <w:p w:rsidR="00250F30" w:rsidRPr="008B3D24" w:rsidRDefault="00250F30" w:rsidP="009452DA">
            <w:pPr>
              <w:pStyle w:val="TableText0"/>
              <w:jc w:val="center"/>
            </w:pPr>
            <w:r w:rsidRPr="008B3D24">
              <w:t>1.30 (0.88, 1.93)</w:t>
            </w:r>
          </w:p>
        </w:tc>
        <w:tc>
          <w:tcPr>
            <w:tcW w:w="1657" w:type="dxa"/>
            <w:vAlign w:val="center"/>
          </w:tcPr>
          <w:p w:rsidR="00250F30" w:rsidRPr="008B3D24" w:rsidRDefault="00250F30" w:rsidP="009452DA">
            <w:pPr>
              <w:pStyle w:val="TableText0"/>
              <w:jc w:val="center"/>
            </w:pPr>
            <w:r w:rsidRPr="008B3D24">
              <w:t xml:space="preserve">1.48 (0.79, 2.79) </w:t>
            </w:r>
            <w:r w:rsidRPr="008B3D24">
              <w:rPr>
                <w:bCs w:val="0"/>
                <w:vertAlign w:val="superscript"/>
              </w:rPr>
              <w:t>b</w:t>
            </w:r>
          </w:p>
        </w:tc>
      </w:tr>
      <w:tr w:rsidR="00250F30" w:rsidRPr="008B3D24" w:rsidTr="009452DA">
        <w:tc>
          <w:tcPr>
            <w:tcW w:w="9024" w:type="dxa"/>
            <w:gridSpan w:val="7"/>
            <w:vAlign w:val="center"/>
          </w:tcPr>
          <w:p w:rsidR="00250F30" w:rsidRPr="008B3D24" w:rsidRDefault="00250F30" w:rsidP="009452DA">
            <w:pPr>
              <w:pStyle w:val="TableText0"/>
              <w:rPr>
                <w:b/>
                <w:iCs/>
              </w:rPr>
            </w:pPr>
            <w:r w:rsidRPr="008B3D24">
              <w:rPr>
                <w:b/>
                <w:bCs w:val="0"/>
                <w:iCs/>
              </w:rPr>
              <w:t xml:space="preserve">ASDAS clinical improvement (≥ </w:t>
            </w:r>
            <w:r w:rsidR="0047325E" w:rsidRPr="008B3D24">
              <w:rPr>
                <w:b/>
                <w:bCs w:val="0"/>
                <w:iCs/>
              </w:rPr>
              <w:t>1.1-point improvement</w:t>
            </w:r>
            <w:r w:rsidRPr="008B3D24">
              <w:rPr>
                <w:b/>
                <w:bCs w:val="0"/>
                <w:iCs/>
              </w:rPr>
              <w:t>)</w:t>
            </w:r>
          </w:p>
        </w:tc>
      </w:tr>
      <w:tr w:rsidR="00250F30" w:rsidRPr="008B3D24" w:rsidTr="00EC697D">
        <w:tc>
          <w:tcPr>
            <w:tcW w:w="846" w:type="dxa"/>
            <w:vAlign w:val="center"/>
          </w:tcPr>
          <w:p w:rsidR="00250F30" w:rsidRPr="008B3D24" w:rsidRDefault="00250F30" w:rsidP="009452DA">
            <w:pPr>
              <w:pStyle w:val="TableText0"/>
              <w:rPr>
                <w:iCs/>
              </w:rPr>
            </w:pPr>
            <w:r w:rsidRPr="008B3D24">
              <w:rPr>
                <w:iCs/>
              </w:rPr>
              <w:t>ITT</w:t>
            </w:r>
          </w:p>
        </w:tc>
        <w:tc>
          <w:tcPr>
            <w:tcW w:w="1134" w:type="dxa"/>
            <w:vAlign w:val="center"/>
          </w:tcPr>
          <w:p w:rsidR="00250F30" w:rsidRPr="008B3D24" w:rsidRDefault="00250F30" w:rsidP="009452DA">
            <w:pPr>
              <w:pStyle w:val="TableText0"/>
              <w:jc w:val="center"/>
              <w:rPr>
                <w:iCs/>
              </w:rPr>
            </w:pPr>
            <w:r w:rsidRPr="008B3D24">
              <w:rPr>
                <w:iCs/>
              </w:rPr>
              <w:t>50/81 (62)</w:t>
            </w:r>
          </w:p>
        </w:tc>
        <w:tc>
          <w:tcPr>
            <w:tcW w:w="1134" w:type="dxa"/>
            <w:vAlign w:val="center"/>
          </w:tcPr>
          <w:p w:rsidR="00250F30" w:rsidRPr="008B3D24" w:rsidRDefault="00250F30" w:rsidP="009452DA">
            <w:pPr>
              <w:pStyle w:val="TableText0"/>
              <w:jc w:val="center"/>
              <w:rPr>
                <w:iCs/>
              </w:rPr>
            </w:pPr>
            <w:r w:rsidRPr="008B3D24">
              <w:rPr>
                <w:iCs/>
              </w:rPr>
              <w:t>49/90 (54)</w:t>
            </w:r>
          </w:p>
        </w:tc>
        <w:tc>
          <w:tcPr>
            <w:tcW w:w="1134" w:type="dxa"/>
            <w:vAlign w:val="center"/>
          </w:tcPr>
          <w:p w:rsidR="00250F30" w:rsidRPr="008B3D24" w:rsidRDefault="00250F30" w:rsidP="009452DA">
            <w:pPr>
              <w:pStyle w:val="TableText0"/>
              <w:jc w:val="center"/>
              <w:rPr>
                <w:iCs/>
              </w:rPr>
            </w:pPr>
            <w:r w:rsidRPr="008B3D24">
              <w:rPr>
                <w:iCs/>
              </w:rPr>
              <w:t>20/87 (23)</w:t>
            </w:r>
          </w:p>
        </w:tc>
        <w:tc>
          <w:tcPr>
            <w:tcW w:w="1559" w:type="dxa"/>
            <w:vAlign w:val="center"/>
          </w:tcPr>
          <w:p w:rsidR="00250F30" w:rsidRPr="008B3D24" w:rsidRDefault="00250F30" w:rsidP="009452DA">
            <w:pPr>
              <w:pStyle w:val="TableText0"/>
              <w:jc w:val="center"/>
              <w:rPr>
                <w:iCs/>
              </w:rPr>
            </w:pPr>
            <w:r w:rsidRPr="008B3D24">
              <w:rPr>
                <w:iCs/>
              </w:rPr>
              <w:t>7.</w:t>
            </w:r>
            <w:r w:rsidR="009A3DBF" w:rsidRPr="008B3D24">
              <w:rPr>
                <w:iCs/>
              </w:rPr>
              <w:t>3</w:t>
            </w:r>
            <w:r w:rsidRPr="008B3D24">
              <w:rPr>
                <w:iCs/>
              </w:rPr>
              <w:t xml:space="preserve"> (-7.5, 22)</w:t>
            </w:r>
            <w:r w:rsidRPr="008B3D24">
              <w:rPr>
                <w:iCs/>
                <w:vertAlign w:val="superscript"/>
              </w:rPr>
              <w:t xml:space="preserve"> c</w:t>
            </w:r>
          </w:p>
        </w:tc>
        <w:tc>
          <w:tcPr>
            <w:tcW w:w="1560" w:type="dxa"/>
            <w:vAlign w:val="center"/>
          </w:tcPr>
          <w:p w:rsidR="00250F30" w:rsidRPr="008B3D24" w:rsidRDefault="00250F30" w:rsidP="009452DA">
            <w:pPr>
              <w:pStyle w:val="TableText0"/>
              <w:jc w:val="center"/>
              <w:rPr>
                <w:iCs/>
              </w:rPr>
            </w:pPr>
            <w:r w:rsidRPr="008B3D24">
              <w:rPr>
                <w:iCs/>
              </w:rPr>
              <w:t>1.13 (0.88, 1.46)</w:t>
            </w:r>
            <w:r w:rsidRPr="008B3D24">
              <w:rPr>
                <w:iCs/>
                <w:vertAlign w:val="superscript"/>
              </w:rPr>
              <w:t xml:space="preserve"> c</w:t>
            </w:r>
          </w:p>
        </w:tc>
        <w:tc>
          <w:tcPr>
            <w:tcW w:w="1657" w:type="dxa"/>
            <w:vAlign w:val="center"/>
          </w:tcPr>
          <w:p w:rsidR="00250F30" w:rsidRPr="008B3D24" w:rsidRDefault="00250F30" w:rsidP="009452DA">
            <w:pPr>
              <w:pStyle w:val="TableText0"/>
              <w:jc w:val="center"/>
              <w:rPr>
                <w:iCs/>
              </w:rPr>
            </w:pPr>
            <w:r w:rsidRPr="008B3D24">
              <w:rPr>
                <w:iCs/>
              </w:rPr>
              <w:t>1.35 (0.73, 2.49)</w:t>
            </w:r>
            <w:r w:rsidRPr="008B3D24">
              <w:rPr>
                <w:iCs/>
                <w:vertAlign w:val="superscript"/>
              </w:rPr>
              <w:t xml:space="preserve"> c</w:t>
            </w:r>
          </w:p>
        </w:tc>
      </w:tr>
      <w:tr w:rsidR="00250F30" w:rsidRPr="008B3D24" w:rsidTr="009452DA">
        <w:tc>
          <w:tcPr>
            <w:tcW w:w="9024" w:type="dxa"/>
            <w:gridSpan w:val="7"/>
            <w:vAlign w:val="center"/>
          </w:tcPr>
          <w:p w:rsidR="00250F30" w:rsidRPr="008B3D24" w:rsidRDefault="00250F30" w:rsidP="009452DA">
            <w:pPr>
              <w:pStyle w:val="TableText0"/>
              <w:rPr>
                <w:b/>
                <w:bCs w:val="0"/>
                <w:iCs/>
              </w:rPr>
            </w:pPr>
            <w:r w:rsidRPr="008B3D24">
              <w:rPr>
                <w:b/>
                <w:bCs w:val="0"/>
                <w:iCs/>
              </w:rPr>
              <w:t>ASDAS inactive disease (</w:t>
            </w:r>
            <w:r w:rsidR="0047325E" w:rsidRPr="008B3D24">
              <w:rPr>
                <w:b/>
                <w:bCs w:val="0"/>
                <w:iCs/>
              </w:rPr>
              <w:t xml:space="preserve">ASDAS </w:t>
            </w:r>
            <w:r w:rsidRPr="008B3D24">
              <w:rPr>
                <w:b/>
                <w:bCs w:val="0"/>
                <w:iCs/>
              </w:rPr>
              <w:t>&lt;</w:t>
            </w:r>
            <w:r w:rsidR="000126EF" w:rsidRPr="008B3D24">
              <w:rPr>
                <w:b/>
                <w:bCs w:val="0"/>
                <w:iCs/>
              </w:rPr>
              <w:t xml:space="preserve"> </w:t>
            </w:r>
            <w:r w:rsidRPr="008B3D24">
              <w:rPr>
                <w:b/>
                <w:bCs w:val="0"/>
                <w:iCs/>
              </w:rPr>
              <w:t xml:space="preserve">1.3) </w:t>
            </w:r>
          </w:p>
        </w:tc>
      </w:tr>
      <w:tr w:rsidR="00250F30" w:rsidRPr="008B3D24" w:rsidTr="00EC697D">
        <w:tc>
          <w:tcPr>
            <w:tcW w:w="846" w:type="dxa"/>
            <w:vAlign w:val="center"/>
          </w:tcPr>
          <w:p w:rsidR="00250F30" w:rsidRPr="008B3D24" w:rsidRDefault="00250F30" w:rsidP="009452DA">
            <w:pPr>
              <w:pStyle w:val="TableText0"/>
              <w:rPr>
                <w:iCs/>
              </w:rPr>
            </w:pPr>
            <w:r w:rsidRPr="008B3D24">
              <w:rPr>
                <w:iCs/>
              </w:rPr>
              <w:t>ITT</w:t>
            </w:r>
          </w:p>
        </w:tc>
        <w:tc>
          <w:tcPr>
            <w:tcW w:w="1134" w:type="dxa"/>
            <w:vAlign w:val="center"/>
          </w:tcPr>
          <w:p w:rsidR="00250F30" w:rsidRPr="008B3D24" w:rsidRDefault="00250F30" w:rsidP="009452DA">
            <w:pPr>
              <w:pStyle w:val="TableText0"/>
              <w:jc w:val="center"/>
              <w:rPr>
                <w:iCs/>
              </w:rPr>
            </w:pPr>
            <w:r w:rsidRPr="008B3D24">
              <w:rPr>
                <w:iCs/>
              </w:rPr>
              <w:t>13/81 (16)</w:t>
            </w:r>
          </w:p>
        </w:tc>
        <w:tc>
          <w:tcPr>
            <w:tcW w:w="1134" w:type="dxa"/>
            <w:vAlign w:val="center"/>
          </w:tcPr>
          <w:p w:rsidR="00250F30" w:rsidRPr="008B3D24" w:rsidRDefault="00250F30" w:rsidP="009452DA">
            <w:pPr>
              <w:pStyle w:val="TableText0"/>
              <w:jc w:val="center"/>
              <w:rPr>
                <w:iCs/>
              </w:rPr>
            </w:pPr>
            <w:r w:rsidRPr="008B3D24">
              <w:rPr>
                <w:iCs/>
              </w:rPr>
              <w:t>14/90 (16)</w:t>
            </w:r>
          </w:p>
        </w:tc>
        <w:tc>
          <w:tcPr>
            <w:tcW w:w="1134" w:type="dxa"/>
            <w:vAlign w:val="center"/>
          </w:tcPr>
          <w:p w:rsidR="00250F30" w:rsidRPr="008B3D24" w:rsidRDefault="00250F30" w:rsidP="009452DA">
            <w:pPr>
              <w:pStyle w:val="TableText0"/>
              <w:jc w:val="center"/>
              <w:rPr>
                <w:iCs/>
              </w:rPr>
            </w:pPr>
            <w:r w:rsidRPr="008B3D24">
              <w:rPr>
                <w:iCs/>
              </w:rPr>
              <w:t>2/87 (2)</w:t>
            </w:r>
          </w:p>
        </w:tc>
        <w:tc>
          <w:tcPr>
            <w:tcW w:w="1559" w:type="dxa"/>
            <w:vAlign w:val="center"/>
          </w:tcPr>
          <w:p w:rsidR="00250F30" w:rsidRPr="008B3D24" w:rsidRDefault="00250F30" w:rsidP="009452DA">
            <w:pPr>
              <w:pStyle w:val="TableText0"/>
              <w:jc w:val="center"/>
              <w:rPr>
                <w:iCs/>
              </w:rPr>
            </w:pPr>
            <w:r w:rsidRPr="008B3D24">
              <w:rPr>
                <w:iCs/>
              </w:rPr>
              <w:t>0.</w:t>
            </w:r>
            <w:r w:rsidR="009A3DBF" w:rsidRPr="008B3D24">
              <w:rPr>
                <w:iCs/>
              </w:rPr>
              <w:t>5</w:t>
            </w:r>
            <w:r w:rsidRPr="008B3D24">
              <w:rPr>
                <w:iCs/>
              </w:rPr>
              <w:t xml:space="preserve"> (-10.5,11.4)</w:t>
            </w:r>
            <w:r w:rsidRPr="008B3D24">
              <w:rPr>
                <w:iCs/>
                <w:vertAlign w:val="superscript"/>
              </w:rPr>
              <w:t xml:space="preserve"> c</w:t>
            </w:r>
          </w:p>
        </w:tc>
        <w:tc>
          <w:tcPr>
            <w:tcW w:w="1560" w:type="dxa"/>
            <w:vAlign w:val="center"/>
          </w:tcPr>
          <w:p w:rsidR="00250F30" w:rsidRPr="008B3D24" w:rsidRDefault="00250F30" w:rsidP="009452DA">
            <w:pPr>
              <w:pStyle w:val="TableText0"/>
              <w:rPr>
                <w:iCs/>
              </w:rPr>
            </w:pPr>
            <w:r w:rsidRPr="008B3D24">
              <w:rPr>
                <w:iCs/>
              </w:rPr>
              <w:t>1.03 (0.52, 2.06)</w:t>
            </w:r>
            <w:r w:rsidRPr="008B3D24">
              <w:rPr>
                <w:iCs/>
                <w:vertAlign w:val="superscript"/>
              </w:rPr>
              <w:t xml:space="preserve"> c</w:t>
            </w:r>
          </w:p>
        </w:tc>
        <w:tc>
          <w:tcPr>
            <w:tcW w:w="1657" w:type="dxa"/>
            <w:vAlign w:val="center"/>
          </w:tcPr>
          <w:p w:rsidR="00250F30" w:rsidRPr="008B3D24" w:rsidRDefault="00250F30" w:rsidP="009452DA">
            <w:pPr>
              <w:pStyle w:val="TableText0"/>
              <w:rPr>
                <w:iCs/>
              </w:rPr>
            </w:pPr>
            <w:r w:rsidRPr="008B3D24">
              <w:rPr>
                <w:iCs/>
              </w:rPr>
              <w:t>1.04 (0.46, 2.36)</w:t>
            </w:r>
            <w:r w:rsidRPr="008B3D24">
              <w:rPr>
                <w:iCs/>
                <w:vertAlign w:val="superscript"/>
              </w:rPr>
              <w:t xml:space="preserve"> c</w:t>
            </w:r>
          </w:p>
        </w:tc>
      </w:tr>
    </w:tbl>
    <w:p w:rsidR="00250F30" w:rsidRPr="008B3D24" w:rsidRDefault="00250F30" w:rsidP="00A22FDA">
      <w:pPr>
        <w:pStyle w:val="TableFigureFooter"/>
        <w:jc w:val="both"/>
      </w:pPr>
      <w:bookmarkStart w:id="18" w:name="_Hlk37836851"/>
      <w:r w:rsidRPr="008B3D24">
        <w:t>Source: Table 2.6-1 to Table 2.6-3, pp92-93</w:t>
      </w:r>
      <w:r w:rsidR="009A3DBF" w:rsidRPr="008B3D24">
        <w:t>, Table 2.5-6, p90</w:t>
      </w:r>
      <w:r w:rsidRPr="008B3D24">
        <w:t xml:space="preserve"> of the submission; </w:t>
      </w:r>
      <w:r w:rsidRPr="008B3D24">
        <w:rPr>
          <w:iCs/>
        </w:rPr>
        <w:t>Attachment 2.1 and 2.2; Table RHBV.14.18</w:t>
      </w:r>
      <w:r w:rsidR="00703624" w:rsidRPr="008B3D24">
        <w:rPr>
          <w:iCs/>
        </w:rPr>
        <w:t>,</w:t>
      </w:r>
      <w:r w:rsidRPr="008B3D24">
        <w:rPr>
          <w:iCs/>
        </w:rPr>
        <w:t xml:space="preserve"> pp338-345, Table RHBV 14.19</w:t>
      </w:r>
      <w:r w:rsidR="00703624" w:rsidRPr="008B3D24">
        <w:rPr>
          <w:iCs/>
        </w:rPr>
        <w:t>,</w:t>
      </w:r>
      <w:r w:rsidRPr="008B3D24">
        <w:rPr>
          <w:iCs/>
        </w:rPr>
        <w:t xml:space="preserve"> pp346-347, Table RHBV 14.40</w:t>
      </w:r>
      <w:r w:rsidR="00703624" w:rsidRPr="008B3D24">
        <w:rPr>
          <w:iCs/>
        </w:rPr>
        <w:t>,</w:t>
      </w:r>
      <w:r w:rsidRPr="008B3D24">
        <w:rPr>
          <w:iCs/>
        </w:rPr>
        <w:t xml:space="preserve"> pp580-592,</w:t>
      </w:r>
      <w:r w:rsidR="00404BAD" w:rsidRPr="008B3D24">
        <w:rPr>
          <w:iCs/>
        </w:rPr>
        <w:t xml:space="preserve"> </w:t>
      </w:r>
      <w:r w:rsidRPr="008B3D24">
        <w:rPr>
          <w:iCs/>
        </w:rPr>
        <w:t xml:space="preserve">Table </w:t>
      </w:r>
      <w:r w:rsidR="009A3DBF" w:rsidRPr="008B3D24">
        <w:rPr>
          <w:iCs/>
        </w:rPr>
        <w:t xml:space="preserve">RHBV </w:t>
      </w:r>
      <w:r w:rsidRPr="008B3D24">
        <w:rPr>
          <w:iCs/>
        </w:rPr>
        <w:t>14.34</w:t>
      </w:r>
      <w:r w:rsidR="00703624" w:rsidRPr="008B3D24">
        <w:rPr>
          <w:iCs/>
        </w:rPr>
        <w:t>,</w:t>
      </w:r>
      <w:r w:rsidRPr="008B3D24">
        <w:rPr>
          <w:iCs/>
        </w:rPr>
        <w:t xml:space="preserve"> pp542-547</w:t>
      </w:r>
      <w:r w:rsidR="00586335" w:rsidRPr="008B3D24">
        <w:rPr>
          <w:iCs/>
        </w:rPr>
        <w:t xml:space="preserve">, </w:t>
      </w:r>
      <w:r w:rsidRPr="008B3D24">
        <w:rPr>
          <w:iCs/>
        </w:rPr>
        <w:t xml:space="preserve">Table </w:t>
      </w:r>
      <w:r w:rsidR="009A3DBF" w:rsidRPr="008B3D24">
        <w:rPr>
          <w:iCs/>
        </w:rPr>
        <w:t xml:space="preserve">RHBV </w:t>
      </w:r>
      <w:r w:rsidRPr="008B3D24">
        <w:rPr>
          <w:iCs/>
        </w:rPr>
        <w:t>14.41</w:t>
      </w:r>
      <w:r w:rsidR="00703624" w:rsidRPr="008B3D24">
        <w:rPr>
          <w:iCs/>
        </w:rPr>
        <w:t>,</w:t>
      </w:r>
      <w:r w:rsidRPr="008B3D24">
        <w:rPr>
          <w:iCs/>
        </w:rPr>
        <w:t xml:space="preserve"> p598 and Table </w:t>
      </w:r>
      <w:r w:rsidR="009A3DBF" w:rsidRPr="008B3D24">
        <w:rPr>
          <w:iCs/>
        </w:rPr>
        <w:t xml:space="preserve">RHBV </w:t>
      </w:r>
      <w:r w:rsidRPr="008B3D24">
        <w:rPr>
          <w:iCs/>
        </w:rPr>
        <w:t>14.42</w:t>
      </w:r>
      <w:r w:rsidR="00703624" w:rsidRPr="008B3D24">
        <w:rPr>
          <w:iCs/>
        </w:rPr>
        <w:t>,</w:t>
      </w:r>
      <w:r w:rsidRPr="008B3D24">
        <w:rPr>
          <w:iCs/>
        </w:rPr>
        <w:t xml:space="preserve"> p605 of COAST-V CSR</w:t>
      </w:r>
    </w:p>
    <w:p w:rsidR="00250F30" w:rsidRPr="008B3D24" w:rsidRDefault="00250F30" w:rsidP="00A22FDA">
      <w:pPr>
        <w:pStyle w:val="TableFigureFooter"/>
        <w:jc w:val="both"/>
      </w:pPr>
      <w:r w:rsidRPr="008B3D24">
        <w:t>ADA = adalimumab 40 mg every 2 weeks; ASAS</w:t>
      </w:r>
      <w:r w:rsidR="00794EC9" w:rsidRPr="008B3D24">
        <w:t>20/40</w:t>
      </w:r>
      <w:r w:rsidRPr="008B3D24">
        <w:t xml:space="preserve"> = Assessment of </w:t>
      </w:r>
      <w:r w:rsidR="00F95524" w:rsidRPr="008B3D24">
        <w:t xml:space="preserve">SpondyloArthritis </w:t>
      </w:r>
      <w:r w:rsidR="009B2060" w:rsidRPr="008B3D24">
        <w:t xml:space="preserve">international </w:t>
      </w:r>
      <w:r w:rsidRPr="008B3D24">
        <w:t>Society</w:t>
      </w:r>
      <w:r w:rsidR="00794EC9" w:rsidRPr="008B3D24">
        <w:t xml:space="preserve"> 20%/40%</w:t>
      </w:r>
      <w:r w:rsidR="009B4541" w:rsidRPr="008B3D24">
        <w:t xml:space="preserve"> response criteria</w:t>
      </w:r>
      <w:r w:rsidRPr="008B3D24">
        <w:t xml:space="preserve">; </w:t>
      </w:r>
      <w:r w:rsidR="00794EC9" w:rsidRPr="008B3D24">
        <w:t xml:space="preserve">ASDAS = ankylosing spondylitis disease activity score; </w:t>
      </w:r>
      <w:r w:rsidR="00B01838" w:rsidRPr="008B3D24">
        <w:t>BASDAI 50</w:t>
      </w:r>
      <w:r w:rsidR="00794EC9" w:rsidRPr="008B3D24">
        <w:t xml:space="preserve"> = Bath ankylosing spondylitis disease activity index 50</w:t>
      </w:r>
      <w:r w:rsidR="002873E7" w:rsidRPr="008B3D24">
        <w:t>, defined as a ≥ 50% improvement in BASDAI score from baseline</w:t>
      </w:r>
      <w:r w:rsidR="00794EC9" w:rsidRPr="008B3D24">
        <w:t xml:space="preserve">; </w:t>
      </w:r>
      <w:r w:rsidRPr="008B3D24">
        <w:t>CI = confidence interval; CRP = C-reactive protein; ITT = intention-to-treat; IXEQ4W = ixekizumab 80 mg every 4 weeks; NRI = non-responder imputation; OR = odds ratio;</w:t>
      </w:r>
      <w:r w:rsidR="00586335" w:rsidRPr="008B3D24">
        <w:t xml:space="preserve"> PBO = placebo;</w:t>
      </w:r>
      <w:r w:rsidRPr="008B3D24">
        <w:t xml:space="preserve"> RD = risk difference; RR = relative risk</w:t>
      </w:r>
      <w:r w:rsidR="00A15191" w:rsidRPr="008B3D24">
        <w:t>; vs. = versus</w:t>
      </w:r>
      <w:r w:rsidRPr="008B3D24">
        <w:t xml:space="preserve"> </w:t>
      </w:r>
    </w:p>
    <w:p w:rsidR="00250F30" w:rsidRPr="008B3D24" w:rsidRDefault="00250F30" w:rsidP="00A22FDA">
      <w:pPr>
        <w:pStyle w:val="TableFigureFooter"/>
        <w:jc w:val="both"/>
      </w:pPr>
      <w:r w:rsidRPr="008B3D24">
        <w:rPr>
          <w:vertAlign w:val="superscript"/>
        </w:rPr>
        <w:t xml:space="preserve">a </w:t>
      </w:r>
      <w:r w:rsidRPr="008B3D24">
        <w:t>Risk difference and relative risk presented were unadjusted for covariates</w:t>
      </w:r>
      <w:r w:rsidR="00C62B59" w:rsidRPr="008B3D24">
        <w:t>.</w:t>
      </w:r>
    </w:p>
    <w:p w:rsidR="00250F30" w:rsidRPr="008B3D24" w:rsidRDefault="00250F30" w:rsidP="00A22FDA">
      <w:pPr>
        <w:pStyle w:val="TableFigureFooter"/>
        <w:jc w:val="both"/>
      </w:pPr>
      <w:r w:rsidRPr="008B3D24">
        <w:rPr>
          <w:vertAlign w:val="superscript"/>
        </w:rPr>
        <w:t xml:space="preserve">b </w:t>
      </w:r>
      <w:r w:rsidRPr="008B3D24">
        <w:t xml:space="preserve">Logistic regression analysis with treatment, geographic region and baseline CRP status as factors </w:t>
      </w:r>
    </w:p>
    <w:p w:rsidR="00250F30" w:rsidRPr="008B3D24" w:rsidRDefault="00250F30" w:rsidP="00A22FDA">
      <w:pPr>
        <w:pStyle w:val="TableFigureFooter"/>
        <w:jc w:val="both"/>
        <w:rPr>
          <w:iCs/>
        </w:rPr>
      </w:pPr>
      <w:r w:rsidRPr="008B3D24">
        <w:rPr>
          <w:vertAlign w:val="superscript"/>
        </w:rPr>
        <w:t xml:space="preserve">c </w:t>
      </w:r>
      <w:r w:rsidRPr="008B3D24">
        <w:rPr>
          <w:iCs/>
        </w:rPr>
        <w:t>Calculated during the evaluation. Not adjusted for covariates</w:t>
      </w:r>
    </w:p>
    <w:p w:rsidR="00586335" w:rsidRPr="008B3D24" w:rsidRDefault="00586335" w:rsidP="00A22FDA">
      <w:pPr>
        <w:pStyle w:val="TableFigureFooter"/>
        <w:jc w:val="both"/>
        <w:rPr>
          <w:iCs/>
        </w:rPr>
      </w:pPr>
      <w:r w:rsidRPr="008B3D24">
        <w:t>Note: Comparisons of ixekizumab with placebo are presented with the indirect treatment comparison</w:t>
      </w:r>
    </w:p>
    <w:bookmarkEnd w:id="18"/>
    <w:p w:rsidR="00250F30" w:rsidRPr="008B3D24" w:rsidRDefault="00250F30" w:rsidP="00250F30">
      <w:pPr>
        <w:pStyle w:val="3-BodyText"/>
      </w:pPr>
      <w:r w:rsidRPr="008B3D24">
        <w:t xml:space="preserve">The response rate in terms of ASAS20, ASAS40, </w:t>
      </w:r>
      <w:r w:rsidR="00B01838" w:rsidRPr="008B3D24">
        <w:t>BASDAI 50</w:t>
      </w:r>
      <w:r w:rsidRPr="008B3D24">
        <w:t xml:space="preserve"> </w:t>
      </w:r>
      <w:r w:rsidRPr="008B3D24">
        <w:rPr>
          <w:iCs/>
        </w:rPr>
        <w:t>and ASDAS clinical improvement</w:t>
      </w:r>
      <w:r w:rsidRPr="008B3D24">
        <w:t xml:space="preserve"> were not statistically different between </w:t>
      </w:r>
      <w:r w:rsidR="00103607" w:rsidRPr="008B3D24">
        <w:t xml:space="preserve">ixekizumab </w:t>
      </w:r>
      <w:r w:rsidRPr="008B3D24">
        <w:t xml:space="preserve">and adalimumab. A numerically higher proportion of patients achieved an ASAS20, ASAS40, </w:t>
      </w:r>
      <w:r w:rsidR="00B01838" w:rsidRPr="008B3D24">
        <w:t>BASDAI 50</w:t>
      </w:r>
      <w:r w:rsidRPr="008B3D24">
        <w:t xml:space="preserve">, </w:t>
      </w:r>
      <w:r w:rsidRPr="008B3D24">
        <w:rPr>
          <w:iCs/>
        </w:rPr>
        <w:t>or A</w:t>
      </w:r>
      <w:r w:rsidR="00D523D2" w:rsidRPr="008B3D24">
        <w:rPr>
          <w:iCs/>
        </w:rPr>
        <w:t>S</w:t>
      </w:r>
      <w:r w:rsidRPr="008B3D24">
        <w:rPr>
          <w:iCs/>
        </w:rPr>
        <w:t>DAS clinical improvement</w:t>
      </w:r>
      <w:r w:rsidRPr="008B3D24">
        <w:t xml:space="preserve"> </w:t>
      </w:r>
      <w:r w:rsidR="00D523D2" w:rsidRPr="008B3D24">
        <w:rPr>
          <w:iCs/>
        </w:rPr>
        <w:t>(</w:t>
      </w:r>
      <w:r w:rsidR="00D523D2" w:rsidRPr="008B3D24">
        <w:rPr>
          <w:rFonts w:cstheme="minorBidi"/>
          <w:iCs/>
        </w:rPr>
        <w:t>≥</w:t>
      </w:r>
      <w:r w:rsidR="000126EF" w:rsidRPr="008B3D24">
        <w:rPr>
          <w:rFonts w:cstheme="minorBidi"/>
          <w:iCs/>
        </w:rPr>
        <w:t xml:space="preserve"> </w:t>
      </w:r>
      <w:r w:rsidR="00D523D2" w:rsidRPr="008B3D24">
        <w:rPr>
          <w:iCs/>
        </w:rPr>
        <w:t xml:space="preserve">1.1-point improvement) </w:t>
      </w:r>
      <w:r w:rsidRPr="008B3D24">
        <w:t xml:space="preserve">with </w:t>
      </w:r>
      <w:r w:rsidR="00103607" w:rsidRPr="008B3D24">
        <w:t xml:space="preserve">ixekizumab </w:t>
      </w:r>
      <w:r w:rsidRPr="008B3D24">
        <w:t xml:space="preserve">than adalimumab. </w:t>
      </w:r>
      <w:r w:rsidR="001D4A8F" w:rsidRPr="008B3D24">
        <w:rPr>
          <w:iCs/>
        </w:rPr>
        <w:t xml:space="preserve">The proportion of patients achieving ASDAS </w:t>
      </w:r>
      <w:r w:rsidR="009075EA" w:rsidRPr="008B3D24">
        <w:rPr>
          <w:iCs/>
        </w:rPr>
        <w:t>inactive disease (ASDAS &lt; 1.3)</w:t>
      </w:r>
      <w:r w:rsidR="001D4A8F" w:rsidRPr="008B3D24">
        <w:rPr>
          <w:iCs/>
        </w:rPr>
        <w:t xml:space="preserve"> was similar</w:t>
      </w:r>
      <w:r w:rsidR="00EC697D" w:rsidRPr="008B3D24">
        <w:rPr>
          <w:iCs/>
        </w:rPr>
        <w:t xml:space="preserve"> for</w:t>
      </w:r>
      <w:r w:rsidR="001D4A8F" w:rsidRPr="008B3D24">
        <w:rPr>
          <w:iCs/>
        </w:rPr>
        <w:t xml:space="preserve"> </w:t>
      </w:r>
      <w:r w:rsidR="009075EA" w:rsidRPr="008B3D24">
        <w:rPr>
          <w:iCs/>
        </w:rPr>
        <w:t xml:space="preserve">both </w:t>
      </w:r>
      <w:r w:rsidR="00045489" w:rsidRPr="008B3D24">
        <w:rPr>
          <w:iCs/>
        </w:rPr>
        <w:t>biological medicine</w:t>
      </w:r>
      <w:r w:rsidR="00D523D2" w:rsidRPr="008B3D24">
        <w:rPr>
          <w:iCs/>
        </w:rPr>
        <w:t>s</w:t>
      </w:r>
      <w:r w:rsidR="009075EA" w:rsidRPr="008B3D24">
        <w:rPr>
          <w:iCs/>
        </w:rPr>
        <w:t>.</w:t>
      </w:r>
    </w:p>
    <w:p w:rsidR="00250F30" w:rsidRPr="008B3D24" w:rsidRDefault="00250F30" w:rsidP="00250F30">
      <w:pPr>
        <w:pStyle w:val="3-BodyText"/>
      </w:pPr>
      <w:r w:rsidRPr="008B3D24">
        <w:t xml:space="preserve">The submission nominated a non-inferiority </w:t>
      </w:r>
      <w:r w:rsidR="00F80DDF" w:rsidRPr="008B3D24">
        <w:t xml:space="preserve">margin </w:t>
      </w:r>
      <w:r w:rsidRPr="008B3D24">
        <w:t>of 0.43 for the relative risk of ASAS20 at week 1</w:t>
      </w:r>
      <w:r w:rsidR="009A3DBF" w:rsidRPr="008B3D24">
        <w:t>6</w:t>
      </w:r>
      <w:r w:rsidRPr="008B3D24">
        <w:t xml:space="preserve"> based on the </w:t>
      </w:r>
      <w:r w:rsidR="00BB4DAA" w:rsidRPr="008B3D24">
        <w:t>PSD</w:t>
      </w:r>
      <w:r w:rsidRPr="008B3D24">
        <w:t xml:space="preserve"> for </w:t>
      </w:r>
      <w:r w:rsidR="00243A89" w:rsidRPr="008B3D24">
        <w:t xml:space="preserve">certolizumab pegol and </w:t>
      </w:r>
      <w:r w:rsidRPr="008B3D24">
        <w:t>secukinumab in AS (</w:t>
      </w:r>
      <w:r w:rsidR="00243A89" w:rsidRPr="008B3D24">
        <w:t>certolizumab pegol</w:t>
      </w:r>
      <w:r w:rsidR="00E57E7B" w:rsidRPr="008B3D24">
        <w:t xml:space="preserve"> </w:t>
      </w:r>
      <w:r w:rsidR="00B202EF" w:rsidRPr="008B3D24">
        <w:t>PSD</w:t>
      </w:r>
      <w:r w:rsidR="00243A89" w:rsidRPr="008B3D24">
        <w:t>, March 2014 PBAC meeting; secukinumab</w:t>
      </w:r>
      <w:r w:rsidR="00E57E7B" w:rsidRPr="008B3D24">
        <w:t xml:space="preserve"> </w:t>
      </w:r>
      <w:r w:rsidR="00B202EF" w:rsidRPr="008B3D24">
        <w:t>PSD</w:t>
      </w:r>
      <w:r w:rsidR="00243A89" w:rsidRPr="008B3D24">
        <w:t>, March 2016 PBAC meeting</w:t>
      </w:r>
      <w:r w:rsidRPr="008B3D24">
        <w:t>). The submission considered that non-inferiority was supported as the lower bounds of</w:t>
      </w:r>
      <w:r w:rsidR="009A3DBF" w:rsidRPr="008B3D24">
        <w:t xml:space="preserve"> the</w:t>
      </w:r>
      <w:r w:rsidRPr="008B3D24">
        <w:t xml:space="preserve"> 95% confidence interval (CI) of the relative risk estimates for ASAS20 </w:t>
      </w:r>
      <w:r w:rsidR="00F80DDF" w:rsidRPr="008B3D24">
        <w:t>was</w:t>
      </w:r>
      <w:r w:rsidRPr="008B3D24">
        <w:t xml:space="preserve"> larger than 0.43</w:t>
      </w:r>
      <w:r w:rsidR="00F80DDF" w:rsidRPr="008B3D24">
        <w:t xml:space="preserve"> and </w:t>
      </w:r>
      <w:r w:rsidR="00B92402" w:rsidRPr="008B3D24">
        <w:t>showed no</w:t>
      </w:r>
      <w:r w:rsidR="00F80DDF" w:rsidRPr="008B3D24">
        <w:t xml:space="preserve"> statistically significant difference between ixekizumab and adalimumab</w:t>
      </w:r>
      <w:r w:rsidRPr="008B3D24">
        <w:t xml:space="preserve">. </w:t>
      </w:r>
    </w:p>
    <w:p w:rsidR="00250F30" w:rsidRPr="008B3D24" w:rsidRDefault="00250F30" w:rsidP="00250F30">
      <w:pPr>
        <w:pStyle w:val="3-BodyText"/>
      </w:pPr>
      <w:r w:rsidRPr="008B3D24">
        <w:t xml:space="preserve">The submission did not nominate a non-inferiority margin for </w:t>
      </w:r>
      <w:r w:rsidR="00B01838" w:rsidRPr="008B3D24">
        <w:t>BASDAI 50</w:t>
      </w:r>
      <w:r w:rsidRPr="008B3D24">
        <w:t xml:space="preserve"> or ASAS40. </w:t>
      </w:r>
      <w:r w:rsidRPr="008B3D24">
        <w:rPr>
          <w:iCs/>
        </w:rPr>
        <w:t xml:space="preserve">The 95% CI for </w:t>
      </w:r>
      <w:r w:rsidR="00B01838" w:rsidRPr="008B3D24">
        <w:rPr>
          <w:iCs/>
        </w:rPr>
        <w:t>BASDAI 50</w:t>
      </w:r>
      <w:r w:rsidRPr="008B3D24">
        <w:rPr>
          <w:iCs/>
        </w:rPr>
        <w:t xml:space="preserve"> were similar to those presented in the March 2016 consideration of secukinumab (Table 4, secukinumab</w:t>
      </w:r>
      <w:r w:rsidR="00E57E7B" w:rsidRPr="008B3D24">
        <w:rPr>
          <w:iCs/>
        </w:rPr>
        <w:t xml:space="preserve"> </w:t>
      </w:r>
      <w:r w:rsidR="003948B8" w:rsidRPr="008B3D24">
        <w:rPr>
          <w:iCs/>
        </w:rPr>
        <w:t>PSD</w:t>
      </w:r>
      <w:r w:rsidRPr="008B3D24">
        <w:rPr>
          <w:iCs/>
        </w:rPr>
        <w:t>, March 2016 PBAC meeting).</w:t>
      </w:r>
      <w:r w:rsidRPr="008B3D24">
        <w:t xml:space="preserve"> </w:t>
      </w:r>
    </w:p>
    <w:p w:rsidR="00250F30" w:rsidRPr="008B3D24" w:rsidRDefault="00250F30" w:rsidP="00250F30">
      <w:pPr>
        <w:pStyle w:val="3-BodyText"/>
        <w:rPr>
          <w:iCs/>
        </w:rPr>
      </w:pPr>
      <w:r w:rsidRPr="008B3D24">
        <w:rPr>
          <w:iCs/>
        </w:rPr>
        <w:t>The proportion of patients achieving an improvement in A</w:t>
      </w:r>
      <w:r w:rsidR="003948B8" w:rsidRPr="008B3D24">
        <w:rPr>
          <w:iCs/>
        </w:rPr>
        <w:t>S</w:t>
      </w:r>
      <w:r w:rsidRPr="008B3D24">
        <w:rPr>
          <w:iCs/>
        </w:rPr>
        <w:t>DAS (≥ 1.1 point</w:t>
      </w:r>
      <w:r w:rsidR="009A3DBF" w:rsidRPr="008B3D24">
        <w:rPr>
          <w:iCs/>
        </w:rPr>
        <w:t>-improvement</w:t>
      </w:r>
      <w:r w:rsidRPr="008B3D24">
        <w:rPr>
          <w:iCs/>
        </w:rPr>
        <w:t>) was considered a clinically important improvement in the ASAS-EULAR guidelines. The rate of ASDAS clinical improvement was numerically higher with ixekizumab than adalimumab.</w:t>
      </w:r>
      <w:r w:rsidR="009A3DBF" w:rsidRPr="008B3D24">
        <w:rPr>
          <w:iCs/>
        </w:rPr>
        <w:t xml:space="preserve"> The proportion of patients with inactive disease according to the ASDAS was similar for both drugs.</w:t>
      </w:r>
      <w:r w:rsidRPr="008B3D24">
        <w:rPr>
          <w:iCs/>
        </w:rPr>
        <w:t xml:space="preserve"> </w:t>
      </w:r>
    </w:p>
    <w:p w:rsidR="00250F30" w:rsidRPr="008B3D24" w:rsidRDefault="00250F30" w:rsidP="00250F30">
      <w:pPr>
        <w:pStyle w:val="3-BodyText"/>
        <w:rPr>
          <w:iCs/>
        </w:rPr>
      </w:pPr>
      <w:r w:rsidRPr="008B3D24">
        <w:rPr>
          <w:iCs/>
        </w:rPr>
        <w:t>The results of the per-protocol analysis for ASAS20 and ASAS40 were consistent with the intenti</w:t>
      </w:r>
      <w:r w:rsidR="003A57C4" w:rsidRPr="008B3D24">
        <w:rPr>
          <w:iCs/>
        </w:rPr>
        <w:t>on to treat (ITT) analysis. The</w:t>
      </w:r>
      <w:r w:rsidR="00343729" w:rsidRPr="008B3D24">
        <w:rPr>
          <w:iCs/>
        </w:rPr>
        <w:t xml:space="preserve"> </w:t>
      </w:r>
      <w:r w:rsidR="00103607" w:rsidRPr="008B3D24">
        <w:rPr>
          <w:iCs/>
        </w:rPr>
        <w:t xml:space="preserve">PBAC </w:t>
      </w:r>
      <w:r w:rsidR="00343729" w:rsidRPr="008B3D24">
        <w:rPr>
          <w:iCs/>
        </w:rPr>
        <w:t>considered</w:t>
      </w:r>
      <w:r w:rsidRPr="008B3D24">
        <w:rPr>
          <w:iCs/>
        </w:rPr>
        <w:t xml:space="preserve"> the consistency between the ITT and per-protocol analyses of ASAS20 and ASAS40 response rates supported the reliability of the ITT outcomes</w:t>
      </w:r>
      <w:r w:rsidR="004D2D71" w:rsidRPr="008B3D24">
        <w:rPr>
          <w:iCs/>
        </w:rPr>
        <w:t>,</w:t>
      </w:r>
      <w:r w:rsidR="00343729" w:rsidRPr="008B3D24">
        <w:rPr>
          <w:iCs/>
        </w:rPr>
        <w:t xml:space="preserve"> regardless of </w:t>
      </w:r>
      <w:r w:rsidR="004D2D71" w:rsidRPr="008B3D24">
        <w:rPr>
          <w:iCs/>
        </w:rPr>
        <w:t>the protocol deviations in the two trials</w:t>
      </w:r>
      <w:r w:rsidRPr="008B3D24">
        <w:rPr>
          <w:iCs/>
        </w:rPr>
        <w:t xml:space="preserve">. </w:t>
      </w:r>
    </w:p>
    <w:p w:rsidR="00250F30" w:rsidRPr="008B3D24" w:rsidRDefault="00250F30" w:rsidP="00250F30">
      <w:pPr>
        <w:pStyle w:val="3-BodyText"/>
      </w:pPr>
      <w:r w:rsidRPr="008B3D24">
        <w:t>The submission presented a meta-analysis of the COAST-V (</w:t>
      </w:r>
      <w:r w:rsidR="006434F0" w:rsidRPr="008B3D24">
        <w:t>biological medicine</w:t>
      </w:r>
      <w:r w:rsidRPr="008B3D24">
        <w:t xml:space="preserve">-naïve) and COAST-W (TNFi-experienced) ixekizumab trials to examine the effect of prior TNFi use. The submission considered the results of the meta-analyses (Tables </w:t>
      </w:r>
      <w:r w:rsidR="006A323C" w:rsidRPr="008B3D24">
        <w:t xml:space="preserve">6 </w:t>
      </w:r>
      <w:r w:rsidRPr="008B3D24">
        <w:t xml:space="preserve">and </w:t>
      </w:r>
      <w:r w:rsidR="006A323C" w:rsidRPr="008B3D24">
        <w:t>7</w:t>
      </w:r>
      <w:r w:rsidRPr="008B3D24">
        <w:t xml:space="preserve">) showed a consistent treatment effect across both populations with no heterogeneity observed for ASAS20 and ASAS40 response and change in BASDAI score. </w:t>
      </w:r>
      <w:r w:rsidR="004D2D71" w:rsidRPr="008B3D24">
        <w:rPr>
          <w:iCs/>
        </w:rPr>
        <w:t xml:space="preserve">However, </w:t>
      </w:r>
      <w:r w:rsidR="00103607" w:rsidRPr="008B3D24">
        <w:rPr>
          <w:iCs/>
        </w:rPr>
        <w:t xml:space="preserve">the evaluation considered </w:t>
      </w:r>
      <w:r w:rsidR="004D2D71" w:rsidRPr="008B3D24">
        <w:rPr>
          <w:iCs/>
        </w:rPr>
        <w:t xml:space="preserve">this may not be appropriate, and the results of this meta-analyses should be interpreted with caution especially in relation to the comparison of IXEQ4W versus adalimumab in treatment-experienced patients. While there </w:t>
      </w:r>
      <w:r w:rsidR="00654A92" w:rsidRPr="008B3D24">
        <w:rPr>
          <w:iCs/>
        </w:rPr>
        <w:t>wa</w:t>
      </w:r>
      <w:r w:rsidR="004D2D71" w:rsidRPr="008B3D24">
        <w:rPr>
          <w:iCs/>
        </w:rPr>
        <w:t>s statistical homogeneity based on the I</w:t>
      </w:r>
      <w:r w:rsidR="004D2D71" w:rsidRPr="008B3D24">
        <w:rPr>
          <w:iCs/>
          <w:vertAlign w:val="superscript"/>
        </w:rPr>
        <w:t>2</w:t>
      </w:r>
      <w:r w:rsidR="004D2D71" w:rsidRPr="008B3D24">
        <w:rPr>
          <w:iCs/>
        </w:rPr>
        <w:t xml:space="preserve"> </w:t>
      </w:r>
      <w:r w:rsidR="00654A92" w:rsidRPr="008B3D24">
        <w:rPr>
          <w:iCs/>
        </w:rPr>
        <w:t xml:space="preserve">statistics </w:t>
      </w:r>
      <w:r w:rsidR="004D2D71" w:rsidRPr="008B3D24">
        <w:rPr>
          <w:iCs/>
        </w:rPr>
        <w:t xml:space="preserve">(i.e. the relative risks for IXEQ4W vs placebo appeared reasonably consistent across the studies) there </w:t>
      </w:r>
      <w:r w:rsidR="00654A92" w:rsidRPr="008B3D24">
        <w:rPr>
          <w:iCs/>
        </w:rPr>
        <w:t>wa</w:t>
      </w:r>
      <w:r w:rsidR="004D2D71" w:rsidRPr="008B3D24">
        <w:rPr>
          <w:iCs/>
        </w:rPr>
        <w:t xml:space="preserve">s considerable difference in the response rate in both populations. The ASAS40 response and change in BASDAI results were numerically worse for TNFi-experienced patients than </w:t>
      </w:r>
      <w:r w:rsidR="006434F0" w:rsidRPr="008B3D24">
        <w:rPr>
          <w:iCs/>
        </w:rPr>
        <w:t>biological medicine</w:t>
      </w:r>
      <w:r w:rsidR="004D2D71" w:rsidRPr="008B3D24">
        <w:rPr>
          <w:iCs/>
        </w:rPr>
        <w:t xml:space="preserve">-naïve patients for both IXEQ4W and placebo. </w:t>
      </w:r>
      <w:r w:rsidRPr="008B3D24">
        <w:rPr>
          <w:iCs/>
        </w:rPr>
        <w:t xml:space="preserve">The </w:t>
      </w:r>
      <w:r w:rsidR="004D2D71" w:rsidRPr="008B3D24">
        <w:rPr>
          <w:iCs/>
        </w:rPr>
        <w:t xml:space="preserve">TNFi-experienced cohort in COAST-W also had </w:t>
      </w:r>
      <w:r w:rsidR="002873E7" w:rsidRPr="008B3D24">
        <w:rPr>
          <w:iCs/>
        </w:rPr>
        <w:t xml:space="preserve">slightly worse BASDAI and ASDAS scores at baseline compared to the </w:t>
      </w:r>
      <w:r w:rsidR="006434F0" w:rsidRPr="008B3D24">
        <w:rPr>
          <w:iCs/>
        </w:rPr>
        <w:t>biological medicine</w:t>
      </w:r>
      <w:r w:rsidR="002873E7" w:rsidRPr="008B3D24">
        <w:rPr>
          <w:iCs/>
        </w:rPr>
        <w:t>-naïve cohort in COAST-V.</w:t>
      </w:r>
    </w:p>
    <w:p w:rsidR="00250F30" w:rsidRPr="008B3D24" w:rsidRDefault="00250F30" w:rsidP="00250F30">
      <w:pPr>
        <w:pStyle w:val="TableFigureHeading"/>
      </w:pPr>
      <w:r w:rsidRPr="008B3D24">
        <w:rPr>
          <w:rStyle w:val="CommentReference"/>
          <w:b/>
          <w:szCs w:val="24"/>
        </w:rPr>
        <w:t xml:space="preserve">Table </w:t>
      </w:r>
      <w:r w:rsidR="006A323C" w:rsidRPr="008B3D24">
        <w:rPr>
          <w:rStyle w:val="CommentReference"/>
          <w:b/>
          <w:szCs w:val="24"/>
        </w:rPr>
        <w:t>6</w:t>
      </w:r>
      <w:r w:rsidRPr="008B3D24">
        <w:rPr>
          <w:rStyle w:val="CommentReference"/>
          <w:b/>
          <w:szCs w:val="24"/>
        </w:rPr>
        <w:t>: Meta-analysis of ASAS20 and ASAS40 response in the ixekizumab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116"/>
        <w:gridCol w:w="1861"/>
        <w:gridCol w:w="1987"/>
        <w:gridCol w:w="1558"/>
        <w:gridCol w:w="1508"/>
      </w:tblGrid>
      <w:tr w:rsidR="00250F30" w:rsidRPr="008B3D24" w:rsidTr="00F80DDF">
        <w:trPr>
          <w:tblHeader/>
        </w:trPr>
        <w:tc>
          <w:tcPr>
            <w:tcW w:w="547" w:type="pct"/>
            <w:vAlign w:val="center"/>
          </w:tcPr>
          <w:p w:rsidR="00250F30" w:rsidRPr="008B3D24" w:rsidRDefault="00250F30" w:rsidP="008518D4">
            <w:pPr>
              <w:pStyle w:val="In-tableHeading"/>
              <w:jc w:val="center"/>
              <w:rPr>
                <w:lang w:val="en-AU"/>
              </w:rPr>
            </w:pPr>
            <w:r w:rsidRPr="008B3D24">
              <w:rPr>
                <w:lang w:val="en-AU"/>
              </w:rPr>
              <w:t>Outcome</w:t>
            </w:r>
          </w:p>
        </w:tc>
        <w:tc>
          <w:tcPr>
            <w:tcW w:w="619" w:type="pct"/>
            <w:vAlign w:val="center"/>
          </w:tcPr>
          <w:p w:rsidR="00250F30" w:rsidRPr="008B3D24" w:rsidRDefault="00250F30" w:rsidP="008518D4">
            <w:pPr>
              <w:pStyle w:val="In-tableHeading"/>
              <w:jc w:val="center"/>
              <w:rPr>
                <w:lang w:val="en-AU"/>
              </w:rPr>
            </w:pPr>
            <w:r w:rsidRPr="008B3D24">
              <w:rPr>
                <w:lang w:val="en-AU"/>
              </w:rPr>
              <w:t>Trial ID</w:t>
            </w:r>
          </w:p>
        </w:tc>
        <w:tc>
          <w:tcPr>
            <w:tcW w:w="1032" w:type="pct"/>
            <w:vAlign w:val="center"/>
          </w:tcPr>
          <w:p w:rsidR="00505339" w:rsidRPr="008B3D24" w:rsidRDefault="00250F30" w:rsidP="00F80DDF">
            <w:pPr>
              <w:pStyle w:val="In-tableHeading"/>
              <w:jc w:val="center"/>
              <w:rPr>
                <w:lang w:val="en-AU"/>
              </w:rPr>
            </w:pPr>
            <w:r w:rsidRPr="008B3D24">
              <w:rPr>
                <w:lang w:val="en-AU"/>
              </w:rPr>
              <w:t>IXEQ4W</w:t>
            </w:r>
            <w:r w:rsidR="00F80DDF" w:rsidRPr="008B3D24">
              <w:rPr>
                <w:lang w:val="en-AU"/>
              </w:rPr>
              <w:t xml:space="preserve"> </w:t>
            </w:r>
          </w:p>
          <w:p w:rsidR="00250F30" w:rsidRPr="008B3D24" w:rsidRDefault="00250F30" w:rsidP="00F80DDF">
            <w:pPr>
              <w:pStyle w:val="In-tableHeading"/>
              <w:jc w:val="center"/>
              <w:rPr>
                <w:lang w:val="en-AU"/>
              </w:rPr>
            </w:pPr>
            <w:r w:rsidRPr="008B3D24">
              <w:rPr>
                <w:lang w:val="en-AU"/>
              </w:rPr>
              <w:t>n/N (%)</w:t>
            </w:r>
          </w:p>
        </w:tc>
        <w:tc>
          <w:tcPr>
            <w:tcW w:w="1101" w:type="pct"/>
            <w:vAlign w:val="center"/>
          </w:tcPr>
          <w:p w:rsidR="00505339" w:rsidRPr="008B3D24" w:rsidRDefault="00250F30" w:rsidP="00F80DDF">
            <w:pPr>
              <w:pStyle w:val="In-tableHeading"/>
              <w:jc w:val="center"/>
              <w:rPr>
                <w:lang w:val="en-AU"/>
              </w:rPr>
            </w:pPr>
            <w:r w:rsidRPr="008B3D24">
              <w:rPr>
                <w:lang w:val="en-AU"/>
              </w:rPr>
              <w:t>Placebo</w:t>
            </w:r>
            <w:r w:rsidR="00F80DDF" w:rsidRPr="008B3D24">
              <w:rPr>
                <w:lang w:val="en-AU"/>
              </w:rPr>
              <w:t xml:space="preserve"> </w:t>
            </w:r>
          </w:p>
          <w:p w:rsidR="00250F30" w:rsidRPr="008B3D24" w:rsidRDefault="00250F30" w:rsidP="00F80DDF">
            <w:pPr>
              <w:pStyle w:val="In-tableHeading"/>
              <w:jc w:val="center"/>
              <w:rPr>
                <w:lang w:val="en-AU"/>
              </w:rPr>
            </w:pPr>
            <w:r w:rsidRPr="008B3D24">
              <w:rPr>
                <w:lang w:val="en-AU"/>
              </w:rPr>
              <w:t>n/N (%)</w:t>
            </w:r>
          </w:p>
        </w:tc>
        <w:tc>
          <w:tcPr>
            <w:tcW w:w="864" w:type="pct"/>
            <w:vAlign w:val="center"/>
          </w:tcPr>
          <w:p w:rsidR="00250F30" w:rsidRPr="008B3D24" w:rsidRDefault="00250F30" w:rsidP="008518D4">
            <w:pPr>
              <w:pStyle w:val="In-tableHeading"/>
              <w:jc w:val="center"/>
              <w:rPr>
                <w:lang w:val="en-AU"/>
              </w:rPr>
            </w:pPr>
            <w:r w:rsidRPr="008B3D24">
              <w:rPr>
                <w:lang w:val="en-AU"/>
              </w:rPr>
              <w:t>RD (95% CI)</w:t>
            </w:r>
          </w:p>
        </w:tc>
        <w:tc>
          <w:tcPr>
            <w:tcW w:w="837" w:type="pct"/>
            <w:vAlign w:val="center"/>
          </w:tcPr>
          <w:p w:rsidR="00250F30" w:rsidRPr="008B3D24" w:rsidRDefault="00250F30" w:rsidP="008518D4">
            <w:pPr>
              <w:pStyle w:val="In-tableHeading"/>
              <w:jc w:val="center"/>
              <w:rPr>
                <w:lang w:val="en-AU"/>
              </w:rPr>
            </w:pPr>
            <w:r w:rsidRPr="008B3D24">
              <w:rPr>
                <w:lang w:val="en-AU"/>
              </w:rPr>
              <w:t>RR (95% CI)</w:t>
            </w:r>
          </w:p>
        </w:tc>
      </w:tr>
      <w:tr w:rsidR="00250F30" w:rsidRPr="008B3D24" w:rsidTr="00F80DDF">
        <w:tc>
          <w:tcPr>
            <w:tcW w:w="547" w:type="pct"/>
            <w:vMerge w:val="restart"/>
            <w:vAlign w:val="center"/>
          </w:tcPr>
          <w:p w:rsidR="00250F30" w:rsidRPr="008B3D24" w:rsidRDefault="00250F30" w:rsidP="008518D4">
            <w:pPr>
              <w:pStyle w:val="TableText0"/>
            </w:pPr>
            <w:r w:rsidRPr="008B3D24">
              <w:t xml:space="preserve">ASAS20 </w:t>
            </w:r>
          </w:p>
        </w:tc>
        <w:tc>
          <w:tcPr>
            <w:tcW w:w="619" w:type="pct"/>
            <w:vAlign w:val="center"/>
          </w:tcPr>
          <w:p w:rsidR="00250F30" w:rsidRPr="008B3D24" w:rsidRDefault="00250F30" w:rsidP="008518D4">
            <w:pPr>
              <w:pStyle w:val="TableText0"/>
              <w:rPr>
                <w:rFonts w:ascii="Times" w:hAnsi="Times"/>
              </w:rPr>
            </w:pPr>
            <w:r w:rsidRPr="008B3D24">
              <w:t xml:space="preserve">COAST-V </w:t>
            </w:r>
          </w:p>
        </w:tc>
        <w:tc>
          <w:tcPr>
            <w:tcW w:w="1032" w:type="pct"/>
            <w:vAlign w:val="center"/>
          </w:tcPr>
          <w:p w:rsidR="00250F30" w:rsidRPr="008B3D24" w:rsidRDefault="00250F30" w:rsidP="008518D4">
            <w:pPr>
              <w:pStyle w:val="TableText0"/>
              <w:jc w:val="center"/>
              <w:rPr>
                <w:rFonts w:ascii="Times" w:hAnsi="Times"/>
              </w:rPr>
            </w:pPr>
            <w:r w:rsidRPr="008B3D24">
              <w:t>52/81 (64.2)</w:t>
            </w:r>
          </w:p>
        </w:tc>
        <w:tc>
          <w:tcPr>
            <w:tcW w:w="1101" w:type="pct"/>
            <w:vAlign w:val="center"/>
          </w:tcPr>
          <w:p w:rsidR="00250F30" w:rsidRPr="008B3D24" w:rsidRDefault="00250F30" w:rsidP="008518D4">
            <w:pPr>
              <w:pStyle w:val="TableText0"/>
              <w:jc w:val="center"/>
              <w:rPr>
                <w:rFonts w:ascii="Times" w:hAnsi="Times"/>
              </w:rPr>
            </w:pPr>
            <w:r w:rsidRPr="008B3D24">
              <w:t>35/87 (40.2)</w:t>
            </w:r>
          </w:p>
        </w:tc>
        <w:tc>
          <w:tcPr>
            <w:tcW w:w="864" w:type="pct"/>
          </w:tcPr>
          <w:p w:rsidR="00250F30" w:rsidRPr="008B3D24" w:rsidRDefault="00250F30" w:rsidP="008518D4">
            <w:pPr>
              <w:pStyle w:val="TableText0"/>
              <w:jc w:val="center"/>
              <w:rPr>
                <w:rFonts w:ascii="Times" w:hAnsi="Times"/>
              </w:rPr>
            </w:pPr>
            <w:r w:rsidRPr="008B3D24">
              <w:t>0.24 (0.09, 0.39)</w:t>
            </w:r>
          </w:p>
        </w:tc>
        <w:tc>
          <w:tcPr>
            <w:tcW w:w="837" w:type="pct"/>
          </w:tcPr>
          <w:p w:rsidR="00250F30" w:rsidRPr="008B3D24" w:rsidRDefault="00250F30" w:rsidP="008518D4">
            <w:pPr>
              <w:pStyle w:val="TableText0"/>
              <w:jc w:val="center"/>
            </w:pPr>
            <w:r w:rsidRPr="008B3D24">
              <w:t>1.60 (1.18, 2.16)</w:t>
            </w:r>
          </w:p>
        </w:tc>
      </w:tr>
      <w:tr w:rsidR="00250F30" w:rsidRPr="008B3D24" w:rsidTr="00F80DDF">
        <w:tc>
          <w:tcPr>
            <w:tcW w:w="547" w:type="pct"/>
            <w:vMerge/>
            <w:vAlign w:val="center"/>
          </w:tcPr>
          <w:p w:rsidR="00250F30" w:rsidRPr="008B3D24" w:rsidRDefault="00250F30" w:rsidP="008518D4">
            <w:pPr>
              <w:pStyle w:val="TableText0"/>
            </w:pPr>
          </w:p>
        </w:tc>
        <w:tc>
          <w:tcPr>
            <w:tcW w:w="619" w:type="pct"/>
            <w:vAlign w:val="center"/>
          </w:tcPr>
          <w:p w:rsidR="00250F30" w:rsidRPr="008B3D24" w:rsidRDefault="00250F30" w:rsidP="008518D4">
            <w:pPr>
              <w:pStyle w:val="TableText0"/>
              <w:rPr>
                <w:rFonts w:ascii="Times" w:hAnsi="Times"/>
              </w:rPr>
            </w:pPr>
            <w:r w:rsidRPr="008B3D24">
              <w:t xml:space="preserve">COAST-W </w:t>
            </w:r>
          </w:p>
        </w:tc>
        <w:tc>
          <w:tcPr>
            <w:tcW w:w="1032" w:type="pct"/>
            <w:vAlign w:val="center"/>
          </w:tcPr>
          <w:p w:rsidR="00250F30" w:rsidRPr="008B3D24" w:rsidRDefault="00250F30" w:rsidP="008518D4">
            <w:pPr>
              <w:pStyle w:val="TableText0"/>
              <w:jc w:val="center"/>
              <w:rPr>
                <w:rFonts w:ascii="Times" w:hAnsi="Times"/>
              </w:rPr>
            </w:pPr>
            <w:r w:rsidRPr="008B3D24">
              <w:t>55/114 (48.2)</w:t>
            </w:r>
          </w:p>
        </w:tc>
        <w:tc>
          <w:tcPr>
            <w:tcW w:w="1101" w:type="pct"/>
            <w:vAlign w:val="center"/>
          </w:tcPr>
          <w:p w:rsidR="00250F30" w:rsidRPr="008B3D24" w:rsidRDefault="00250F30" w:rsidP="008518D4">
            <w:pPr>
              <w:pStyle w:val="TableText0"/>
              <w:jc w:val="center"/>
              <w:rPr>
                <w:rFonts w:ascii="Times" w:hAnsi="Times"/>
              </w:rPr>
            </w:pPr>
            <w:r w:rsidRPr="008B3D24">
              <w:t>31/104 (29.8)</w:t>
            </w:r>
          </w:p>
        </w:tc>
        <w:tc>
          <w:tcPr>
            <w:tcW w:w="864" w:type="pct"/>
          </w:tcPr>
          <w:p w:rsidR="00250F30" w:rsidRPr="008B3D24" w:rsidRDefault="00250F30" w:rsidP="008518D4">
            <w:pPr>
              <w:pStyle w:val="TableText0"/>
              <w:jc w:val="center"/>
              <w:rPr>
                <w:rFonts w:ascii="Times" w:hAnsi="Times"/>
              </w:rPr>
            </w:pPr>
            <w:r w:rsidRPr="008B3D24">
              <w:t>0.18 (0.06, 0.31)</w:t>
            </w:r>
          </w:p>
        </w:tc>
        <w:tc>
          <w:tcPr>
            <w:tcW w:w="837" w:type="pct"/>
          </w:tcPr>
          <w:p w:rsidR="00250F30" w:rsidRPr="008B3D24" w:rsidRDefault="00250F30" w:rsidP="008518D4">
            <w:pPr>
              <w:pStyle w:val="TableText0"/>
              <w:jc w:val="center"/>
            </w:pPr>
            <w:r w:rsidRPr="008B3D24">
              <w:t>1.62 (1.14, 2.30)</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rPr>
                <w:rFonts w:ascii="Times" w:hAnsi="Times"/>
              </w:rPr>
            </w:pPr>
            <w:r w:rsidRPr="008B3D24">
              <w:t>Meta-analysis of overall trial results</w:t>
            </w:r>
          </w:p>
        </w:tc>
        <w:tc>
          <w:tcPr>
            <w:tcW w:w="864" w:type="pct"/>
          </w:tcPr>
          <w:p w:rsidR="00250F30" w:rsidRPr="008B3D24" w:rsidRDefault="00250F30" w:rsidP="008518D4">
            <w:pPr>
              <w:pStyle w:val="TableText0"/>
              <w:jc w:val="center"/>
              <w:rPr>
                <w:rFonts w:ascii="Times" w:hAnsi="Times"/>
              </w:rPr>
            </w:pPr>
            <w:r w:rsidRPr="008B3D24">
              <w:t>0.21 (0.11, 0.30)</w:t>
            </w:r>
          </w:p>
        </w:tc>
        <w:tc>
          <w:tcPr>
            <w:tcW w:w="837" w:type="pct"/>
          </w:tcPr>
          <w:p w:rsidR="00250F30" w:rsidRPr="008B3D24" w:rsidRDefault="00250F30" w:rsidP="008518D4">
            <w:pPr>
              <w:pStyle w:val="TableText0"/>
              <w:jc w:val="center"/>
            </w:pPr>
            <w:r w:rsidRPr="008B3D24">
              <w:t>1.61 (1.28, 2.02)</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rPr>
                <w:rFonts w:ascii="Times" w:hAnsi="Times"/>
              </w:rPr>
            </w:pPr>
            <w:r w:rsidRPr="008B3D24">
              <w:t>Tau (heterogeneity)</w:t>
            </w:r>
          </w:p>
        </w:tc>
        <w:tc>
          <w:tcPr>
            <w:tcW w:w="864" w:type="pct"/>
            <w:vAlign w:val="center"/>
          </w:tcPr>
          <w:p w:rsidR="00250F30" w:rsidRPr="008B3D24" w:rsidRDefault="00250F30" w:rsidP="008518D4">
            <w:pPr>
              <w:pStyle w:val="TableText0"/>
              <w:jc w:val="center"/>
              <w:rPr>
                <w:rFonts w:asciiTheme="minorHAnsi" w:hAnsiTheme="minorHAnsi"/>
              </w:rPr>
            </w:pPr>
            <w:r w:rsidRPr="008B3D24">
              <w:t>0</w:t>
            </w:r>
          </w:p>
        </w:tc>
        <w:tc>
          <w:tcPr>
            <w:tcW w:w="837" w:type="pct"/>
            <w:vAlign w:val="center"/>
          </w:tcPr>
          <w:p w:rsidR="00250F30" w:rsidRPr="008B3D24" w:rsidRDefault="00250F30" w:rsidP="008518D4">
            <w:pPr>
              <w:pStyle w:val="TableText0"/>
              <w:jc w:val="center"/>
            </w:pPr>
            <w:r w:rsidRPr="008B3D24">
              <w:t>0</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pPr>
            <w:r w:rsidRPr="008B3D24">
              <w:t>I</w:t>
            </w:r>
            <w:r w:rsidRPr="008B3D24">
              <w:rPr>
                <w:vertAlign w:val="superscript"/>
              </w:rPr>
              <w:t>2</w:t>
            </w:r>
            <w:r w:rsidRPr="008B3D24">
              <w:t xml:space="preserve"> (95% CI)</w:t>
            </w:r>
          </w:p>
        </w:tc>
        <w:tc>
          <w:tcPr>
            <w:tcW w:w="864" w:type="pct"/>
            <w:vAlign w:val="center"/>
          </w:tcPr>
          <w:p w:rsidR="00250F30" w:rsidRPr="008B3D24" w:rsidRDefault="00250F30" w:rsidP="008518D4">
            <w:pPr>
              <w:pStyle w:val="TableText0"/>
              <w:jc w:val="center"/>
            </w:pPr>
            <w:r w:rsidRPr="008B3D24">
              <w:t>0 (NA, NA)</w:t>
            </w:r>
          </w:p>
        </w:tc>
        <w:tc>
          <w:tcPr>
            <w:tcW w:w="837" w:type="pct"/>
            <w:vAlign w:val="center"/>
          </w:tcPr>
          <w:p w:rsidR="00250F30" w:rsidRPr="008B3D24" w:rsidRDefault="00250F30" w:rsidP="008518D4">
            <w:pPr>
              <w:pStyle w:val="TableText0"/>
              <w:jc w:val="center"/>
            </w:pPr>
            <w:r w:rsidRPr="008B3D24">
              <w:t>0 (NA, NA)</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pPr>
            <w:r w:rsidRPr="008B3D24">
              <w:t>Test of heterogeneity: Q (df))</w:t>
            </w:r>
          </w:p>
        </w:tc>
        <w:tc>
          <w:tcPr>
            <w:tcW w:w="864" w:type="pct"/>
            <w:vAlign w:val="center"/>
          </w:tcPr>
          <w:p w:rsidR="00250F30" w:rsidRPr="008B3D24" w:rsidRDefault="00250F30" w:rsidP="008518D4">
            <w:pPr>
              <w:pStyle w:val="TableText0"/>
              <w:jc w:val="center"/>
            </w:pPr>
            <w:r w:rsidRPr="008B3D24">
              <w:t>0.31 (1)</w:t>
            </w:r>
            <w:r w:rsidR="00654A92" w:rsidRPr="008B3D24">
              <w:t xml:space="preserve"> p = 0.58</w:t>
            </w:r>
          </w:p>
        </w:tc>
        <w:tc>
          <w:tcPr>
            <w:tcW w:w="837" w:type="pct"/>
            <w:vAlign w:val="center"/>
          </w:tcPr>
          <w:p w:rsidR="00250F30" w:rsidRPr="008B3D24" w:rsidRDefault="00250F30" w:rsidP="008518D4">
            <w:pPr>
              <w:pStyle w:val="TableText0"/>
              <w:jc w:val="center"/>
            </w:pPr>
            <w:r w:rsidRPr="008B3D24">
              <w:t>0 (1)</w:t>
            </w:r>
            <w:r w:rsidR="00654A92" w:rsidRPr="008B3D24">
              <w:t xml:space="preserve"> p = 0.95</w:t>
            </w:r>
          </w:p>
        </w:tc>
      </w:tr>
      <w:tr w:rsidR="00250F30" w:rsidRPr="008B3D24" w:rsidTr="00F80DDF">
        <w:tc>
          <w:tcPr>
            <w:tcW w:w="547" w:type="pct"/>
            <w:vMerge w:val="restart"/>
            <w:vAlign w:val="center"/>
          </w:tcPr>
          <w:p w:rsidR="00250F30" w:rsidRPr="008B3D24" w:rsidRDefault="00250F30" w:rsidP="008518D4">
            <w:pPr>
              <w:pStyle w:val="TableText0"/>
              <w:rPr>
                <w:rFonts w:ascii="Times" w:hAnsi="Times"/>
              </w:rPr>
            </w:pPr>
            <w:r w:rsidRPr="008B3D24">
              <w:t xml:space="preserve">ASAS40 </w:t>
            </w:r>
          </w:p>
        </w:tc>
        <w:tc>
          <w:tcPr>
            <w:tcW w:w="619" w:type="pct"/>
            <w:vAlign w:val="center"/>
          </w:tcPr>
          <w:p w:rsidR="00250F30" w:rsidRPr="008B3D24" w:rsidRDefault="00250F30" w:rsidP="008518D4">
            <w:pPr>
              <w:pStyle w:val="TableText0"/>
              <w:rPr>
                <w:rFonts w:ascii="Times" w:hAnsi="Times"/>
              </w:rPr>
            </w:pPr>
            <w:r w:rsidRPr="008B3D24">
              <w:t xml:space="preserve">COAST-V </w:t>
            </w:r>
          </w:p>
        </w:tc>
        <w:tc>
          <w:tcPr>
            <w:tcW w:w="1032" w:type="pct"/>
            <w:vAlign w:val="center"/>
          </w:tcPr>
          <w:p w:rsidR="00250F30" w:rsidRPr="008B3D24" w:rsidRDefault="00250F30" w:rsidP="008518D4">
            <w:pPr>
              <w:pStyle w:val="TableText0"/>
              <w:jc w:val="center"/>
              <w:rPr>
                <w:rFonts w:ascii="Times" w:hAnsi="Times"/>
              </w:rPr>
            </w:pPr>
            <w:r w:rsidRPr="008B3D24">
              <w:t>39/81 (48.1)</w:t>
            </w:r>
          </w:p>
        </w:tc>
        <w:tc>
          <w:tcPr>
            <w:tcW w:w="1101" w:type="pct"/>
            <w:vAlign w:val="center"/>
          </w:tcPr>
          <w:p w:rsidR="00250F30" w:rsidRPr="008B3D24" w:rsidRDefault="00250F30" w:rsidP="008518D4">
            <w:pPr>
              <w:pStyle w:val="TableText0"/>
              <w:jc w:val="center"/>
              <w:rPr>
                <w:rFonts w:ascii="Times" w:hAnsi="Times"/>
              </w:rPr>
            </w:pPr>
            <w:r w:rsidRPr="008B3D24">
              <w:t>16/87 (18.4)</w:t>
            </w:r>
          </w:p>
        </w:tc>
        <w:tc>
          <w:tcPr>
            <w:tcW w:w="864" w:type="pct"/>
            <w:vAlign w:val="center"/>
          </w:tcPr>
          <w:p w:rsidR="00250F30" w:rsidRPr="008B3D24" w:rsidRDefault="00250F30" w:rsidP="008518D4">
            <w:pPr>
              <w:pStyle w:val="TableText0"/>
              <w:jc w:val="center"/>
              <w:rPr>
                <w:rFonts w:ascii="Times" w:hAnsi="Times"/>
              </w:rPr>
            </w:pPr>
            <w:r w:rsidRPr="008B3D24">
              <w:t>0.30 (0.16, 0.43)</w:t>
            </w:r>
          </w:p>
        </w:tc>
        <w:tc>
          <w:tcPr>
            <w:tcW w:w="837" w:type="pct"/>
            <w:vAlign w:val="center"/>
          </w:tcPr>
          <w:p w:rsidR="00250F30" w:rsidRPr="008B3D24" w:rsidRDefault="00250F30" w:rsidP="008518D4">
            <w:pPr>
              <w:pStyle w:val="TableText0"/>
              <w:jc w:val="center"/>
            </w:pPr>
            <w:r w:rsidRPr="008B3D24">
              <w:t>2.6 (1.59, 4.30)</w:t>
            </w:r>
          </w:p>
        </w:tc>
      </w:tr>
      <w:tr w:rsidR="00250F30" w:rsidRPr="008B3D24" w:rsidTr="00F80DDF">
        <w:tc>
          <w:tcPr>
            <w:tcW w:w="547" w:type="pct"/>
            <w:vMerge/>
            <w:vAlign w:val="center"/>
          </w:tcPr>
          <w:p w:rsidR="00250F30" w:rsidRPr="008B3D24" w:rsidRDefault="00250F30" w:rsidP="008518D4">
            <w:pPr>
              <w:pStyle w:val="TableText0"/>
            </w:pPr>
          </w:p>
        </w:tc>
        <w:tc>
          <w:tcPr>
            <w:tcW w:w="619" w:type="pct"/>
            <w:vAlign w:val="center"/>
          </w:tcPr>
          <w:p w:rsidR="00250F30" w:rsidRPr="008B3D24" w:rsidRDefault="00250F30" w:rsidP="008518D4">
            <w:pPr>
              <w:pStyle w:val="TableText0"/>
              <w:rPr>
                <w:rFonts w:ascii="Times" w:hAnsi="Times"/>
              </w:rPr>
            </w:pPr>
            <w:r w:rsidRPr="008B3D24">
              <w:t xml:space="preserve">COAST-W </w:t>
            </w:r>
          </w:p>
        </w:tc>
        <w:tc>
          <w:tcPr>
            <w:tcW w:w="1032" w:type="pct"/>
            <w:vAlign w:val="center"/>
          </w:tcPr>
          <w:p w:rsidR="00250F30" w:rsidRPr="008B3D24" w:rsidRDefault="00250F30" w:rsidP="008518D4">
            <w:pPr>
              <w:pStyle w:val="TableText0"/>
              <w:jc w:val="center"/>
              <w:rPr>
                <w:rFonts w:ascii="Times" w:hAnsi="Times"/>
              </w:rPr>
            </w:pPr>
            <w:r w:rsidRPr="008B3D24">
              <w:t>29/114 (25.4)</w:t>
            </w:r>
          </w:p>
        </w:tc>
        <w:tc>
          <w:tcPr>
            <w:tcW w:w="1101" w:type="pct"/>
            <w:vAlign w:val="center"/>
          </w:tcPr>
          <w:p w:rsidR="00250F30" w:rsidRPr="008B3D24" w:rsidRDefault="00250F30" w:rsidP="008518D4">
            <w:pPr>
              <w:pStyle w:val="TableText0"/>
              <w:jc w:val="center"/>
              <w:rPr>
                <w:rFonts w:ascii="Times" w:hAnsi="Times"/>
              </w:rPr>
            </w:pPr>
            <w:r w:rsidRPr="008B3D24">
              <w:t>13/104 (12.5)</w:t>
            </w:r>
          </w:p>
        </w:tc>
        <w:tc>
          <w:tcPr>
            <w:tcW w:w="864" w:type="pct"/>
            <w:vAlign w:val="center"/>
          </w:tcPr>
          <w:p w:rsidR="00250F30" w:rsidRPr="008B3D24" w:rsidRDefault="00250F30" w:rsidP="008518D4">
            <w:pPr>
              <w:pStyle w:val="TableText0"/>
              <w:jc w:val="center"/>
              <w:rPr>
                <w:rFonts w:ascii="Times" w:hAnsi="Times"/>
              </w:rPr>
            </w:pPr>
            <w:r w:rsidRPr="008B3D24">
              <w:t>0.13 (0.03, 0.23)</w:t>
            </w:r>
          </w:p>
        </w:tc>
        <w:tc>
          <w:tcPr>
            <w:tcW w:w="837" w:type="pct"/>
            <w:vAlign w:val="center"/>
          </w:tcPr>
          <w:p w:rsidR="00250F30" w:rsidRPr="008B3D24" w:rsidRDefault="00250F30" w:rsidP="008518D4">
            <w:pPr>
              <w:pStyle w:val="TableText0"/>
              <w:jc w:val="center"/>
            </w:pPr>
            <w:r w:rsidRPr="008B3D24">
              <w:t>2.04 (1.12, 3.70)</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rPr>
                <w:rFonts w:ascii="Times" w:hAnsi="Times"/>
              </w:rPr>
            </w:pPr>
            <w:r w:rsidRPr="008B3D24">
              <w:t>Meta-analysis of overall trial results</w:t>
            </w:r>
          </w:p>
        </w:tc>
        <w:tc>
          <w:tcPr>
            <w:tcW w:w="864" w:type="pct"/>
            <w:vAlign w:val="center"/>
          </w:tcPr>
          <w:p w:rsidR="00250F30" w:rsidRPr="008B3D24" w:rsidRDefault="00250F30" w:rsidP="008518D4">
            <w:pPr>
              <w:pStyle w:val="TableText0"/>
              <w:jc w:val="center"/>
            </w:pPr>
            <w:r w:rsidRPr="008B3D24">
              <w:t>0.21 (0.04, 0.37)</w:t>
            </w:r>
          </w:p>
        </w:tc>
        <w:tc>
          <w:tcPr>
            <w:tcW w:w="837" w:type="pct"/>
            <w:vAlign w:val="center"/>
          </w:tcPr>
          <w:p w:rsidR="00250F30" w:rsidRPr="008B3D24" w:rsidRDefault="00250F30" w:rsidP="008518D4">
            <w:pPr>
              <w:pStyle w:val="TableText0"/>
              <w:jc w:val="center"/>
            </w:pPr>
            <w:r w:rsidRPr="008B3D24">
              <w:t>2.36 (1.61, 3.46)</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rPr>
                <w:rFonts w:ascii="Times" w:hAnsi="Times"/>
              </w:rPr>
            </w:pPr>
            <w:r w:rsidRPr="008B3D24">
              <w:t>Tau (heterogeneity)</w:t>
            </w:r>
          </w:p>
        </w:tc>
        <w:tc>
          <w:tcPr>
            <w:tcW w:w="864" w:type="pct"/>
            <w:vAlign w:val="center"/>
          </w:tcPr>
          <w:p w:rsidR="00250F30" w:rsidRPr="008B3D24" w:rsidRDefault="00250F30" w:rsidP="008518D4">
            <w:pPr>
              <w:pStyle w:val="TableText0"/>
              <w:jc w:val="center"/>
            </w:pPr>
            <w:r w:rsidRPr="008B3D24">
              <w:t>0.0107</w:t>
            </w:r>
          </w:p>
        </w:tc>
        <w:tc>
          <w:tcPr>
            <w:tcW w:w="837" w:type="pct"/>
            <w:vAlign w:val="center"/>
          </w:tcPr>
          <w:p w:rsidR="00250F30" w:rsidRPr="008B3D24" w:rsidRDefault="00250F30" w:rsidP="008518D4">
            <w:pPr>
              <w:pStyle w:val="TableText0"/>
              <w:jc w:val="center"/>
            </w:pPr>
            <w:r w:rsidRPr="008B3D24">
              <w:t>0</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pPr>
            <w:r w:rsidRPr="008B3D24">
              <w:t>I</w:t>
            </w:r>
            <w:r w:rsidRPr="008B3D24">
              <w:rPr>
                <w:vertAlign w:val="superscript"/>
              </w:rPr>
              <w:t>2</w:t>
            </w:r>
            <w:r w:rsidRPr="008B3D24">
              <w:t xml:space="preserve"> (95% CI)</w:t>
            </w:r>
          </w:p>
        </w:tc>
        <w:tc>
          <w:tcPr>
            <w:tcW w:w="864" w:type="pct"/>
            <w:vAlign w:val="center"/>
          </w:tcPr>
          <w:p w:rsidR="00250F30" w:rsidRPr="008B3D24" w:rsidRDefault="00250F30" w:rsidP="008518D4">
            <w:pPr>
              <w:pStyle w:val="TableText0"/>
              <w:jc w:val="center"/>
            </w:pPr>
            <w:r w:rsidRPr="008B3D24">
              <w:t>74 (0, 94.1)</w:t>
            </w:r>
          </w:p>
        </w:tc>
        <w:tc>
          <w:tcPr>
            <w:tcW w:w="837" w:type="pct"/>
            <w:vAlign w:val="center"/>
          </w:tcPr>
          <w:p w:rsidR="00250F30" w:rsidRPr="008B3D24" w:rsidRDefault="00250F30" w:rsidP="008518D4">
            <w:pPr>
              <w:pStyle w:val="TableText0"/>
              <w:jc w:val="center"/>
            </w:pPr>
            <w:r w:rsidRPr="008B3D24">
              <w:t>0 (NA, NA)</w:t>
            </w:r>
          </w:p>
        </w:tc>
      </w:tr>
      <w:tr w:rsidR="00250F30" w:rsidRPr="008B3D24" w:rsidTr="00F80DDF">
        <w:tc>
          <w:tcPr>
            <w:tcW w:w="547" w:type="pct"/>
            <w:vMerge/>
            <w:vAlign w:val="center"/>
          </w:tcPr>
          <w:p w:rsidR="00250F30" w:rsidRPr="008B3D24" w:rsidRDefault="00250F30" w:rsidP="008518D4">
            <w:pPr>
              <w:pStyle w:val="TableText0"/>
            </w:pPr>
          </w:p>
        </w:tc>
        <w:tc>
          <w:tcPr>
            <w:tcW w:w="2753" w:type="pct"/>
            <w:gridSpan w:val="3"/>
            <w:vAlign w:val="center"/>
          </w:tcPr>
          <w:p w:rsidR="00250F30" w:rsidRPr="008B3D24" w:rsidRDefault="00250F30" w:rsidP="008518D4">
            <w:pPr>
              <w:pStyle w:val="TableText0"/>
            </w:pPr>
            <w:r w:rsidRPr="008B3D24">
              <w:t>Test of heterogeneity: Q (df))</w:t>
            </w:r>
          </w:p>
        </w:tc>
        <w:tc>
          <w:tcPr>
            <w:tcW w:w="864" w:type="pct"/>
            <w:vAlign w:val="center"/>
          </w:tcPr>
          <w:p w:rsidR="00250F30" w:rsidRPr="008B3D24" w:rsidRDefault="00250F30" w:rsidP="008518D4">
            <w:pPr>
              <w:pStyle w:val="TableText0"/>
              <w:jc w:val="center"/>
            </w:pPr>
            <w:r w:rsidRPr="008B3D24">
              <w:t>3.85 (1)</w:t>
            </w:r>
            <w:r w:rsidR="00654A92" w:rsidRPr="008B3D24">
              <w:t xml:space="preserve"> p = 0.05</w:t>
            </w:r>
          </w:p>
        </w:tc>
        <w:tc>
          <w:tcPr>
            <w:tcW w:w="837" w:type="pct"/>
            <w:vAlign w:val="center"/>
          </w:tcPr>
          <w:p w:rsidR="00250F30" w:rsidRPr="008B3D24" w:rsidRDefault="00250F30" w:rsidP="008518D4">
            <w:pPr>
              <w:pStyle w:val="TableText0"/>
              <w:jc w:val="center"/>
            </w:pPr>
            <w:r w:rsidRPr="008B3D24">
              <w:t>0.4 (1)</w:t>
            </w:r>
            <w:r w:rsidR="00654A92" w:rsidRPr="008B3D24">
              <w:t xml:space="preserve"> p = 0.53</w:t>
            </w:r>
          </w:p>
        </w:tc>
      </w:tr>
    </w:tbl>
    <w:p w:rsidR="00250F30" w:rsidRPr="008B3D24" w:rsidRDefault="00250F30" w:rsidP="00250F30">
      <w:pPr>
        <w:pStyle w:val="TableFigureFooter"/>
      </w:pPr>
      <w:r w:rsidRPr="008B3D24">
        <w:t xml:space="preserve">Source: Table 2.7-3, p101 of the submission. </w:t>
      </w:r>
    </w:p>
    <w:p w:rsidR="00250F30" w:rsidRPr="008B3D24" w:rsidRDefault="00250F30" w:rsidP="00E61F7B">
      <w:pPr>
        <w:pStyle w:val="TableFigureFooter"/>
      </w:pPr>
      <w:r w:rsidRPr="008B3D24">
        <w:t xml:space="preserve">ASAS20/40 = Assessment of SpondyloArthritis </w:t>
      </w:r>
      <w:r w:rsidR="009B2060" w:rsidRPr="008B3D24">
        <w:t xml:space="preserve">international </w:t>
      </w:r>
      <w:r w:rsidRPr="008B3D24">
        <w:t>Society 20/40% response criteria; CI = confidence interval; df = degrees of freedom; IXEQ4W= ixekizumab 80 mg every four weeks; NA = not applicable; OR = odds ratio; RD = risk difference; RR = relative risk</w:t>
      </w:r>
    </w:p>
    <w:p w:rsidR="00250F30" w:rsidRPr="008B3D24" w:rsidRDefault="00250F30" w:rsidP="00250F30">
      <w:pPr>
        <w:pStyle w:val="TableFigureHeading"/>
        <w:rPr>
          <w:rStyle w:val="CommentReference"/>
          <w:b/>
          <w:szCs w:val="24"/>
        </w:rPr>
      </w:pPr>
      <w:r w:rsidRPr="008B3D24">
        <w:rPr>
          <w:rStyle w:val="CommentReference"/>
          <w:b/>
          <w:szCs w:val="24"/>
        </w:rPr>
        <w:t xml:space="preserve">Table </w:t>
      </w:r>
      <w:r w:rsidR="006A323C" w:rsidRPr="008B3D24">
        <w:rPr>
          <w:rStyle w:val="CommentReference"/>
          <w:b/>
          <w:szCs w:val="24"/>
        </w:rPr>
        <w:t>7</w:t>
      </w:r>
      <w:r w:rsidRPr="008B3D24">
        <w:rPr>
          <w:rStyle w:val="CommentReference"/>
          <w:b/>
          <w:szCs w:val="24"/>
        </w:rPr>
        <w:t xml:space="preserve">: Meta-analysis of change in BASDAI score in the ixekizumab trials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3"/>
        <w:gridCol w:w="929"/>
        <w:gridCol w:w="1032"/>
        <w:gridCol w:w="1010"/>
        <w:gridCol w:w="1212"/>
        <w:gridCol w:w="1105"/>
        <w:gridCol w:w="1044"/>
        <w:gridCol w:w="1832"/>
      </w:tblGrid>
      <w:tr w:rsidR="00250F30" w:rsidRPr="008B3D24" w:rsidTr="00586335">
        <w:trPr>
          <w:tblHeader/>
        </w:trPr>
        <w:tc>
          <w:tcPr>
            <w:tcW w:w="473" w:type="pct"/>
            <w:vMerge w:val="restart"/>
            <w:vAlign w:val="center"/>
          </w:tcPr>
          <w:p w:rsidR="00250F30" w:rsidRPr="008B3D24" w:rsidRDefault="00250F30" w:rsidP="009452DA">
            <w:pPr>
              <w:pStyle w:val="In-tableHeading"/>
              <w:rPr>
                <w:lang w:val="en-AU"/>
              </w:rPr>
            </w:pPr>
            <w:r w:rsidRPr="008B3D24">
              <w:rPr>
                <w:lang w:val="en-AU"/>
              </w:rPr>
              <w:t>Trial ID</w:t>
            </w:r>
          </w:p>
        </w:tc>
        <w:tc>
          <w:tcPr>
            <w:tcW w:w="1647" w:type="pct"/>
            <w:gridSpan w:val="3"/>
            <w:vAlign w:val="center"/>
          </w:tcPr>
          <w:p w:rsidR="00250F30" w:rsidRPr="008B3D24" w:rsidRDefault="00250F30" w:rsidP="009452DA">
            <w:pPr>
              <w:pStyle w:val="In-tableHeading"/>
              <w:jc w:val="center"/>
              <w:rPr>
                <w:lang w:val="en-AU"/>
              </w:rPr>
            </w:pPr>
            <w:r w:rsidRPr="008B3D24">
              <w:rPr>
                <w:iCs/>
                <w:lang w:val="en-AU"/>
              </w:rPr>
              <w:t xml:space="preserve">IXEQ4W </w:t>
            </w:r>
          </w:p>
        </w:tc>
        <w:tc>
          <w:tcPr>
            <w:tcW w:w="1864" w:type="pct"/>
            <w:gridSpan w:val="3"/>
            <w:vAlign w:val="center"/>
          </w:tcPr>
          <w:p w:rsidR="00250F30" w:rsidRPr="008B3D24" w:rsidRDefault="00250F30" w:rsidP="009452DA">
            <w:pPr>
              <w:pStyle w:val="In-tableHeading"/>
              <w:jc w:val="center"/>
              <w:rPr>
                <w:lang w:val="en-AU"/>
              </w:rPr>
            </w:pPr>
            <w:r w:rsidRPr="008B3D24">
              <w:rPr>
                <w:iCs/>
                <w:lang w:val="en-AU"/>
              </w:rPr>
              <w:t xml:space="preserve">Placebo </w:t>
            </w:r>
          </w:p>
        </w:tc>
        <w:tc>
          <w:tcPr>
            <w:tcW w:w="1016" w:type="pct"/>
            <w:vMerge w:val="restart"/>
          </w:tcPr>
          <w:p w:rsidR="00250F30" w:rsidRPr="008B3D24" w:rsidRDefault="00250F30" w:rsidP="009452DA">
            <w:pPr>
              <w:pStyle w:val="In-tableHeading"/>
              <w:jc w:val="center"/>
              <w:rPr>
                <w:iCs/>
                <w:lang w:val="en-AU"/>
              </w:rPr>
            </w:pPr>
            <w:r w:rsidRPr="008B3D24">
              <w:rPr>
                <w:iCs/>
                <w:lang w:val="en-AU"/>
              </w:rPr>
              <w:t xml:space="preserve">Mean difference </w:t>
            </w:r>
          </w:p>
          <w:p w:rsidR="00250F30" w:rsidRPr="008B3D24" w:rsidRDefault="00250F30" w:rsidP="009452DA">
            <w:pPr>
              <w:pStyle w:val="In-tableHeading"/>
              <w:jc w:val="center"/>
              <w:rPr>
                <w:iCs/>
                <w:lang w:val="en-AU"/>
              </w:rPr>
            </w:pPr>
            <w:r w:rsidRPr="008B3D24">
              <w:rPr>
                <w:iCs/>
                <w:lang w:val="en-AU"/>
              </w:rPr>
              <w:t>(95% CI)</w:t>
            </w:r>
          </w:p>
        </w:tc>
      </w:tr>
      <w:tr w:rsidR="00250F30" w:rsidRPr="008B3D24" w:rsidTr="00586335">
        <w:tc>
          <w:tcPr>
            <w:tcW w:w="473" w:type="pct"/>
            <w:vMerge/>
            <w:vAlign w:val="center"/>
          </w:tcPr>
          <w:p w:rsidR="00250F30" w:rsidRPr="008B3D24" w:rsidRDefault="00250F30" w:rsidP="009452DA">
            <w:pPr>
              <w:pStyle w:val="TableText0"/>
            </w:pPr>
          </w:p>
        </w:tc>
        <w:tc>
          <w:tcPr>
            <w:tcW w:w="515" w:type="pct"/>
            <w:vAlign w:val="center"/>
          </w:tcPr>
          <w:p w:rsidR="00250F30" w:rsidRPr="008B3D24" w:rsidRDefault="00586335" w:rsidP="009452DA">
            <w:pPr>
              <w:pStyle w:val="TableText0"/>
              <w:jc w:val="center"/>
            </w:pPr>
            <w:r w:rsidRPr="008B3D24">
              <w:t>M</w:t>
            </w:r>
            <w:r w:rsidR="00250F30" w:rsidRPr="008B3D24">
              <w:t>ean baseline (SD)</w:t>
            </w:r>
          </w:p>
        </w:tc>
        <w:tc>
          <w:tcPr>
            <w:tcW w:w="572" w:type="pct"/>
            <w:vAlign w:val="center"/>
          </w:tcPr>
          <w:p w:rsidR="00250F30" w:rsidRPr="008B3D24" w:rsidRDefault="00586335" w:rsidP="009452DA">
            <w:pPr>
              <w:pStyle w:val="TableText0"/>
              <w:jc w:val="center"/>
            </w:pPr>
            <w:r w:rsidRPr="008B3D24">
              <w:t>M</w:t>
            </w:r>
            <w:r w:rsidR="00250F30" w:rsidRPr="008B3D24">
              <w:t>ean end point (SD)</w:t>
            </w:r>
          </w:p>
        </w:tc>
        <w:tc>
          <w:tcPr>
            <w:tcW w:w="560" w:type="pct"/>
            <w:vAlign w:val="center"/>
          </w:tcPr>
          <w:p w:rsidR="00250F30" w:rsidRPr="008B3D24" w:rsidRDefault="00586335" w:rsidP="009452DA">
            <w:pPr>
              <w:pStyle w:val="TableText0"/>
              <w:jc w:val="center"/>
            </w:pPr>
            <w:r w:rsidRPr="008B3D24">
              <w:t>M</w:t>
            </w:r>
            <w:r w:rsidR="00250F30" w:rsidRPr="008B3D24">
              <w:t>ean change (S</w:t>
            </w:r>
            <w:r w:rsidR="009B4541" w:rsidRPr="008B3D24">
              <w:t>E</w:t>
            </w:r>
            <w:r w:rsidR="00250F30" w:rsidRPr="008B3D24">
              <w:t>)</w:t>
            </w:r>
          </w:p>
        </w:tc>
        <w:tc>
          <w:tcPr>
            <w:tcW w:w="672" w:type="pct"/>
            <w:vAlign w:val="center"/>
          </w:tcPr>
          <w:p w:rsidR="00250F30" w:rsidRPr="008B3D24" w:rsidRDefault="00586335" w:rsidP="009452DA">
            <w:pPr>
              <w:pStyle w:val="TableText0"/>
              <w:jc w:val="center"/>
            </w:pPr>
            <w:r w:rsidRPr="008B3D24">
              <w:t>M</w:t>
            </w:r>
            <w:r w:rsidR="00250F30" w:rsidRPr="008B3D24">
              <w:t>ean baseline (SD)</w:t>
            </w:r>
          </w:p>
        </w:tc>
        <w:tc>
          <w:tcPr>
            <w:tcW w:w="613" w:type="pct"/>
            <w:vAlign w:val="center"/>
          </w:tcPr>
          <w:p w:rsidR="00250F30" w:rsidRPr="008B3D24" w:rsidRDefault="00586335" w:rsidP="009452DA">
            <w:pPr>
              <w:pStyle w:val="TableText0"/>
              <w:jc w:val="center"/>
            </w:pPr>
            <w:r w:rsidRPr="008B3D24">
              <w:t>M</w:t>
            </w:r>
            <w:r w:rsidR="00250F30" w:rsidRPr="008B3D24">
              <w:t>ean end point (SD)</w:t>
            </w:r>
          </w:p>
        </w:tc>
        <w:tc>
          <w:tcPr>
            <w:tcW w:w="579" w:type="pct"/>
            <w:vAlign w:val="center"/>
          </w:tcPr>
          <w:p w:rsidR="00250F30" w:rsidRPr="008B3D24" w:rsidRDefault="00586335" w:rsidP="009452DA">
            <w:pPr>
              <w:pStyle w:val="TableText0"/>
              <w:jc w:val="center"/>
            </w:pPr>
            <w:r w:rsidRPr="008B3D24">
              <w:t>M</w:t>
            </w:r>
            <w:r w:rsidR="00250F30" w:rsidRPr="008B3D24">
              <w:t>ean change (S</w:t>
            </w:r>
            <w:r w:rsidR="009B4541" w:rsidRPr="008B3D24">
              <w:t>E</w:t>
            </w:r>
            <w:r w:rsidR="00250F30" w:rsidRPr="008B3D24">
              <w:t>)</w:t>
            </w:r>
          </w:p>
        </w:tc>
        <w:tc>
          <w:tcPr>
            <w:tcW w:w="1016" w:type="pct"/>
            <w:vMerge/>
          </w:tcPr>
          <w:p w:rsidR="00250F30" w:rsidRPr="008B3D24" w:rsidRDefault="00250F30" w:rsidP="009452DA">
            <w:pPr>
              <w:pStyle w:val="TableText0"/>
              <w:jc w:val="center"/>
            </w:pPr>
          </w:p>
        </w:tc>
      </w:tr>
      <w:tr w:rsidR="00250F30" w:rsidRPr="008B3D24" w:rsidTr="00586335">
        <w:tc>
          <w:tcPr>
            <w:tcW w:w="473" w:type="pct"/>
            <w:vAlign w:val="center"/>
          </w:tcPr>
          <w:p w:rsidR="00250F30" w:rsidRPr="008B3D24" w:rsidRDefault="00250F30" w:rsidP="009452DA">
            <w:pPr>
              <w:pStyle w:val="TableText0"/>
            </w:pPr>
            <w:r w:rsidRPr="008B3D24">
              <w:t>COAST-V</w:t>
            </w:r>
          </w:p>
        </w:tc>
        <w:tc>
          <w:tcPr>
            <w:tcW w:w="515" w:type="pct"/>
            <w:vAlign w:val="center"/>
          </w:tcPr>
          <w:p w:rsidR="00250F30" w:rsidRPr="008B3D24" w:rsidRDefault="00250F30" w:rsidP="009452DA">
            <w:pPr>
              <w:pStyle w:val="TableText0"/>
              <w:jc w:val="center"/>
            </w:pPr>
            <w:r w:rsidRPr="008B3D24">
              <w:t>6.75 (1.32)</w:t>
            </w:r>
          </w:p>
        </w:tc>
        <w:tc>
          <w:tcPr>
            <w:tcW w:w="572" w:type="pct"/>
            <w:vAlign w:val="center"/>
          </w:tcPr>
          <w:p w:rsidR="00250F30" w:rsidRPr="008B3D24" w:rsidRDefault="00250F30" w:rsidP="009452DA">
            <w:pPr>
              <w:pStyle w:val="TableText0"/>
              <w:jc w:val="center"/>
            </w:pPr>
            <w:r w:rsidRPr="008B3D24">
              <w:rPr>
                <w:i/>
                <w:iCs/>
              </w:rPr>
              <w:t>3.71 (2.01)</w:t>
            </w:r>
          </w:p>
        </w:tc>
        <w:tc>
          <w:tcPr>
            <w:tcW w:w="560" w:type="pct"/>
            <w:vAlign w:val="center"/>
          </w:tcPr>
          <w:p w:rsidR="00250F30" w:rsidRPr="008B3D24" w:rsidRDefault="00250F30" w:rsidP="009452DA">
            <w:pPr>
              <w:pStyle w:val="TableText0"/>
              <w:jc w:val="center"/>
            </w:pPr>
            <w:r w:rsidRPr="008B3D24">
              <w:rPr>
                <w:rFonts w:eastAsia="Calibri"/>
              </w:rPr>
              <w:noBreakHyphen/>
              <w:t>2.92 (0.22)</w:t>
            </w:r>
          </w:p>
        </w:tc>
        <w:tc>
          <w:tcPr>
            <w:tcW w:w="672" w:type="pct"/>
            <w:vAlign w:val="center"/>
          </w:tcPr>
          <w:p w:rsidR="00250F30" w:rsidRPr="008B3D24" w:rsidRDefault="00250F30" w:rsidP="009452DA">
            <w:pPr>
              <w:pStyle w:val="TableText0"/>
              <w:jc w:val="center"/>
            </w:pPr>
            <w:r w:rsidRPr="008B3D24">
              <w:rPr>
                <w:i/>
                <w:iCs/>
              </w:rPr>
              <w:t>6.</w:t>
            </w:r>
            <w:r w:rsidR="00476C75" w:rsidRPr="008B3D24">
              <w:rPr>
                <w:i/>
                <w:iCs/>
              </w:rPr>
              <w:t>79</w:t>
            </w:r>
            <w:r w:rsidRPr="008B3D24">
              <w:t xml:space="preserve"> (1.22)</w:t>
            </w:r>
          </w:p>
        </w:tc>
        <w:tc>
          <w:tcPr>
            <w:tcW w:w="613" w:type="pct"/>
            <w:vAlign w:val="center"/>
          </w:tcPr>
          <w:p w:rsidR="00250F30" w:rsidRPr="008B3D24" w:rsidRDefault="00250F30" w:rsidP="009452DA">
            <w:pPr>
              <w:pStyle w:val="TableText0"/>
              <w:jc w:val="center"/>
              <w:rPr>
                <w:i/>
                <w:iCs/>
              </w:rPr>
            </w:pPr>
            <w:r w:rsidRPr="008B3D24">
              <w:rPr>
                <w:i/>
                <w:iCs/>
              </w:rPr>
              <w:t>5.28 (2.0</w:t>
            </w:r>
            <w:r w:rsidR="00476C75" w:rsidRPr="008B3D24">
              <w:rPr>
                <w:i/>
                <w:iCs/>
              </w:rPr>
              <w:t>5</w:t>
            </w:r>
            <w:r w:rsidRPr="008B3D24">
              <w:rPr>
                <w:i/>
                <w:iCs/>
              </w:rPr>
              <w:t>)</w:t>
            </w:r>
          </w:p>
        </w:tc>
        <w:tc>
          <w:tcPr>
            <w:tcW w:w="579" w:type="pct"/>
            <w:vAlign w:val="center"/>
          </w:tcPr>
          <w:p w:rsidR="00250F30" w:rsidRPr="008B3D24" w:rsidRDefault="00250F30" w:rsidP="009452DA">
            <w:pPr>
              <w:pStyle w:val="TableText0"/>
              <w:jc w:val="center"/>
            </w:pPr>
            <w:r w:rsidRPr="008B3D24">
              <w:noBreakHyphen/>
              <w:t>1.39 (0.22)</w:t>
            </w:r>
          </w:p>
        </w:tc>
        <w:tc>
          <w:tcPr>
            <w:tcW w:w="1016" w:type="pct"/>
          </w:tcPr>
          <w:p w:rsidR="00250F30" w:rsidRPr="008B3D24" w:rsidRDefault="00250F30" w:rsidP="009452DA">
            <w:pPr>
              <w:pStyle w:val="TableText0"/>
              <w:jc w:val="center"/>
              <w:rPr>
                <w:b/>
                <w:bCs w:val="0"/>
              </w:rPr>
            </w:pPr>
            <w:r w:rsidRPr="008B3D24">
              <w:rPr>
                <w:b/>
                <w:bCs w:val="0"/>
              </w:rPr>
              <w:t>-1.54 (-2.14, -0.93)</w:t>
            </w:r>
          </w:p>
        </w:tc>
      </w:tr>
      <w:tr w:rsidR="00250F30" w:rsidRPr="008B3D24" w:rsidTr="00586335">
        <w:tc>
          <w:tcPr>
            <w:tcW w:w="473" w:type="pct"/>
            <w:vAlign w:val="center"/>
          </w:tcPr>
          <w:p w:rsidR="00250F30" w:rsidRPr="008B3D24" w:rsidRDefault="00250F30" w:rsidP="009452DA">
            <w:pPr>
              <w:pStyle w:val="TableText0"/>
            </w:pPr>
            <w:r w:rsidRPr="008B3D24">
              <w:t xml:space="preserve">COAST-W </w:t>
            </w:r>
          </w:p>
        </w:tc>
        <w:tc>
          <w:tcPr>
            <w:tcW w:w="515" w:type="pct"/>
          </w:tcPr>
          <w:p w:rsidR="00250F30" w:rsidRPr="008B3D24" w:rsidRDefault="00250F30" w:rsidP="009452DA">
            <w:pPr>
              <w:pStyle w:val="TableText0"/>
              <w:jc w:val="center"/>
            </w:pPr>
            <w:r w:rsidRPr="008B3D24">
              <w:t>7.54 (1.34)</w:t>
            </w:r>
          </w:p>
        </w:tc>
        <w:tc>
          <w:tcPr>
            <w:tcW w:w="572" w:type="pct"/>
            <w:vAlign w:val="center"/>
          </w:tcPr>
          <w:p w:rsidR="00250F30" w:rsidRPr="008B3D24" w:rsidRDefault="00250F30" w:rsidP="009452DA">
            <w:pPr>
              <w:pStyle w:val="TableText0"/>
              <w:jc w:val="center"/>
              <w:rPr>
                <w:i/>
                <w:iCs/>
              </w:rPr>
            </w:pPr>
            <w:r w:rsidRPr="008B3D24">
              <w:rPr>
                <w:i/>
                <w:iCs/>
              </w:rPr>
              <w:t>5.18 (2.16)</w:t>
            </w:r>
          </w:p>
        </w:tc>
        <w:tc>
          <w:tcPr>
            <w:tcW w:w="560" w:type="pct"/>
            <w:vAlign w:val="center"/>
          </w:tcPr>
          <w:p w:rsidR="00250F30" w:rsidRPr="008B3D24" w:rsidRDefault="00250F30" w:rsidP="009452DA">
            <w:pPr>
              <w:pStyle w:val="TableText0"/>
              <w:jc w:val="center"/>
            </w:pPr>
            <w:r w:rsidRPr="008B3D24">
              <w:noBreakHyphen/>
              <w:t>2.17 (0.20)</w:t>
            </w:r>
          </w:p>
        </w:tc>
        <w:tc>
          <w:tcPr>
            <w:tcW w:w="672" w:type="pct"/>
            <w:vAlign w:val="center"/>
          </w:tcPr>
          <w:p w:rsidR="00250F30" w:rsidRPr="008B3D24" w:rsidRDefault="00250F30" w:rsidP="009452DA">
            <w:pPr>
              <w:pStyle w:val="TableText0"/>
              <w:jc w:val="center"/>
            </w:pPr>
            <w:r w:rsidRPr="008B3D24">
              <w:t>7.32 (1.26)</w:t>
            </w:r>
          </w:p>
        </w:tc>
        <w:tc>
          <w:tcPr>
            <w:tcW w:w="613" w:type="pct"/>
            <w:vAlign w:val="center"/>
          </w:tcPr>
          <w:p w:rsidR="00250F30" w:rsidRPr="008B3D24" w:rsidRDefault="00250F30" w:rsidP="009452DA">
            <w:pPr>
              <w:pStyle w:val="TableText0"/>
              <w:jc w:val="center"/>
              <w:rPr>
                <w:i/>
                <w:iCs/>
              </w:rPr>
            </w:pPr>
            <w:r w:rsidRPr="008B3D24">
              <w:rPr>
                <w:i/>
                <w:iCs/>
              </w:rPr>
              <w:t>6.37 (2.03)</w:t>
            </w:r>
          </w:p>
        </w:tc>
        <w:tc>
          <w:tcPr>
            <w:tcW w:w="579" w:type="pct"/>
            <w:vAlign w:val="center"/>
          </w:tcPr>
          <w:p w:rsidR="00250F30" w:rsidRPr="008B3D24" w:rsidRDefault="00250F30" w:rsidP="009452DA">
            <w:pPr>
              <w:pStyle w:val="TableText0"/>
              <w:jc w:val="center"/>
            </w:pPr>
            <w:r w:rsidRPr="008B3D24">
              <w:noBreakHyphen/>
              <w:t>0.92 (0.21)</w:t>
            </w:r>
          </w:p>
        </w:tc>
        <w:tc>
          <w:tcPr>
            <w:tcW w:w="1016" w:type="pct"/>
          </w:tcPr>
          <w:p w:rsidR="00250F30" w:rsidRPr="008B3D24" w:rsidRDefault="00250F30" w:rsidP="009452DA">
            <w:pPr>
              <w:pStyle w:val="TableText0"/>
              <w:jc w:val="center"/>
              <w:rPr>
                <w:b/>
                <w:bCs w:val="0"/>
              </w:rPr>
            </w:pPr>
            <w:r w:rsidRPr="008B3D24">
              <w:rPr>
                <w:b/>
                <w:bCs w:val="0"/>
              </w:rPr>
              <w:t>-1.2</w:t>
            </w:r>
            <w:r w:rsidR="00476C75" w:rsidRPr="008B3D24">
              <w:rPr>
                <w:b/>
                <w:bCs w:val="0"/>
              </w:rPr>
              <w:t>4</w:t>
            </w:r>
            <w:r w:rsidRPr="008B3D24">
              <w:rPr>
                <w:b/>
                <w:bCs w:val="0"/>
              </w:rPr>
              <w:t xml:space="preserve"> (-1.8</w:t>
            </w:r>
            <w:r w:rsidR="00476C75" w:rsidRPr="008B3D24">
              <w:rPr>
                <w:b/>
                <w:bCs w:val="0"/>
              </w:rPr>
              <w:t>1</w:t>
            </w:r>
            <w:r w:rsidRPr="008B3D24">
              <w:rPr>
                <w:b/>
                <w:bCs w:val="0"/>
              </w:rPr>
              <w:t>, -0.6</w:t>
            </w:r>
            <w:r w:rsidR="00476C75" w:rsidRPr="008B3D24">
              <w:rPr>
                <w:b/>
                <w:bCs w:val="0"/>
              </w:rPr>
              <w:t>7</w:t>
            </w:r>
            <w:r w:rsidRPr="008B3D24">
              <w:rPr>
                <w:b/>
                <w:bCs w:val="0"/>
              </w:rPr>
              <w:t>)</w:t>
            </w:r>
          </w:p>
        </w:tc>
      </w:tr>
      <w:tr w:rsidR="00250F30" w:rsidRPr="008B3D24" w:rsidTr="009427B6">
        <w:tc>
          <w:tcPr>
            <w:tcW w:w="3984" w:type="pct"/>
            <w:gridSpan w:val="7"/>
            <w:vAlign w:val="center"/>
          </w:tcPr>
          <w:p w:rsidR="00250F30" w:rsidRPr="008B3D24" w:rsidRDefault="00250F30" w:rsidP="009452DA">
            <w:pPr>
              <w:pStyle w:val="TableText0"/>
            </w:pPr>
            <w:r w:rsidRPr="008B3D24">
              <w:t xml:space="preserve">Pooled ixekizumab </w:t>
            </w:r>
          </w:p>
        </w:tc>
        <w:tc>
          <w:tcPr>
            <w:tcW w:w="1016" w:type="pct"/>
          </w:tcPr>
          <w:p w:rsidR="00250F30" w:rsidRPr="008B3D24" w:rsidRDefault="00250F30" w:rsidP="009452DA">
            <w:pPr>
              <w:pStyle w:val="TableText0"/>
              <w:jc w:val="center"/>
              <w:rPr>
                <w:b/>
                <w:bCs w:val="0"/>
              </w:rPr>
            </w:pPr>
            <w:r w:rsidRPr="008B3D24">
              <w:rPr>
                <w:rFonts w:eastAsia="Calibri"/>
                <w:b/>
                <w:bCs w:val="0"/>
              </w:rPr>
              <w:t>-1.38 (-1.80, -0.96)</w:t>
            </w:r>
          </w:p>
        </w:tc>
      </w:tr>
      <w:tr w:rsidR="00250F30" w:rsidRPr="008B3D24" w:rsidTr="009427B6">
        <w:tc>
          <w:tcPr>
            <w:tcW w:w="3984" w:type="pct"/>
            <w:gridSpan w:val="7"/>
            <w:vAlign w:val="center"/>
          </w:tcPr>
          <w:p w:rsidR="00250F30" w:rsidRPr="008B3D24" w:rsidRDefault="00250F30" w:rsidP="009452DA">
            <w:pPr>
              <w:pStyle w:val="TableText0"/>
            </w:pPr>
            <w:r w:rsidRPr="008B3D24">
              <w:t>Tau (heterogeneity)</w:t>
            </w:r>
          </w:p>
        </w:tc>
        <w:tc>
          <w:tcPr>
            <w:tcW w:w="1016" w:type="pct"/>
          </w:tcPr>
          <w:p w:rsidR="00250F30" w:rsidRPr="008B3D24" w:rsidRDefault="00250F30" w:rsidP="009452DA">
            <w:pPr>
              <w:pStyle w:val="TableText0"/>
              <w:jc w:val="center"/>
              <w:rPr>
                <w:rFonts w:eastAsia="Calibri"/>
              </w:rPr>
            </w:pPr>
            <w:r w:rsidRPr="008B3D24">
              <w:rPr>
                <w:rFonts w:eastAsia="Calibri"/>
              </w:rPr>
              <w:t>0</w:t>
            </w:r>
          </w:p>
        </w:tc>
      </w:tr>
      <w:tr w:rsidR="00250F30" w:rsidRPr="008B3D24" w:rsidTr="009427B6">
        <w:tc>
          <w:tcPr>
            <w:tcW w:w="3984" w:type="pct"/>
            <w:gridSpan w:val="7"/>
            <w:vAlign w:val="center"/>
          </w:tcPr>
          <w:p w:rsidR="00250F30" w:rsidRPr="008B3D24" w:rsidRDefault="00250F30" w:rsidP="009452DA">
            <w:pPr>
              <w:pStyle w:val="TableText0"/>
            </w:pPr>
            <w:r w:rsidRPr="008B3D24">
              <w:t>I</w:t>
            </w:r>
            <w:r w:rsidRPr="008B3D24">
              <w:rPr>
                <w:vertAlign w:val="superscript"/>
              </w:rPr>
              <w:t>2</w:t>
            </w:r>
            <w:r w:rsidRPr="008B3D24">
              <w:t xml:space="preserve"> (95% CI)</w:t>
            </w:r>
          </w:p>
        </w:tc>
        <w:tc>
          <w:tcPr>
            <w:tcW w:w="1016" w:type="pct"/>
          </w:tcPr>
          <w:p w:rsidR="00250F30" w:rsidRPr="008B3D24" w:rsidRDefault="00250F30" w:rsidP="009452DA">
            <w:pPr>
              <w:pStyle w:val="TableText0"/>
              <w:jc w:val="center"/>
              <w:rPr>
                <w:rFonts w:eastAsia="Calibri"/>
              </w:rPr>
            </w:pPr>
            <w:r w:rsidRPr="008B3D24">
              <w:rPr>
                <w:rFonts w:eastAsia="Calibri"/>
              </w:rPr>
              <w:t>0 (NA, NA)</w:t>
            </w:r>
          </w:p>
        </w:tc>
      </w:tr>
      <w:tr w:rsidR="00250F30" w:rsidRPr="008B3D24" w:rsidTr="009427B6">
        <w:tc>
          <w:tcPr>
            <w:tcW w:w="3984" w:type="pct"/>
            <w:gridSpan w:val="7"/>
            <w:vAlign w:val="center"/>
          </w:tcPr>
          <w:p w:rsidR="00250F30" w:rsidRPr="008B3D24" w:rsidRDefault="00250F30" w:rsidP="009452DA">
            <w:pPr>
              <w:pStyle w:val="TableText0"/>
            </w:pPr>
            <w:r w:rsidRPr="008B3D24">
              <w:t>Test of heterogeneity: Q (df))</w:t>
            </w:r>
          </w:p>
        </w:tc>
        <w:tc>
          <w:tcPr>
            <w:tcW w:w="1016" w:type="pct"/>
          </w:tcPr>
          <w:p w:rsidR="00250F30" w:rsidRPr="008B3D24" w:rsidRDefault="00250F30" w:rsidP="009452DA">
            <w:pPr>
              <w:pStyle w:val="TableText0"/>
              <w:jc w:val="center"/>
              <w:rPr>
                <w:rFonts w:eastAsia="Calibri"/>
              </w:rPr>
            </w:pPr>
            <w:r w:rsidRPr="008B3D24">
              <w:rPr>
                <w:rFonts w:eastAsia="Calibri"/>
              </w:rPr>
              <w:t>0.43 (1) P = 0.513</w:t>
            </w:r>
          </w:p>
        </w:tc>
      </w:tr>
    </w:tbl>
    <w:p w:rsidR="00250F30" w:rsidRPr="008B3D24" w:rsidRDefault="00250F30" w:rsidP="00A22FDA">
      <w:pPr>
        <w:pStyle w:val="TableFigureFooter"/>
        <w:jc w:val="both"/>
        <w:rPr>
          <w:sz w:val="20"/>
        </w:rPr>
      </w:pPr>
      <w:r w:rsidRPr="008B3D24">
        <w:t xml:space="preserve">Source: Table 2.7-3, p104 of the submission; </w:t>
      </w:r>
      <w:r w:rsidRPr="008B3D24">
        <w:rPr>
          <w:i/>
          <w:iCs/>
        </w:rPr>
        <w:t>Table RHBV.14-3</w:t>
      </w:r>
      <w:r w:rsidR="002558EC" w:rsidRPr="008B3D24">
        <w:rPr>
          <w:i/>
          <w:iCs/>
        </w:rPr>
        <w:t>2</w:t>
      </w:r>
      <w:r w:rsidRPr="008B3D24">
        <w:rPr>
          <w:i/>
          <w:iCs/>
        </w:rPr>
        <w:t>, p</w:t>
      </w:r>
      <w:r w:rsidR="002558EC" w:rsidRPr="008B3D24">
        <w:rPr>
          <w:i/>
          <w:iCs/>
        </w:rPr>
        <w:t>501</w:t>
      </w:r>
      <w:r w:rsidRPr="008B3D24">
        <w:rPr>
          <w:i/>
          <w:iCs/>
        </w:rPr>
        <w:t xml:space="preserve"> of COAST-V CSR</w:t>
      </w:r>
      <w:r w:rsidRPr="008B3D24">
        <w:t xml:space="preserve">; </w:t>
      </w:r>
      <w:r w:rsidRPr="008B3D24">
        <w:rPr>
          <w:i/>
          <w:iCs/>
        </w:rPr>
        <w:t>Table RHBW.14-3</w:t>
      </w:r>
      <w:r w:rsidR="002558EC" w:rsidRPr="008B3D24">
        <w:rPr>
          <w:i/>
          <w:iCs/>
        </w:rPr>
        <w:t>2</w:t>
      </w:r>
      <w:r w:rsidRPr="008B3D24">
        <w:rPr>
          <w:i/>
          <w:iCs/>
        </w:rPr>
        <w:t>, p</w:t>
      </w:r>
      <w:r w:rsidR="002558EC" w:rsidRPr="008B3D24">
        <w:rPr>
          <w:i/>
          <w:iCs/>
        </w:rPr>
        <w:t>495</w:t>
      </w:r>
      <w:r w:rsidRPr="008B3D24">
        <w:rPr>
          <w:i/>
          <w:iCs/>
        </w:rPr>
        <w:t xml:space="preserve"> of COAST-</w:t>
      </w:r>
      <w:r w:rsidR="00703624" w:rsidRPr="008B3D24">
        <w:rPr>
          <w:i/>
          <w:iCs/>
        </w:rPr>
        <w:t>W</w:t>
      </w:r>
      <w:r w:rsidRPr="008B3D24">
        <w:rPr>
          <w:i/>
          <w:iCs/>
        </w:rPr>
        <w:t xml:space="preserve"> CSR </w:t>
      </w:r>
    </w:p>
    <w:p w:rsidR="00476C75" w:rsidRPr="008B3D24" w:rsidRDefault="00250F30" w:rsidP="00A22FDA">
      <w:pPr>
        <w:pStyle w:val="TableFigureFooter"/>
        <w:jc w:val="both"/>
        <w:rPr>
          <w:i/>
          <w:iCs/>
        </w:rPr>
      </w:pPr>
      <w:r w:rsidRPr="008B3D24">
        <w:t>BASDAI = Bath ankylosing spondylitis disease activity index; CI = confidence interval; CSR = clinical study report; IXEQ4W= ixekizumab 80 mg every four weeks; NA = not applicable; SD = standard deviation</w:t>
      </w:r>
      <w:r w:rsidR="009B4541" w:rsidRPr="008B3D24">
        <w:t>; SE = standard error</w:t>
      </w:r>
      <w:r w:rsidR="00586335" w:rsidRPr="008B3D24">
        <w:t xml:space="preserve">; </w:t>
      </w:r>
      <w:r w:rsidR="00586335" w:rsidRPr="008B3D24">
        <w:rPr>
          <w:b/>
          <w:bCs/>
          <w:i/>
          <w:iCs/>
        </w:rPr>
        <w:t xml:space="preserve">Bold </w:t>
      </w:r>
      <w:r w:rsidR="00586335" w:rsidRPr="008B3D24">
        <w:rPr>
          <w:i/>
          <w:iCs/>
        </w:rPr>
        <w:t>= statistically significant</w:t>
      </w:r>
      <w:r w:rsidR="00476C75" w:rsidRPr="008B3D24">
        <w:rPr>
          <w:i/>
          <w:iCs/>
        </w:rPr>
        <w:t>;</w:t>
      </w:r>
      <w:r w:rsidR="00476C75" w:rsidRPr="008B3D24">
        <w:rPr>
          <w:rFonts w:cs="Times New Roman"/>
          <w:i/>
          <w:iCs/>
          <w:lang w:eastAsia="en-GB"/>
        </w:rPr>
        <w:t xml:space="preserve"> </w:t>
      </w:r>
      <w:r w:rsidR="00476C75" w:rsidRPr="008B3D24">
        <w:rPr>
          <w:i/>
          <w:iCs/>
        </w:rPr>
        <w:t xml:space="preserve">Italics = </w:t>
      </w:r>
      <w:r w:rsidR="00476C75" w:rsidRPr="008B3D24">
        <w:t>added/corrected during evaluation</w:t>
      </w:r>
    </w:p>
    <w:p w:rsidR="00654A92" w:rsidRPr="008B3D24" w:rsidRDefault="00654A92" w:rsidP="00654A92">
      <w:pPr>
        <w:pStyle w:val="3-BodyText"/>
        <w:rPr>
          <w:iCs/>
        </w:rPr>
      </w:pPr>
      <w:r w:rsidRPr="008B3D24">
        <w:t xml:space="preserve">The submission also suggested that ixekizumab may perform better than adalimumab in TNFi-experienced </w:t>
      </w:r>
      <w:r w:rsidR="00954E2C" w:rsidRPr="008B3D24">
        <w:t>patients</w:t>
      </w:r>
      <w:r w:rsidR="00BC5A59" w:rsidRPr="008B3D24">
        <w:t xml:space="preserve">, as </w:t>
      </w:r>
      <w:r w:rsidRPr="008B3D24">
        <w:t>the RHAPSODY trial of adalimumab in AS showed numerically lower rates of ASAS</w:t>
      </w:r>
      <w:r w:rsidR="00376B43" w:rsidRPr="008B3D24">
        <w:t>2</w:t>
      </w:r>
      <w:r w:rsidRPr="008B3D24">
        <w:t xml:space="preserve">0 and BASDAI 50 response in TNFi-experienced </w:t>
      </w:r>
      <w:r w:rsidR="00B75C5D" w:rsidRPr="008B3D24">
        <w:t>compared with</w:t>
      </w:r>
      <w:r w:rsidR="0013047E" w:rsidRPr="008B3D24">
        <w:t xml:space="preserve"> TNFi-naïve </w:t>
      </w:r>
      <w:r w:rsidRPr="008B3D24">
        <w:t>patients</w:t>
      </w:r>
      <w:r w:rsidR="0061447F" w:rsidRPr="008B3D24">
        <w:t>, implicitly suggesting ixekizumab would perform better</w:t>
      </w:r>
      <w:r w:rsidR="00581C7C" w:rsidRPr="008B3D24">
        <w:t>,</w:t>
      </w:r>
      <w:r w:rsidR="00BC5A59" w:rsidRPr="008B3D24">
        <w:t xml:space="preserve"> </w:t>
      </w:r>
      <w:r w:rsidR="0061447F" w:rsidRPr="008B3D24">
        <w:t>as the</w:t>
      </w:r>
      <w:r w:rsidR="00BC5A59" w:rsidRPr="008B3D24">
        <w:t xml:space="preserve"> </w:t>
      </w:r>
      <w:r w:rsidR="0061447F" w:rsidRPr="008B3D24">
        <w:t>response rates</w:t>
      </w:r>
      <w:r w:rsidR="0013047E" w:rsidRPr="008B3D24">
        <w:t xml:space="preserve"> </w:t>
      </w:r>
      <w:r w:rsidR="0061447F" w:rsidRPr="008B3D24">
        <w:t xml:space="preserve">were consistent </w:t>
      </w:r>
      <w:r w:rsidR="00581C7C" w:rsidRPr="008B3D24">
        <w:t>across</w:t>
      </w:r>
      <w:r w:rsidR="0013047E" w:rsidRPr="008B3D24">
        <w:t xml:space="preserve"> </w:t>
      </w:r>
      <w:r w:rsidR="0061447F" w:rsidRPr="008B3D24">
        <w:t xml:space="preserve">ixekizumab-treated </w:t>
      </w:r>
      <w:r w:rsidR="00BC5A59" w:rsidRPr="008B3D24">
        <w:t xml:space="preserve">TNFi-naïve and TNFi-experienced patients in the COAST trials. </w:t>
      </w:r>
      <w:r w:rsidRPr="008B3D24">
        <w:rPr>
          <w:iCs/>
        </w:rPr>
        <w:t xml:space="preserve">This was not supported by </w:t>
      </w:r>
      <w:r w:rsidR="00103607" w:rsidRPr="008B3D24">
        <w:rPr>
          <w:iCs/>
        </w:rPr>
        <w:t>the</w:t>
      </w:r>
      <w:r w:rsidR="003B0CF9" w:rsidRPr="008B3D24">
        <w:rPr>
          <w:iCs/>
        </w:rPr>
        <w:t xml:space="preserve"> formal comparison </w:t>
      </w:r>
      <w:r w:rsidRPr="008B3D24">
        <w:rPr>
          <w:iCs/>
        </w:rPr>
        <w:t>presented in the submission.</w:t>
      </w:r>
    </w:p>
    <w:p w:rsidR="00250F30" w:rsidRPr="008B3D24" w:rsidRDefault="00250F30" w:rsidP="00250F30">
      <w:pPr>
        <w:pStyle w:val="3-BodyText"/>
        <w:rPr>
          <w:iCs/>
        </w:rPr>
      </w:pPr>
      <w:r w:rsidRPr="008B3D24">
        <w:t>The submission presented an ITC of the ixekizumab (COAST-V and COAST-W) and secukinumab trials (</w:t>
      </w:r>
      <w:r w:rsidR="00A62075" w:rsidRPr="008B3D24">
        <w:t>MEASURE 2</w:t>
      </w:r>
      <w:r w:rsidRPr="008B3D24">
        <w:t xml:space="preserve"> and </w:t>
      </w:r>
      <w:r w:rsidR="00A62075" w:rsidRPr="008B3D24">
        <w:t>MEASURE 4</w:t>
      </w:r>
      <w:r w:rsidRPr="008B3D24">
        <w:t xml:space="preserve">) (presented in Tables </w:t>
      </w:r>
      <w:r w:rsidR="006A323C" w:rsidRPr="008B3D24">
        <w:t xml:space="preserve">8 </w:t>
      </w:r>
      <w:r w:rsidRPr="008B3D24">
        <w:t xml:space="preserve">and </w:t>
      </w:r>
      <w:r w:rsidR="006A323C" w:rsidRPr="008B3D24">
        <w:t>9</w:t>
      </w:r>
      <w:r w:rsidRPr="008B3D24">
        <w:t>). The submission conducted unadjusted meta-analyses in the combination of the individual trials</w:t>
      </w:r>
      <w:r w:rsidR="00954E2C" w:rsidRPr="008B3D24">
        <w:t>.</w:t>
      </w:r>
      <w:r w:rsidRPr="008B3D24">
        <w:t xml:space="preserve"> </w:t>
      </w:r>
      <w:r w:rsidR="00103607" w:rsidRPr="008B3D24">
        <w:t>The evaluation considered t</w:t>
      </w:r>
      <w:r w:rsidRPr="008B3D24">
        <w:t>his</w:t>
      </w:r>
      <w:r w:rsidR="00103607" w:rsidRPr="008B3D24">
        <w:t xml:space="preserve"> </w:t>
      </w:r>
      <w:r w:rsidRPr="008B3D24">
        <w:t xml:space="preserve">may not have been appropriate and may lead to transitivity concerns in the ITC; however, it was noted that adjusted relative risk and odds ratio were not available for the MEASURE trials. The submission presented unadjusted, pairwise indirect comparisons of the meta-analyses using standard frequentist methods as described by </w:t>
      </w:r>
      <w:r w:rsidR="00CA2C86" w:rsidRPr="008B3D24">
        <w:t>Bucher</w:t>
      </w:r>
      <w:r w:rsidR="00CA2C86" w:rsidRPr="008B3D24">
        <w:rPr>
          <w:iCs/>
        </w:rPr>
        <w:t xml:space="preserve"> et al.</w:t>
      </w:r>
      <w:r w:rsidR="00CA2C86" w:rsidRPr="008B3D24">
        <w:t xml:space="preserve"> (1997)</w:t>
      </w:r>
      <w:r w:rsidRPr="008B3D24">
        <w:t xml:space="preserve">. </w:t>
      </w:r>
      <w:r w:rsidRPr="008B3D24">
        <w:rPr>
          <w:iCs/>
        </w:rPr>
        <w:t>However, as unadjusted meta-analyses were conducted it should be noted that the Bucher method does not account for treatment effect modifiers which were not balanced between treatment arms (such as concomitant therapies).</w:t>
      </w:r>
    </w:p>
    <w:p w:rsidR="0017618A" w:rsidRPr="008B3D24" w:rsidRDefault="0017618A" w:rsidP="0017618A">
      <w:pPr>
        <w:pStyle w:val="3-BodyText"/>
        <w:rPr>
          <w:iCs/>
        </w:rPr>
      </w:pPr>
      <w:r w:rsidRPr="008B3D24">
        <w:t>The submission presented risk differences, relative risks and odds ratios of the response outcomes for the meta-analysis</w:t>
      </w:r>
      <w:r w:rsidR="00203517" w:rsidRPr="008B3D24">
        <w:t xml:space="preserve">; however, </w:t>
      </w:r>
      <w:r w:rsidRPr="008B3D24">
        <w:rPr>
          <w:iCs/>
        </w:rPr>
        <w:t xml:space="preserve">only relative risks and odds ratios </w:t>
      </w:r>
      <w:r w:rsidR="00103607" w:rsidRPr="008B3D24">
        <w:rPr>
          <w:iCs/>
        </w:rPr>
        <w:t xml:space="preserve">are </w:t>
      </w:r>
      <w:r w:rsidRPr="008B3D24">
        <w:rPr>
          <w:iCs/>
        </w:rPr>
        <w:t xml:space="preserve">presented </w:t>
      </w:r>
      <w:r w:rsidR="00103607" w:rsidRPr="008B3D24">
        <w:rPr>
          <w:iCs/>
        </w:rPr>
        <w:t>below</w:t>
      </w:r>
      <w:r w:rsidRPr="008B3D24">
        <w:rPr>
          <w:iCs/>
        </w:rPr>
        <w:t>.</w:t>
      </w:r>
    </w:p>
    <w:p w:rsidR="0017618A" w:rsidRPr="008B3D24" w:rsidRDefault="0017618A" w:rsidP="0017618A">
      <w:pPr>
        <w:pStyle w:val="3-BodyText"/>
        <w:rPr>
          <w:iCs/>
        </w:rPr>
      </w:pPr>
      <w:r w:rsidRPr="008B3D24">
        <w:t xml:space="preserve">The publications for the secukinumab trials did not report </w:t>
      </w:r>
      <w:r w:rsidR="00B01838" w:rsidRPr="008B3D24">
        <w:t>BASDAI 50</w:t>
      </w:r>
      <w:r w:rsidRPr="008B3D24">
        <w:t xml:space="preserve"> </w:t>
      </w:r>
      <w:r w:rsidRPr="008B3D24">
        <w:rPr>
          <w:iCs/>
        </w:rPr>
        <w:t>or ASDAS outcomes.</w:t>
      </w:r>
      <w:r w:rsidRPr="008B3D24">
        <w:t xml:space="preserve"> </w:t>
      </w:r>
      <w:r w:rsidRPr="008B3D24">
        <w:rPr>
          <w:iCs/>
        </w:rPr>
        <w:t xml:space="preserve">The </w:t>
      </w:r>
      <w:r w:rsidR="00B01838" w:rsidRPr="008B3D24">
        <w:rPr>
          <w:iCs/>
        </w:rPr>
        <w:t>BASDAI 50</w:t>
      </w:r>
      <w:r w:rsidRPr="008B3D24">
        <w:rPr>
          <w:iCs/>
        </w:rPr>
        <w:t xml:space="preserve"> outcomes from the </w:t>
      </w:r>
      <w:r w:rsidR="00A62075" w:rsidRPr="008B3D24">
        <w:rPr>
          <w:iCs/>
        </w:rPr>
        <w:t>MEASURE 2</w:t>
      </w:r>
      <w:r w:rsidRPr="008B3D24">
        <w:rPr>
          <w:iCs/>
        </w:rPr>
        <w:t xml:space="preserve"> trial were presented to the PBAC in the secukinumab submission for AS (</w:t>
      </w:r>
      <w:r w:rsidR="000E0FF0" w:rsidRPr="008B3D24">
        <w:rPr>
          <w:iCs/>
        </w:rPr>
        <w:t>para</w:t>
      </w:r>
      <w:r w:rsidR="00F80DDF" w:rsidRPr="008B3D24">
        <w:rPr>
          <w:iCs/>
        </w:rPr>
        <w:t>graph</w:t>
      </w:r>
      <w:r w:rsidRPr="008B3D24">
        <w:rPr>
          <w:iCs/>
        </w:rPr>
        <w:t xml:space="preserve"> 6.10, secukinumab</w:t>
      </w:r>
      <w:r w:rsidR="00DC00BC" w:rsidRPr="008B3D24">
        <w:rPr>
          <w:iCs/>
        </w:rPr>
        <w:t xml:space="preserve"> PSD</w:t>
      </w:r>
      <w:r w:rsidRPr="008B3D24">
        <w:rPr>
          <w:iCs/>
        </w:rPr>
        <w:t>, March 2016 PBAC meeting).</w:t>
      </w:r>
    </w:p>
    <w:p w:rsidR="0017618A" w:rsidRPr="008B3D24" w:rsidRDefault="0017618A" w:rsidP="0017618A">
      <w:pPr>
        <w:pStyle w:val="TableFigureHeading"/>
      </w:pPr>
      <w:r w:rsidRPr="008B3D24">
        <w:rPr>
          <w:rStyle w:val="CommentReference"/>
          <w:b/>
          <w:szCs w:val="24"/>
        </w:rPr>
        <w:t xml:space="preserve">Table </w:t>
      </w:r>
      <w:r w:rsidR="006A323C" w:rsidRPr="008B3D24">
        <w:rPr>
          <w:rStyle w:val="CommentReference"/>
          <w:b/>
          <w:szCs w:val="24"/>
        </w:rPr>
        <w:t>8</w:t>
      </w:r>
      <w:r w:rsidRPr="008B3D24">
        <w:rPr>
          <w:rStyle w:val="CommentReference"/>
          <w:b/>
          <w:szCs w:val="24"/>
        </w:rPr>
        <w:t>: Indirect comparison of ixekizumab and secukinumab ASAS20 and ASAS40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769"/>
        <w:gridCol w:w="1591"/>
        <w:gridCol w:w="1948"/>
        <w:gridCol w:w="2123"/>
      </w:tblGrid>
      <w:tr w:rsidR="0017618A" w:rsidRPr="008B3D24" w:rsidTr="009427B6">
        <w:trPr>
          <w:tblHeader/>
        </w:trPr>
        <w:tc>
          <w:tcPr>
            <w:tcW w:w="880" w:type="pct"/>
            <w:vAlign w:val="center"/>
          </w:tcPr>
          <w:p w:rsidR="0017618A" w:rsidRPr="008B3D24" w:rsidRDefault="0017618A" w:rsidP="009452DA">
            <w:pPr>
              <w:pStyle w:val="In-tableHeading"/>
              <w:jc w:val="center"/>
              <w:rPr>
                <w:lang w:val="en-AU"/>
              </w:rPr>
            </w:pPr>
            <w:r w:rsidRPr="008B3D24">
              <w:rPr>
                <w:lang w:val="en-AU"/>
              </w:rPr>
              <w:t>Outcome</w:t>
            </w:r>
          </w:p>
          <w:p w:rsidR="0017618A" w:rsidRPr="008B3D24" w:rsidRDefault="0017618A" w:rsidP="009452DA">
            <w:pPr>
              <w:pStyle w:val="In-tableHeading"/>
              <w:jc w:val="center"/>
              <w:rPr>
                <w:lang w:val="en-AU"/>
              </w:rPr>
            </w:pPr>
            <w:r w:rsidRPr="008B3D24">
              <w:rPr>
                <w:lang w:val="en-AU"/>
              </w:rPr>
              <w:t>Trial ID</w:t>
            </w:r>
          </w:p>
        </w:tc>
        <w:tc>
          <w:tcPr>
            <w:tcW w:w="981" w:type="pct"/>
            <w:vAlign w:val="center"/>
          </w:tcPr>
          <w:p w:rsidR="0017618A" w:rsidRPr="008B3D24" w:rsidRDefault="0017618A" w:rsidP="009452DA">
            <w:pPr>
              <w:pStyle w:val="In-tableHeading"/>
              <w:jc w:val="center"/>
              <w:rPr>
                <w:lang w:val="en-AU"/>
              </w:rPr>
            </w:pPr>
            <w:r w:rsidRPr="008B3D24">
              <w:rPr>
                <w:lang w:val="en-AU"/>
              </w:rPr>
              <w:t xml:space="preserve">Drug </w:t>
            </w:r>
          </w:p>
          <w:p w:rsidR="0017618A" w:rsidRPr="008B3D24" w:rsidRDefault="0017618A" w:rsidP="009452DA">
            <w:pPr>
              <w:pStyle w:val="In-tableHeading"/>
              <w:jc w:val="center"/>
              <w:rPr>
                <w:lang w:val="en-AU"/>
              </w:rPr>
            </w:pPr>
            <w:r w:rsidRPr="008B3D24">
              <w:rPr>
                <w:lang w:val="en-AU"/>
              </w:rPr>
              <w:t>n/N (%)</w:t>
            </w:r>
          </w:p>
        </w:tc>
        <w:tc>
          <w:tcPr>
            <w:tcW w:w="882" w:type="pct"/>
            <w:vAlign w:val="center"/>
          </w:tcPr>
          <w:p w:rsidR="0017618A" w:rsidRPr="008B3D24" w:rsidRDefault="0017618A" w:rsidP="009452DA">
            <w:pPr>
              <w:pStyle w:val="In-tableHeading"/>
              <w:jc w:val="center"/>
              <w:rPr>
                <w:lang w:val="en-AU"/>
              </w:rPr>
            </w:pPr>
            <w:r w:rsidRPr="008B3D24">
              <w:rPr>
                <w:lang w:val="en-AU"/>
              </w:rPr>
              <w:t>Placebo</w:t>
            </w:r>
          </w:p>
          <w:p w:rsidR="0017618A" w:rsidRPr="008B3D24" w:rsidRDefault="0017618A" w:rsidP="009452DA">
            <w:pPr>
              <w:pStyle w:val="In-tableHeading"/>
              <w:jc w:val="center"/>
              <w:rPr>
                <w:lang w:val="en-AU"/>
              </w:rPr>
            </w:pPr>
            <w:r w:rsidRPr="008B3D24">
              <w:rPr>
                <w:lang w:val="en-AU"/>
              </w:rPr>
              <w:t>n/N (%)</w:t>
            </w:r>
          </w:p>
        </w:tc>
        <w:tc>
          <w:tcPr>
            <w:tcW w:w="1080" w:type="pct"/>
            <w:vAlign w:val="center"/>
          </w:tcPr>
          <w:p w:rsidR="0017618A" w:rsidRPr="008B3D24" w:rsidRDefault="0017618A" w:rsidP="009452DA">
            <w:pPr>
              <w:pStyle w:val="In-tableHeading"/>
              <w:jc w:val="center"/>
              <w:rPr>
                <w:lang w:val="en-AU"/>
              </w:rPr>
            </w:pPr>
            <w:r w:rsidRPr="008B3D24">
              <w:rPr>
                <w:lang w:val="en-AU"/>
              </w:rPr>
              <w:t>RR (95% CI)</w:t>
            </w:r>
          </w:p>
        </w:tc>
        <w:tc>
          <w:tcPr>
            <w:tcW w:w="1177" w:type="pct"/>
            <w:vAlign w:val="center"/>
          </w:tcPr>
          <w:p w:rsidR="0017618A" w:rsidRPr="008B3D24" w:rsidRDefault="0017618A" w:rsidP="009452DA">
            <w:pPr>
              <w:pStyle w:val="In-tableHeading"/>
              <w:jc w:val="center"/>
              <w:rPr>
                <w:lang w:val="en-AU"/>
              </w:rPr>
            </w:pPr>
            <w:r w:rsidRPr="008B3D24">
              <w:rPr>
                <w:lang w:val="en-AU"/>
              </w:rPr>
              <w:t>OR (95% CI)</w:t>
            </w:r>
          </w:p>
        </w:tc>
      </w:tr>
      <w:tr w:rsidR="0017618A" w:rsidRPr="008B3D24" w:rsidTr="009427B6">
        <w:tc>
          <w:tcPr>
            <w:tcW w:w="5000" w:type="pct"/>
            <w:gridSpan w:val="5"/>
            <w:vAlign w:val="center"/>
          </w:tcPr>
          <w:p w:rsidR="0017618A" w:rsidRPr="008B3D24" w:rsidRDefault="0017618A" w:rsidP="009452DA">
            <w:pPr>
              <w:pStyle w:val="TableText0"/>
              <w:rPr>
                <w:b/>
                <w:bCs w:val="0"/>
              </w:rPr>
            </w:pPr>
            <w:r w:rsidRPr="008B3D24">
              <w:rPr>
                <w:b/>
                <w:bCs w:val="0"/>
              </w:rPr>
              <w:t xml:space="preserve">ASAS20 </w:t>
            </w:r>
            <w:r w:rsidRPr="008B3D24">
              <w:rPr>
                <w:b/>
                <w:bCs w:val="0"/>
                <w:vertAlign w:val="superscript"/>
              </w:rPr>
              <w:t>a</w:t>
            </w:r>
          </w:p>
        </w:tc>
      </w:tr>
      <w:tr w:rsidR="0017618A" w:rsidRPr="008B3D24" w:rsidTr="009427B6">
        <w:tc>
          <w:tcPr>
            <w:tcW w:w="880" w:type="pct"/>
            <w:vAlign w:val="center"/>
          </w:tcPr>
          <w:p w:rsidR="0017618A" w:rsidRPr="008B3D24" w:rsidRDefault="0017618A" w:rsidP="009452DA">
            <w:pPr>
              <w:pStyle w:val="TableText0"/>
              <w:rPr>
                <w:rFonts w:ascii="Times" w:hAnsi="Times"/>
              </w:rPr>
            </w:pPr>
            <w:r w:rsidRPr="008B3D24">
              <w:t xml:space="preserve">COAST-V </w:t>
            </w:r>
          </w:p>
        </w:tc>
        <w:tc>
          <w:tcPr>
            <w:tcW w:w="981" w:type="pct"/>
            <w:vAlign w:val="center"/>
          </w:tcPr>
          <w:p w:rsidR="0017618A" w:rsidRPr="008B3D24" w:rsidRDefault="0017618A" w:rsidP="009452DA">
            <w:pPr>
              <w:pStyle w:val="TableText0"/>
              <w:jc w:val="center"/>
              <w:rPr>
                <w:rFonts w:ascii="Times" w:hAnsi="Times"/>
              </w:rPr>
            </w:pPr>
            <w:r w:rsidRPr="008B3D24">
              <w:t>52/81 (64.2)</w:t>
            </w:r>
          </w:p>
        </w:tc>
        <w:tc>
          <w:tcPr>
            <w:tcW w:w="882" w:type="pct"/>
            <w:vAlign w:val="center"/>
          </w:tcPr>
          <w:p w:rsidR="0017618A" w:rsidRPr="008B3D24" w:rsidRDefault="0017618A" w:rsidP="009452DA">
            <w:pPr>
              <w:pStyle w:val="TableText0"/>
              <w:jc w:val="center"/>
              <w:rPr>
                <w:rFonts w:ascii="Times" w:hAnsi="Times"/>
              </w:rPr>
            </w:pPr>
            <w:r w:rsidRPr="008B3D24">
              <w:t>35/87 (40.2)</w:t>
            </w:r>
          </w:p>
        </w:tc>
        <w:tc>
          <w:tcPr>
            <w:tcW w:w="1080" w:type="pct"/>
          </w:tcPr>
          <w:p w:rsidR="0017618A" w:rsidRPr="008B3D24" w:rsidRDefault="0017618A" w:rsidP="009452DA">
            <w:pPr>
              <w:pStyle w:val="TableText0"/>
              <w:jc w:val="center"/>
              <w:rPr>
                <w:b/>
                <w:bCs w:val="0"/>
              </w:rPr>
            </w:pPr>
            <w:r w:rsidRPr="008B3D24">
              <w:rPr>
                <w:b/>
                <w:bCs w:val="0"/>
              </w:rPr>
              <w:t>1.60 (1.18, 2.16)</w:t>
            </w:r>
          </w:p>
        </w:tc>
        <w:tc>
          <w:tcPr>
            <w:tcW w:w="1177" w:type="pct"/>
          </w:tcPr>
          <w:p w:rsidR="0017618A" w:rsidRPr="008B3D24" w:rsidRDefault="0017618A" w:rsidP="009452DA">
            <w:pPr>
              <w:pStyle w:val="TableText0"/>
              <w:jc w:val="center"/>
              <w:rPr>
                <w:b/>
                <w:bCs w:val="0"/>
              </w:rPr>
            </w:pPr>
            <w:r w:rsidRPr="008B3D24">
              <w:rPr>
                <w:b/>
                <w:bCs w:val="0"/>
              </w:rPr>
              <w:t>2.66 (1.43, 4.97)</w:t>
            </w:r>
          </w:p>
        </w:tc>
      </w:tr>
      <w:tr w:rsidR="0017618A" w:rsidRPr="008B3D24" w:rsidTr="009427B6">
        <w:tc>
          <w:tcPr>
            <w:tcW w:w="880" w:type="pct"/>
            <w:vAlign w:val="center"/>
          </w:tcPr>
          <w:p w:rsidR="0017618A" w:rsidRPr="008B3D24" w:rsidRDefault="0017618A" w:rsidP="009452DA">
            <w:pPr>
              <w:pStyle w:val="TableText0"/>
              <w:rPr>
                <w:rFonts w:ascii="Times" w:hAnsi="Times"/>
              </w:rPr>
            </w:pPr>
            <w:r w:rsidRPr="008B3D24">
              <w:t xml:space="preserve">COAST-W </w:t>
            </w:r>
          </w:p>
        </w:tc>
        <w:tc>
          <w:tcPr>
            <w:tcW w:w="981" w:type="pct"/>
            <w:vAlign w:val="center"/>
          </w:tcPr>
          <w:p w:rsidR="0017618A" w:rsidRPr="008B3D24" w:rsidRDefault="0017618A" w:rsidP="009452DA">
            <w:pPr>
              <w:pStyle w:val="TableText0"/>
              <w:jc w:val="center"/>
              <w:rPr>
                <w:rFonts w:ascii="Times" w:hAnsi="Times"/>
              </w:rPr>
            </w:pPr>
            <w:r w:rsidRPr="008B3D24">
              <w:t>55/114 (48.2)</w:t>
            </w:r>
          </w:p>
        </w:tc>
        <w:tc>
          <w:tcPr>
            <w:tcW w:w="882" w:type="pct"/>
            <w:vAlign w:val="center"/>
          </w:tcPr>
          <w:p w:rsidR="0017618A" w:rsidRPr="008B3D24" w:rsidRDefault="0017618A" w:rsidP="009452DA">
            <w:pPr>
              <w:pStyle w:val="TableText0"/>
              <w:jc w:val="center"/>
              <w:rPr>
                <w:rFonts w:ascii="Times" w:hAnsi="Times"/>
              </w:rPr>
            </w:pPr>
            <w:r w:rsidRPr="008B3D24">
              <w:t>31/104 (29.8)</w:t>
            </w:r>
          </w:p>
        </w:tc>
        <w:tc>
          <w:tcPr>
            <w:tcW w:w="1080" w:type="pct"/>
          </w:tcPr>
          <w:p w:rsidR="0017618A" w:rsidRPr="008B3D24" w:rsidRDefault="0017618A" w:rsidP="009452DA">
            <w:pPr>
              <w:pStyle w:val="TableText0"/>
              <w:jc w:val="center"/>
              <w:rPr>
                <w:b/>
                <w:bCs w:val="0"/>
              </w:rPr>
            </w:pPr>
            <w:r w:rsidRPr="008B3D24">
              <w:rPr>
                <w:b/>
                <w:bCs w:val="0"/>
              </w:rPr>
              <w:t>1.62 (1.14, 2.30)</w:t>
            </w:r>
          </w:p>
        </w:tc>
        <w:tc>
          <w:tcPr>
            <w:tcW w:w="1177" w:type="pct"/>
          </w:tcPr>
          <w:p w:rsidR="0017618A" w:rsidRPr="008B3D24" w:rsidRDefault="0017618A" w:rsidP="009452DA">
            <w:pPr>
              <w:pStyle w:val="TableText0"/>
              <w:jc w:val="center"/>
              <w:rPr>
                <w:b/>
                <w:bCs w:val="0"/>
              </w:rPr>
            </w:pPr>
            <w:r w:rsidRPr="008B3D24">
              <w:rPr>
                <w:b/>
                <w:bCs w:val="0"/>
              </w:rPr>
              <w:t>2.20 (1.26, 3.84)</w:t>
            </w:r>
          </w:p>
        </w:tc>
      </w:tr>
      <w:tr w:rsidR="0017618A" w:rsidRPr="008B3D24" w:rsidTr="009427B6">
        <w:tc>
          <w:tcPr>
            <w:tcW w:w="2743" w:type="pct"/>
            <w:gridSpan w:val="3"/>
            <w:vAlign w:val="center"/>
          </w:tcPr>
          <w:p w:rsidR="0017618A" w:rsidRPr="008B3D24" w:rsidRDefault="0017618A" w:rsidP="009452DA">
            <w:pPr>
              <w:pStyle w:val="TableText0"/>
            </w:pPr>
            <w:r w:rsidRPr="008B3D24">
              <w:t>Meta-analysis (ixekizumab)</w:t>
            </w:r>
          </w:p>
        </w:tc>
        <w:tc>
          <w:tcPr>
            <w:tcW w:w="1080" w:type="pct"/>
          </w:tcPr>
          <w:p w:rsidR="0017618A" w:rsidRPr="008B3D24" w:rsidRDefault="0017618A" w:rsidP="009452DA">
            <w:pPr>
              <w:pStyle w:val="TableText0"/>
              <w:jc w:val="center"/>
              <w:rPr>
                <w:b/>
                <w:bCs w:val="0"/>
              </w:rPr>
            </w:pPr>
            <w:r w:rsidRPr="008B3D24">
              <w:rPr>
                <w:b/>
                <w:bCs w:val="0"/>
              </w:rPr>
              <w:t>1.61 (1.28, 2.02)</w:t>
            </w:r>
          </w:p>
        </w:tc>
        <w:tc>
          <w:tcPr>
            <w:tcW w:w="1177" w:type="pct"/>
          </w:tcPr>
          <w:p w:rsidR="0017618A" w:rsidRPr="008B3D24" w:rsidRDefault="0017618A" w:rsidP="009452DA">
            <w:pPr>
              <w:pStyle w:val="TableText0"/>
              <w:jc w:val="center"/>
              <w:rPr>
                <w:b/>
                <w:bCs w:val="0"/>
              </w:rPr>
            </w:pPr>
            <w:r w:rsidRPr="008B3D24">
              <w:rPr>
                <w:b/>
                <w:bCs w:val="0"/>
              </w:rPr>
              <w:t>2.39 (1.58, 3.63)</w:t>
            </w:r>
          </w:p>
        </w:tc>
      </w:tr>
      <w:tr w:rsidR="0017618A" w:rsidRPr="008B3D24" w:rsidTr="009427B6">
        <w:tc>
          <w:tcPr>
            <w:tcW w:w="2743" w:type="pct"/>
            <w:gridSpan w:val="3"/>
            <w:vAlign w:val="center"/>
          </w:tcPr>
          <w:p w:rsidR="0017618A" w:rsidRPr="008B3D24" w:rsidRDefault="0017618A" w:rsidP="009452DA">
            <w:pPr>
              <w:pStyle w:val="TableText0"/>
            </w:pPr>
            <w:r w:rsidRPr="008B3D24">
              <w:t>I</w:t>
            </w:r>
            <w:r w:rsidRPr="008B3D24">
              <w:rPr>
                <w:vertAlign w:val="superscript"/>
              </w:rPr>
              <w:t>2</w:t>
            </w:r>
            <w:r w:rsidRPr="008B3D24">
              <w:t xml:space="preserve"> (95% CI)</w:t>
            </w:r>
          </w:p>
        </w:tc>
        <w:tc>
          <w:tcPr>
            <w:tcW w:w="1080" w:type="pct"/>
            <w:vAlign w:val="center"/>
          </w:tcPr>
          <w:p w:rsidR="0017618A" w:rsidRPr="008B3D24" w:rsidRDefault="0017618A" w:rsidP="009452DA">
            <w:pPr>
              <w:pStyle w:val="TableText0"/>
              <w:jc w:val="center"/>
            </w:pPr>
            <w:r w:rsidRPr="008B3D24">
              <w:t>0 (NA, NA)</w:t>
            </w:r>
          </w:p>
        </w:tc>
        <w:tc>
          <w:tcPr>
            <w:tcW w:w="1177" w:type="pct"/>
            <w:vAlign w:val="center"/>
          </w:tcPr>
          <w:p w:rsidR="0017618A" w:rsidRPr="008B3D24" w:rsidRDefault="0017618A" w:rsidP="009452DA">
            <w:pPr>
              <w:pStyle w:val="TableText0"/>
              <w:jc w:val="center"/>
            </w:pPr>
            <w:r w:rsidRPr="008B3D24">
              <w:t>0 (NA, NA)</w:t>
            </w:r>
          </w:p>
        </w:tc>
      </w:tr>
      <w:tr w:rsidR="0017618A" w:rsidRPr="008B3D24" w:rsidTr="009427B6">
        <w:tc>
          <w:tcPr>
            <w:tcW w:w="880" w:type="pct"/>
            <w:vAlign w:val="center"/>
          </w:tcPr>
          <w:p w:rsidR="0017618A" w:rsidRPr="008B3D24" w:rsidRDefault="00A62075" w:rsidP="009452DA">
            <w:pPr>
              <w:pStyle w:val="TableText0"/>
            </w:pPr>
            <w:r w:rsidRPr="008B3D24">
              <w:t>MEASURE 2</w:t>
            </w:r>
            <w:r w:rsidR="0017618A" w:rsidRPr="008B3D24">
              <w:t xml:space="preserve"> </w:t>
            </w:r>
          </w:p>
        </w:tc>
        <w:tc>
          <w:tcPr>
            <w:tcW w:w="981" w:type="pct"/>
            <w:vAlign w:val="center"/>
          </w:tcPr>
          <w:p w:rsidR="0017618A" w:rsidRPr="008B3D24" w:rsidRDefault="0017618A" w:rsidP="009452DA">
            <w:pPr>
              <w:pStyle w:val="Tabletext"/>
              <w:keepNext/>
              <w:jc w:val="center"/>
            </w:pPr>
            <w:r w:rsidRPr="008B3D24">
              <w:t>44/72 (61.1)</w:t>
            </w:r>
          </w:p>
        </w:tc>
        <w:tc>
          <w:tcPr>
            <w:tcW w:w="882" w:type="pct"/>
            <w:vAlign w:val="center"/>
          </w:tcPr>
          <w:p w:rsidR="0017618A" w:rsidRPr="008B3D24" w:rsidRDefault="0017618A" w:rsidP="009452DA">
            <w:pPr>
              <w:pStyle w:val="TableText0"/>
              <w:jc w:val="center"/>
            </w:pPr>
            <w:r w:rsidRPr="008B3D24">
              <w:t>21/74 (28.4)</w:t>
            </w:r>
          </w:p>
        </w:tc>
        <w:tc>
          <w:tcPr>
            <w:tcW w:w="1080" w:type="pct"/>
          </w:tcPr>
          <w:p w:rsidR="0017618A" w:rsidRPr="008B3D24" w:rsidRDefault="0017618A" w:rsidP="009452DA">
            <w:pPr>
              <w:pStyle w:val="Tabletext"/>
              <w:jc w:val="center"/>
              <w:rPr>
                <w:b/>
                <w:bCs/>
              </w:rPr>
            </w:pPr>
            <w:r w:rsidRPr="008B3D24">
              <w:rPr>
                <w:b/>
                <w:bCs/>
              </w:rPr>
              <w:t>2.15 (1.43, 3.23)</w:t>
            </w:r>
          </w:p>
        </w:tc>
        <w:tc>
          <w:tcPr>
            <w:tcW w:w="1177" w:type="pct"/>
          </w:tcPr>
          <w:p w:rsidR="0017618A" w:rsidRPr="008B3D24" w:rsidRDefault="0017618A" w:rsidP="009452DA">
            <w:pPr>
              <w:pStyle w:val="Tabletext"/>
              <w:jc w:val="center"/>
              <w:rPr>
                <w:b/>
                <w:bCs/>
              </w:rPr>
            </w:pPr>
            <w:r w:rsidRPr="008B3D24">
              <w:rPr>
                <w:b/>
                <w:bCs/>
              </w:rPr>
              <w:t>3.97 (1.98, 7.93)</w:t>
            </w:r>
          </w:p>
        </w:tc>
      </w:tr>
      <w:tr w:rsidR="0017618A" w:rsidRPr="008B3D24" w:rsidTr="009427B6">
        <w:tc>
          <w:tcPr>
            <w:tcW w:w="880" w:type="pct"/>
            <w:vAlign w:val="center"/>
          </w:tcPr>
          <w:p w:rsidR="0017618A" w:rsidRPr="008B3D24" w:rsidRDefault="00A62075" w:rsidP="009452DA">
            <w:pPr>
              <w:pStyle w:val="TableText0"/>
            </w:pPr>
            <w:r w:rsidRPr="008B3D24">
              <w:t>MEASURE 4</w:t>
            </w:r>
            <w:r w:rsidR="0017618A" w:rsidRPr="008B3D24">
              <w:t xml:space="preserve"> </w:t>
            </w:r>
          </w:p>
        </w:tc>
        <w:tc>
          <w:tcPr>
            <w:tcW w:w="981" w:type="pct"/>
            <w:vAlign w:val="center"/>
          </w:tcPr>
          <w:p w:rsidR="0017618A" w:rsidRPr="008B3D24" w:rsidRDefault="0017618A" w:rsidP="009452DA">
            <w:pPr>
              <w:pStyle w:val="TableText0"/>
              <w:jc w:val="center"/>
            </w:pPr>
            <w:r w:rsidRPr="008B3D24">
              <w:t>69/116 (59.5)</w:t>
            </w:r>
          </w:p>
        </w:tc>
        <w:tc>
          <w:tcPr>
            <w:tcW w:w="882" w:type="pct"/>
            <w:vAlign w:val="center"/>
          </w:tcPr>
          <w:p w:rsidR="0017618A" w:rsidRPr="008B3D24" w:rsidRDefault="0017618A" w:rsidP="009452DA">
            <w:pPr>
              <w:pStyle w:val="TableText0"/>
              <w:jc w:val="center"/>
            </w:pPr>
            <w:r w:rsidRPr="008B3D24">
              <w:t>55/117 (47.0)</w:t>
            </w:r>
          </w:p>
        </w:tc>
        <w:tc>
          <w:tcPr>
            <w:tcW w:w="1080" w:type="pct"/>
          </w:tcPr>
          <w:p w:rsidR="0017618A" w:rsidRPr="008B3D24" w:rsidRDefault="0017618A" w:rsidP="009452DA">
            <w:pPr>
              <w:pStyle w:val="Tabletext"/>
              <w:jc w:val="center"/>
            </w:pPr>
            <w:r w:rsidRPr="008B3D24">
              <w:t>1.27 (0.99, 1.62)</w:t>
            </w:r>
          </w:p>
        </w:tc>
        <w:tc>
          <w:tcPr>
            <w:tcW w:w="1177" w:type="pct"/>
          </w:tcPr>
          <w:p w:rsidR="0017618A" w:rsidRPr="008B3D24" w:rsidRDefault="0017618A" w:rsidP="009452DA">
            <w:pPr>
              <w:pStyle w:val="Tabletext"/>
              <w:jc w:val="center"/>
            </w:pPr>
            <w:r w:rsidRPr="008B3D24">
              <w:t>1.65 (0.99, 2.78)</w:t>
            </w:r>
          </w:p>
        </w:tc>
      </w:tr>
      <w:tr w:rsidR="0017618A" w:rsidRPr="008B3D24" w:rsidTr="009427B6">
        <w:tc>
          <w:tcPr>
            <w:tcW w:w="2743" w:type="pct"/>
            <w:gridSpan w:val="3"/>
            <w:tcBorders>
              <w:bottom w:val="single" w:sz="4" w:space="0" w:color="auto"/>
            </w:tcBorders>
            <w:vAlign w:val="center"/>
          </w:tcPr>
          <w:p w:rsidR="0017618A" w:rsidRPr="008B3D24" w:rsidRDefault="0017618A" w:rsidP="009452DA">
            <w:pPr>
              <w:pStyle w:val="TableText0"/>
              <w:rPr>
                <w:rFonts w:ascii="Times" w:hAnsi="Times"/>
              </w:rPr>
            </w:pPr>
            <w:r w:rsidRPr="008B3D24">
              <w:t>Meta-analysis (secukinumab)</w:t>
            </w:r>
          </w:p>
        </w:tc>
        <w:tc>
          <w:tcPr>
            <w:tcW w:w="1080" w:type="pct"/>
            <w:tcBorders>
              <w:bottom w:val="single" w:sz="4" w:space="0" w:color="auto"/>
            </w:tcBorders>
          </w:tcPr>
          <w:p w:rsidR="0017618A" w:rsidRPr="008B3D24" w:rsidRDefault="0017618A" w:rsidP="009452DA">
            <w:pPr>
              <w:pStyle w:val="Tabletext"/>
              <w:jc w:val="center"/>
            </w:pPr>
            <w:r w:rsidRPr="008B3D24">
              <w:t>1.61 (0.95, 2.72)</w:t>
            </w:r>
          </w:p>
        </w:tc>
        <w:tc>
          <w:tcPr>
            <w:tcW w:w="1177" w:type="pct"/>
            <w:tcBorders>
              <w:bottom w:val="single" w:sz="4" w:space="0" w:color="auto"/>
            </w:tcBorders>
          </w:tcPr>
          <w:p w:rsidR="0017618A" w:rsidRPr="008B3D24" w:rsidRDefault="0017618A" w:rsidP="009452DA">
            <w:pPr>
              <w:pStyle w:val="Tabletext"/>
              <w:jc w:val="center"/>
              <w:rPr>
                <w:b/>
                <w:bCs/>
              </w:rPr>
            </w:pPr>
            <w:r w:rsidRPr="008B3D24">
              <w:rPr>
                <w:b/>
                <w:bCs/>
              </w:rPr>
              <w:t>2.48 (1.06, 5.83)</w:t>
            </w:r>
          </w:p>
        </w:tc>
      </w:tr>
      <w:tr w:rsidR="0017618A" w:rsidRPr="008B3D24" w:rsidTr="009427B6">
        <w:tc>
          <w:tcPr>
            <w:tcW w:w="2743" w:type="pct"/>
            <w:gridSpan w:val="3"/>
            <w:tcBorders>
              <w:bottom w:val="single" w:sz="4" w:space="0" w:color="auto"/>
            </w:tcBorders>
            <w:vAlign w:val="center"/>
          </w:tcPr>
          <w:p w:rsidR="0017618A" w:rsidRPr="008B3D24" w:rsidRDefault="0017618A" w:rsidP="009452DA">
            <w:pPr>
              <w:pStyle w:val="TableText0"/>
              <w:rPr>
                <w:rFonts w:ascii="Times" w:hAnsi="Times"/>
              </w:rPr>
            </w:pPr>
            <w:r w:rsidRPr="008B3D24">
              <w:t>I</w:t>
            </w:r>
            <w:r w:rsidRPr="008B3D24">
              <w:rPr>
                <w:vertAlign w:val="superscript"/>
              </w:rPr>
              <w:t>2</w:t>
            </w:r>
            <w:r w:rsidRPr="008B3D24">
              <w:t xml:space="preserve"> (95% CI)</w:t>
            </w:r>
          </w:p>
        </w:tc>
        <w:tc>
          <w:tcPr>
            <w:tcW w:w="1080" w:type="pct"/>
            <w:tcBorders>
              <w:bottom w:val="single" w:sz="4" w:space="0" w:color="auto"/>
            </w:tcBorders>
            <w:vAlign w:val="center"/>
          </w:tcPr>
          <w:p w:rsidR="0017618A" w:rsidRPr="008B3D24" w:rsidRDefault="0017618A" w:rsidP="009452DA">
            <w:pPr>
              <w:pStyle w:val="TableText0"/>
              <w:jc w:val="center"/>
            </w:pPr>
            <w:r w:rsidRPr="008B3D24">
              <w:t>79.8 (12.9, 95.3)</w:t>
            </w:r>
          </w:p>
        </w:tc>
        <w:tc>
          <w:tcPr>
            <w:tcW w:w="1177" w:type="pct"/>
            <w:tcBorders>
              <w:bottom w:val="single" w:sz="4" w:space="0" w:color="auto"/>
            </w:tcBorders>
            <w:vAlign w:val="center"/>
          </w:tcPr>
          <w:p w:rsidR="0017618A" w:rsidRPr="008B3D24" w:rsidRDefault="0017618A" w:rsidP="009452DA">
            <w:pPr>
              <w:pStyle w:val="TableText0"/>
              <w:jc w:val="center"/>
              <w:rPr>
                <w:rFonts w:asciiTheme="minorHAnsi" w:hAnsiTheme="minorHAnsi"/>
              </w:rPr>
            </w:pPr>
            <w:r w:rsidRPr="008B3D24">
              <w:t>74.5 (0, 94.2)</w:t>
            </w:r>
          </w:p>
        </w:tc>
      </w:tr>
      <w:tr w:rsidR="0017618A" w:rsidRPr="008B3D24" w:rsidTr="009427B6">
        <w:tc>
          <w:tcPr>
            <w:tcW w:w="2743" w:type="pct"/>
            <w:gridSpan w:val="3"/>
            <w:tcBorders>
              <w:top w:val="single" w:sz="4" w:space="0" w:color="auto"/>
              <w:left w:val="single" w:sz="4" w:space="0" w:color="auto"/>
              <w:bottom w:val="single" w:sz="4" w:space="0" w:color="auto"/>
              <w:right w:val="single" w:sz="4" w:space="0" w:color="auto"/>
            </w:tcBorders>
            <w:vAlign w:val="center"/>
          </w:tcPr>
          <w:p w:rsidR="0017618A" w:rsidRPr="008B3D24" w:rsidRDefault="0017618A" w:rsidP="009452DA">
            <w:pPr>
              <w:pStyle w:val="TableText0"/>
            </w:pPr>
            <w:r w:rsidRPr="008B3D24">
              <w:t>ITC: Ixekizumab vs</w:t>
            </w:r>
            <w:r w:rsidR="005D5657" w:rsidRPr="008B3D24">
              <w:t>.</w:t>
            </w:r>
            <w:r w:rsidRPr="008B3D24">
              <w:t xml:space="preserve"> secukinumab </w:t>
            </w:r>
          </w:p>
        </w:tc>
        <w:tc>
          <w:tcPr>
            <w:tcW w:w="1080" w:type="pct"/>
            <w:tcBorders>
              <w:top w:val="single" w:sz="4" w:space="0" w:color="auto"/>
              <w:left w:val="single" w:sz="4" w:space="0" w:color="auto"/>
              <w:bottom w:val="single" w:sz="4" w:space="0" w:color="auto"/>
              <w:right w:val="single" w:sz="4" w:space="0" w:color="auto"/>
            </w:tcBorders>
          </w:tcPr>
          <w:p w:rsidR="0017618A" w:rsidRPr="008B3D24" w:rsidRDefault="0017618A" w:rsidP="009452DA">
            <w:pPr>
              <w:pStyle w:val="TableText0"/>
              <w:jc w:val="center"/>
            </w:pPr>
            <w:r w:rsidRPr="008B3D24">
              <w:t>1.00 (0.56, 1.77)</w:t>
            </w:r>
          </w:p>
        </w:tc>
        <w:tc>
          <w:tcPr>
            <w:tcW w:w="1177" w:type="pct"/>
            <w:tcBorders>
              <w:top w:val="single" w:sz="4" w:space="0" w:color="auto"/>
              <w:left w:val="single" w:sz="4" w:space="0" w:color="auto"/>
              <w:bottom w:val="single" w:sz="4" w:space="0" w:color="auto"/>
              <w:right w:val="single" w:sz="4" w:space="0" w:color="auto"/>
            </w:tcBorders>
          </w:tcPr>
          <w:p w:rsidR="0017618A" w:rsidRPr="008B3D24" w:rsidRDefault="0017618A" w:rsidP="009452DA">
            <w:pPr>
              <w:pStyle w:val="TableText0"/>
              <w:jc w:val="center"/>
            </w:pPr>
            <w:r w:rsidRPr="008B3D24">
              <w:t>0.96 (0.37, 2.49)</w:t>
            </w:r>
          </w:p>
        </w:tc>
      </w:tr>
      <w:tr w:rsidR="0017618A" w:rsidRPr="008B3D24" w:rsidTr="009427B6">
        <w:tc>
          <w:tcPr>
            <w:tcW w:w="2743" w:type="pct"/>
            <w:gridSpan w:val="3"/>
            <w:tcBorders>
              <w:top w:val="single" w:sz="4" w:space="0" w:color="auto"/>
              <w:left w:val="single" w:sz="4" w:space="0" w:color="auto"/>
              <w:bottom w:val="single" w:sz="4" w:space="0" w:color="auto"/>
              <w:right w:val="single" w:sz="4" w:space="0" w:color="auto"/>
            </w:tcBorders>
            <w:vAlign w:val="center"/>
          </w:tcPr>
          <w:p w:rsidR="0017618A" w:rsidRPr="008B3D24" w:rsidRDefault="0017618A" w:rsidP="009452DA">
            <w:pPr>
              <w:pStyle w:val="TableText0"/>
            </w:pPr>
            <w:r w:rsidRPr="008B3D24">
              <w:t>ITC: ixekizumab vs</w:t>
            </w:r>
            <w:r w:rsidR="005D5657" w:rsidRPr="008B3D24">
              <w:t>.</w:t>
            </w:r>
            <w:r w:rsidRPr="008B3D24">
              <w:t xml:space="preserve"> </w:t>
            </w:r>
            <w:r w:rsidR="00A62075" w:rsidRPr="008B3D24">
              <w:t>MEASURE 2</w:t>
            </w:r>
            <w:r w:rsidRPr="008B3D24">
              <w:t xml:space="preserve"> </w:t>
            </w:r>
          </w:p>
        </w:tc>
        <w:tc>
          <w:tcPr>
            <w:tcW w:w="1080" w:type="pct"/>
            <w:tcBorders>
              <w:top w:val="single" w:sz="4" w:space="0" w:color="auto"/>
              <w:left w:val="single" w:sz="4" w:space="0" w:color="auto"/>
              <w:bottom w:val="single" w:sz="4" w:space="0" w:color="auto"/>
              <w:right w:val="single" w:sz="4" w:space="0" w:color="auto"/>
            </w:tcBorders>
          </w:tcPr>
          <w:p w:rsidR="0017618A" w:rsidRPr="008B3D24" w:rsidRDefault="0017618A" w:rsidP="009452DA">
            <w:pPr>
              <w:pStyle w:val="TableText0"/>
              <w:jc w:val="center"/>
            </w:pPr>
            <w:r w:rsidRPr="008B3D24">
              <w:t>0.75 (0.47, 1.19)</w:t>
            </w:r>
          </w:p>
        </w:tc>
        <w:tc>
          <w:tcPr>
            <w:tcW w:w="1177" w:type="pct"/>
            <w:tcBorders>
              <w:top w:val="single" w:sz="4" w:space="0" w:color="auto"/>
              <w:left w:val="single" w:sz="4" w:space="0" w:color="auto"/>
              <w:bottom w:val="single" w:sz="4" w:space="0" w:color="auto"/>
              <w:right w:val="single" w:sz="4" w:space="0" w:color="auto"/>
            </w:tcBorders>
          </w:tcPr>
          <w:p w:rsidR="0017618A" w:rsidRPr="008B3D24" w:rsidRDefault="0017618A" w:rsidP="009452DA">
            <w:pPr>
              <w:pStyle w:val="TableText0"/>
              <w:jc w:val="center"/>
            </w:pPr>
            <w:r w:rsidRPr="008B3D24">
              <w:t>0.60 (0.27, 1.35)</w:t>
            </w:r>
          </w:p>
        </w:tc>
      </w:tr>
      <w:tr w:rsidR="0017618A" w:rsidRPr="008B3D24" w:rsidTr="009427B6">
        <w:tc>
          <w:tcPr>
            <w:tcW w:w="2743" w:type="pct"/>
            <w:gridSpan w:val="3"/>
            <w:tcBorders>
              <w:top w:val="single" w:sz="4" w:space="0" w:color="auto"/>
              <w:left w:val="single" w:sz="4" w:space="0" w:color="auto"/>
              <w:bottom w:val="double" w:sz="4" w:space="0" w:color="auto"/>
              <w:right w:val="single" w:sz="4" w:space="0" w:color="auto"/>
            </w:tcBorders>
            <w:vAlign w:val="center"/>
          </w:tcPr>
          <w:p w:rsidR="0017618A" w:rsidRPr="008B3D24" w:rsidRDefault="0017618A" w:rsidP="009452DA">
            <w:pPr>
              <w:pStyle w:val="TableText0"/>
            </w:pPr>
            <w:r w:rsidRPr="008B3D24">
              <w:t>ITC: ixekizumab vs</w:t>
            </w:r>
            <w:r w:rsidR="005D5657" w:rsidRPr="008B3D24">
              <w:t>.</w:t>
            </w:r>
            <w:r w:rsidRPr="008B3D24">
              <w:t xml:space="preserve"> </w:t>
            </w:r>
            <w:r w:rsidR="00A62075" w:rsidRPr="008B3D24">
              <w:t>MEASURE 4</w:t>
            </w:r>
          </w:p>
        </w:tc>
        <w:tc>
          <w:tcPr>
            <w:tcW w:w="1080" w:type="pct"/>
            <w:tcBorders>
              <w:top w:val="single" w:sz="4" w:space="0" w:color="auto"/>
              <w:left w:val="single" w:sz="4" w:space="0" w:color="auto"/>
              <w:bottom w:val="double" w:sz="4" w:space="0" w:color="auto"/>
              <w:right w:val="single" w:sz="4" w:space="0" w:color="auto"/>
            </w:tcBorders>
          </w:tcPr>
          <w:p w:rsidR="0017618A" w:rsidRPr="008B3D24" w:rsidRDefault="0017618A" w:rsidP="009452DA">
            <w:pPr>
              <w:pStyle w:val="TableText0"/>
              <w:jc w:val="center"/>
            </w:pPr>
            <w:r w:rsidRPr="008B3D24">
              <w:t>1.27 (0.91, 1.77)</w:t>
            </w:r>
          </w:p>
        </w:tc>
        <w:tc>
          <w:tcPr>
            <w:tcW w:w="1177" w:type="pct"/>
            <w:tcBorders>
              <w:top w:val="single" w:sz="4" w:space="0" w:color="auto"/>
              <w:left w:val="single" w:sz="4" w:space="0" w:color="auto"/>
              <w:bottom w:val="double" w:sz="4" w:space="0" w:color="auto"/>
              <w:right w:val="single" w:sz="4" w:space="0" w:color="auto"/>
            </w:tcBorders>
          </w:tcPr>
          <w:p w:rsidR="0017618A" w:rsidRPr="008B3D24" w:rsidRDefault="0017618A" w:rsidP="009452DA">
            <w:pPr>
              <w:pStyle w:val="TableText0"/>
              <w:jc w:val="center"/>
            </w:pPr>
            <w:r w:rsidRPr="008B3D24">
              <w:t>1.45 (0.74, 2.81)</w:t>
            </w:r>
          </w:p>
        </w:tc>
      </w:tr>
      <w:tr w:rsidR="0017618A" w:rsidRPr="008B3D24" w:rsidTr="009427B6">
        <w:tc>
          <w:tcPr>
            <w:tcW w:w="2743" w:type="pct"/>
            <w:gridSpan w:val="3"/>
            <w:tcBorders>
              <w:top w:val="double" w:sz="4" w:space="0" w:color="auto"/>
            </w:tcBorders>
            <w:vAlign w:val="center"/>
          </w:tcPr>
          <w:p w:rsidR="0017618A" w:rsidRPr="008B3D24" w:rsidRDefault="0017618A" w:rsidP="009452DA">
            <w:pPr>
              <w:pStyle w:val="TableText0"/>
              <w:rPr>
                <w:b/>
                <w:bCs w:val="0"/>
              </w:rPr>
            </w:pPr>
            <w:r w:rsidRPr="008B3D24">
              <w:rPr>
                <w:b/>
                <w:bCs w:val="0"/>
              </w:rPr>
              <w:t xml:space="preserve">ASAS40 </w:t>
            </w:r>
            <w:r w:rsidRPr="008B3D24">
              <w:rPr>
                <w:b/>
                <w:bCs w:val="0"/>
                <w:vertAlign w:val="superscript"/>
              </w:rPr>
              <w:t>a</w:t>
            </w:r>
          </w:p>
        </w:tc>
        <w:tc>
          <w:tcPr>
            <w:tcW w:w="1080" w:type="pct"/>
            <w:tcBorders>
              <w:top w:val="double" w:sz="4" w:space="0" w:color="auto"/>
            </w:tcBorders>
            <w:vAlign w:val="center"/>
          </w:tcPr>
          <w:p w:rsidR="0017618A" w:rsidRPr="008B3D24" w:rsidRDefault="0017618A" w:rsidP="009452DA">
            <w:pPr>
              <w:pStyle w:val="TableText0"/>
              <w:jc w:val="center"/>
            </w:pPr>
          </w:p>
        </w:tc>
        <w:tc>
          <w:tcPr>
            <w:tcW w:w="1177" w:type="pct"/>
            <w:tcBorders>
              <w:top w:val="double" w:sz="4" w:space="0" w:color="auto"/>
            </w:tcBorders>
            <w:vAlign w:val="center"/>
          </w:tcPr>
          <w:p w:rsidR="0017618A" w:rsidRPr="008B3D24" w:rsidRDefault="0017618A" w:rsidP="009452DA">
            <w:pPr>
              <w:pStyle w:val="TableText0"/>
              <w:jc w:val="center"/>
            </w:pPr>
          </w:p>
        </w:tc>
      </w:tr>
      <w:tr w:rsidR="0017618A" w:rsidRPr="008B3D24" w:rsidTr="009427B6">
        <w:tc>
          <w:tcPr>
            <w:tcW w:w="880" w:type="pct"/>
            <w:vAlign w:val="center"/>
          </w:tcPr>
          <w:p w:rsidR="0017618A" w:rsidRPr="008B3D24" w:rsidRDefault="0017618A" w:rsidP="009452DA">
            <w:pPr>
              <w:pStyle w:val="TableText0"/>
              <w:rPr>
                <w:rFonts w:ascii="Times" w:hAnsi="Times"/>
              </w:rPr>
            </w:pPr>
            <w:r w:rsidRPr="008B3D24">
              <w:t xml:space="preserve">COAST-V </w:t>
            </w:r>
          </w:p>
        </w:tc>
        <w:tc>
          <w:tcPr>
            <w:tcW w:w="981" w:type="pct"/>
            <w:vAlign w:val="center"/>
          </w:tcPr>
          <w:p w:rsidR="0017618A" w:rsidRPr="008B3D24" w:rsidRDefault="0017618A" w:rsidP="009452DA">
            <w:pPr>
              <w:pStyle w:val="TableText0"/>
              <w:jc w:val="center"/>
              <w:rPr>
                <w:rFonts w:ascii="Times" w:hAnsi="Times"/>
              </w:rPr>
            </w:pPr>
            <w:r w:rsidRPr="008B3D24">
              <w:t>39/81 (48.1)</w:t>
            </w:r>
          </w:p>
        </w:tc>
        <w:tc>
          <w:tcPr>
            <w:tcW w:w="882" w:type="pct"/>
            <w:vAlign w:val="center"/>
          </w:tcPr>
          <w:p w:rsidR="0017618A" w:rsidRPr="008B3D24" w:rsidRDefault="0017618A" w:rsidP="009452DA">
            <w:pPr>
              <w:pStyle w:val="TableText0"/>
              <w:jc w:val="center"/>
              <w:rPr>
                <w:rFonts w:ascii="Times" w:hAnsi="Times"/>
              </w:rPr>
            </w:pPr>
            <w:r w:rsidRPr="008B3D24">
              <w:t>16/87 (18.4)</w:t>
            </w:r>
          </w:p>
        </w:tc>
        <w:tc>
          <w:tcPr>
            <w:tcW w:w="1080" w:type="pct"/>
            <w:vAlign w:val="center"/>
          </w:tcPr>
          <w:p w:rsidR="0017618A" w:rsidRPr="008B3D24" w:rsidRDefault="0017618A" w:rsidP="009452DA">
            <w:pPr>
              <w:pStyle w:val="TableText0"/>
              <w:jc w:val="center"/>
              <w:rPr>
                <w:b/>
                <w:bCs w:val="0"/>
              </w:rPr>
            </w:pPr>
            <w:r w:rsidRPr="008B3D24">
              <w:rPr>
                <w:b/>
                <w:bCs w:val="0"/>
              </w:rPr>
              <w:t>2.62 (1.59, 4.30)</w:t>
            </w:r>
          </w:p>
        </w:tc>
        <w:tc>
          <w:tcPr>
            <w:tcW w:w="1177" w:type="pct"/>
            <w:vAlign w:val="center"/>
          </w:tcPr>
          <w:p w:rsidR="0017618A" w:rsidRPr="008B3D24" w:rsidRDefault="0017618A" w:rsidP="009452DA">
            <w:pPr>
              <w:pStyle w:val="TableText0"/>
              <w:jc w:val="center"/>
              <w:rPr>
                <w:b/>
                <w:bCs w:val="0"/>
              </w:rPr>
            </w:pPr>
            <w:r w:rsidRPr="008B3D24">
              <w:rPr>
                <w:b/>
                <w:bCs w:val="0"/>
              </w:rPr>
              <w:t>4.12 (2.05, 8.26)</w:t>
            </w:r>
          </w:p>
        </w:tc>
      </w:tr>
      <w:tr w:rsidR="0017618A" w:rsidRPr="008B3D24" w:rsidTr="009427B6">
        <w:tc>
          <w:tcPr>
            <w:tcW w:w="880" w:type="pct"/>
            <w:vAlign w:val="center"/>
          </w:tcPr>
          <w:p w:rsidR="0017618A" w:rsidRPr="008B3D24" w:rsidRDefault="0017618A" w:rsidP="009452DA">
            <w:pPr>
              <w:pStyle w:val="TableText0"/>
              <w:rPr>
                <w:rFonts w:ascii="Times" w:hAnsi="Times"/>
              </w:rPr>
            </w:pPr>
            <w:r w:rsidRPr="008B3D24">
              <w:t xml:space="preserve">COAST-W </w:t>
            </w:r>
          </w:p>
        </w:tc>
        <w:tc>
          <w:tcPr>
            <w:tcW w:w="981" w:type="pct"/>
            <w:vAlign w:val="center"/>
          </w:tcPr>
          <w:p w:rsidR="0017618A" w:rsidRPr="008B3D24" w:rsidRDefault="0017618A" w:rsidP="009452DA">
            <w:pPr>
              <w:pStyle w:val="TableText0"/>
              <w:jc w:val="center"/>
              <w:rPr>
                <w:rFonts w:ascii="Times" w:hAnsi="Times"/>
              </w:rPr>
            </w:pPr>
            <w:r w:rsidRPr="008B3D24">
              <w:t>29/114 (25.4)</w:t>
            </w:r>
          </w:p>
        </w:tc>
        <w:tc>
          <w:tcPr>
            <w:tcW w:w="882" w:type="pct"/>
            <w:vAlign w:val="center"/>
          </w:tcPr>
          <w:p w:rsidR="0017618A" w:rsidRPr="008B3D24" w:rsidRDefault="0017618A" w:rsidP="009452DA">
            <w:pPr>
              <w:pStyle w:val="TableText0"/>
              <w:jc w:val="center"/>
              <w:rPr>
                <w:rFonts w:ascii="Times" w:hAnsi="Times"/>
              </w:rPr>
            </w:pPr>
            <w:r w:rsidRPr="008B3D24">
              <w:t>13/104 (12.5)</w:t>
            </w:r>
          </w:p>
        </w:tc>
        <w:tc>
          <w:tcPr>
            <w:tcW w:w="1080" w:type="pct"/>
            <w:vAlign w:val="center"/>
          </w:tcPr>
          <w:p w:rsidR="0017618A" w:rsidRPr="008B3D24" w:rsidRDefault="0017618A" w:rsidP="009452DA">
            <w:pPr>
              <w:pStyle w:val="TableText0"/>
              <w:jc w:val="center"/>
              <w:rPr>
                <w:b/>
                <w:bCs w:val="0"/>
              </w:rPr>
            </w:pPr>
            <w:r w:rsidRPr="008B3D24">
              <w:rPr>
                <w:b/>
                <w:bCs w:val="0"/>
              </w:rPr>
              <w:t>2.04 (1.12, 3.70)</w:t>
            </w:r>
          </w:p>
        </w:tc>
        <w:tc>
          <w:tcPr>
            <w:tcW w:w="1177" w:type="pct"/>
            <w:vAlign w:val="center"/>
          </w:tcPr>
          <w:p w:rsidR="0017618A" w:rsidRPr="008B3D24" w:rsidRDefault="0017618A" w:rsidP="009452DA">
            <w:pPr>
              <w:pStyle w:val="TableText0"/>
              <w:jc w:val="center"/>
              <w:rPr>
                <w:b/>
                <w:bCs w:val="0"/>
              </w:rPr>
            </w:pPr>
            <w:r w:rsidRPr="008B3D24">
              <w:rPr>
                <w:b/>
                <w:bCs w:val="0"/>
              </w:rPr>
              <w:t>2.39 (1.16, 4.90)</w:t>
            </w:r>
          </w:p>
        </w:tc>
      </w:tr>
      <w:tr w:rsidR="0017618A" w:rsidRPr="008B3D24" w:rsidTr="009427B6">
        <w:tc>
          <w:tcPr>
            <w:tcW w:w="2743" w:type="pct"/>
            <w:gridSpan w:val="3"/>
            <w:vAlign w:val="center"/>
          </w:tcPr>
          <w:p w:rsidR="0017618A" w:rsidRPr="008B3D24" w:rsidRDefault="0017618A" w:rsidP="009452DA">
            <w:pPr>
              <w:pStyle w:val="TableText0"/>
            </w:pPr>
            <w:r w:rsidRPr="008B3D24">
              <w:t>Meta-analysis (ixekizumab)</w:t>
            </w:r>
          </w:p>
        </w:tc>
        <w:tc>
          <w:tcPr>
            <w:tcW w:w="1080" w:type="pct"/>
            <w:vAlign w:val="center"/>
          </w:tcPr>
          <w:p w:rsidR="0017618A" w:rsidRPr="008B3D24" w:rsidRDefault="0017618A" w:rsidP="009452DA">
            <w:pPr>
              <w:pStyle w:val="TableText0"/>
              <w:jc w:val="center"/>
              <w:rPr>
                <w:b/>
                <w:bCs w:val="0"/>
              </w:rPr>
            </w:pPr>
            <w:r w:rsidRPr="008B3D24">
              <w:rPr>
                <w:b/>
                <w:bCs w:val="0"/>
              </w:rPr>
              <w:t>2.36 (1.61, 3.46)</w:t>
            </w:r>
          </w:p>
        </w:tc>
        <w:tc>
          <w:tcPr>
            <w:tcW w:w="1177" w:type="pct"/>
            <w:vAlign w:val="center"/>
          </w:tcPr>
          <w:p w:rsidR="0017618A" w:rsidRPr="008B3D24" w:rsidRDefault="0017618A" w:rsidP="009452DA">
            <w:pPr>
              <w:pStyle w:val="TableText0"/>
              <w:jc w:val="center"/>
              <w:rPr>
                <w:b/>
                <w:bCs w:val="0"/>
              </w:rPr>
            </w:pPr>
            <w:r w:rsidRPr="008B3D24">
              <w:rPr>
                <w:b/>
                <w:bCs w:val="0"/>
              </w:rPr>
              <w:t>3.16 (1.85, 5.39)</w:t>
            </w:r>
          </w:p>
        </w:tc>
      </w:tr>
      <w:tr w:rsidR="0017618A" w:rsidRPr="008B3D24" w:rsidTr="009427B6">
        <w:tc>
          <w:tcPr>
            <w:tcW w:w="2743" w:type="pct"/>
            <w:gridSpan w:val="3"/>
            <w:vAlign w:val="center"/>
          </w:tcPr>
          <w:p w:rsidR="0017618A" w:rsidRPr="008B3D24" w:rsidRDefault="0017618A" w:rsidP="009452DA">
            <w:pPr>
              <w:pStyle w:val="TableText0"/>
            </w:pPr>
            <w:r w:rsidRPr="008B3D24">
              <w:t>I</w:t>
            </w:r>
            <w:r w:rsidRPr="008B3D24">
              <w:rPr>
                <w:vertAlign w:val="superscript"/>
              </w:rPr>
              <w:t>2</w:t>
            </w:r>
            <w:r w:rsidRPr="008B3D24">
              <w:t xml:space="preserve"> (95% CI)</w:t>
            </w:r>
          </w:p>
        </w:tc>
        <w:tc>
          <w:tcPr>
            <w:tcW w:w="1080" w:type="pct"/>
            <w:vAlign w:val="center"/>
          </w:tcPr>
          <w:p w:rsidR="0017618A" w:rsidRPr="008B3D24" w:rsidRDefault="0017618A" w:rsidP="009452DA">
            <w:pPr>
              <w:pStyle w:val="TableText0"/>
              <w:jc w:val="center"/>
            </w:pPr>
            <w:r w:rsidRPr="008B3D24">
              <w:t>0 (NA, NA)</w:t>
            </w:r>
          </w:p>
        </w:tc>
        <w:tc>
          <w:tcPr>
            <w:tcW w:w="1177" w:type="pct"/>
            <w:vAlign w:val="center"/>
          </w:tcPr>
          <w:p w:rsidR="0017618A" w:rsidRPr="008B3D24" w:rsidRDefault="0017618A" w:rsidP="009452DA">
            <w:pPr>
              <w:pStyle w:val="TableText0"/>
              <w:jc w:val="center"/>
            </w:pPr>
            <w:r w:rsidRPr="008B3D24">
              <w:t>12.6 (NA, NA)</w:t>
            </w:r>
          </w:p>
        </w:tc>
      </w:tr>
      <w:tr w:rsidR="0017618A" w:rsidRPr="008B3D24" w:rsidTr="009427B6">
        <w:tc>
          <w:tcPr>
            <w:tcW w:w="880" w:type="pct"/>
            <w:vAlign w:val="center"/>
          </w:tcPr>
          <w:p w:rsidR="0017618A" w:rsidRPr="008B3D24" w:rsidRDefault="00A62075" w:rsidP="009452DA">
            <w:pPr>
              <w:pStyle w:val="TableText0"/>
            </w:pPr>
            <w:r w:rsidRPr="008B3D24">
              <w:t>MEASURE 2</w:t>
            </w:r>
            <w:r w:rsidR="0017618A" w:rsidRPr="008B3D24">
              <w:t xml:space="preserve"> </w:t>
            </w:r>
          </w:p>
        </w:tc>
        <w:tc>
          <w:tcPr>
            <w:tcW w:w="981" w:type="pct"/>
            <w:vAlign w:val="center"/>
          </w:tcPr>
          <w:p w:rsidR="0017618A" w:rsidRPr="008B3D24" w:rsidRDefault="0017618A" w:rsidP="009452DA">
            <w:pPr>
              <w:pStyle w:val="TableText0"/>
              <w:jc w:val="center"/>
            </w:pPr>
            <w:r w:rsidRPr="008B3D24">
              <w:t>26/72 (36.1)</w:t>
            </w:r>
          </w:p>
        </w:tc>
        <w:tc>
          <w:tcPr>
            <w:tcW w:w="882" w:type="pct"/>
            <w:vAlign w:val="center"/>
          </w:tcPr>
          <w:p w:rsidR="0017618A" w:rsidRPr="008B3D24" w:rsidRDefault="0017618A" w:rsidP="009452DA">
            <w:pPr>
              <w:pStyle w:val="TableText0"/>
              <w:jc w:val="center"/>
            </w:pPr>
            <w:r w:rsidRPr="008B3D24">
              <w:t>8/</w:t>
            </w:r>
            <w:r w:rsidR="00505339" w:rsidRPr="008B3D24">
              <w:t xml:space="preserve">74 </w:t>
            </w:r>
            <w:r w:rsidRPr="008B3D24">
              <w:t>(10.8)</w:t>
            </w:r>
          </w:p>
        </w:tc>
        <w:tc>
          <w:tcPr>
            <w:tcW w:w="1080" w:type="pct"/>
            <w:vAlign w:val="center"/>
          </w:tcPr>
          <w:p w:rsidR="0017618A" w:rsidRPr="008B3D24" w:rsidRDefault="0017618A" w:rsidP="009452DA">
            <w:pPr>
              <w:pStyle w:val="TableText0"/>
              <w:jc w:val="center"/>
            </w:pPr>
            <w:r w:rsidRPr="008B3D24">
              <w:rPr>
                <w:b/>
              </w:rPr>
              <w:t>3.34 (1.62, 6.88)</w:t>
            </w:r>
          </w:p>
        </w:tc>
        <w:tc>
          <w:tcPr>
            <w:tcW w:w="1177" w:type="pct"/>
            <w:vAlign w:val="center"/>
          </w:tcPr>
          <w:p w:rsidR="0017618A" w:rsidRPr="008B3D24" w:rsidRDefault="0017618A" w:rsidP="009452DA">
            <w:pPr>
              <w:pStyle w:val="TableText0"/>
              <w:jc w:val="center"/>
            </w:pPr>
            <w:r w:rsidRPr="008B3D24">
              <w:rPr>
                <w:b/>
              </w:rPr>
              <w:t>4.66 (1.94, 11.21)</w:t>
            </w:r>
          </w:p>
        </w:tc>
      </w:tr>
      <w:tr w:rsidR="0017618A" w:rsidRPr="008B3D24" w:rsidTr="009427B6">
        <w:tc>
          <w:tcPr>
            <w:tcW w:w="880" w:type="pct"/>
            <w:vAlign w:val="center"/>
          </w:tcPr>
          <w:p w:rsidR="0017618A" w:rsidRPr="008B3D24" w:rsidRDefault="00A62075" w:rsidP="009452DA">
            <w:pPr>
              <w:pStyle w:val="TableText0"/>
            </w:pPr>
            <w:r w:rsidRPr="008B3D24">
              <w:t>MEASURE 4</w:t>
            </w:r>
            <w:r w:rsidR="0017618A" w:rsidRPr="008B3D24">
              <w:t xml:space="preserve"> </w:t>
            </w:r>
          </w:p>
        </w:tc>
        <w:tc>
          <w:tcPr>
            <w:tcW w:w="981" w:type="pct"/>
            <w:vAlign w:val="center"/>
          </w:tcPr>
          <w:p w:rsidR="0017618A" w:rsidRPr="008B3D24" w:rsidRDefault="0017618A" w:rsidP="009452DA">
            <w:pPr>
              <w:pStyle w:val="TableText0"/>
              <w:jc w:val="center"/>
            </w:pPr>
            <w:r w:rsidRPr="008B3D24">
              <w:t>45/116 (38.8)</w:t>
            </w:r>
          </w:p>
        </w:tc>
        <w:tc>
          <w:tcPr>
            <w:tcW w:w="882" w:type="pct"/>
            <w:vAlign w:val="center"/>
          </w:tcPr>
          <w:p w:rsidR="0017618A" w:rsidRPr="008B3D24" w:rsidRDefault="0017618A" w:rsidP="009452DA">
            <w:pPr>
              <w:pStyle w:val="TableText0"/>
              <w:jc w:val="center"/>
            </w:pPr>
            <w:r w:rsidRPr="008B3D24">
              <w:t>33/117 (28.2)</w:t>
            </w:r>
          </w:p>
        </w:tc>
        <w:tc>
          <w:tcPr>
            <w:tcW w:w="1080" w:type="pct"/>
          </w:tcPr>
          <w:p w:rsidR="0017618A" w:rsidRPr="008B3D24" w:rsidRDefault="0017618A" w:rsidP="009452DA">
            <w:pPr>
              <w:pStyle w:val="TableText0"/>
              <w:jc w:val="center"/>
            </w:pPr>
            <w:r w:rsidRPr="008B3D24">
              <w:t>1.38 (0.95, 1.99)</w:t>
            </w:r>
          </w:p>
        </w:tc>
        <w:tc>
          <w:tcPr>
            <w:tcW w:w="1177" w:type="pct"/>
          </w:tcPr>
          <w:p w:rsidR="0017618A" w:rsidRPr="008B3D24" w:rsidRDefault="0017618A" w:rsidP="009452DA">
            <w:pPr>
              <w:pStyle w:val="Tabletext"/>
              <w:keepNext/>
              <w:jc w:val="center"/>
            </w:pPr>
            <w:r w:rsidRPr="008B3D24">
              <w:t>1.61 (0.93, 2.79)</w:t>
            </w:r>
          </w:p>
        </w:tc>
      </w:tr>
      <w:tr w:rsidR="0017618A" w:rsidRPr="008B3D24" w:rsidTr="009427B6">
        <w:tc>
          <w:tcPr>
            <w:tcW w:w="2743" w:type="pct"/>
            <w:gridSpan w:val="3"/>
            <w:vAlign w:val="center"/>
          </w:tcPr>
          <w:p w:rsidR="0017618A" w:rsidRPr="008B3D24" w:rsidRDefault="0017618A" w:rsidP="009452DA">
            <w:pPr>
              <w:pStyle w:val="TableText0"/>
            </w:pPr>
            <w:r w:rsidRPr="008B3D24">
              <w:t>Meta-analysis (secukinumab)</w:t>
            </w:r>
          </w:p>
        </w:tc>
        <w:tc>
          <w:tcPr>
            <w:tcW w:w="1080" w:type="pct"/>
            <w:vAlign w:val="center"/>
          </w:tcPr>
          <w:p w:rsidR="0017618A" w:rsidRPr="008B3D24" w:rsidRDefault="0017618A" w:rsidP="009452DA">
            <w:pPr>
              <w:pStyle w:val="TableText0"/>
              <w:jc w:val="center"/>
            </w:pPr>
            <w:r w:rsidRPr="008B3D24">
              <w:t>2.03 (0.85, 4.87)</w:t>
            </w:r>
          </w:p>
        </w:tc>
        <w:tc>
          <w:tcPr>
            <w:tcW w:w="1177" w:type="pct"/>
            <w:vAlign w:val="center"/>
          </w:tcPr>
          <w:p w:rsidR="0017618A" w:rsidRPr="008B3D24" w:rsidRDefault="0017618A" w:rsidP="009452DA">
            <w:pPr>
              <w:pStyle w:val="Tabletext"/>
              <w:keepNext/>
              <w:jc w:val="center"/>
            </w:pPr>
            <w:r w:rsidRPr="008B3D24">
              <w:t>2.59 (0.92, 7.29)</w:t>
            </w:r>
          </w:p>
        </w:tc>
      </w:tr>
      <w:tr w:rsidR="0017618A" w:rsidRPr="008B3D24" w:rsidTr="009427B6">
        <w:tc>
          <w:tcPr>
            <w:tcW w:w="2743" w:type="pct"/>
            <w:gridSpan w:val="3"/>
            <w:vAlign w:val="center"/>
          </w:tcPr>
          <w:p w:rsidR="0017618A" w:rsidRPr="008B3D24" w:rsidRDefault="0017618A" w:rsidP="009452DA">
            <w:pPr>
              <w:pStyle w:val="TableText0"/>
            </w:pPr>
            <w:r w:rsidRPr="008B3D24">
              <w:t>I</w:t>
            </w:r>
            <w:r w:rsidRPr="008B3D24">
              <w:rPr>
                <w:vertAlign w:val="superscript"/>
              </w:rPr>
              <w:t>2</w:t>
            </w:r>
            <w:r w:rsidRPr="008B3D24">
              <w:t xml:space="preserve"> (95% CI)</w:t>
            </w:r>
          </w:p>
        </w:tc>
        <w:tc>
          <w:tcPr>
            <w:tcW w:w="1080" w:type="pct"/>
            <w:vAlign w:val="center"/>
          </w:tcPr>
          <w:p w:rsidR="0017618A" w:rsidRPr="008B3D24" w:rsidRDefault="0017618A" w:rsidP="009452DA">
            <w:pPr>
              <w:pStyle w:val="Tabletext"/>
              <w:keepNext/>
              <w:jc w:val="center"/>
            </w:pPr>
            <w:r w:rsidRPr="008B3D24">
              <w:t>78.8 (8.2, 95.1)</w:t>
            </w:r>
          </w:p>
        </w:tc>
        <w:tc>
          <w:tcPr>
            <w:tcW w:w="1177" w:type="pct"/>
            <w:vAlign w:val="center"/>
          </w:tcPr>
          <w:p w:rsidR="0017618A" w:rsidRPr="008B3D24" w:rsidRDefault="0017618A" w:rsidP="009452DA">
            <w:pPr>
              <w:pStyle w:val="Tabletext"/>
              <w:keepNext/>
              <w:jc w:val="center"/>
            </w:pPr>
            <w:r w:rsidRPr="008B3D24">
              <w:t>75.3 (0, 94.4)</w:t>
            </w:r>
          </w:p>
        </w:tc>
      </w:tr>
      <w:tr w:rsidR="0017618A" w:rsidRPr="008B3D24" w:rsidTr="009427B6">
        <w:tc>
          <w:tcPr>
            <w:tcW w:w="2743" w:type="pct"/>
            <w:gridSpan w:val="3"/>
            <w:vAlign w:val="center"/>
          </w:tcPr>
          <w:p w:rsidR="0017618A" w:rsidRPr="008B3D24" w:rsidRDefault="0017618A" w:rsidP="009452DA">
            <w:pPr>
              <w:pStyle w:val="TableText0"/>
            </w:pPr>
            <w:r w:rsidRPr="008B3D24">
              <w:t>ITC: Ixekizumab vs</w:t>
            </w:r>
            <w:r w:rsidR="005D5657" w:rsidRPr="008B3D24">
              <w:t>.</w:t>
            </w:r>
            <w:r w:rsidRPr="008B3D24">
              <w:t xml:space="preserve"> secukinumab </w:t>
            </w:r>
          </w:p>
        </w:tc>
        <w:tc>
          <w:tcPr>
            <w:tcW w:w="1080" w:type="pct"/>
            <w:vAlign w:val="center"/>
          </w:tcPr>
          <w:p w:rsidR="0017618A" w:rsidRPr="008B3D24" w:rsidRDefault="0017618A" w:rsidP="009452DA">
            <w:pPr>
              <w:pStyle w:val="TableText0"/>
              <w:jc w:val="center"/>
            </w:pPr>
            <w:r w:rsidRPr="008B3D24">
              <w:t>1.16 (0.45, 3.03)</w:t>
            </w:r>
          </w:p>
        </w:tc>
        <w:tc>
          <w:tcPr>
            <w:tcW w:w="1177" w:type="pct"/>
            <w:vAlign w:val="center"/>
          </w:tcPr>
          <w:p w:rsidR="0017618A" w:rsidRPr="008B3D24" w:rsidRDefault="0017618A" w:rsidP="009452DA">
            <w:pPr>
              <w:pStyle w:val="Tabletext"/>
              <w:keepNext/>
              <w:jc w:val="center"/>
              <w:rPr>
                <w:bCs/>
              </w:rPr>
            </w:pPr>
            <w:r w:rsidRPr="008B3D24">
              <w:rPr>
                <w:bCs/>
              </w:rPr>
              <w:t>1.22 (0.38, 3.91)</w:t>
            </w:r>
          </w:p>
        </w:tc>
      </w:tr>
      <w:tr w:rsidR="0017618A" w:rsidRPr="008B3D24" w:rsidTr="009427B6">
        <w:tc>
          <w:tcPr>
            <w:tcW w:w="2743" w:type="pct"/>
            <w:gridSpan w:val="3"/>
            <w:vAlign w:val="center"/>
          </w:tcPr>
          <w:p w:rsidR="0017618A" w:rsidRPr="008B3D24" w:rsidRDefault="0017618A" w:rsidP="009452DA">
            <w:pPr>
              <w:pStyle w:val="TableText0"/>
            </w:pPr>
            <w:r w:rsidRPr="008B3D24">
              <w:t xml:space="preserve">ITC: </w:t>
            </w:r>
            <w:r w:rsidR="000748D4" w:rsidRPr="008B3D24">
              <w:t>I</w:t>
            </w:r>
            <w:r w:rsidRPr="008B3D24">
              <w:t>xekizumab vs</w:t>
            </w:r>
            <w:r w:rsidR="005D5657" w:rsidRPr="008B3D24">
              <w:t>.</w:t>
            </w:r>
            <w:r w:rsidRPr="008B3D24">
              <w:t xml:space="preserve"> </w:t>
            </w:r>
            <w:r w:rsidR="00A62075" w:rsidRPr="008B3D24">
              <w:t>MEASURE 2</w:t>
            </w:r>
            <w:r w:rsidRPr="008B3D24">
              <w:t xml:space="preserve"> </w:t>
            </w:r>
          </w:p>
        </w:tc>
        <w:tc>
          <w:tcPr>
            <w:tcW w:w="1080" w:type="pct"/>
            <w:vAlign w:val="center"/>
          </w:tcPr>
          <w:p w:rsidR="0017618A" w:rsidRPr="008B3D24" w:rsidRDefault="0017618A" w:rsidP="009452DA">
            <w:pPr>
              <w:pStyle w:val="Tabletext"/>
              <w:jc w:val="center"/>
              <w:rPr>
                <w:bCs/>
              </w:rPr>
            </w:pPr>
            <w:r w:rsidRPr="008B3D24">
              <w:rPr>
                <w:bCs/>
              </w:rPr>
              <w:t>0.71 (0.31, 1.60)</w:t>
            </w:r>
          </w:p>
        </w:tc>
        <w:tc>
          <w:tcPr>
            <w:tcW w:w="1177" w:type="pct"/>
            <w:vAlign w:val="center"/>
          </w:tcPr>
          <w:p w:rsidR="0017618A" w:rsidRPr="008B3D24" w:rsidRDefault="0017618A" w:rsidP="009452DA">
            <w:pPr>
              <w:pStyle w:val="Tabletext"/>
              <w:jc w:val="center"/>
              <w:rPr>
                <w:bCs/>
              </w:rPr>
            </w:pPr>
            <w:r w:rsidRPr="008B3D24">
              <w:rPr>
                <w:bCs/>
              </w:rPr>
              <w:t>0.68 (0.24, 1.89)</w:t>
            </w:r>
          </w:p>
        </w:tc>
      </w:tr>
      <w:tr w:rsidR="0017618A" w:rsidRPr="008B3D24" w:rsidTr="009427B6">
        <w:tc>
          <w:tcPr>
            <w:tcW w:w="2743" w:type="pct"/>
            <w:gridSpan w:val="3"/>
            <w:vAlign w:val="center"/>
          </w:tcPr>
          <w:p w:rsidR="0017618A" w:rsidRPr="008B3D24" w:rsidRDefault="0017618A" w:rsidP="009452DA">
            <w:pPr>
              <w:pStyle w:val="TableText0"/>
              <w:rPr>
                <w:rFonts w:ascii="Times" w:hAnsi="Times"/>
              </w:rPr>
            </w:pPr>
            <w:r w:rsidRPr="008B3D24">
              <w:t xml:space="preserve">ITC: </w:t>
            </w:r>
            <w:r w:rsidR="000748D4" w:rsidRPr="008B3D24">
              <w:t>I</w:t>
            </w:r>
            <w:r w:rsidRPr="008B3D24">
              <w:t>xekizumab vs</w:t>
            </w:r>
            <w:r w:rsidR="005D5657" w:rsidRPr="008B3D24">
              <w:t>.</w:t>
            </w:r>
            <w:r w:rsidRPr="008B3D24">
              <w:t xml:space="preserve"> </w:t>
            </w:r>
            <w:r w:rsidR="00A62075" w:rsidRPr="008B3D24">
              <w:t>MEASURE 4</w:t>
            </w:r>
          </w:p>
        </w:tc>
        <w:tc>
          <w:tcPr>
            <w:tcW w:w="1080" w:type="pct"/>
            <w:vAlign w:val="center"/>
          </w:tcPr>
          <w:p w:rsidR="0017618A" w:rsidRPr="008B3D24" w:rsidRDefault="0017618A" w:rsidP="009452DA">
            <w:pPr>
              <w:pStyle w:val="Tabletext"/>
              <w:jc w:val="center"/>
              <w:rPr>
                <w:b/>
              </w:rPr>
            </w:pPr>
            <w:r w:rsidRPr="008B3D24">
              <w:rPr>
                <w:b/>
              </w:rPr>
              <w:t>1.72 (1.01, 2.92)</w:t>
            </w:r>
          </w:p>
        </w:tc>
        <w:tc>
          <w:tcPr>
            <w:tcW w:w="1177" w:type="pct"/>
            <w:vAlign w:val="center"/>
          </w:tcPr>
          <w:p w:rsidR="0017618A" w:rsidRPr="008B3D24" w:rsidRDefault="0017618A" w:rsidP="009452DA">
            <w:pPr>
              <w:pStyle w:val="Tabletext"/>
              <w:jc w:val="center"/>
              <w:rPr>
                <w:bCs/>
              </w:rPr>
            </w:pPr>
            <w:r w:rsidRPr="008B3D24">
              <w:rPr>
                <w:bCs/>
              </w:rPr>
              <w:t>1.96 (0.91, 4.22)</w:t>
            </w:r>
          </w:p>
        </w:tc>
      </w:tr>
    </w:tbl>
    <w:p w:rsidR="0017618A" w:rsidRPr="008B3D24" w:rsidRDefault="0017618A" w:rsidP="003702E8">
      <w:pPr>
        <w:pStyle w:val="TableFigureFooter"/>
        <w:jc w:val="both"/>
      </w:pPr>
      <w:r w:rsidRPr="008B3D24">
        <w:t xml:space="preserve">Source: </w:t>
      </w:r>
      <w:r w:rsidRPr="008B3D24">
        <w:rPr>
          <w:rFonts w:eastAsiaTheme="minorHAnsi"/>
          <w:lang w:eastAsia="en-US"/>
        </w:rPr>
        <w:t>Table 2(i).6-12</w:t>
      </w:r>
      <w:r w:rsidR="00505339" w:rsidRPr="008B3D24">
        <w:rPr>
          <w:rFonts w:eastAsiaTheme="minorHAnsi"/>
          <w:lang w:eastAsia="en-US"/>
        </w:rPr>
        <w:t xml:space="preserve"> and Table 2(i).6-13</w:t>
      </w:r>
      <w:r w:rsidRPr="008B3D24">
        <w:rPr>
          <w:rFonts w:eastAsiaTheme="minorHAnsi"/>
          <w:lang w:eastAsia="en-US"/>
        </w:rPr>
        <w:t xml:space="preserve"> of the submission </w:t>
      </w:r>
    </w:p>
    <w:p w:rsidR="0017618A" w:rsidRPr="008B3D24" w:rsidRDefault="0017618A" w:rsidP="003702E8">
      <w:pPr>
        <w:pStyle w:val="TableFigureFooter"/>
        <w:jc w:val="both"/>
      </w:pPr>
      <w:r w:rsidRPr="008B3D24">
        <w:t xml:space="preserve">ASAS20/40 = Assessment of SpondyloArthritis </w:t>
      </w:r>
      <w:r w:rsidR="009B2060" w:rsidRPr="008B3D24">
        <w:t xml:space="preserve">international </w:t>
      </w:r>
      <w:r w:rsidRPr="008B3D24">
        <w:t>Society 20/40% response criteria; CI = confidence interval; df = degrees of freedom; ITC = indirect treatment comparison; IXEQ4W= ixekizumab 80 mg every four weeks; NA = not applicable; OR = odds ratio; RD = risk difference; RR = relative risk</w:t>
      </w:r>
      <w:r w:rsidR="005D5657" w:rsidRPr="008B3D24">
        <w:t>; vs. = versus</w:t>
      </w:r>
      <w:r w:rsidR="000748D4" w:rsidRPr="008B3D24">
        <w:t xml:space="preserve">; </w:t>
      </w:r>
      <w:r w:rsidR="000748D4" w:rsidRPr="008B3D24">
        <w:rPr>
          <w:bCs/>
          <w:iCs/>
        </w:rPr>
        <w:t xml:space="preserve">Bold </w:t>
      </w:r>
      <w:r w:rsidR="000748D4" w:rsidRPr="008B3D24">
        <w:rPr>
          <w:iCs/>
        </w:rPr>
        <w:t>= statistically significant</w:t>
      </w:r>
      <w:r w:rsidR="0013047E" w:rsidRPr="008B3D24">
        <w:rPr>
          <w:iCs/>
        </w:rPr>
        <w:t xml:space="preserve">; </w:t>
      </w:r>
    </w:p>
    <w:p w:rsidR="0017618A" w:rsidRPr="008B3D24" w:rsidRDefault="0017618A" w:rsidP="003702E8">
      <w:pPr>
        <w:pStyle w:val="TableFigureFooter"/>
        <w:jc w:val="both"/>
      </w:pPr>
      <w:r w:rsidRPr="008B3D24">
        <w:rPr>
          <w:vertAlign w:val="superscript"/>
        </w:rPr>
        <w:t>a</w:t>
      </w:r>
      <w:r w:rsidRPr="008B3D24">
        <w:t xml:space="preserve"> ASAS20 was the primary outcome for the secukinumab trials (</w:t>
      </w:r>
      <w:r w:rsidR="00A62075" w:rsidRPr="008B3D24">
        <w:t>MEASURE 2</w:t>
      </w:r>
      <w:r w:rsidRPr="008B3D24">
        <w:t xml:space="preserve"> and </w:t>
      </w:r>
      <w:r w:rsidR="00A62075" w:rsidRPr="008B3D24">
        <w:t>MEASURE 4</w:t>
      </w:r>
      <w:r w:rsidRPr="008B3D24">
        <w:t>). ASAS40 was the primary outcome for the ixekizumab trials (COAST-V and COAST-W)</w:t>
      </w:r>
      <w:r w:rsidR="008E0BDC" w:rsidRPr="008B3D24">
        <w:t>.</w:t>
      </w:r>
    </w:p>
    <w:p w:rsidR="0017618A" w:rsidRPr="008B3D24" w:rsidRDefault="0017618A" w:rsidP="0017618A">
      <w:pPr>
        <w:keepNext/>
        <w:rPr>
          <w:rFonts w:ascii="Arial Narrow" w:eastAsiaTheme="majorEastAsia" w:hAnsi="Arial Narrow" w:cstheme="majorBidi"/>
          <w:b/>
          <w:bCs/>
          <w:sz w:val="20"/>
        </w:rPr>
      </w:pPr>
      <w:r w:rsidRPr="008B3D24">
        <w:rPr>
          <w:rFonts w:ascii="Arial Narrow" w:eastAsiaTheme="majorEastAsia" w:hAnsi="Arial Narrow" w:cstheme="majorBidi"/>
          <w:b/>
          <w:bCs/>
          <w:sz w:val="20"/>
        </w:rPr>
        <w:t xml:space="preserve">Table </w:t>
      </w:r>
      <w:r w:rsidR="006A323C" w:rsidRPr="008B3D24">
        <w:rPr>
          <w:rFonts w:ascii="Arial Narrow" w:eastAsiaTheme="majorEastAsia" w:hAnsi="Arial Narrow" w:cstheme="majorBidi"/>
          <w:b/>
          <w:bCs/>
          <w:sz w:val="20"/>
        </w:rPr>
        <w:t>9</w:t>
      </w:r>
      <w:r w:rsidRPr="008B3D24">
        <w:rPr>
          <w:rFonts w:ascii="Arial Narrow" w:eastAsiaTheme="majorEastAsia" w:hAnsi="Arial Narrow" w:cstheme="majorBidi"/>
          <w:b/>
          <w:bCs/>
          <w:sz w:val="20"/>
        </w:rPr>
        <w:t>: I</w:t>
      </w:r>
      <w:r w:rsidR="005E4168" w:rsidRPr="008B3D24">
        <w:rPr>
          <w:rFonts w:ascii="Arial Narrow" w:eastAsiaTheme="majorEastAsia" w:hAnsi="Arial Narrow" w:cstheme="majorBidi"/>
          <w:b/>
          <w:bCs/>
          <w:sz w:val="20"/>
        </w:rPr>
        <w:t>ndirect comparison</w:t>
      </w:r>
      <w:r w:rsidRPr="008B3D24">
        <w:rPr>
          <w:rFonts w:ascii="Arial Narrow" w:eastAsiaTheme="majorEastAsia" w:hAnsi="Arial Narrow" w:cstheme="majorBidi"/>
          <w:b/>
          <w:bCs/>
          <w:sz w:val="20"/>
        </w:rPr>
        <w:t xml:space="preserve"> of </w:t>
      </w:r>
      <w:r w:rsidR="005E4168" w:rsidRPr="008B3D24">
        <w:rPr>
          <w:rFonts w:ascii="Arial Narrow" w:eastAsiaTheme="majorEastAsia" w:hAnsi="Arial Narrow" w:cstheme="majorBidi"/>
          <w:b/>
          <w:bCs/>
          <w:sz w:val="20"/>
        </w:rPr>
        <w:t xml:space="preserve">ixekizumab and secukinumab </w:t>
      </w:r>
      <w:r w:rsidRPr="008B3D24">
        <w:rPr>
          <w:rFonts w:ascii="Arial Narrow" w:eastAsiaTheme="majorEastAsia" w:hAnsi="Arial Narrow" w:cstheme="majorBidi"/>
          <w:b/>
          <w:bCs/>
          <w:sz w:val="20"/>
        </w:rPr>
        <w:t xml:space="preserve">change in BASDAI score </w:t>
      </w:r>
      <w:r w:rsidR="005E4168" w:rsidRPr="008B3D24">
        <w:rPr>
          <w:rFonts w:ascii="Arial Narrow" w:eastAsiaTheme="majorEastAsia" w:hAnsi="Arial Narrow" w:cstheme="majorBidi"/>
          <w:b/>
          <w:bCs/>
          <w:sz w:val="20"/>
        </w:rPr>
        <w:t>from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3"/>
        <w:gridCol w:w="1069"/>
        <w:gridCol w:w="1078"/>
        <w:gridCol w:w="1073"/>
        <w:gridCol w:w="1068"/>
        <w:gridCol w:w="1244"/>
        <w:gridCol w:w="934"/>
        <w:gridCol w:w="1488"/>
      </w:tblGrid>
      <w:tr w:rsidR="0017618A" w:rsidRPr="008B3D24" w:rsidTr="009427B6">
        <w:trPr>
          <w:tblHeader/>
        </w:trPr>
        <w:tc>
          <w:tcPr>
            <w:tcW w:w="589" w:type="pct"/>
            <w:vMerge w:val="restart"/>
            <w:vAlign w:val="center"/>
          </w:tcPr>
          <w:p w:rsidR="0017618A" w:rsidRPr="0026370A" w:rsidRDefault="0017618A" w:rsidP="009452DA">
            <w:pPr>
              <w:keepNext/>
              <w:rPr>
                <w:rFonts w:ascii="Arial Narrow" w:eastAsiaTheme="majorEastAsia" w:hAnsi="Arial Narrow"/>
                <w:b/>
                <w:sz w:val="20"/>
              </w:rPr>
            </w:pPr>
            <w:r w:rsidRPr="0026370A">
              <w:rPr>
                <w:rFonts w:ascii="Arial Narrow" w:eastAsiaTheme="majorEastAsia" w:hAnsi="Arial Narrow"/>
                <w:b/>
                <w:sz w:val="20"/>
              </w:rPr>
              <w:t>Trial ID</w:t>
            </w:r>
          </w:p>
        </w:tc>
        <w:tc>
          <w:tcPr>
            <w:tcW w:w="1786" w:type="pct"/>
            <w:gridSpan w:val="3"/>
            <w:vAlign w:val="center"/>
          </w:tcPr>
          <w:p w:rsidR="0017618A" w:rsidRPr="0026370A" w:rsidRDefault="0017618A" w:rsidP="009452DA">
            <w:pPr>
              <w:keepNext/>
              <w:jc w:val="center"/>
              <w:rPr>
                <w:rFonts w:ascii="Arial Narrow" w:eastAsiaTheme="majorEastAsia" w:hAnsi="Arial Narrow"/>
                <w:b/>
                <w:sz w:val="20"/>
              </w:rPr>
            </w:pPr>
            <w:r w:rsidRPr="0026370A">
              <w:rPr>
                <w:rFonts w:ascii="Arial Narrow" w:eastAsiaTheme="majorEastAsia" w:hAnsi="Arial Narrow"/>
                <w:b/>
                <w:iCs/>
                <w:sz w:val="20"/>
              </w:rPr>
              <w:t>IXEQ4W or se</w:t>
            </w:r>
            <w:r w:rsidR="000748D4" w:rsidRPr="0026370A">
              <w:rPr>
                <w:rFonts w:ascii="Arial Narrow" w:eastAsiaTheme="majorEastAsia" w:hAnsi="Arial Narrow"/>
                <w:b/>
                <w:iCs/>
                <w:sz w:val="20"/>
              </w:rPr>
              <w:t>cu</w:t>
            </w:r>
            <w:r w:rsidRPr="0026370A">
              <w:rPr>
                <w:rFonts w:ascii="Arial Narrow" w:eastAsiaTheme="majorEastAsia" w:hAnsi="Arial Narrow"/>
                <w:b/>
                <w:iCs/>
                <w:sz w:val="20"/>
              </w:rPr>
              <w:t>ki</w:t>
            </w:r>
            <w:r w:rsidR="000748D4" w:rsidRPr="0026370A">
              <w:rPr>
                <w:rFonts w:ascii="Arial Narrow" w:eastAsiaTheme="majorEastAsia" w:hAnsi="Arial Narrow"/>
                <w:b/>
                <w:iCs/>
                <w:sz w:val="20"/>
              </w:rPr>
              <w:t>nu</w:t>
            </w:r>
            <w:r w:rsidRPr="0026370A">
              <w:rPr>
                <w:rFonts w:ascii="Arial Narrow" w:eastAsiaTheme="majorEastAsia" w:hAnsi="Arial Narrow"/>
                <w:b/>
                <w:iCs/>
                <w:sz w:val="20"/>
              </w:rPr>
              <w:t xml:space="preserve">mab </w:t>
            </w:r>
          </w:p>
        </w:tc>
        <w:tc>
          <w:tcPr>
            <w:tcW w:w="1800" w:type="pct"/>
            <w:gridSpan w:val="3"/>
            <w:vAlign w:val="center"/>
          </w:tcPr>
          <w:p w:rsidR="0017618A" w:rsidRPr="0026370A" w:rsidRDefault="0017618A" w:rsidP="009452DA">
            <w:pPr>
              <w:keepNext/>
              <w:jc w:val="center"/>
              <w:rPr>
                <w:rFonts w:ascii="Arial Narrow" w:eastAsiaTheme="majorEastAsia" w:hAnsi="Arial Narrow"/>
                <w:b/>
                <w:sz w:val="20"/>
              </w:rPr>
            </w:pPr>
            <w:r w:rsidRPr="0026370A">
              <w:rPr>
                <w:rFonts w:ascii="Arial Narrow" w:eastAsiaTheme="majorEastAsia" w:hAnsi="Arial Narrow"/>
                <w:b/>
                <w:iCs/>
                <w:sz w:val="20"/>
              </w:rPr>
              <w:t xml:space="preserve">Placebo </w:t>
            </w:r>
          </w:p>
        </w:tc>
        <w:tc>
          <w:tcPr>
            <w:tcW w:w="825" w:type="pct"/>
            <w:vMerge w:val="restart"/>
          </w:tcPr>
          <w:p w:rsidR="0017618A" w:rsidRPr="0026370A" w:rsidRDefault="0017618A" w:rsidP="009452DA">
            <w:pPr>
              <w:keepNext/>
              <w:jc w:val="center"/>
              <w:rPr>
                <w:rFonts w:ascii="Arial Narrow" w:eastAsiaTheme="majorEastAsia" w:hAnsi="Arial Narrow"/>
                <w:b/>
                <w:iCs/>
                <w:sz w:val="20"/>
              </w:rPr>
            </w:pPr>
            <w:r w:rsidRPr="0026370A">
              <w:rPr>
                <w:rFonts w:ascii="Arial Narrow" w:eastAsiaTheme="majorEastAsia" w:hAnsi="Arial Narrow"/>
                <w:b/>
                <w:iCs/>
                <w:sz w:val="20"/>
              </w:rPr>
              <w:t xml:space="preserve">Mean difference </w:t>
            </w:r>
          </w:p>
          <w:p w:rsidR="0017618A" w:rsidRPr="0026370A" w:rsidRDefault="0017618A" w:rsidP="009452DA">
            <w:pPr>
              <w:keepNext/>
              <w:jc w:val="center"/>
              <w:rPr>
                <w:rFonts w:ascii="Arial Narrow" w:eastAsiaTheme="majorEastAsia" w:hAnsi="Arial Narrow"/>
                <w:b/>
                <w:iCs/>
                <w:sz w:val="20"/>
              </w:rPr>
            </w:pPr>
            <w:r w:rsidRPr="0026370A">
              <w:rPr>
                <w:rFonts w:ascii="Arial Narrow" w:eastAsiaTheme="majorEastAsia" w:hAnsi="Arial Narrow"/>
                <w:b/>
                <w:iCs/>
                <w:sz w:val="20"/>
              </w:rPr>
              <w:t>(95% CI)</w:t>
            </w:r>
          </w:p>
        </w:tc>
      </w:tr>
      <w:tr w:rsidR="0017618A" w:rsidRPr="008B3D24" w:rsidTr="009427B6">
        <w:tc>
          <w:tcPr>
            <w:tcW w:w="589" w:type="pct"/>
            <w:vMerge/>
            <w:vAlign w:val="center"/>
          </w:tcPr>
          <w:p w:rsidR="0017618A" w:rsidRPr="0026370A" w:rsidRDefault="0017618A" w:rsidP="009452DA">
            <w:pPr>
              <w:keepNext/>
              <w:rPr>
                <w:rFonts w:ascii="Arial Narrow" w:eastAsiaTheme="majorEastAsia" w:hAnsi="Arial Narrow" w:cstheme="majorBidi"/>
                <w:bCs/>
                <w:sz w:val="20"/>
              </w:rPr>
            </w:pPr>
          </w:p>
        </w:tc>
        <w:tc>
          <w:tcPr>
            <w:tcW w:w="593"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baseline (SD)</w:t>
            </w:r>
          </w:p>
        </w:tc>
        <w:tc>
          <w:tcPr>
            <w:tcW w:w="59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end point (SD)</w:t>
            </w:r>
          </w:p>
        </w:tc>
        <w:tc>
          <w:tcPr>
            <w:tcW w:w="595"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change (S</w:t>
            </w:r>
            <w:r w:rsidR="00E82F06" w:rsidRPr="0026370A">
              <w:rPr>
                <w:rFonts w:ascii="Arial Narrow" w:eastAsiaTheme="majorEastAsia" w:hAnsi="Arial Narrow" w:cstheme="majorBidi"/>
                <w:bCs/>
                <w:sz w:val="20"/>
              </w:rPr>
              <w:t>E</w:t>
            </w:r>
            <w:r w:rsidRPr="0026370A">
              <w:rPr>
                <w:rFonts w:ascii="Arial Narrow" w:eastAsiaTheme="majorEastAsia" w:hAnsi="Arial Narrow" w:cstheme="majorBidi"/>
                <w:bCs/>
                <w:sz w:val="20"/>
              </w:rPr>
              <w:t>)</w:t>
            </w:r>
          </w:p>
        </w:tc>
        <w:tc>
          <w:tcPr>
            <w:tcW w:w="592"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baseline (SD)</w:t>
            </w:r>
          </w:p>
        </w:tc>
        <w:tc>
          <w:tcPr>
            <w:tcW w:w="690"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end point (SD)</w:t>
            </w:r>
          </w:p>
        </w:tc>
        <w:tc>
          <w:tcPr>
            <w:tcW w:w="51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mean change (S</w:t>
            </w:r>
            <w:r w:rsidR="00E82F06" w:rsidRPr="0026370A">
              <w:rPr>
                <w:rFonts w:ascii="Arial Narrow" w:eastAsiaTheme="majorEastAsia" w:hAnsi="Arial Narrow" w:cstheme="majorBidi"/>
                <w:bCs/>
                <w:sz w:val="20"/>
              </w:rPr>
              <w:t>E</w:t>
            </w:r>
            <w:r w:rsidRPr="0026370A">
              <w:rPr>
                <w:rFonts w:ascii="Arial Narrow" w:eastAsiaTheme="majorEastAsia" w:hAnsi="Arial Narrow" w:cstheme="majorBidi"/>
                <w:bCs/>
                <w:sz w:val="20"/>
              </w:rPr>
              <w:t>)</w:t>
            </w:r>
          </w:p>
        </w:tc>
        <w:tc>
          <w:tcPr>
            <w:tcW w:w="825" w:type="pct"/>
            <w:vMerge/>
          </w:tcPr>
          <w:p w:rsidR="0017618A" w:rsidRPr="0026370A" w:rsidRDefault="0017618A" w:rsidP="009452DA">
            <w:pPr>
              <w:keepNext/>
              <w:jc w:val="center"/>
              <w:rPr>
                <w:rFonts w:ascii="Arial Narrow" w:eastAsiaTheme="majorEastAsia" w:hAnsi="Arial Narrow" w:cstheme="majorBidi"/>
                <w:bCs/>
                <w:sz w:val="20"/>
              </w:rPr>
            </w:pPr>
          </w:p>
        </w:tc>
      </w:tr>
      <w:tr w:rsidR="0017618A" w:rsidRPr="008B3D24" w:rsidTr="009427B6">
        <w:tc>
          <w:tcPr>
            <w:tcW w:w="5000" w:type="pct"/>
            <w:gridSpan w:val="8"/>
            <w:vAlign w:val="center"/>
          </w:tcPr>
          <w:p w:rsidR="0017618A" w:rsidRPr="0026370A" w:rsidRDefault="0017618A" w:rsidP="009452DA">
            <w:pPr>
              <w:keepNext/>
              <w:rPr>
                <w:rFonts w:ascii="Arial Narrow" w:eastAsiaTheme="majorEastAsia" w:hAnsi="Arial Narrow" w:cstheme="majorBidi"/>
                <w:b/>
                <w:sz w:val="20"/>
              </w:rPr>
            </w:pPr>
            <w:r w:rsidRPr="0026370A">
              <w:rPr>
                <w:rFonts w:ascii="Arial Narrow" w:eastAsiaTheme="majorEastAsia" w:hAnsi="Arial Narrow" w:cstheme="majorBidi"/>
                <w:b/>
                <w:sz w:val="20"/>
              </w:rPr>
              <w:t xml:space="preserve">Ixekizumab </w:t>
            </w:r>
          </w:p>
        </w:tc>
      </w:tr>
      <w:tr w:rsidR="0017618A" w:rsidRPr="008B3D24" w:rsidTr="009427B6">
        <w:tc>
          <w:tcPr>
            <w:tcW w:w="589" w:type="pct"/>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COAST-V</w:t>
            </w:r>
          </w:p>
        </w:tc>
        <w:tc>
          <w:tcPr>
            <w:tcW w:w="593"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6.75 (1.32)</w:t>
            </w:r>
          </w:p>
        </w:tc>
        <w:tc>
          <w:tcPr>
            <w:tcW w:w="59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iCs/>
                <w:sz w:val="20"/>
              </w:rPr>
              <w:t>3.71 (2.01)</w:t>
            </w:r>
          </w:p>
        </w:tc>
        <w:tc>
          <w:tcPr>
            <w:tcW w:w="595"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Calibri" w:hAnsi="Arial Narrow" w:cstheme="majorBidi"/>
                <w:bCs/>
                <w:sz w:val="20"/>
              </w:rPr>
              <w:noBreakHyphen/>
              <w:t>2.92 (0.22)</w:t>
            </w:r>
          </w:p>
        </w:tc>
        <w:tc>
          <w:tcPr>
            <w:tcW w:w="592"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6.</w:t>
            </w:r>
            <w:r w:rsidR="00267ED3" w:rsidRPr="0026370A">
              <w:rPr>
                <w:rFonts w:ascii="Arial Narrow" w:eastAsiaTheme="majorEastAsia" w:hAnsi="Arial Narrow" w:cstheme="majorBidi"/>
                <w:bCs/>
                <w:sz w:val="20"/>
              </w:rPr>
              <w:t xml:space="preserve">79 </w:t>
            </w:r>
            <w:r w:rsidRPr="0026370A">
              <w:rPr>
                <w:rFonts w:ascii="Arial Narrow" w:eastAsiaTheme="majorEastAsia" w:hAnsi="Arial Narrow" w:cstheme="majorBidi"/>
                <w:bCs/>
                <w:sz w:val="20"/>
              </w:rPr>
              <w:t>(1.22)</w:t>
            </w:r>
          </w:p>
        </w:tc>
        <w:tc>
          <w:tcPr>
            <w:tcW w:w="690"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5.28 (2.</w:t>
            </w:r>
            <w:r w:rsidR="00267ED3" w:rsidRPr="0026370A">
              <w:rPr>
                <w:rFonts w:ascii="Arial Narrow" w:eastAsiaTheme="majorEastAsia" w:hAnsi="Arial Narrow" w:cstheme="majorBidi"/>
                <w:bCs/>
                <w:iCs/>
                <w:sz w:val="20"/>
              </w:rPr>
              <w:t>05</w:t>
            </w:r>
            <w:r w:rsidRPr="0026370A">
              <w:rPr>
                <w:rFonts w:ascii="Arial Narrow" w:eastAsiaTheme="majorEastAsia" w:hAnsi="Arial Narrow" w:cstheme="majorBidi"/>
                <w:bCs/>
                <w:iCs/>
                <w:sz w:val="20"/>
              </w:rPr>
              <w:t>)</w:t>
            </w:r>
          </w:p>
        </w:tc>
        <w:tc>
          <w:tcPr>
            <w:tcW w:w="51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noBreakHyphen/>
              <w:t>1.39 (0.22)</w:t>
            </w:r>
          </w:p>
        </w:tc>
        <w:tc>
          <w:tcPr>
            <w:tcW w:w="825" w:type="pct"/>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Theme="majorEastAsia" w:hAnsi="Arial Narrow" w:cstheme="majorBidi"/>
                <w:b/>
                <w:iCs/>
                <w:sz w:val="20"/>
              </w:rPr>
              <w:t>-1.</w:t>
            </w:r>
            <w:r w:rsidR="00C854F5" w:rsidRPr="0026370A">
              <w:rPr>
                <w:rFonts w:ascii="Arial Narrow" w:eastAsiaTheme="majorEastAsia" w:hAnsi="Arial Narrow" w:cstheme="majorBidi"/>
                <w:b/>
                <w:iCs/>
                <w:sz w:val="20"/>
              </w:rPr>
              <w:t>54</w:t>
            </w:r>
            <w:r w:rsidR="00C854F5" w:rsidRPr="0026370A">
              <w:rPr>
                <w:rFonts w:ascii="Arial Narrow" w:eastAsiaTheme="majorEastAsia" w:hAnsi="Arial Narrow" w:cstheme="majorBidi"/>
                <w:b/>
                <w:sz w:val="20"/>
              </w:rPr>
              <w:t xml:space="preserve"> </w:t>
            </w:r>
            <w:r w:rsidRPr="0026370A">
              <w:rPr>
                <w:rFonts w:ascii="Arial Narrow" w:eastAsiaTheme="majorEastAsia" w:hAnsi="Arial Narrow" w:cstheme="majorBidi"/>
                <w:b/>
                <w:sz w:val="20"/>
              </w:rPr>
              <w:t>(-2.14, -</w:t>
            </w:r>
            <w:r w:rsidRPr="0026370A">
              <w:rPr>
                <w:rFonts w:ascii="Arial Narrow" w:eastAsiaTheme="majorEastAsia" w:hAnsi="Arial Narrow" w:cstheme="majorBidi"/>
                <w:b/>
                <w:iCs/>
                <w:sz w:val="20"/>
              </w:rPr>
              <w:t>0.</w:t>
            </w:r>
            <w:r w:rsidR="00C854F5" w:rsidRPr="0026370A">
              <w:rPr>
                <w:rFonts w:ascii="Arial Narrow" w:eastAsiaTheme="majorEastAsia" w:hAnsi="Arial Narrow" w:cstheme="majorBidi"/>
                <w:b/>
                <w:iCs/>
                <w:sz w:val="20"/>
              </w:rPr>
              <w:t>93</w:t>
            </w:r>
            <w:r w:rsidRPr="0026370A">
              <w:rPr>
                <w:rFonts w:ascii="Arial Narrow" w:eastAsiaTheme="majorEastAsia" w:hAnsi="Arial Narrow" w:cstheme="majorBidi"/>
                <w:b/>
                <w:iCs/>
                <w:sz w:val="20"/>
              </w:rPr>
              <w:t>)</w:t>
            </w:r>
          </w:p>
        </w:tc>
      </w:tr>
      <w:tr w:rsidR="0017618A" w:rsidRPr="008B3D24" w:rsidTr="009427B6">
        <w:tc>
          <w:tcPr>
            <w:tcW w:w="589" w:type="pct"/>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 xml:space="preserve">COAST-W </w:t>
            </w:r>
          </w:p>
        </w:tc>
        <w:tc>
          <w:tcPr>
            <w:tcW w:w="593" w:type="pct"/>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7.54 (1.34)</w:t>
            </w:r>
          </w:p>
        </w:tc>
        <w:tc>
          <w:tcPr>
            <w:tcW w:w="598"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5.18 (2.16)</w:t>
            </w:r>
          </w:p>
        </w:tc>
        <w:tc>
          <w:tcPr>
            <w:tcW w:w="595"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noBreakHyphen/>
              <w:t>2.17 (0.20)</w:t>
            </w:r>
          </w:p>
        </w:tc>
        <w:tc>
          <w:tcPr>
            <w:tcW w:w="592"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7.32 (1.26)</w:t>
            </w:r>
          </w:p>
        </w:tc>
        <w:tc>
          <w:tcPr>
            <w:tcW w:w="690"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6.37 (2.03)</w:t>
            </w:r>
          </w:p>
        </w:tc>
        <w:tc>
          <w:tcPr>
            <w:tcW w:w="51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noBreakHyphen/>
              <w:t>0.92 (0.21)</w:t>
            </w:r>
          </w:p>
        </w:tc>
        <w:tc>
          <w:tcPr>
            <w:tcW w:w="825" w:type="pct"/>
          </w:tcPr>
          <w:p w:rsidR="0017618A" w:rsidRPr="0026370A" w:rsidRDefault="0017618A" w:rsidP="009452DA">
            <w:pPr>
              <w:keepNext/>
              <w:jc w:val="center"/>
              <w:rPr>
                <w:rFonts w:ascii="Arial Narrow" w:eastAsiaTheme="majorEastAsia" w:hAnsi="Arial Narrow" w:cstheme="majorBidi"/>
                <w:b/>
                <w:iCs/>
                <w:sz w:val="20"/>
              </w:rPr>
            </w:pPr>
            <w:r w:rsidRPr="0026370A">
              <w:rPr>
                <w:rFonts w:ascii="Arial Narrow" w:eastAsiaTheme="majorEastAsia" w:hAnsi="Arial Narrow" w:cstheme="majorBidi"/>
                <w:b/>
                <w:iCs/>
                <w:sz w:val="20"/>
              </w:rPr>
              <w:t>-1.</w:t>
            </w:r>
            <w:r w:rsidR="00C854F5" w:rsidRPr="0026370A">
              <w:rPr>
                <w:rFonts w:ascii="Arial Narrow" w:eastAsiaTheme="majorEastAsia" w:hAnsi="Arial Narrow" w:cstheme="majorBidi"/>
                <w:b/>
                <w:iCs/>
                <w:sz w:val="20"/>
              </w:rPr>
              <w:t xml:space="preserve">24 </w:t>
            </w:r>
            <w:r w:rsidRPr="0026370A">
              <w:rPr>
                <w:rFonts w:ascii="Arial Narrow" w:eastAsiaTheme="majorEastAsia" w:hAnsi="Arial Narrow" w:cstheme="majorBidi"/>
                <w:b/>
                <w:iCs/>
                <w:sz w:val="20"/>
              </w:rPr>
              <w:t>(-1.</w:t>
            </w:r>
            <w:r w:rsidR="00C854F5" w:rsidRPr="0026370A">
              <w:rPr>
                <w:rFonts w:ascii="Arial Narrow" w:eastAsiaTheme="majorEastAsia" w:hAnsi="Arial Narrow" w:cstheme="majorBidi"/>
                <w:b/>
                <w:iCs/>
                <w:sz w:val="20"/>
              </w:rPr>
              <w:t>81</w:t>
            </w:r>
            <w:r w:rsidRPr="0026370A">
              <w:rPr>
                <w:rFonts w:ascii="Arial Narrow" w:eastAsiaTheme="majorEastAsia" w:hAnsi="Arial Narrow" w:cstheme="majorBidi"/>
                <w:b/>
                <w:iCs/>
                <w:sz w:val="20"/>
              </w:rPr>
              <w:t>, -0.</w:t>
            </w:r>
            <w:r w:rsidR="00C854F5" w:rsidRPr="0026370A">
              <w:rPr>
                <w:rFonts w:ascii="Arial Narrow" w:eastAsiaTheme="majorEastAsia" w:hAnsi="Arial Narrow" w:cstheme="majorBidi"/>
                <w:b/>
                <w:iCs/>
                <w:sz w:val="20"/>
              </w:rPr>
              <w:t>67</w:t>
            </w:r>
            <w:r w:rsidRPr="0026370A">
              <w:rPr>
                <w:rFonts w:ascii="Arial Narrow" w:eastAsiaTheme="majorEastAsia" w:hAnsi="Arial Narrow" w:cstheme="majorBidi"/>
                <w:b/>
                <w:iCs/>
                <w:sz w:val="20"/>
              </w:rPr>
              <w:t>)</w:t>
            </w:r>
          </w:p>
        </w:tc>
      </w:tr>
      <w:tr w:rsidR="0017618A" w:rsidRPr="008B3D24" w:rsidTr="009427B6">
        <w:tc>
          <w:tcPr>
            <w:tcW w:w="4175" w:type="pct"/>
            <w:gridSpan w:val="7"/>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Meta-analysis ixekizumab</w:t>
            </w:r>
          </w:p>
        </w:tc>
        <w:tc>
          <w:tcPr>
            <w:tcW w:w="825" w:type="pct"/>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Calibri" w:hAnsi="Arial Narrow" w:cstheme="majorBidi"/>
                <w:b/>
                <w:sz w:val="20"/>
              </w:rPr>
              <w:t>-1.38 (-1.80, -0.96)</w:t>
            </w:r>
          </w:p>
        </w:tc>
      </w:tr>
      <w:tr w:rsidR="0017618A" w:rsidRPr="008B3D24" w:rsidTr="009427B6">
        <w:tc>
          <w:tcPr>
            <w:tcW w:w="4175" w:type="pct"/>
            <w:gridSpan w:val="7"/>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I</w:t>
            </w:r>
            <w:r w:rsidRPr="0026370A">
              <w:rPr>
                <w:rFonts w:ascii="Arial Narrow" w:eastAsiaTheme="majorEastAsia" w:hAnsi="Arial Narrow" w:cstheme="majorBidi"/>
                <w:bCs/>
                <w:sz w:val="20"/>
                <w:vertAlign w:val="superscript"/>
              </w:rPr>
              <w:t>2</w:t>
            </w:r>
            <w:r w:rsidRPr="0026370A">
              <w:rPr>
                <w:rFonts w:ascii="Arial Narrow" w:eastAsiaTheme="majorEastAsia" w:hAnsi="Arial Narrow" w:cstheme="majorBidi"/>
                <w:bCs/>
                <w:sz w:val="20"/>
              </w:rPr>
              <w:t xml:space="preserve"> (95% CI)</w:t>
            </w:r>
          </w:p>
        </w:tc>
        <w:tc>
          <w:tcPr>
            <w:tcW w:w="825" w:type="pct"/>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Calibri" w:hAnsi="Arial Narrow" w:cstheme="majorBidi"/>
                <w:bCs/>
                <w:sz w:val="20"/>
              </w:rPr>
              <w:t>0 (NA, NA)</w:t>
            </w:r>
          </w:p>
        </w:tc>
      </w:tr>
      <w:tr w:rsidR="0017618A" w:rsidRPr="008B3D24" w:rsidTr="009427B6">
        <w:tc>
          <w:tcPr>
            <w:tcW w:w="5000" w:type="pct"/>
            <w:gridSpan w:val="8"/>
            <w:vAlign w:val="center"/>
          </w:tcPr>
          <w:p w:rsidR="0017618A" w:rsidRPr="0026370A" w:rsidRDefault="0017618A" w:rsidP="009452DA">
            <w:pPr>
              <w:keepNext/>
              <w:rPr>
                <w:rFonts w:ascii="Arial Narrow" w:eastAsiaTheme="majorEastAsia" w:hAnsi="Arial Narrow" w:cstheme="majorBidi"/>
                <w:b/>
                <w:sz w:val="20"/>
              </w:rPr>
            </w:pPr>
            <w:r w:rsidRPr="0026370A">
              <w:rPr>
                <w:rFonts w:ascii="Arial Narrow" w:eastAsiaTheme="majorEastAsia" w:hAnsi="Arial Narrow" w:cstheme="majorBidi"/>
                <w:b/>
                <w:sz w:val="20"/>
              </w:rPr>
              <w:t xml:space="preserve">Secukinumab </w:t>
            </w:r>
          </w:p>
        </w:tc>
      </w:tr>
      <w:tr w:rsidR="0017618A" w:rsidRPr="008B3D24" w:rsidTr="009427B6">
        <w:tc>
          <w:tcPr>
            <w:tcW w:w="589" w:type="pct"/>
            <w:vAlign w:val="center"/>
          </w:tcPr>
          <w:p w:rsidR="0017618A" w:rsidRPr="0026370A" w:rsidRDefault="00A62075"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MEASURE 2</w:t>
            </w:r>
            <w:r w:rsidR="0017618A" w:rsidRPr="0026370A">
              <w:rPr>
                <w:rFonts w:ascii="Arial Narrow" w:eastAsiaTheme="majorEastAsia" w:hAnsi="Arial Narrow" w:cstheme="majorBidi"/>
                <w:bCs/>
                <w:sz w:val="20"/>
              </w:rPr>
              <w:t xml:space="preserve"> </w:t>
            </w:r>
          </w:p>
        </w:tc>
        <w:tc>
          <w:tcPr>
            <w:tcW w:w="593"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6.6 (1.5)</w:t>
            </w:r>
          </w:p>
        </w:tc>
        <w:tc>
          <w:tcPr>
            <w:tcW w:w="598"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NR</w:t>
            </w:r>
          </w:p>
        </w:tc>
        <w:tc>
          <w:tcPr>
            <w:tcW w:w="595"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-2.19 (0.25)</w:t>
            </w:r>
          </w:p>
        </w:tc>
        <w:tc>
          <w:tcPr>
            <w:tcW w:w="592"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6.8 (1.3)</w:t>
            </w:r>
          </w:p>
        </w:tc>
        <w:tc>
          <w:tcPr>
            <w:tcW w:w="690"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NR</w:t>
            </w:r>
          </w:p>
        </w:tc>
        <w:tc>
          <w:tcPr>
            <w:tcW w:w="51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-0.85 (0.25)</w:t>
            </w:r>
          </w:p>
        </w:tc>
        <w:tc>
          <w:tcPr>
            <w:tcW w:w="825" w:type="pct"/>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Theme="majorEastAsia" w:hAnsi="Arial Narrow" w:cstheme="majorBidi"/>
                <w:b/>
                <w:bCs/>
                <w:sz w:val="20"/>
              </w:rPr>
              <w:t>-1.34 (-2.03, -0.65)</w:t>
            </w:r>
          </w:p>
        </w:tc>
      </w:tr>
      <w:tr w:rsidR="0017618A" w:rsidRPr="008B3D24" w:rsidTr="009427B6">
        <w:tc>
          <w:tcPr>
            <w:tcW w:w="589" w:type="pct"/>
            <w:vAlign w:val="center"/>
          </w:tcPr>
          <w:p w:rsidR="0017618A" w:rsidRPr="0026370A" w:rsidRDefault="00A62075"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MEASURE 4</w:t>
            </w:r>
            <w:r w:rsidR="0017618A" w:rsidRPr="0026370A">
              <w:rPr>
                <w:rFonts w:ascii="Arial Narrow" w:eastAsiaTheme="majorEastAsia" w:hAnsi="Arial Narrow" w:cstheme="majorBidi"/>
                <w:bCs/>
                <w:sz w:val="20"/>
              </w:rPr>
              <w:t xml:space="preserve"> </w:t>
            </w:r>
          </w:p>
        </w:tc>
        <w:tc>
          <w:tcPr>
            <w:tcW w:w="593"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7.0 (1.23)</w:t>
            </w:r>
          </w:p>
        </w:tc>
        <w:tc>
          <w:tcPr>
            <w:tcW w:w="598"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NR</w:t>
            </w:r>
          </w:p>
        </w:tc>
        <w:tc>
          <w:tcPr>
            <w:tcW w:w="595"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noBreakHyphen/>
              <w:t>2.39 (0.20)</w:t>
            </w:r>
          </w:p>
        </w:tc>
        <w:tc>
          <w:tcPr>
            <w:tcW w:w="592"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t>7.1 (1.27)</w:t>
            </w:r>
          </w:p>
        </w:tc>
        <w:tc>
          <w:tcPr>
            <w:tcW w:w="690" w:type="pct"/>
            <w:vAlign w:val="center"/>
          </w:tcPr>
          <w:p w:rsidR="0017618A" w:rsidRPr="0026370A" w:rsidRDefault="0017618A" w:rsidP="009452DA">
            <w:pPr>
              <w:keepNext/>
              <w:jc w:val="center"/>
              <w:rPr>
                <w:rFonts w:ascii="Arial Narrow" w:eastAsiaTheme="majorEastAsia" w:hAnsi="Arial Narrow" w:cstheme="majorBidi"/>
                <w:bCs/>
                <w:iCs/>
                <w:sz w:val="20"/>
              </w:rPr>
            </w:pPr>
            <w:r w:rsidRPr="0026370A">
              <w:rPr>
                <w:rFonts w:ascii="Arial Narrow" w:eastAsiaTheme="majorEastAsia" w:hAnsi="Arial Narrow" w:cstheme="majorBidi"/>
                <w:bCs/>
                <w:iCs/>
                <w:sz w:val="20"/>
              </w:rPr>
              <w:t>NR</w:t>
            </w:r>
          </w:p>
        </w:tc>
        <w:tc>
          <w:tcPr>
            <w:tcW w:w="518" w:type="pct"/>
            <w:vAlign w:val="center"/>
          </w:tcPr>
          <w:p w:rsidR="0017618A" w:rsidRPr="0026370A" w:rsidRDefault="0017618A" w:rsidP="009452DA">
            <w:pPr>
              <w:keepNext/>
              <w:jc w:val="center"/>
              <w:rPr>
                <w:rFonts w:ascii="Arial Narrow" w:eastAsiaTheme="majorEastAsia" w:hAnsi="Arial Narrow" w:cstheme="majorBidi"/>
                <w:bCs/>
                <w:sz w:val="20"/>
              </w:rPr>
            </w:pPr>
            <w:r w:rsidRPr="0026370A">
              <w:rPr>
                <w:rFonts w:ascii="Arial Narrow" w:eastAsiaTheme="majorEastAsia" w:hAnsi="Arial Narrow" w:cstheme="majorBidi"/>
                <w:bCs/>
                <w:sz w:val="20"/>
              </w:rPr>
              <w:noBreakHyphen/>
              <w:t>1.86 (0.20)</w:t>
            </w:r>
          </w:p>
        </w:tc>
        <w:tc>
          <w:tcPr>
            <w:tcW w:w="825" w:type="pct"/>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Theme="majorEastAsia" w:hAnsi="Arial Narrow" w:cstheme="majorBidi"/>
                <w:bCs/>
                <w:sz w:val="20"/>
              </w:rPr>
              <w:t>-0.53 (-1.08, 0.02)</w:t>
            </w:r>
          </w:p>
        </w:tc>
      </w:tr>
      <w:tr w:rsidR="0017618A" w:rsidRPr="008B3D24" w:rsidTr="009427B6">
        <w:tc>
          <w:tcPr>
            <w:tcW w:w="4175" w:type="pct"/>
            <w:gridSpan w:val="7"/>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Meta-analysis secukinumab</w:t>
            </w:r>
          </w:p>
        </w:tc>
        <w:tc>
          <w:tcPr>
            <w:tcW w:w="825" w:type="pct"/>
            <w:vAlign w:val="center"/>
          </w:tcPr>
          <w:p w:rsidR="0017618A" w:rsidRPr="0026370A" w:rsidRDefault="0017618A" w:rsidP="009452DA">
            <w:pPr>
              <w:keepNext/>
              <w:jc w:val="center"/>
              <w:rPr>
                <w:rFonts w:ascii="Arial Narrow" w:eastAsiaTheme="majorEastAsia" w:hAnsi="Arial Narrow" w:cstheme="majorBidi"/>
                <w:b/>
                <w:sz w:val="20"/>
              </w:rPr>
            </w:pPr>
            <w:r w:rsidRPr="0026370A">
              <w:rPr>
                <w:rFonts w:ascii="Arial Narrow" w:eastAsiaTheme="majorEastAsia" w:hAnsi="Arial Narrow" w:cstheme="majorBidi"/>
                <w:b/>
                <w:bCs/>
                <w:sz w:val="20"/>
              </w:rPr>
              <w:t>-0.91 (-1.70, -0.12)</w:t>
            </w:r>
          </w:p>
        </w:tc>
      </w:tr>
      <w:tr w:rsidR="0017618A" w:rsidRPr="008B3D24" w:rsidTr="009427B6">
        <w:tc>
          <w:tcPr>
            <w:tcW w:w="4175" w:type="pct"/>
            <w:gridSpan w:val="7"/>
            <w:tcBorders>
              <w:bottom w:val="double" w:sz="4" w:space="0" w:color="auto"/>
            </w:tcBorders>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I</w:t>
            </w:r>
            <w:r w:rsidRPr="0026370A">
              <w:rPr>
                <w:rFonts w:ascii="Arial Narrow" w:eastAsiaTheme="majorEastAsia" w:hAnsi="Arial Narrow" w:cstheme="majorBidi"/>
                <w:bCs/>
                <w:sz w:val="20"/>
                <w:vertAlign w:val="superscript"/>
              </w:rPr>
              <w:t>2</w:t>
            </w:r>
            <w:r w:rsidRPr="0026370A">
              <w:rPr>
                <w:rFonts w:ascii="Arial Narrow" w:eastAsiaTheme="majorEastAsia" w:hAnsi="Arial Narrow" w:cstheme="majorBidi"/>
                <w:bCs/>
                <w:sz w:val="20"/>
              </w:rPr>
              <w:t xml:space="preserve"> (95% CI)</w:t>
            </w:r>
          </w:p>
        </w:tc>
        <w:tc>
          <w:tcPr>
            <w:tcW w:w="825" w:type="pct"/>
            <w:tcBorders>
              <w:bottom w:val="double" w:sz="4" w:space="0" w:color="auto"/>
            </w:tcBorders>
          </w:tcPr>
          <w:p w:rsidR="0017618A" w:rsidRPr="0026370A" w:rsidRDefault="0017618A" w:rsidP="009452DA">
            <w:pPr>
              <w:keepNext/>
              <w:jc w:val="center"/>
              <w:rPr>
                <w:rFonts w:ascii="Arial Narrow" w:eastAsia="Calibri" w:hAnsi="Arial Narrow" w:cstheme="majorBidi"/>
                <w:bCs/>
                <w:sz w:val="20"/>
              </w:rPr>
            </w:pPr>
            <w:r w:rsidRPr="0026370A">
              <w:rPr>
                <w:rFonts w:ascii="Arial Narrow" w:eastAsiaTheme="majorEastAsia" w:hAnsi="Arial Narrow" w:cstheme="majorBidi"/>
                <w:bCs/>
                <w:sz w:val="20"/>
              </w:rPr>
              <w:t>68.8 (0, 93)</w:t>
            </w:r>
          </w:p>
        </w:tc>
      </w:tr>
      <w:tr w:rsidR="0017618A" w:rsidRPr="008B3D24" w:rsidTr="009427B6">
        <w:tc>
          <w:tcPr>
            <w:tcW w:w="4175" w:type="pct"/>
            <w:gridSpan w:val="7"/>
            <w:tcBorders>
              <w:top w:val="double" w:sz="4" w:space="0" w:color="auto"/>
              <w:left w:val="single" w:sz="4" w:space="0" w:color="auto"/>
              <w:bottom w:val="single" w:sz="4" w:space="0" w:color="auto"/>
              <w:right w:val="single" w:sz="4" w:space="0" w:color="auto"/>
            </w:tcBorders>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ITC: Ixekizumab vs</w:t>
            </w:r>
            <w:r w:rsidR="005D5657" w:rsidRPr="0026370A">
              <w:rPr>
                <w:rFonts w:ascii="Arial Narrow" w:eastAsiaTheme="majorEastAsia" w:hAnsi="Arial Narrow" w:cstheme="majorBidi"/>
                <w:bCs/>
                <w:sz w:val="20"/>
              </w:rPr>
              <w:t>.</w:t>
            </w:r>
            <w:r w:rsidRPr="0026370A">
              <w:rPr>
                <w:rFonts w:ascii="Arial Narrow" w:eastAsiaTheme="majorEastAsia" w:hAnsi="Arial Narrow" w:cstheme="majorBidi"/>
                <w:bCs/>
                <w:sz w:val="20"/>
              </w:rPr>
              <w:t xml:space="preserve"> secukinumab </w:t>
            </w:r>
          </w:p>
        </w:tc>
        <w:tc>
          <w:tcPr>
            <w:tcW w:w="825" w:type="pct"/>
            <w:tcBorders>
              <w:top w:val="double" w:sz="4" w:space="0" w:color="auto"/>
              <w:left w:val="single" w:sz="4" w:space="0" w:color="auto"/>
              <w:bottom w:val="single" w:sz="4" w:space="0" w:color="auto"/>
              <w:right w:val="single" w:sz="4" w:space="0" w:color="auto"/>
            </w:tcBorders>
          </w:tcPr>
          <w:p w:rsidR="0017618A" w:rsidRPr="0026370A" w:rsidRDefault="0017618A" w:rsidP="009452DA">
            <w:pPr>
              <w:keepNext/>
              <w:jc w:val="center"/>
              <w:rPr>
                <w:rFonts w:ascii="Arial Narrow" w:eastAsia="Calibri" w:hAnsi="Arial Narrow" w:cstheme="majorBidi"/>
                <w:bCs/>
                <w:sz w:val="20"/>
              </w:rPr>
            </w:pPr>
            <w:r w:rsidRPr="0026370A">
              <w:rPr>
                <w:rFonts w:ascii="Arial Narrow" w:eastAsiaTheme="majorEastAsia" w:hAnsi="Arial Narrow" w:cstheme="majorBidi"/>
                <w:bCs/>
                <w:sz w:val="20"/>
              </w:rPr>
              <w:t>-0.47 (-1.37, 0.42)</w:t>
            </w:r>
          </w:p>
        </w:tc>
      </w:tr>
      <w:tr w:rsidR="0017618A" w:rsidRPr="008B3D24" w:rsidTr="009427B6">
        <w:tc>
          <w:tcPr>
            <w:tcW w:w="4175" w:type="pct"/>
            <w:gridSpan w:val="7"/>
            <w:tcBorders>
              <w:top w:val="single" w:sz="4" w:space="0" w:color="auto"/>
              <w:left w:val="single" w:sz="4" w:space="0" w:color="auto"/>
              <w:bottom w:val="single" w:sz="4" w:space="0" w:color="auto"/>
              <w:right w:val="single" w:sz="4" w:space="0" w:color="auto"/>
            </w:tcBorders>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 xml:space="preserve">ITC: </w:t>
            </w:r>
            <w:r w:rsidR="000748D4" w:rsidRPr="0026370A">
              <w:rPr>
                <w:rFonts w:ascii="Arial Narrow" w:eastAsiaTheme="majorEastAsia" w:hAnsi="Arial Narrow" w:cstheme="majorBidi"/>
                <w:bCs/>
                <w:sz w:val="20"/>
              </w:rPr>
              <w:t>I</w:t>
            </w:r>
            <w:r w:rsidRPr="0026370A">
              <w:rPr>
                <w:rFonts w:ascii="Arial Narrow" w:eastAsiaTheme="majorEastAsia" w:hAnsi="Arial Narrow" w:cstheme="majorBidi"/>
                <w:bCs/>
                <w:sz w:val="20"/>
              </w:rPr>
              <w:t>xekizumab vs</w:t>
            </w:r>
            <w:r w:rsidR="005D5657" w:rsidRPr="0026370A">
              <w:rPr>
                <w:rFonts w:ascii="Arial Narrow" w:eastAsiaTheme="majorEastAsia" w:hAnsi="Arial Narrow" w:cstheme="majorBidi"/>
                <w:bCs/>
                <w:sz w:val="20"/>
              </w:rPr>
              <w:t>.</w:t>
            </w:r>
            <w:r w:rsidRPr="0026370A">
              <w:rPr>
                <w:rFonts w:ascii="Arial Narrow" w:eastAsiaTheme="majorEastAsia" w:hAnsi="Arial Narrow" w:cstheme="majorBidi"/>
                <w:bCs/>
                <w:sz w:val="20"/>
              </w:rPr>
              <w:t xml:space="preserve"> </w:t>
            </w:r>
            <w:r w:rsidR="00A62075" w:rsidRPr="0026370A">
              <w:rPr>
                <w:rFonts w:ascii="Arial Narrow" w:eastAsiaTheme="majorEastAsia" w:hAnsi="Arial Narrow" w:cstheme="majorBidi"/>
                <w:bCs/>
                <w:sz w:val="20"/>
              </w:rPr>
              <w:t>MEASURE 2</w:t>
            </w:r>
            <w:r w:rsidRPr="0026370A">
              <w:rPr>
                <w:rFonts w:ascii="Arial Narrow" w:eastAsiaTheme="majorEastAsia" w:hAnsi="Arial Narrow" w:cstheme="majorBidi"/>
                <w:bCs/>
                <w:sz w:val="20"/>
              </w:rPr>
              <w:t xml:space="preserve"> </w:t>
            </w:r>
          </w:p>
        </w:tc>
        <w:tc>
          <w:tcPr>
            <w:tcW w:w="825" w:type="pct"/>
            <w:tcBorders>
              <w:top w:val="single" w:sz="4" w:space="0" w:color="auto"/>
              <w:left w:val="single" w:sz="4" w:space="0" w:color="auto"/>
              <w:bottom w:val="single" w:sz="4" w:space="0" w:color="auto"/>
              <w:right w:val="single" w:sz="4" w:space="0" w:color="auto"/>
            </w:tcBorders>
          </w:tcPr>
          <w:p w:rsidR="0017618A" w:rsidRPr="0026370A" w:rsidRDefault="0017618A" w:rsidP="009452DA">
            <w:pPr>
              <w:keepNext/>
              <w:jc w:val="center"/>
              <w:rPr>
                <w:rFonts w:ascii="Arial Narrow" w:eastAsia="Calibri" w:hAnsi="Arial Narrow" w:cstheme="majorBidi"/>
                <w:bCs/>
                <w:sz w:val="20"/>
              </w:rPr>
            </w:pPr>
            <w:r w:rsidRPr="0026370A">
              <w:rPr>
                <w:rFonts w:ascii="Arial Narrow" w:eastAsiaTheme="majorEastAsia" w:hAnsi="Arial Narrow" w:cstheme="majorBidi"/>
                <w:bCs/>
                <w:sz w:val="20"/>
              </w:rPr>
              <w:t>-0.04 (-0.85, 0.77)</w:t>
            </w:r>
          </w:p>
        </w:tc>
      </w:tr>
      <w:tr w:rsidR="0017618A" w:rsidRPr="008B3D24" w:rsidTr="009427B6">
        <w:tc>
          <w:tcPr>
            <w:tcW w:w="4175" w:type="pct"/>
            <w:gridSpan w:val="7"/>
            <w:tcBorders>
              <w:top w:val="single" w:sz="4" w:space="0" w:color="auto"/>
              <w:left w:val="single" w:sz="4" w:space="0" w:color="auto"/>
              <w:bottom w:val="single" w:sz="4" w:space="0" w:color="auto"/>
              <w:right w:val="single" w:sz="4" w:space="0" w:color="auto"/>
            </w:tcBorders>
            <w:vAlign w:val="center"/>
          </w:tcPr>
          <w:p w:rsidR="0017618A" w:rsidRPr="0026370A" w:rsidRDefault="0017618A" w:rsidP="009452DA">
            <w:pPr>
              <w:keepNext/>
              <w:rPr>
                <w:rFonts w:ascii="Arial Narrow" w:eastAsiaTheme="majorEastAsia" w:hAnsi="Arial Narrow" w:cstheme="majorBidi"/>
                <w:bCs/>
                <w:sz w:val="20"/>
              </w:rPr>
            </w:pPr>
            <w:r w:rsidRPr="0026370A">
              <w:rPr>
                <w:rFonts w:ascii="Arial Narrow" w:eastAsiaTheme="majorEastAsia" w:hAnsi="Arial Narrow" w:cstheme="majorBidi"/>
                <w:bCs/>
                <w:sz w:val="20"/>
              </w:rPr>
              <w:t xml:space="preserve">ITC: </w:t>
            </w:r>
            <w:r w:rsidR="000748D4" w:rsidRPr="0026370A">
              <w:rPr>
                <w:rFonts w:ascii="Arial Narrow" w:eastAsiaTheme="majorEastAsia" w:hAnsi="Arial Narrow" w:cstheme="majorBidi"/>
                <w:bCs/>
                <w:sz w:val="20"/>
              </w:rPr>
              <w:t>I</w:t>
            </w:r>
            <w:r w:rsidRPr="0026370A">
              <w:rPr>
                <w:rFonts w:ascii="Arial Narrow" w:eastAsiaTheme="majorEastAsia" w:hAnsi="Arial Narrow" w:cstheme="majorBidi"/>
                <w:bCs/>
                <w:sz w:val="20"/>
              </w:rPr>
              <w:t>xekizumab vs</w:t>
            </w:r>
            <w:r w:rsidR="005D5657" w:rsidRPr="0026370A">
              <w:rPr>
                <w:rFonts w:ascii="Arial Narrow" w:eastAsiaTheme="majorEastAsia" w:hAnsi="Arial Narrow" w:cstheme="majorBidi"/>
                <w:bCs/>
                <w:sz w:val="20"/>
              </w:rPr>
              <w:t>.</w:t>
            </w:r>
            <w:r w:rsidRPr="0026370A">
              <w:rPr>
                <w:rFonts w:ascii="Arial Narrow" w:eastAsiaTheme="majorEastAsia" w:hAnsi="Arial Narrow" w:cstheme="majorBidi"/>
                <w:bCs/>
                <w:sz w:val="20"/>
              </w:rPr>
              <w:t xml:space="preserve"> </w:t>
            </w:r>
            <w:r w:rsidR="00A62075" w:rsidRPr="0026370A">
              <w:rPr>
                <w:rFonts w:ascii="Arial Narrow" w:eastAsiaTheme="majorEastAsia" w:hAnsi="Arial Narrow" w:cstheme="majorBidi"/>
                <w:bCs/>
                <w:sz w:val="20"/>
              </w:rPr>
              <w:t>MEASURE 4</w:t>
            </w:r>
          </w:p>
        </w:tc>
        <w:tc>
          <w:tcPr>
            <w:tcW w:w="825" w:type="pct"/>
            <w:tcBorders>
              <w:top w:val="single" w:sz="4" w:space="0" w:color="auto"/>
              <w:left w:val="single" w:sz="4" w:space="0" w:color="auto"/>
              <w:bottom w:val="single" w:sz="4" w:space="0" w:color="auto"/>
              <w:right w:val="single" w:sz="4" w:space="0" w:color="auto"/>
            </w:tcBorders>
          </w:tcPr>
          <w:p w:rsidR="0017618A" w:rsidRPr="0026370A" w:rsidRDefault="0017618A" w:rsidP="009452DA">
            <w:pPr>
              <w:keepNext/>
              <w:jc w:val="center"/>
              <w:rPr>
                <w:rFonts w:ascii="Arial Narrow" w:eastAsia="Calibri" w:hAnsi="Arial Narrow" w:cstheme="majorBidi"/>
                <w:bCs/>
                <w:sz w:val="20"/>
              </w:rPr>
            </w:pPr>
            <w:r w:rsidRPr="0026370A">
              <w:rPr>
                <w:rFonts w:ascii="Arial Narrow" w:eastAsiaTheme="majorEastAsia" w:hAnsi="Arial Narrow" w:cstheme="majorBidi"/>
                <w:b/>
                <w:bCs/>
                <w:sz w:val="20"/>
              </w:rPr>
              <w:t>-0.85 (-1.55, -0.16)</w:t>
            </w:r>
          </w:p>
        </w:tc>
      </w:tr>
    </w:tbl>
    <w:p w:rsidR="002558EC" w:rsidRPr="0026370A" w:rsidRDefault="0017618A" w:rsidP="003702E8">
      <w:pPr>
        <w:pStyle w:val="TableFigureFooter"/>
        <w:jc w:val="both"/>
      </w:pPr>
      <w:r w:rsidRPr="0026370A">
        <w:t>Source: Table 2(i).6-14, p175 of the submission;</w:t>
      </w:r>
      <w:r w:rsidR="006941BC" w:rsidRPr="0026370A">
        <w:t xml:space="preserve"> </w:t>
      </w:r>
      <w:r w:rsidR="00A132FA" w:rsidRPr="0026370A">
        <w:rPr>
          <w:iCs/>
        </w:rPr>
        <w:t xml:space="preserve">Table 3, p4 of A2.18 sensitivity analysis for IDC.pdf; </w:t>
      </w:r>
      <w:r w:rsidR="002558EC" w:rsidRPr="0026370A">
        <w:rPr>
          <w:iCs/>
        </w:rPr>
        <w:t>Table RHBV.14-32, p501</w:t>
      </w:r>
      <w:r w:rsidR="00A132FA" w:rsidRPr="0026370A">
        <w:rPr>
          <w:iCs/>
        </w:rPr>
        <w:t>,</w:t>
      </w:r>
      <w:r w:rsidR="002558EC" w:rsidRPr="0026370A">
        <w:rPr>
          <w:iCs/>
        </w:rPr>
        <w:t xml:space="preserve"> </w:t>
      </w:r>
      <w:r w:rsidR="00A132FA" w:rsidRPr="0026370A">
        <w:rPr>
          <w:iCs/>
        </w:rPr>
        <w:t xml:space="preserve">Table RHBV 14.33, p509 and p522 </w:t>
      </w:r>
      <w:r w:rsidR="002558EC" w:rsidRPr="0026370A">
        <w:rPr>
          <w:iCs/>
        </w:rPr>
        <w:t>of COAST-V CSR</w:t>
      </w:r>
      <w:r w:rsidR="002558EC" w:rsidRPr="0026370A">
        <w:t xml:space="preserve">; </w:t>
      </w:r>
      <w:r w:rsidR="002558EC" w:rsidRPr="0026370A">
        <w:rPr>
          <w:iCs/>
        </w:rPr>
        <w:t>Table RHBW.14-32, p495</w:t>
      </w:r>
      <w:r w:rsidR="00A132FA" w:rsidRPr="0026370A">
        <w:rPr>
          <w:iCs/>
        </w:rPr>
        <w:t xml:space="preserve">, Table RHBW 14.33, p512 and p530 </w:t>
      </w:r>
      <w:r w:rsidR="002558EC" w:rsidRPr="0026370A">
        <w:rPr>
          <w:iCs/>
        </w:rPr>
        <w:t>of COAST-W CSR</w:t>
      </w:r>
      <w:r w:rsidR="00A132FA" w:rsidRPr="0026370A">
        <w:rPr>
          <w:iCs/>
        </w:rPr>
        <w:t xml:space="preserve">; Table 1, p2450 and Table 2, p2544 of Baeten </w:t>
      </w:r>
      <w:r w:rsidR="00A132FA" w:rsidRPr="0026370A">
        <w:t>et al.</w:t>
      </w:r>
      <w:r w:rsidR="00A132FA" w:rsidRPr="0026370A">
        <w:rPr>
          <w:iCs/>
        </w:rPr>
        <w:t xml:space="preserve"> 2015; Table 1, p452 and Table 2, p454 Kivitz </w:t>
      </w:r>
      <w:r w:rsidR="00A132FA" w:rsidRPr="0026370A">
        <w:t xml:space="preserve">et al. </w:t>
      </w:r>
      <w:r w:rsidR="00A132FA" w:rsidRPr="0026370A">
        <w:rPr>
          <w:iCs/>
        </w:rPr>
        <w:t>2018.</w:t>
      </w:r>
      <w:r w:rsidR="006941BC" w:rsidRPr="0026370A">
        <w:rPr>
          <w:iCs/>
        </w:rPr>
        <w:t xml:space="preserve"> </w:t>
      </w:r>
    </w:p>
    <w:p w:rsidR="0017618A" w:rsidRPr="008B3D24" w:rsidRDefault="0017618A" w:rsidP="003702E8">
      <w:pPr>
        <w:pStyle w:val="TableFigureFooter"/>
        <w:jc w:val="both"/>
      </w:pPr>
      <w:r w:rsidRPr="008B3D24">
        <w:t>BASDAI = Bath ankylosing spondylitis disease activity index; CI = confidence interval; CSR = clinical study report; ITC = indirect treatment comparison; IXEQ4W= ixekizumab 80 mg every four weeks; NA = not applicable; NR = not reported; SD = standard deviation</w:t>
      </w:r>
      <w:r w:rsidR="00E82F06" w:rsidRPr="008B3D24">
        <w:t>; SE = standard error</w:t>
      </w:r>
      <w:r w:rsidR="005D5657" w:rsidRPr="008B3D24">
        <w:t>; vs. = versus</w:t>
      </w:r>
      <w:r w:rsidR="000748D4" w:rsidRPr="008B3D24">
        <w:rPr>
          <w:i/>
          <w:iCs/>
        </w:rPr>
        <w:t xml:space="preserve">; </w:t>
      </w:r>
      <w:r w:rsidR="000748D4" w:rsidRPr="008B3D24">
        <w:rPr>
          <w:b/>
          <w:bCs/>
        </w:rPr>
        <w:t xml:space="preserve">Bold </w:t>
      </w:r>
      <w:r w:rsidR="000748D4" w:rsidRPr="008B3D24">
        <w:t>= statistically significant</w:t>
      </w:r>
      <w:r w:rsidR="00C854F5" w:rsidRPr="008B3D24">
        <w:t>;</w:t>
      </w:r>
      <w:r w:rsidR="00C854F5" w:rsidRPr="008B3D24">
        <w:rPr>
          <w:i/>
          <w:iCs/>
        </w:rPr>
        <w:t xml:space="preserve"> </w:t>
      </w:r>
    </w:p>
    <w:p w:rsidR="0017618A" w:rsidRPr="008B3D24" w:rsidRDefault="0017618A" w:rsidP="0017618A">
      <w:pPr>
        <w:pStyle w:val="3-BodyText"/>
        <w:rPr>
          <w:iCs/>
        </w:rPr>
      </w:pPr>
      <w:r w:rsidRPr="008B3D24">
        <w:t xml:space="preserve">The </w:t>
      </w:r>
      <w:r w:rsidR="00A62075" w:rsidRPr="008B3D24">
        <w:t>MEASURE 2</w:t>
      </w:r>
      <w:r w:rsidRPr="008B3D24">
        <w:t xml:space="preserve"> trial reported significantly higher rates of ASAS20 and ASAS40 response and change in BASDAI score compared with placebo. </w:t>
      </w:r>
      <w:r w:rsidR="00A62075" w:rsidRPr="008B3D24">
        <w:t>MEASURE 4</w:t>
      </w:r>
      <w:r w:rsidRPr="008B3D24">
        <w:t xml:space="preserve"> did not find a significant difference in terms ASAS20 or ASAS40 response or change in BASDAI score compared with placebo. </w:t>
      </w:r>
    </w:p>
    <w:p w:rsidR="0017618A" w:rsidRPr="008B3D24" w:rsidRDefault="0017618A" w:rsidP="0017618A">
      <w:pPr>
        <w:pStyle w:val="3-BodyText"/>
        <w:rPr>
          <w:iCs/>
        </w:rPr>
      </w:pPr>
      <w:r w:rsidRPr="008B3D24">
        <w:t>The meta-analyses of the secukinumab trials had a high level of heterogeneity. The submission considered that this was due to the differences in placebo response between the trial</w:t>
      </w:r>
      <w:r w:rsidR="003A57C4" w:rsidRPr="008B3D24">
        <w:t>s</w:t>
      </w:r>
      <w:r w:rsidRPr="008B3D24">
        <w:t xml:space="preserve">. </w:t>
      </w:r>
      <w:r w:rsidRPr="008B3D24">
        <w:rPr>
          <w:iCs/>
        </w:rPr>
        <w:t xml:space="preserve">This may suggest there was underlying clinical heterogeneity in the secukinumab meta-analyses as the placebo response for </w:t>
      </w:r>
      <w:r w:rsidR="004D2D71" w:rsidRPr="008B3D24">
        <w:rPr>
          <w:iCs/>
        </w:rPr>
        <w:t xml:space="preserve">all measures presented was considerably higher </w:t>
      </w:r>
      <w:r w:rsidRPr="008B3D24">
        <w:rPr>
          <w:iCs/>
        </w:rPr>
        <w:t xml:space="preserve">in </w:t>
      </w:r>
      <w:r w:rsidR="00A62075" w:rsidRPr="008B3D24">
        <w:rPr>
          <w:iCs/>
        </w:rPr>
        <w:t>MEASURE 4</w:t>
      </w:r>
      <w:r w:rsidRPr="008B3D24">
        <w:rPr>
          <w:iCs/>
        </w:rPr>
        <w:t xml:space="preserve"> </w:t>
      </w:r>
      <w:r w:rsidR="004D2D71" w:rsidRPr="008B3D24">
        <w:rPr>
          <w:iCs/>
        </w:rPr>
        <w:t xml:space="preserve">than in any of the other trials </w:t>
      </w:r>
      <w:r w:rsidRPr="008B3D24">
        <w:rPr>
          <w:iCs/>
        </w:rPr>
        <w:t xml:space="preserve">presented. </w:t>
      </w:r>
      <w:r w:rsidR="004D2D71" w:rsidRPr="008B3D24">
        <w:rPr>
          <w:iCs/>
        </w:rPr>
        <w:t xml:space="preserve">However, </w:t>
      </w:r>
      <w:r w:rsidRPr="008B3D24">
        <w:rPr>
          <w:iCs/>
        </w:rPr>
        <w:t>Kivitz et al</w:t>
      </w:r>
      <w:r w:rsidR="000748D4" w:rsidRPr="008B3D24">
        <w:rPr>
          <w:iCs/>
        </w:rPr>
        <w:t>.</w:t>
      </w:r>
      <w:r w:rsidRPr="008B3D24">
        <w:rPr>
          <w:iCs/>
        </w:rPr>
        <w:t xml:space="preserve"> (2018), which reported the 104-week results of </w:t>
      </w:r>
      <w:r w:rsidR="00A62075" w:rsidRPr="008B3D24">
        <w:rPr>
          <w:iCs/>
        </w:rPr>
        <w:t>MEASURE 4</w:t>
      </w:r>
      <w:r w:rsidR="004D2D71" w:rsidRPr="008B3D24">
        <w:rPr>
          <w:iCs/>
        </w:rPr>
        <w:t>,</w:t>
      </w:r>
      <w:r w:rsidRPr="008B3D24">
        <w:rPr>
          <w:iCs/>
        </w:rPr>
        <w:t xml:space="preserve"> </w:t>
      </w:r>
      <w:r w:rsidR="004D2D71" w:rsidRPr="008B3D24">
        <w:rPr>
          <w:iCs/>
        </w:rPr>
        <w:t xml:space="preserve">did not report any reason for the increased placebo response. The publication reported </w:t>
      </w:r>
      <w:r w:rsidRPr="008B3D24">
        <w:rPr>
          <w:iCs/>
        </w:rPr>
        <w:t>the treatment groups were balanced in terms of demographic and baseline disease characteristics</w:t>
      </w:r>
      <w:r w:rsidR="004D2D71" w:rsidRPr="008B3D24">
        <w:rPr>
          <w:iCs/>
        </w:rPr>
        <w:t xml:space="preserve">, </w:t>
      </w:r>
      <w:r w:rsidR="00BA1D6C" w:rsidRPr="008B3D24">
        <w:rPr>
          <w:iCs/>
        </w:rPr>
        <w:t xml:space="preserve">and </w:t>
      </w:r>
      <w:r w:rsidRPr="008B3D24">
        <w:rPr>
          <w:iCs/>
        </w:rPr>
        <w:t>considered that geographic region did not show any unexpected patterns in efficacy.</w:t>
      </w:r>
    </w:p>
    <w:p w:rsidR="0017618A" w:rsidRPr="008B3D24" w:rsidRDefault="0017618A" w:rsidP="0017618A">
      <w:pPr>
        <w:pStyle w:val="3-BodyText"/>
        <w:rPr>
          <w:iCs/>
        </w:rPr>
      </w:pPr>
      <w:r w:rsidRPr="008B3D24">
        <w:t>The main ITC compared the meta-analysis of the ixekizumab trials (COAST-V and COAST-W) with the meta-analysis of the secukinumab trials (</w:t>
      </w:r>
      <w:r w:rsidR="00A62075" w:rsidRPr="008B3D24">
        <w:t>MEASURE 2</w:t>
      </w:r>
      <w:r w:rsidRPr="008B3D24">
        <w:t xml:space="preserve"> and </w:t>
      </w:r>
      <w:r w:rsidR="00A62075" w:rsidRPr="008B3D24">
        <w:t>MEASURE 4</w:t>
      </w:r>
      <w:r w:rsidRPr="008B3D24">
        <w:t xml:space="preserve">). The main ITC found no statistically significant difference in ASAS20 and ASAS40 response or change in BASDAI score. The submission considered that non-inferiority was supported as the lower bounds of 95% </w:t>
      </w:r>
      <w:r w:rsidR="00376B43" w:rsidRPr="008B3D24">
        <w:t>confidence interval</w:t>
      </w:r>
      <w:r w:rsidRPr="008B3D24">
        <w:t xml:space="preserve"> of the relative risk estimates for ASAS20 crossed 1 and the lower bound w</w:t>
      </w:r>
      <w:r w:rsidR="00376B43" w:rsidRPr="008B3D24">
        <w:t>as</w:t>
      </w:r>
      <w:r w:rsidRPr="008B3D24">
        <w:t xml:space="preserve"> larger than 0.43. The submission did not nominate a non-inferiority margin for the change in BASDAI score. </w:t>
      </w:r>
      <w:r w:rsidRPr="008B3D24">
        <w:rPr>
          <w:iCs/>
        </w:rPr>
        <w:t>Kviatkovsky et al. (2016)</w:t>
      </w:r>
      <w:r w:rsidR="009016C2" w:rsidRPr="008B3D24">
        <w:rPr>
          <w:rStyle w:val="FootnoteReference"/>
          <w:iCs/>
        </w:rPr>
        <w:footnoteReference w:id="3"/>
      </w:r>
      <w:r w:rsidRPr="008B3D24">
        <w:rPr>
          <w:iCs/>
        </w:rPr>
        <w:t xml:space="preserve"> estimated a minimally clinically important difference of 0.7 (95% CI: 0.4, 1.0) for change in BASDAI score. The upper confidence limit of the mean difference was less than 0.7 in the main ITC, the minimally clinically important difference (MCID) estimated by Kviatkovsky et al. (2016). </w:t>
      </w:r>
    </w:p>
    <w:p w:rsidR="0017618A" w:rsidRPr="008B3D24" w:rsidRDefault="0017618A" w:rsidP="0017618A">
      <w:pPr>
        <w:pStyle w:val="3-BodyText"/>
      </w:pPr>
      <w:r w:rsidRPr="008B3D24">
        <w:t xml:space="preserve">The submission presented ITC sensitivity analyses that compared ixekizumab with each of the secukinumab trials separately. The ITC with </w:t>
      </w:r>
      <w:r w:rsidR="00A62075" w:rsidRPr="008B3D24">
        <w:t>MEASURE 2</w:t>
      </w:r>
      <w:r w:rsidRPr="008B3D24">
        <w:t xml:space="preserve"> was broadly consistent with the main ITC, </w:t>
      </w:r>
      <w:r w:rsidRPr="008B3D24">
        <w:rPr>
          <w:iCs/>
        </w:rPr>
        <w:t xml:space="preserve">however the point estimates and </w:t>
      </w:r>
      <w:r w:rsidR="00376B43" w:rsidRPr="008B3D24">
        <w:rPr>
          <w:iCs/>
        </w:rPr>
        <w:t>confidence intervals</w:t>
      </w:r>
      <w:r w:rsidRPr="008B3D24">
        <w:rPr>
          <w:iCs/>
        </w:rPr>
        <w:t xml:space="preserve"> for ASAS20/40 responses shifted towards favouring secukinumab. </w:t>
      </w:r>
      <w:r w:rsidRPr="008B3D24">
        <w:t xml:space="preserve">The lower bound of the 95% </w:t>
      </w:r>
      <w:r w:rsidR="00376B43" w:rsidRPr="008B3D24">
        <w:t xml:space="preserve">confidence interval </w:t>
      </w:r>
      <w:r w:rsidRPr="008B3D24">
        <w:t xml:space="preserve">of the relative risk estimates for ASAS20 was larger than 0.43 non-inferiority margin previously accepted by the PBAC. </w:t>
      </w:r>
      <w:r w:rsidRPr="008B3D24">
        <w:rPr>
          <w:iCs/>
        </w:rPr>
        <w:t>The upper bound of the 95% CI for change in BASDAI score of 0.77 in the comparison with MEASURE 2 was greater than the MCID of 0.7 estimated by Kviatkovsky et al. (2016).</w:t>
      </w:r>
      <w:r w:rsidRPr="008B3D24">
        <w:t xml:space="preserve"> The ITC with the </w:t>
      </w:r>
      <w:r w:rsidR="00A62075" w:rsidRPr="008B3D24">
        <w:t>MEASURE 4</w:t>
      </w:r>
      <w:r w:rsidRPr="008B3D24">
        <w:t xml:space="preserve"> trial shifted the point estimates and confidence intervals in favour of ixekizumab, with ixekizumab having a higher likelihood of ASAS40 response in terms of relative risk and a larger reduction in BASDAI score. </w:t>
      </w:r>
    </w:p>
    <w:p w:rsidR="00B60939" w:rsidRPr="008B3D24" w:rsidRDefault="00B60939" w:rsidP="00D86231">
      <w:pPr>
        <w:pStyle w:val="4-SubsectionHeading"/>
      </w:pPr>
      <w:bookmarkStart w:id="19" w:name="_Toc22897642"/>
      <w:bookmarkStart w:id="20" w:name="_Toc40706506"/>
      <w:r w:rsidRPr="008B3D24">
        <w:t>Comparative harms</w:t>
      </w:r>
      <w:bookmarkEnd w:id="19"/>
      <w:bookmarkEnd w:id="20"/>
    </w:p>
    <w:p w:rsidR="000D0DFD" w:rsidRPr="008B3D24" w:rsidRDefault="000D0DFD" w:rsidP="000D0DFD">
      <w:pPr>
        <w:pStyle w:val="3-BodyText"/>
      </w:pPr>
      <w:r w:rsidRPr="008B3D24">
        <w:t xml:space="preserve">Table </w:t>
      </w:r>
      <w:r w:rsidR="006A323C" w:rsidRPr="008B3D24">
        <w:t xml:space="preserve">10 </w:t>
      </w:r>
      <w:r w:rsidRPr="008B3D24">
        <w:t xml:space="preserve">summarises </w:t>
      </w:r>
      <w:r w:rsidR="00243A89" w:rsidRPr="008B3D24">
        <w:t xml:space="preserve">a </w:t>
      </w:r>
      <w:r w:rsidR="00243A89" w:rsidRPr="008B3D24">
        <w:rPr>
          <w:iCs/>
        </w:rPr>
        <w:t>post-hoc</w:t>
      </w:r>
      <w:r w:rsidR="00243A89" w:rsidRPr="008B3D24">
        <w:t xml:space="preserve"> comparison of </w:t>
      </w:r>
      <w:r w:rsidRPr="008B3D24">
        <w:t>the key AEs for ixekizumab v</w:t>
      </w:r>
      <w:r w:rsidR="005D5657" w:rsidRPr="008B3D24">
        <w:t>ersus</w:t>
      </w:r>
      <w:r w:rsidRPr="008B3D24">
        <w:t xml:space="preserve"> </w:t>
      </w:r>
      <w:r w:rsidR="00243A89" w:rsidRPr="008B3D24">
        <w:t xml:space="preserve">adalimumab (the active reference arm) </w:t>
      </w:r>
      <w:r w:rsidRPr="008B3D24">
        <w:t xml:space="preserve">for the safety population of the COAST-V trial at the end of week 16. </w:t>
      </w:r>
    </w:p>
    <w:p w:rsidR="000D0DFD" w:rsidRPr="008B3D24" w:rsidRDefault="000D0DFD" w:rsidP="000D0DFD">
      <w:pPr>
        <w:keepNext/>
        <w:rPr>
          <w:rFonts w:ascii="Arial Narrow" w:eastAsiaTheme="majorEastAsia" w:hAnsi="Arial Narrow" w:cstheme="majorBidi"/>
          <w:b/>
          <w:bCs/>
          <w:sz w:val="20"/>
        </w:rPr>
      </w:pPr>
      <w:r w:rsidRPr="008B3D24">
        <w:rPr>
          <w:rFonts w:ascii="Arial Narrow" w:eastAsiaTheme="majorEastAsia" w:hAnsi="Arial Narrow" w:cstheme="majorBidi"/>
          <w:b/>
          <w:bCs/>
          <w:sz w:val="20"/>
        </w:rPr>
        <w:t xml:space="preserve">Table </w:t>
      </w:r>
      <w:r w:rsidR="006A323C" w:rsidRPr="008B3D24">
        <w:rPr>
          <w:rFonts w:ascii="Arial Narrow" w:eastAsiaTheme="majorEastAsia" w:hAnsi="Arial Narrow" w:cstheme="majorBidi"/>
          <w:b/>
          <w:bCs/>
          <w:sz w:val="20"/>
        </w:rPr>
        <w:t>10</w:t>
      </w:r>
      <w:r w:rsidRPr="008B3D24">
        <w:rPr>
          <w:rFonts w:ascii="Arial Narrow" w:eastAsiaTheme="majorEastAsia" w:hAnsi="Arial Narrow" w:cstheme="majorBidi"/>
          <w:b/>
          <w:bCs/>
          <w:sz w:val="20"/>
        </w:rPr>
        <w:t>: Summary of key adverse events in the ixekizumab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84"/>
        <w:gridCol w:w="1701"/>
        <w:gridCol w:w="2644"/>
      </w:tblGrid>
      <w:tr w:rsidR="000D0DFD" w:rsidRPr="008B3D24" w:rsidTr="009427B6">
        <w:trPr>
          <w:cantSplit/>
          <w:tblHeader/>
        </w:trPr>
        <w:tc>
          <w:tcPr>
            <w:tcW w:w="1491" w:type="pct"/>
            <w:vAlign w:val="center"/>
          </w:tcPr>
          <w:p w:rsidR="000D0DFD" w:rsidRPr="008B3D24" w:rsidRDefault="000D0DFD" w:rsidP="009452DA">
            <w:pPr>
              <w:pStyle w:val="TableText0"/>
              <w:rPr>
                <w:b/>
                <w:bCs w:val="0"/>
              </w:rPr>
            </w:pPr>
          </w:p>
        </w:tc>
        <w:tc>
          <w:tcPr>
            <w:tcW w:w="1100" w:type="pct"/>
            <w:vAlign w:val="center"/>
          </w:tcPr>
          <w:p w:rsidR="000D0DFD" w:rsidRPr="008B3D24" w:rsidRDefault="000D0DFD" w:rsidP="009452DA">
            <w:pPr>
              <w:pStyle w:val="TableText0"/>
              <w:jc w:val="center"/>
              <w:rPr>
                <w:b/>
                <w:bCs w:val="0"/>
              </w:rPr>
            </w:pPr>
            <w:r w:rsidRPr="008B3D24">
              <w:rPr>
                <w:b/>
                <w:bCs w:val="0"/>
              </w:rPr>
              <w:t>IXEQ4W</w:t>
            </w:r>
          </w:p>
          <w:p w:rsidR="000D0DFD" w:rsidRPr="008B3D24" w:rsidRDefault="000D0DFD" w:rsidP="009452DA">
            <w:pPr>
              <w:pStyle w:val="TableText0"/>
              <w:jc w:val="center"/>
              <w:rPr>
                <w:b/>
                <w:bCs w:val="0"/>
              </w:rPr>
            </w:pPr>
            <w:r w:rsidRPr="008B3D24">
              <w:rPr>
                <w:b/>
                <w:bCs w:val="0"/>
              </w:rPr>
              <w:t>n/N (%)</w:t>
            </w:r>
          </w:p>
        </w:tc>
        <w:tc>
          <w:tcPr>
            <w:tcW w:w="943" w:type="pct"/>
            <w:vAlign w:val="center"/>
          </w:tcPr>
          <w:p w:rsidR="000D0DFD" w:rsidRPr="008B3D24" w:rsidRDefault="000D0DFD" w:rsidP="009452DA">
            <w:pPr>
              <w:pStyle w:val="TableText0"/>
              <w:jc w:val="center"/>
              <w:rPr>
                <w:b/>
                <w:bCs w:val="0"/>
              </w:rPr>
            </w:pPr>
            <w:r w:rsidRPr="008B3D24">
              <w:rPr>
                <w:b/>
                <w:bCs w:val="0"/>
              </w:rPr>
              <w:t>ADA</w:t>
            </w:r>
          </w:p>
          <w:p w:rsidR="000D0DFD" w:rsidRPr="008B3D24" w:rsidRDefault="000D0DFD" w:rsidP="009452DA">
            <w:pPr>
              <w:pStyle w:val="TableText0"/>
              <w:jc w:val="center"/>
              <w:rPr>
                <w:b/>
                <w:bCs w:val="0"/>
              </w:rPr>
            </w:pPr>
            <w:r w:rsidRPr="008B3D24">
              <w:rPr>
                <w:b/>
                <w:bCs w:val="0"/>
              </w:rPr>
              <w:t>n/N (%)</w:t>
            </w:r>
          </w:p>
        </w:tc>
        <w:tc>
          <w:tcPr>
            <w:tcW w:w="1466" w:type="pct"/>
            <w:vAlign w:val="center"/>
          </w:tcPr>
          <w:p w:rsidR="000D0DFD" w:rsidRPr="008B3D24" w:rsidRDefault="000D0DFD" w:rsidP="009452DA">
            <w:pPr>
              <w:pStyle w:val="TableText0"/>
              <w:jc w:val="center"/>
              <w:rPr>
                <w:b/>
                <w:bCs w:val="0"/>
                <w:iCs/>
              </w:rPr>
            </w:pPr>
            <w:r w:rsidRPr="008B3D24">
              <w:rPr>
                <w:b/>
                <w:bCs w:val="0"/>
                <w:iCs/>
              </w:rPr>
              <w:t>RR (95% CI)</w:t>
            </w:r>
          </w:p>
        </w:tc>
      </w:tr>
      <w:tr w:rsidR="000D0DFD" w:rsidRPr="008B3D24" w:rsidTr="009427B6">
        <w:trPr>
          <w:cantSplit/>
        </w:trPr>
        <w:tc>
          <w:tcPr>
            <w:tcW w:w="1491" w:type="pct"/>
            <w:vAlign w:val="center"/>
          </w:tcPr>
          <w:p w:rsidR="000D0DFD" w:rsidRPr="008B3D24" w:rsidRDefault="000D0DFD" w:rsidP="009452DA">
            <w:pPr>
              <w:pStyle w:val="TableText0"/>
            </w:pPr>
            <w:r w:rsidRPr="008B3D24">
              <w:t>Any TEAE</w:t>
            </w:r>
            <w:r w:rsidRPr="008B3D24">
              <w:rPr>
                <w:vertAlign w:val="superscript"/>
              </w:rPr>
              <w:t>a</w:t>
            </w:r>
          </w:p>
        </w:tc>
        <w:tc>
          <w:tcPr>
            <w:tcW w:w="1100" w:type="pct"/>
            <w:vAlign w:val="center"/>
          </w:tcPr>
          <w:p w:rsidR="000D0DFD" w:rsidRPr="008B3D24" w:rsidRDefault="000D0DFD" w:rsidP="009452DA">
            <w:pPr>
              <w:pStyle w:val="TableText0"/>
              <w:jc w:val="center"/>
            </w:pPr>
            <w:r w:rsidRPr="008B3D24">
              <w:t>34/81 (42.0)</w:t>
            </w:r>
          </w:p>
        </w:tc>
        <w:tc>
          <w:tcPr>
            <w:tcW w:w="943" w:type="pct"/>
            <w:vAlign w:val="center"/>
          </w:tcPr>
          <w:p w:rsidR="000D0DFD" w:rsidRPr="008B3D24" w:rsidRDefault="000D0DFD" w:rsidP="009452DA">
            <w:pPr>
              <w:pStyle w:val="TableText0"/>
              <w:jc w:val="center"/>
            </w:pPr>
            <w:r w:rsidRPr="008B3D24">
              <w:t>44/90 (48.9)</w:t>
            </w:r>
          </w:p>
        </w:tc>
        <w:tc>
          <w:tcPr>
            <w:tcW w:w="1466" w:type="pct"/>
            <w:vAlign w:val="center"/>
          </w:tcPr>
          <w:p w:rsidR="000D0DFD" w:rsidRPr="008B3D24" w:rsidRDefault="000D0DFD" w:rsidP="009452DA">
            <w:pPr>
              <w:pStyle w:val="TableText0"/>
              <w:jc w:val="center"/>
              <w:rPr>
                <w:iCs/>
              </w:rPr>
            </w:pPr>
            <w:r w:rsidRPr="008B3D24">
              <w:rPr>
                <w:iCs/>
              </w:rPr>
              <w:t>0.86 (0.62, 1.2)</w:t>
            </w:r>
          </w:p>
        </w:tc>
      </w:tr>
      <w:tr w:rsidR="000D0DFD" w:rsidRPr="008B3D24" w:rsidTr="009427B6">
        <w:trPr>
          <w:cantSplit/>
        </w:trPr>
        <w:tc>
          <w:tcPr>
            <w:tcW w:w="1491" w:type="pct"/>
            <w:vAlign w:val="center"/>
          </w:tcPr>
          <w:p w:rsidR="000D0DFD" w:rsidRPr="008B3D24" w:rsidRDefault="000D0DFD" w:rsidP="009452DA">
            <w:pPr>
              <w:pStyle w:val="TableText0"/>
            </w:pPr>
            <w:r w:rsidRPr="008B3D24">
              <w:t>Severe AEs</w:t>
            </w:r>
          </w:p>
        </w:tc>
        <w:tc>
          <w:tcPr>
            <w:tcW w:w="1100" w:type="pct"/>
            <w:vAlign w:val="center"/>
          </w:tcPr>
          <w:p w:rsidR="000D0DFD" w:rsidRPr="008B3D24" w:rsidRDefault="000D0DFD" w:rsidP="009452DA">
            <w:pPr>
              <w:pStyle w:val="TableText0"/>
              <w:jc w:val="center"/>
            </w:pPr>
            <w:r w:rsidRPr="008B3D24">
              <w:t>0/81</w:t>
            </w:r>
          </w:p>
        </w:tc>
        <w:tc>
          <w:tcPr>
            <w:tcW w:w="943" w:type="pct"/>
            <w:vAlign w:val="center"/>
          </w:tcPr>
          <w:p w:rsidR="000D0DFD" w:rsidRPr="008B3D24" w:rsidRDefault="000D0DFD" w:rsidP="009452DA">
            <w:pPr>
              <w:pStyle w:val="TableText0"/>
              <w:jc w:val="center"/>
            </w:pPr>
            <w:r w:rsidRPr="008B3D24">
              <w:t>2/90 (2.2)</w:t>
            </w:r>
          </w:p>
        </w:tc>
        <w:tc>
          <w:tcPr>
            <w:tcW w:w="1466" w:type="pct"/>
            <w:vAlign w:val="center"/>
          </w:tcPr>
          <w:p w:rsidR="000D0DFD" w:rsidRPr="008B3D24" w:rsidRDefault="000D0DFD" w:rsidP="009452DA">
            <w:pPr>
              <w:pStyle w:val="TableText0"/>
              <w:jc w:val="center"/>
              <w:rPr>
                <w:iCs/>
              </w:rPr>
            </w:pPr>
            <w:r w:rsidRPr="008B3D24">
              <w:rPr>
                <w:iCs/>
              </w:rPr>
              <w:t>NA</w:t>
            </w:r>
          </w:p>
        </w:tc>
      </w:tr>
      <w:tr w:rsidR="000D0DFD" w:rsidRPr="008B3D24" w:rsidTr="009427B6">
        <w:trPr>
          <w:cantSplit/>
        </w:trPr>
        <w:tc>
          <w:tcPr>
            <w:tcW w:w="1491" w:type="pct"/>
            <w:vAlign w:val="center"/>
          </w:tcPr>
          <w:p w:rsidR="000D0DFD" w:rsidRPr="008B3D24" w:rsidRDefault="000D0DFD" w:rsidP="009452DA">
            <w:pPr>
              <w:pStyle w:val="TableText0"/>
            </w:pPr>
            <w:r w:rsidRPr="008B3D24">
              <w:t>Drug-related AEs</w:t>
            </w:r>
          </w:p>
        </w:tc>
        <w:tc>
          <w:tcPr>
            <w:tcW w:w="1100" w:type="pct"/>
            <w:vAlign w:val="center"/>
          </w:tcPr>
          <w:p w:rsidR="000D0DFD" w:rsidRPr="008B3D24" w:rsidRDefault="000D0DFD" w:rsidP="009452DA">
            <w:pPr>
              <w:pStyle w:val="TableText0"/>
              <w:jc w:val="center"/>
            </w:pPr>
            <w:r w:rsidRPr="008B3D24">
              <w:t>10/81 (12.3)</w:t>
            </w:r>
          </w:p>
        </w:tc>
        <w:tc>
          <w:tcPr>
            <w:tcW w:w="943" w:type="pct"/>
            <w:vAlign w:val="center"/>
          </w:tcPr>
          <w:p w:rsidR="000D0DFD" w:rsidRPr="008B3D24" w:rsidRDefault="000D0DFD" w:rsidP="009452DA">
            <w:pPr>
              <w:pStyle w:val="TableText0"/>
              <w:jc w:val="center"/>
            </w:pPr>
            <w:r w:rsidRPr="008B3D24">
              <w:t>11/90 (12.2)</w:t>
            </w:r>
          </w:p>
        </w:tc>
        <w:tc>
          <w:tcPr>
            <w:tcW w:w="1466" w:type="pct"/>
            <w:vAlign w:val="center"/>
          </w:tcPr>
          <w:p w:rsidR="000D0DFD" w:rsidRPr="008B3D24" w:rsidRDefault="000D0DFD" w:rsidP="008518D4">
            <w:pPr>
              <w:pStyle w:val="TableText0"/>
              <w:jc w:val="center"/>
              <w:rPr>
                <w:iCs/>
              </w:rPr>
            </w:pPr>
            <w:r w:rsidRPr="008B3D24">
              <w:rPr>
                <w:iCs/>
              </w:rPr>
              <w:t>1.01 (0.45, 2.25)</w:t>
            </w:r>
          </w:p>
        </w:tc>
      </w:tr>
      <w:tr w:rsidR="000D0DFD" w:rsidRPr="008B3D24" w:rsidTr="009427B6">
        <w:trPr>
          <w:cantSplit/>
        </w:trPr>
        <w:tc>
          <w:tcPr>
            <w:tcW w:w="1491" w:type="pct"/>
            <w:vAlign w:val="center"/>
          </w:tcPr>
          <w:p w:rsidR="000D0DFD" w:rsidRPr="008B3D24" w:rsidRDefault="000D0DFD" w:rsidP="009452DA">
            <w:pPr>
              <w:pStyle w:val="TableText0"/>
            </w:pPr>
            <w:r w:rsidRPr="008B3D24">
              <w:t>Serious AEs</w:t>
            </w:r>
          </w:p>
        </w:tc>
        <w:tc>
          <w:tcPr>
            <w:tcW w:w="1100" w:type="pct"/>
            <w:vAlign w:val="center"/>
          </w:tcPr>
          <w:p w:rsidR="000D0DFD" w:rsidRPr="008B3D24" w:rsidRDefault="000D0DFD" w:rsidP="009452DA">
            <w:pPr>
              <w:pStyle w:val="TableText0"/>
              <w:jc w:val="center"/>
            </w:pPr>
            <w:r w:rsidRPr="008B3D24">
              <w:t>1/81 (1.2)</w:t>
            </w:r>
          </w:p>
        </w:tc>
        <w:tc>
          <w:tcPr>
            <w:tcW w:w="943" w:type="pct"/>
            <w:vAlign w:val="center"/>
          </w:tcPr>
          <w:p w:rsidR="000D0DFD" w:rsidRPr="008B3D24" w:rsidRDefault="000D0DFD" w:rsidP="009452DA">
            <w:pPr>
              <w:pStyle w:val="TableText0"/>
              <w:jc w:val="center"/>
            </w:pPr>
            <w:r w:rsidRPr="008B3D24">
              <w:t>3/90 (3.3)</w:t>
            </w:r>
          </w:p>
        </w:tc>
        <w:tc>
          <w:tcPr>
            <w:tcW w:w="1466" w:type="pct"/>
            <w:vAlign w:val="center"/>
          </w:tcPr>
          <w:p w:rsidR="000D0DFD" w:rsidRPr="008B3D24" w:rsidRDefault="000D0DFD" w:rsidP="008518D4">
            <w:pPr>
              <w:pStyle w:val="TableText0"/>
              <w:jc w:val="center"/>
              <w:rPr>
                <w:iCs/>
              </w:rPr>
            </w:pPr>
            <w:r w:rsidRPr="008B3D24">
              <w:rPr>
                <w:iCs/>
              </w:rPr>
              <w:t>0.37 (0.04, 3.49)</w:t>
            </w:r>
          </w:p>
        </w:tc>
      </w:tr>
      <w:tr w:rsidR="000D0DFD" w:rsidRPr="008B3D24" w:rsidTr="009427B6">
        <w:trPr>
          <w:cantSplit/>
        </w:trPr>
        <w:tc>
          <w:tcPr>
            <w:tcW w:w="1491" w:type="pct"/>
            <w:vAlign w:val="center"/>
          </w:tcPr>
          <w:p w:rsidR="000D0DFD" w:rsidRPr="008B3D24" w:rsidRDefault="000D0DFD" w:rsidP="009452DA">
            <w:pPr>
              <w:pStyle w:val="TableText0"/>
            </w:pPr>
            <w:r w:rsidRPr="008B3D24">
              <w:t>Withdrawal due to AEs</w:t>
            </w:r>
          </w:p>
        </w:tc>
        <w:tc>
          <w:tcPr>
            <w:tcW w:w="1100" w:type="pct"/>
            <w:vAlign w:val="center"/>
          </w:tcPr>
          <w:p w:rsidR="000D0DFD" w:rsidRPr="008B3D24" w:rsidRDefault="000D0DFD" w:rsidP="009452DA">
            <w:pPr>
              <w:pStyle w:val="TableText0"/>
              <w:jc w:val="center"/>
            </w:pPr>
            <w:r w:rsidRPr="008B3D24">
              <w:t>0/81 (0)</w:t>
            </w:r>
          </w:p>
        </w:tc>
        <w:tc>
          <w:tcPr>
            <w:tcW w:w="943" w:type="pct"/>
            <w:vAlign w:val="center"/>
          </w:tcPr>
          <w:p w:rsidR="000D0DFD" w:rsidRPr="008B3D24" w:rsidRDefault="000D0DFD" w:rsidP="009452DA">
            <w:pPr>
              <w:pStyle w:val="TableText0"/>
              <w:jc w:val="center"/>
            </w:pPr>
            <w:r w:rsidRPr="008B3D24">
              <w:t>1/90 (1.1)</w:t>
            </w:r>
          </w:p>
        </w:tc>
        <w:tc>
          <w:tcPr>
            <w:tcW w:w="1466" w:type="pct"/>
            <w:vAlign w:val="center"/>
          </w:tcPr>
          <w:p w:rsidR="000D0DFD" w:rsidRPr="008B3D24" w:rsidRDefault="000D0DFD" w:rsidP="009452DA">
            <w:pPr>
              <w:pStyle w:val="TableText0"/>
              <w:jc w:val="center"/>
              <w:rPr>
                <w:iCs/>
              </w:rPr>
            </w:pPr>
            <w:r w:rsidRPr="008B3D24">
              <w:rPr>
                <w:iCs/>
              </w:rPr>
              <w:t>NA</w:t>
            </w:r>
          </w:p>
        </w:tc>
      </w:tr>
      <w:tr w:rsidR="000D0DFD" w:rsidRPr="008B3D24" w:rsidTr="009427B6">
        <w:trPr>
          <w:cantSplit/>
        </w:trPr>
        <w:tc>
          <w:tcPr>
            <w:tcW w:w="1491" w:type="pct"/>
            <w:vAlign w:val="center"/>
          </w:tcPr>
          <w:p w:rsidR="000D0DFD" w:rsidRPr="008B3D24" w:rsidRDefault="000D0DFD" w:rsidP="009452DA">
            <w:pPr>
              <w:pStyle w:val="TableText0"/>
            </w:pPr>
            <w:r w:rsidRPr="008B3D24">
              <w:t>Hepatic</w:t>
            </w:r>
          </w:p>
        </w:tc>
        <w:tc>
          <w:tcPr>
            <w:tcW w:w="1100" w:type="pct"/>
            <w:vAlign w:val="center"/>
          </w:tcPr>
          <w:p w:rsidR="000D0DFD" w:rsidRPr="008B3D24" w:rsidRDefault="000D0DFD" w:rsidP="009452DA">
            <w:pPr>
              <w:pStyle w:val="TableText0"/>
              <w:jc w:val="center"/>
            </w:pPr>
            <w:r w:rsidRPr="008B3D24">
              <w:t>1/81 (1.2)</w:t>
            </w:r>
          </w:p>
        </w:tc>
        <w:tc>
          <w:tcPr>
            <w:tcW w:w="943" w:type="pct"/>
            <w:vAlign w:val="center"/>
          </w:tcPr>
          <w:p w:rsidR="000D0DFD" w:rsidRPr="008B3D24" w:rsidRDefault="000D0DFD" w:rsidP="009452DA">
            <w:pPr>
              <w:pStyle w:val="TableText0"/>
              <w:jc w:val="center"/>
            </w:pPr>
            <w:r w:rsidRPr="008B3D24">
              <w:t>2/90 (2.2)</w:t>
            </w:r>
          </w:p>
        </w:tc>
        <w:tc>
          <w:tcPr>
            <w:tcW w:w="1466" w:type="pct"/>
            <w:vAlign w:val="center"/>
          </w:tcPr>
          <w:p w:rsidR="000D0DFD" w:rsidRPr="008B3D24" w:rsidRDefault="000D0DFD" w:rsidP="009452DA">
            <w:pPr>
              <w:pStyle w:val="TableText0"/>
              <w:jc w:val="center"/>
              <w:rPr>
                <w:iCs/>
              </w:rPr>
            </w:pPr>
            <w:r w:rsidRPr="008B3D24">
              <w:rPr>
                <w:iCs/>
              </w:rPr>
              <w:t>0.56 (0.05, 6.01)</w:t>
            </w:r>
          </w:p>
        </w:tc>
      </w:tr>
      <w:tr w:rsidR="000D0DFD" w:rsidRPr="008B3D24" w:rsidTr="009427B6">
        <w:trPr>
          <w:cantSplit/>
        </w:trPr>
        <w:tc>
          <w:tcPr>
            <w:tcW w:w="1491" w:type="pct"/>
            <w:vAlign w:val="center"/>
          </w:tcPr>
          <w:p w:rsidR="000D0DFD" w:rsidRPr="008B3D24" w:rsidRDefault="000D0DFD" w:rsidP="009452DA">
            <w:pPr>
              <w:pStyle w:val="TableText0"/>
            </w:pPr>
            <w:r w:rsidRPr="008B3D24">
              <w:t>Infections</w:t>
            </w:r>
          </w:p>
        </w:tc>
        <w:tc>
          <w:tcPr>
            <w:tcW w:w="1100" w:type="pct"/>
            <w:vAlign w:val="center"/>
          </w:tcPr>
          <w:p w:rsidR="000D0DFD" w:rsidRPr="008B3D24" w:rsidRDefault="000D0DFD" w:rsidP="009452DA">
            <w:pPr>
              <w:pStyle w:val="TableText0"/>
              <w:jc w:val="center"/>
            </w:pPr>
            <w:r w:rsidRPr="008B3D24">
              <w:t>16/81 (19.8)</w:t>
            </w:r>
          </w:p>
        </w:tc>
        <w:tc>
          <w:tcPr>
            <w:tcW w:w="943" w:type="pct"/>
            <w:vAlign w:val="center"/>
          </w:tcPr>
          <w:p w:rsidR="000D0DFD" w:rsidRPr="008B3D24" w:rsidRDefault="000D0DFD" w:rsidP="009452DA">
            <w:pPr>
              <w:pStyle w:val="TableText0"/>
              <w:jc w:val="center"/>
            </w:pPr>
            <w:r w:rsidRPr="008B3D24">
              <w:t>19/90 (21.1)</w:t>
            </w:r>
          </w:p>
        </w:tc>
        <w:tc>
          <w:tcPr>
            <w:tcW w:w="1466" w:type="pct"/>
            <w:vAlign w:val="center"/>
          </w:tcPr>
          <w:p w:rsidR="000D0DFD" w:rsidRPr="008B3D24" w:rsidRDefault="000D0DFD" w:rsidP="009452DA">
            <w:pPr>
              <w:pStyle w:val="TableText0"/>
              <w:jc w:val="center"/>
              <w:rPr>
                <w:iCs/>
              </w:rPr>
            </w:pPr>
            <w:r w:rsidRPr="008B3D24">
              <w:rPr>
                <w:iCs/>
              </w:rPr>
              <w:t>0.94 (0.52, 1.69)</w:t>
            </w:r>
          </w:p>
        </w:tc>
      </w:tr>
      <w:tr w:rsidR="000D0DFD" w:rsidRPr="008B3D24" w:rsidTr="009427B6">
        <w:trPr>
          <w:cantSplit/>
        </w:trPr>
        <w:tc>
          <w:tcPr>
            <w:tcW w:w="1491" w:type="pct"/>
            <w:vAlign w:val="center"/>
          </w:tcPr>
          <w:p w:rsidR="000D0DFD" w:rsidRPr="008B3D24" w:rsidRDefault="000D0DFD" w:rsidP="009452DA">
            <w:pPr>
              <w:pStyle w:val="TableText0"/>
            </w:pPr>
            <w:r w:rsidRPr="008B3D24">
              <w:t>Injection site reactions</w:t>
            </w:r>
          </w:p>
        </w:tc>
        <w:tc>
          <w:tcPr>
            <w:tcW w:w="1100" w:type="pct"/>
            <w:vAlign w:val="center"/>
          </w:tcPr>
          <w:p w:rsidR="000D0DFD" w:rsidRPr="008B3D24" w:rsidRDefault="000D0DFD" w:rsidP="009452DA">
            <w:pPr>
              <w:pStyle w:val="TableText0"/>
              <w:jc w:val="center"/>
            </w:pPr>
            <w:r w:rsidRPr="008B3D24">
              <w:t>3/81 (3.7)</w:t>
            </w:r>
          </w:p>
        </w:tc>
        <w:tc>
          <w:tcPr>
            <w:tcW w:w="943" w:type="pct"/>
            <w:vAlign w:val="center"/>
          </w:tcPr>
          <w:p w:rsidR="000D0DFD" w:rsidRPr="008B3D24" w:rsidRDefault="000D0DFD" w:rsidP="009452DA">
            <w:pPr>
              <w:pStyle w:val="TableText0"/>
              <w:jc w:val="center"/>
            </w:pPr>
            <w:r w:rsidRPr="008B3D24">
              <w:t>7/90 (7.8)</w:t>
            </w:r>
          </w:p>
        </w:tc>
        <w:tc>
          <w:tcPr>
            <w:tcW w:w="1466" w:type="pct"/>
            <w:vAlign w:val="center"/>
          </w:tcPr>
          <w:p w:rsidR="000D0DFD" w:rsidRPr="008B3D24" w:rsidRDefault="000D0DFD" w:rsidP="009452DA">
            <w:pPr>
              <w:pStyle w:val="TableText0"/>
              <w:jc w:val="center"/>
              <w:rPr>
                <w:iCs/>
              </w:rPr>
            </w:pPr>
            <w:r w:rsidRPr="008B3D24">
              <w:rPr>
                <w:iCs/>
              </w:rPr>
              <w:t>0.48 (0.13, 1.78)</w:t>
            </w:r>
          </w:p>
        </w:tc>
      </w:tr>
      <w:tr w:rsidR="000D0DFD" w:rsidRPr="008B3D24" w:rsidTr="009427B6">
        <w:trPr>
          <w:cantSplit/>
        </w:trPr>
        <w:tc>
          <w:tcPr>
            <w:tcW w:w="1491" w:type="pct"/>
            <w:vAlign w:val="center"/>
          </w:tcPr>
          <w:p w:rsidR="000D0DFD" w:rsidRPr="008B3D24" w:rsidRDefault="000D0DFD" w:rsidP="009452DA">
            <w:pPr>
              <w:pStyle w:val="TableText0"/>
            </w:pPr>
            <w:r w:rsidRPr="008B3D24">
              <w:t>Inflammatory bowel disease</w:t>
            </w:r>
          </w:p>
        </w:tc>
        <w:tc>
          <w:tcPr>
            <w:tcW w:w="1100" w:type="pct"/>
            <w:vAlign w:val="center"/>
          </w:tcPr>
          <w:p w:rsidR="000D0DFD" w:rsidRPr="008B3D24" w:rsidRDefault="000D0DFD" w:rsidP="009452DA">
            <w:pPr>
              <w:pStyle w:val="TableText0"/>
              <w:jc w:val="center"/>
            </w:pPr>
            <w:r w:rsidRPr="008B3D24">
              <w:t>0/81</w:t>
            </w:r>
          </w:p>
        </w:tc>
        <w:tc>
          <w:tcPr>
            <w:tcW w:w="943" w:type="pct"/>
            <w:vAlign w:val="center"/>
          </w:tcPr>
          <w:p w:rsidR="000D0DFD" w:rsidRPr="008B3D24" w:rsidRDefault="000D0DFD" w:rsidP="009452DA">
            <w:pPr>
              <w:pStyle w:val="TableText0"/>
              <w:jc w:val="center"/>
            </w:pPr>
            <w:r w:rsidRPr="008B3D24">
              <w:t>0/90</w:t>
            </w:r>
          </w:p>
        </w:tc>
        <w:tc>
          <w:tcPr>
            <w:tcW w:w="1466" w:type="pct"/>
            <w:vAlign w:val="center"/>
          </w:tcPr>
          <w:p w:rsidR="000D0DFD" w:rsidRPr="008B3D24" w:rsidRDefault="000D0DFD" w:rsidP="009452DA">
            <w:pPr>
              <w:pStyle w:val="TableText0"/>
              <w:jc w:val="center"/>
              <w:rPr>
                <w:iCs/>
              </w:rPr>
            </w:pPr>
            <w:r w:rsidRPr="008B3D24">
              <w:rPr>
                <w:iCs/>
              </w:rPr>
              <w:t>NA</w:t>
            </w:r>
          </w:p>
        </w:tc>
      </w:tr>
    </w:tbl>
    <w:p w:rsidR="000D0DFD" w:rsidRPr="008B3D24" w:rsidRDefault="000D0DFD" w:rsidP="000D0DFD">
      <w:pPr>
        <w:pStyle w:val="TableFigureFooter"/>
      </w:pPr>
      <w:r w:rsidRPr="008B3D24">
        <w:t xml:space="preserve">Source: Table 2.6-5, p94 and Table 2(i).5-9, p153 of the submission; AEs </w:t>
      </w:r>
      <w:r w:rsidRPr="008B3D24">
        <w:rPr>
          <w:i/>
          <w:iCs/>
        </w:rPr>
        <w:t>post-hoc</w:t>
      </w:r>
      <w:r w:rsidRPr="008B3D24">
        <w:t xml:space="preserve"> analyses, p</w:t>
      </w:r>
      <w:r w:rsidR="000748D4" w:rsidRPr="008B3D24">
        <w:t>p</w:t>
      </w:r>
      <w:r w:rsidRPr="008B3D24">
        <w:t>1-5 (</w:t>
      </w:r>
      <w:r w:rsidR="000748D4" w:rsidRPr="008B3D24">
        <w:t>a</w:t>
      </w:r>
      <w:r w:rsidRPr="008B3D24">
        <w:t xml:space="preserve">ttachment 2.20- A2.20_ad48_t_aesm_safety_db); </w:t>
      </w:r>
      <w:r w:rsidRPr="008B3D24">
        <w:rPr>
          <w:iCs/>
        </w:rPr>
        <w:t>Calculated during evaluation</w:t>
      </w:r>
    </w:p>
    <w:p w:rsidR="000D0DFD" w:rsidRPr="008B3D24" w:rsidRDefault="000D0DFD" w:rsidP="000D0DFD">
      <w:pPr>
        <w:pStyle w:val="TableFigureFooter"/>
      </w:pPr>
      <w:r w:rsidRPr="008B3D24">
        <w:t xml:space="preserve">ADA = adalimumab 40 mg every 2 weeks; AE = adverse event; CI = confidence interval; IXEQ4W = ixekizumab 80 mg every 4 weeks; NA = not applicable; </w:t>
      </w:r>
      <w:r w:rsidR="00A9458B" w:rsidRPr="008B3D24">
        <w:t xml:space="preserve">RR = relative risk; </w:t>
      </w:r>
      <w:r w:rsidRPr="008B3D24">
        <w:t>SAE = serious adverse event; TEAE = treatment emergent adverse event</w:t>
      </w:r>
    </w:p>
    <w:p w:rsidR="000D0DFD" w:rsidRPr="008B3D24" w:rsidRDefault="000D0DFD" w:rsidP="000D0DFD">
      <w:pPr>
        <w:pStyle w:val="TableFigureFooter"/>
      </w:pPr>
      <w:r w:rsidRPr="008B3D24">
        <w:rPr>
          <w:vertAlign w:val="superscript"/>
        </w:rPr>
        <w:t>a</w:t>
      </w:r>
      <w:r w:rsidRPr="008B3D24">
        <w:t xml:space="preserve"> Patients with multiple occurrences of the same event are counted under the highest severity </w:t>
      </w:r>
    </w:p>
    <w:p w:rsidR="000D0DFD" w:rsidRPr="008B3D24" w:rsidRDefault="000D0DFD" w:rsidP="000D0DFD">
      <w:pPr>
        <w:pStyle w:val="3-BodyText"/>
        <w:rPr>
          <w:iCs/>
        </w:rPr>
      </w:pPr>
      <w:r w:rsidRPr="008B3D24">
        <w:rPr>
          <w:color w:val="000000" w:themeColor="text1"/>
        </w:rPr>
        <w:t xml:space="preserve">In the COAST-V trial, there were no significant differences between ixekizumab and adalimumab for the safety outcomes. </w:t>
      </w:r>
      <w:r w:rsidRPr="008B3D24">
        <w:t xml:space="preserve">There were no statistically significant differences between </w:t>
      </w:r>
      <w:r w:rsidR="00376B43" w:rsidRPr="008B3D24">
        <w:t>ixekizumab</w:t>
      </w:r>
      <w:r w:rsidRPr="008B3D24">
        <w:t xml:space="preserve"> and placebo in the occurrence of TEAEs, drug related TEAEs, SAEs, treatment discontinuation due to AEs or TEAEs of special interest. The submission noted that the COAST-W trial has more patients experiencing SAEs and discontinuing treatment across the treatment arms than the COAST-V trial. </w:t>
      </w:r>
      <w:r w:rsidRPr="008B3D24">
        <w:rPr>
          <w:iCs/>
        </w:rPr>
        <w:t>In the COAST-W trial the</w:t>
      </w:r>
      <w:r w:rsidR="00794242" w:rsidRPr="008B3D24">
        <w:rPr>
          <w:iCs/>
        </w:rPr>
        <w:t xml:space="preserve"> ixekizumab</w:t>
      </w:r>
      <w:r w:rsidRPr="008B3D24">
        <w:rPr>
          <w:iCs/>
        </w:rPr>
        <w:t xml:space="preserve"> arm had more treatment-emergent AEs, more discontinuations due to AEs, but fewer drug-related AEs compared with placebo. </w:t>
      </w:r>
      <w:r w:rsidR="00376B43" w:rsidRPr="008B3D24">
        <w:rPr>
          <w:iCs/>
        </w:rPr>
        <w:t>The</w:t>
      </w:r>
      <w:r w:rsidR="00794242" w:rsidRPr="008B3D24">
        <w:rPr>
          <w:iCs/>
        </w:rPr>
        <w:t xml:space="preserve"> ixekizumab</w:t>
      </w:r>
      <w:r w:rsidR="006941BC" w:rsidRPr="008B3D24">
        <w:rPr>
          <w:iCs/>
        </w:rPr>
        <w:t xml:space="preserve"> </w:t>
      </w:r>
      <w:r w:rsidRPr="008B3D24">
        <w:rPr>
          <w:iCs/>
        </w:rPr>
        <w:t>arm also had more infections than placebo. This may be due to differences in baseline patient demographics between the two COAST trials in terms of treatment experience and concomitant treatments.</w:t>
      </w:r>
    </w:p>
    <w:p w:rsidR="000D0DFD" w:rsidRPr="008B3D24" w:rsidRDefault="000D0DFD" w:rsidP="000D0DFD">
      <w:pPr>
        <w:pStyle w:val="3-BodyText"/>
      </w:pPr>
      <w:r w:rsidRPr="008B3D24">
        <w:rPr>
          <w:color w:val="000000" w:themeColor="text1"/>
        </w:rPr>
        <w:t>The submission presented an ITC of the two ixekizumab trials (COAST-V and COAST-W) with the secukinumab trials (</w:t>
      </w:r>
      <w:r w:rsidR="00A62075" w:rsidRPr="008B3D24">
        <w:rPr>
          <w:color w:val="000000" w:themeColor="text1"/>
        </w:rPr>
        <w:t>MEASURE 2</w:t>
      </w:r>
      <w:r w:rsidRPr="008B3D24">
        <w:rPr>
          <w:color w:val="000000" w:themeColor="text1"/>
        </w:rPr>
        <w:t xml:space="preserve"> and </w:t>
      </w:r>
      <w:r w:rsidR="00A62075" w:rsidRPr="008B3D24">
        <w:rPr>
          <w:color w:val="000000" w:themeColor="text1"/>
        </w:rPr>
        <w:t>MEASURE 4</w:t>
      </w:r>
      <w:r w:rsidRPr="008B3D24">
        <w:rPr>
          <w:color w:val="000000" w:themeColor="text1"/>
        </w:rPr>
        <w:t xml:space="preserve">) using placebo as the common comparator. Table </w:t>
      </w:r>
      <w:r w:rsidR="006A323C" w:rsidRPr="008B3D24">
        <w:rPr>
          <w:color w:val="000000" w:themeColor="text1"/>
        </w:rPr>
        <w:t xml:space="preserve">11 </w:t>
      </w:r>
      <w:r w:rsidRPr="008B3D24">
        <w:rPr>
          <w:color w:val="000000" w:themeColor="text1"/>
        </w:rPr>
        <w:t>presents the results of the indirect comparison of safety.</w:t>
      </w:r>
    </w:p>
    <w:p w:rsidR="000D0DFD" w:rsidRPr="008B3D24" w:rsidRDefault="000D0DFD" w:rsidP="000D0DFD">
      <w:pPr>
        <w:keepNext/>
        <w:rPr>
          <w:rFonts w:ascii="Arial Narrow" w:eastAsiaTheme="majorEastAsia" w:hAnsi="Arial Narrow" w:cstheme="majorBidi"/>
          <w:b/>
          <w:bCs/>
          <w:sz w:val="20"/>
        </w:rPr>
      </w:pPr>
      <w:r w:rsidRPr="008B3D24">
        <w:rPr>
          <w:rFonts w:ascii="Arial Narrow" w:eastAsiaTheme="majorEastAsia" w:hAnsi="Arial Narrow" w:cstheme="majorBidi"/>
          <w:b/>
          <w:bCs/>
          <w:sz w:val="20"/>
        </w:rPr>
        <w:t xml:space="preserve">Table </w:t>
      </w:r>
      <w:r w:rsidR="006A323C" w:rsidRPr="008B3D24">
        <w:rPr>
          <w:rFonts w:ascii="Arial Narrow" w:eastAsiaTheme="majorEastAsia" w:hAnsi="Arial Narrow" w:cstheme="majorBidi"/>
          <w:b/>
          <w:bCs/>
          <w:sz w:val="20"/>
        </w:rPr>
        <w:t>11</w:t>
      </w:r>
      <w:r w:rsidRPr="008B3D24">
        <w:rPr>
          <w:rFonts w:ascii="Arial Narrow" w:eastAsiaTheme="majorEastAsia" w:hAnsi="Arial Narrow" w:cstheme="majorBidi"/>
          <w:b/>
          <w:bCs/>
          <w:sz w:val="20"/>
        </w:rPr>
        <w:t>: Indirect comparison of ixekizumab and secukinumab AEs</w:t>
      </w:r>
    </w:p>
    <w:tbl>
      <w:tblPr>
        <w:tblStyle w:val="TableGrid"/>
        <w:tblW w:w="5000" w:type="pct"/>
        <w:tblLook w:val="04A0" w:firstRow="1" w:lastRow="0" w:firstColumn="1" w:lastColumn="0" w:noHBand="0" w:noVBand="1"/>
        <w:tblCaption w:val="Table 11: Indirect comparison of ixekizumab and secukinumab AEs"/>
      </w:tblPr>
      <w:tblGrid>
        <w:gridCol w:w="1711"/>
        <w:gridCol w:w="1432"/>
        <w:gridCol w:w="1288"/>
        <w:gridCol w:w="1582"/>
        <w:gridCol w:w="1430"/>
        <w:gridCol w:w="1574"/>
      </w:tblGrid>
      <w:tr w:rsidR="000D0DFD" w:rsidRPr="008B3D24" w:rsidTr="00596F29">
        <w:trPr>
          <w:tblHeader/>
        </w:trPr>
        <w:tc>
          <w:tcPr>
            <w:tcW w:w="949" w:type="pct"/>
          </w:tcPr>
          <w:p w:rsidR="000D0DFD" w:rsidRPr="008B3D24" w:rsidRDefault="000D0DFD" w:rsidP="009452DA">
            <w:pPr>
              <w:keepNext/>
              <w:jc w:val="center"/>
              <w:rPr>
                <w:rFonts w:ascii="Arial Narrow" w:eastAsiaTheme="majorEastAsia" w:hAnsi="Arial Narrow" w:cstheme="majorBidi"/>
                <w:b/>
                <w:sz w:val="20"/>
              </w:rPr>
            </w:pPr>
          </w:p>
        </w:tc>
        <w:tc>
          <w:tcPr>
            <w:tcW w:w="1508" w:type="pct"/>
            <w:gridSpan w:val="2"/>
          </w:tcPr>
          <w:p w:rsidR="000D0DFD" w:rsidRPr="008B3D24" w:rsidRDefault="000D0DFD" w:rsidP="009452DA">
            <w:pPr>
              <w:keepNext/>
              <w:jc w:val="center"/>
              <w:rPr>
                <w:rFonts w:ascii="Arial Narrow" w:eastAsiaTheme="majorEastAsia" w:hAnsi="Arial Narrow" w:cstheme="majorBidi"/>
                <w:b/>
                <w:sz w:val="20"/>
                <w:vertAlign w:val="superscript"/>
              </w:rPr>
            </w:pPr>
            <w:r w:rsidRPr="008B3D24">
              <w:rPr>
                <w:rFonts w:ascii="Arial Narrow" w:eastAsiaTheme="majorEastAsia" w:hAnsi="Arial Narrow" w:cstheme="majorBidi"/>
                <w:b/>
                <w:sz w:val="20"/>
              </w:rPr>
              <w:t xml:space="preserve">Ixekizumab trials </w:t>
            </w:r>
            <w:r w:rsidRPr="008B3D24">
              <w:rPr>
                <w:rFonts w:ascii="Arial Narrow" w:eastAsiaTheme="majorEastAsia" w:hAnsi="Arial Narrow" w:cstheme="majorBidi"/>
                <w:b/>
                <w:sz w:val="20"/>
                <w:vertAlign w:val="superscript"/>
              </w:rPr>
              <w:t>a</w:t>
            </w:r>
          </w:p>
        </w:tc>
        <w:tc>
          <w:tcPr>
            <w:tcW w:w="1670" w:type="pct"/>
            <w:gridSpan w:val="2"/>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 xml:space="preserve">Secukinumab trials </w:t>
            </w:r>
            <w:r w:rsidRPr="008B3D24">
              <w:rPr>
                <w:rFonts w:ascii="Arial Narrow" w:eastAsiaTheme="majorEastAsia" w:hAnsi="Arial Narrow" w:cstheme="majorBidi"/>
                <w:b/>
                <w:sz w:val="20"/>
                <w:vertAlign w:val="superscript"/>
              </w:rPr>
              <w:t>b</w:t>
            </w:r>
          </w:p>
        </w:tc>
        <w:tc>
          <w:tcPr>
            <w:tcW w:w="873" w:type="pct"/>
            <w:vMerge w:val="restart"/>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ITC</w:t>
            </w:r>
          </w:p>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Relative risk (95% CI)</w:t>
            </w:r>
          </w:p>
        </w:tc>
      </w:tr>
      <w:tr w:rsidR="000D0DFD" w:rsidRPr="008B3D24" w:rsidTr="00596F29">
        <w:trPr>
          <w:tblHeader/>
        </w:trPr>
        <w:tc>
          <w:tcPr>
            <w:tcW w:w="949" w:type="pct"/>
          </w:tcPr>
          <w:p w:rsidR="000D0DFD" w:rsidRPr="008B3D24" w:rsidRDefault="000D0DFD" w:rsidP="009452DA">
            <w:pPr>
              <w:keepNext/>
              <w:jc w:val="center"/>
              <w:rPr>
                <w:rFonts w:ascii="Arial Narrow" w:eastAsiaTheme="majorEastAsia" w:hAnsi="Arial Narrow" w:cstheme="majorBidi"/>
                <w:b/>
                <w:sz w:val="20"/>
              </w:rPr>
            </w:pPr>
          </w:p>
        </w:tc>
        <w:tc>
          <w:tcPr>
            <w:tcW w:w="794" w:type="pct"/>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IXEQ4W</w:t>
            </w:r>
            <w:r w:rsidR="006941BC" w:rsidRPr="008B3D24">
              <w:rPr>
                <w:rFonts w:ascii="Arial Narrow" w:eastAsiaTheme="majorEastAsia" w:hAnsi="Arial Narrow" w:cstheme="majorBidi"/>
                <w:b/>
                <w:sz w:val="20"/>
              </w:rPr>
              <w:t xml:space="preserve"> </w:t>
            </w:r>
          </w:p>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n/N (%)</w:t>
            </w:r>
          </w:p>
        </w:tc>
        <w:tc>
          <w:tcPr>
            <w:tcW w:w="714" w:type="pct"/>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 xml:space="preserve">Placebo </w:t>
            </w:r>
          </w:p>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n/N (%)</w:t>
            </w:r>
          </w:p>
        </w:tc>
        <w:tc>
          <w:tcPr>
            <w:tcW w:w="877" w:type="pct"/>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 xml:space="preserve">Secukinumab </w:t>
            </w:r>
          </w:p>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n/N (%)</w:t>
            </w:r>
          </w:p>
        </w:tc>
        <w:tc>
          <w:tcPr>
            <w:tcW w:w="793" w:type="pct"/>
          </w:tcPr>
          <w:p w:rsidR="000D0DFD" w:rsidRPr="008B3D24" w:rsidRDefault="000D0DFD" w:rsidP="009452DA">
            <w:pPr>
              <w:keepNext/>
              <w:jc w:val="center"/>
              <w:rPr>
                <w:rFonts w:ascii="Arial Narrow" w:eastAsiaTheme="majorEastAsia" w:hAnsi="Arial Narrow" w:cstheme="majorBidi"/>
                <w:b/>
                <w:sz w:val="20"/>
              </w:rPr>
            </w:pPr>
            <w:r w:rsidRPr="008B3D24">
              <w:rPr>
                <w:rFonts w:ascii="Arial Narrow" w:eastAsiaTheme="majorEastAsia" w:hAnsi="Arial Narrow" w:cstheme="majorBidi"/>
                <w:b/>
                <w:sz w:val="20"/>
              </w:rPr>
              <w:t>Placebo n/N (%)</w:t>
            </w:r>
          </w:p>
        </w:tc>
        <w:tc>
          <w:tcPr>
            <w:tcW w:w="873" w:type="pct"/>
            <w:vMerge/>
          </w:tcPr>
          <w:p w:rsidR="000D0DFD" w:rsidRPr="008B3D24" w:rsidRDefault="000D0DFD" w:rsidP="009452DA">
            <w:pPr>
              <w:keepNext/>
              <w:jc w:val="center"/>
              <w:rPr>
                <w:rFonts w:ascii="Arial Narrow" w:eastAsiaTheme="majorEastAsia" w:hAnsi="Arial Narrow" w:cstheme="majorBidi"/>
                <w:b/>
                <w:sz w:val="20"/>
              </w:rPr>
            </w:pPr>
          </w:p>
        </w:tc>
      </w:tr>
      <w:tr w:rsidR="000D0DFD" w:rsidRPr="008B3D24" w:rsidTr="009427B6">
        <w:tc>
          <w:tcPr>
            <w:tcW w:w="949" w:type="pct"/>
          </w:tcPr>
          <w:p w:rsidR="000D0DFD" w:rsidRPr="008B3D24" w:rsidRDefault="000D0DFD" w:rsidP="009452DA">
            <w:pPr>
              <w:keepNext/>
              <w:rPr>
                <w:rFonts w:ascii="Arial Narrow" w:eastAsiaTheme="majorEastAsia" w:hAnsi="Arial Narrow" w:cstheme="majorBidi"/>
                <w:bCs/>
                <w:sz w:val="20"/>
              </w:rPr>
            </w:pPr>
            <w:r w:rsidRPr="008B3D24">
              <w:rPr>
                <w:rFonts w:ascii="Arial Narrow" w:eastAsiaTheme="majorEastAsia" w:hAnsi="Arial Narrow" w:cstheme="majorBidi"/>
                <w:bCs/>
                <w:sz w:val="20"/>
              </w:rPr>
              <w:t>Any AE</w:t>
            </w:r>
          </w:p>
        </w:tc>
        <w:tc>
          <w:tcPr>
            <w:tcW w:w="794" w:type="pct"/>
          </w:tcPr>
          <w:p w:rsidR="000D0DFD" w:rsidRPr="008B3D24" w:rsidRDefault="000D0DFD" w:rsidP="008518D4">
            <w:pPr>
              <w:keepNext/>
              <w:jc w:val="center"/>
              <w:rPr>
                <w:rFonts w:ascii="Arial Narrow" w:eastAsiaTheme="majorEastAsia" w:hAnsi="Arial Narrow" w:cstheme="majorBidi"/>
                <w:bCs/>
                <w:sz w:val="20"/>
              </w:rPr>
            </w:pPr>
            <w:r w:rsidRPr="008B3D24">
              <w:rPr>
                <w:rFonts w:ascii="Arial Narrow" w:eastAsiaTheme="majorEastAsia" w:hAnsi="Arial Narrow" w:cstheme="majorBidi"/>
                <w:bCs/>
                <w:sz w:val="20"/>
              </w:rPr>
              <w:t>107/195 (54.9)</w:t>
            </w:r>
          </w:p>
        </w:tc>
        <w:tc>
          <w:tcPr>
            <w:tcW w:w="714" w:type="pct"/>
          </w:tcPr>
          <w:p w:rsidR="000D0DFD" w:rsidRPr="008B3D24" w:rsidRDefault="000D0DFD" w:rsidP="008518D4">
            <w:pPr>
              <w:keepNext/>
              <w:jc w:val="center"/>
              <w:rPr>
                <w:rFonts w:ascii="Arial Narrow" w:eastAsiaTheme="majorEastAsia" w:hAnsi="Arial Narrow" w:cstheme="majorBidi"/>
                <w:bCs/>
                <w:sz w:val="20"/>
              </w:rPr>
            </w:pPr>
            <w:r w:rsidRPr="008B3D24">
              <w:rPr>
                <w:rFonts w:ascii="Arial Narrow" w:eastAsiaTheme="majorEastAsia" w:hAnsi="Arial Narrow" w:cstheme="majorBidi"/>
                <w:bCs/>
                <w:sz w:val="20"/>
              </w:rPr>
              <w:t>85/190 (44.7)</w:t>
            </w:r>
          </w:p>
        </w:tc>
        <w:tc>
          <w:tcPr>
            <w:tcW w:w="877"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HAnsi"/>
                <w:bCs/>
                <w:sz w:val="20"/>
                <w:szCs w:val="20"/>
              </w:rPr>
              <w:t>119/188 (63.3)</w:t>
            </w:r>
          </w:p>
        </w:tc>
        <w:tc>
          <w:tcPr>
            <w:tcW w:w="793"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Bidi"/>
                <w:bCs/>
                <w:sz w:val="20"/>
              </w:rPr>
              <w:t>111/191 (58.1)</w:t>
            </w:r>
          </w:p>
        </w:tc>
        <w:tc>
          <w:tcPr>
            <w:tcW w:w="873"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Bidi"/>
                <w:bCs/>
                <w:sz w:val="20"/>
              </w:rPr>
              <w:t>1.13 (0.87, 1.46)</w:t>
            </w:r>
          </w:p>
        </w:tc>
      </w:tr>
      <w:tr w:rsidR="000D0DFD" w:rsidRPr="008B3D24" w:rsidTr="009427B6">
        <w:tc>
          <w:tcPr>
            <w:tcW w:w="949" w:type="pct"/>
          </w:tcPr>
          <w:p w:rsidR="000D0DFD" w:rsidRPr="008B3D24" w:rsidRDefault="000D0DFD" w:rsidP="009452DA">
            <w:pPr>
              <w:keepNext/>
              <w:rPr>
                <w:rFonts w:ascii="Arial Narrow" w:eastAsiaTheme="majorEastAsia" w:hAnsi="Arial Narrow" w:cstheme="majorBidi"/>
                <w:bCs/>
                <w:sz w:val="20"/>
              </w:rPr>
            </w:pPr>
            <w:r w:rsidRPr="008B3D24">
              <w:rPr>
                <w:rFonts w:ascii="Arial Narrow" w:eastAsiaTheme="majorEastAsia" w:hAnsi="Arial Narrow" w:cstheme="majorBidi"/>
                <w:bCs/>
                <w:sz w:val="20"/>
              </w:rPr>
              <w:t>SAE</w:t>
            </w:r>
          </w:p>
        </w:tc>
        <w:tc>
          <w:tcPr>
            <w:tcW w:w="794" w:type="pct"/>
          </w:tcPr>
          <w:p w:rsidR="000D0DFD" w:rsidRPr="008B3D24" w:rsidRDefault="000D0DFD" w:rsidP="008518D4">
            <w:pPr>
              <w:keepNext/>
              <w:jc w:val="center"/>
              <w:rPr>
                <w:rFonts w:ascii="Arial Narrow" w:eastAsiaTheme="majorEastAsia" w:hAnsi="Arial Narrow" w:cstheme="majorBidi"/>
                <w:bCs/>
                <w:sz w:val="20"/>
              </w:rPr>
            </w:pPr>
            <w:r w:rsidRPr="008B3D24">
              <w:rPr>
                <w:rFonts w:ascii="Arial Narrow" w:eastAsiaTheme="majorEastAsia" w:hAnsi="Arial Narrow" w:cstheme="majorBidi"/>
                <w:bCs/>
                <w:sz w:val="20"/>
              </w:rPr>
              <w:t>5/195 (2.6)</w:t>
            </w:r>
          </w:p>
        </w:tc>
        <w:tc>
          <w:tcPr>
            <w:tcW w:w="714" w:type="pct"/>
          </w:tcPr>
          <w:p w:rsidR="000D0DFD" w:rsidRPr="008B3D24" w:rsidRDefault="000D0DFD" w:rsidP="008518D4">
            <w:pPr>
              <w:keepNext/>
              <w:jc w:val="center"/>
              <w:rPr>
                <w:rFonts w:ascii="Arial Narrow" w:eastAsiaTheme="majorEastAsia" w:hAnsi="Arial Narrow" w:cstheme="majorBidi"/>
                <w:bCs/>
                <w:sz w:val="20"/>
              </w:rPr>
            </w:pPr>
            <w:r w:rsidRPr="008B3D24">
              <w:rPr>
                <w:rFonts w:ascii="Arial Narrow" w:eastAsiaTheme="majorEastAsia" w:hAnsi="Arial Narrow" w:cstheme="majorBidi"/>
                <w:bCs/>
                <w:sz w:val="20"/>
              </w:rPr>
              <w:t>5/190 (2.6)</w:t>
            </w:r>
          </w:p>
        </w:tc>
        <w:tc>
          <w:tcPr>
            <w:tcW w:w="877"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Bidi"/>
                <w:bCs/>
                <w:sz w:val="20"/>
              </w:rPr>
              <w:t>6/188 (3.2)</w:t>
            </w:r>
          </w:p>
        </w:tc>
        <w:tc>
          <w:tcPr>
            <w:tcW w:w="793"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Bidi"/>
                <w:bCs/>
                <w:sz w:val="20"/>
              </w:rPr>
              <w:t>7/191 (3.7)</w:t>
            </w:r>
          </w:p>
        </w:tc>
        <w:tc>
          <w:tcPr>
            <w:tcW w:w="873" w:type="pct"/>
          </w:tcPr>
          <w:p w:rsidR="000D0DFD" w:rsidRPr="008B3D24" w:rsidRDefault="000D0DFD" w:rsidP="008518D4">
            <w:pPr>
              <w:keepNext/>
              <w:jc w:val="center"/>
              <w:rPr>
                <w:rFonts w:ascii="Arial Narrow" w:eastAsiaTheme="majorEastAsia" w:hAnsi="Arial Narrow" w:cstheme="majorBidi"/>
                <w:b/>
                <w:bCs/>
                <w:sz w:val="20"/>
              </w:rPr>
            </w:pPr>
            <w:r w:rsidRPr="008B3D24">
              <w:rPr>
                <w:rFonts w:ascii="Arial Narrow" w:eastAsiaTheme="majorEastAsia" w:hAnsi="Arial Narrow" w:cstheme="majorBidi"/>
                <w:sz w:val="20"/>
              </w:rPr>
              <w:t>1.01 (0.20, 5.12)</w:t>
            </w:r>
          </w:p>
        </w:tc>
      </w:tr>
    </w:tbl>
    <w:p w:rsidR="000D0DFD" w:rsidRPr="008B3D24" w:rsidRDefault="000D0DFD" w:rsidP="000D0DFD">
      <w:pPr>
        <w:spacing w:after="120"/>
        <w:contextualSpacing/>
        <w:rPr>
          <w:rFonts w:ascii="Arial Narrow" w:hAnsi="Arial Narrow"/>
          <w:snapToGrid w:val="0"/>
          <w:sz w:val="18"/>
          <w:szCs w:val="22"/>
        </w:rPr>
      </w:pPr>
      <w:r w:rsidRPr="008B3D24">
        <w:rPr>
          <w:rFonts w:ascii="Arial Narrow" w:hAnsi="Arial Narrow"/>
          <w:snapToGrid w:val="0"/>
          <w:sz w:val="18"/>
          <w:szCs w:val="22"/>
        </w:rPr>
        <w:t xml:space="preserve">Source: Table 2(i).6-15 to 2(i).6-16, </w:t>
      </w:r>
      <w:r w:rsidR="00A132FA" w:rsidRPr="008B3D24">
        <w:rPr>
          <w:rFonts w:ascii="Arial Narrow" w:hAnsi="Arial Narrow"/>
          <w:snapToGrid w:val="0"/>
          <w:sz w:val="18"/>
          <w:szCs w:val="22"/>
        </w:rPr>
        <w:t>pp178</w:t>
      </w:r>
      <w:r w:rsidRPr="008B3D24">
        <w:rPr>
          <w:rFonts w:ascii="Arial Narrow" w:hAnsi="Arial Narrow"/>
          <w:snapToGrid w:val="0"/>
          <w:sz w:val="18"/>
          <w:szCs w:val="22"/>
        </w:rPr>
        <w:t>-1</w:t>
      </w:r>
      <w:r w:rsidR="00A132FA" w:rsidRPr="008B3D24">
        <w:rPr>
          <w:rFonts w:ascii="Arial Narrow" w:hAnsi="Arial Narrow"/>
          <w:snapToGrid w:val="0"/>
          <w:sz w:val="18"/>
          <w:szCs w:val="22"/>
        </w:rPr>
        <w:t>79</w:t>
      </w:r>
      <w:r w:rsidRPr="008B3D24">
        <w:rPr>
          <w:rFonts w:ascii="Arial Narrow" w:hAnsi="Arial Narrow"/>
          <w:snapToGrid w:val="0"/>
          <w:sz w:val="18"/>
          <w:szCs w:val="22"/>
        </w:rPr>
        <w:t xml:space="preserve"> of the submission</w:t>
      </w:r>
    </w:p>
    <w:p w:rsidR="000D0DFD" w:rsidRPr="008B3D24" w:rsidRDefault="000D0DFD" w:rsidP="000D0DFD">
      <w:pPr>
        <w:spacing w:after="120"/>
        <w:contextualSpacing/>
        <w:rPr>
          <w:rFonts w:ascii="Arial Narrow" w:hAnsi="Arial Narrow"/>
          <w:snapToGrid w:val="0"/>
          <w:sz w:val="18"/>
          <w:szCs w:val="22"/>
        </w:rPr>
      </w:pPr>
      <w:r w:rsidRPr="008B3D24">
        <w:rPr>
          <w:rFonts w:ascii="Arial Narrow" w:hAnsi="Arial Narrow"/>
          <w:snapToGrid w:val="0"/>
          <w:sz w:val="18"/>
          <w:szCs w:val="22"/>
        </w:rPr>
        <w:t>AE = adverse event; CI = confidence interval; ITC = indirect treatment comparison;</w:t>
      </w:r>
      <w:r w:rsidR="00A9458B" w:rsidRPr="008B3D24">
        <w:rPr>
          <w:rFonts w:ascii="Arial Narrow" w:hAnsi="Arial Narrow"/>
          <w:snapToGrid w:val="0"/>
          <w:sz w:val="18"/>
          <w:szCs w:val="22"/>
        </w:rPr>
        <w:t xml:space="preserve"> IXEQ4W= ixekizumab 80 mg every four weeks; </w:t>
      </w:r>
      <w:r w:rsidRPr="008B3D24">
        <w:rPr>
          <w:rFonts w:ascii="Arial Narrow" w:hAnsi="Arial Narrow"/>
          <w:snapToGrid w:val="0"/>
          <w:sz w:val="18"/>
          <w:szCs w:val="22"/>
        </w:rPr>
        <w:t>SAE = serious adverse event</w:t>
      </w:r>
      <w:r w:rsidR="000748D4" w:rsidRPr="008B3D24">
        <w:rPr>
          <w:rFonts w:ascii="Arial Narrow" w:hAnsi="Arial Narrow"/>
          <w:snapToGrid w:val="0"/>
          <w:sz w:val="18"/>
          <w:szCs w:val="22"/>
        </w:rPr>
        <w:t xml:space="preserve">; </w:t>
      </w:r>
    </w:p>
    <w:p w:rsidR="000D0DFD" w:rsidRPr="008B3D24" w:rsidRDefault="000D0DFD" w:rsidP="000D0DFD">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 xml:space="preserve">a </w:t>
      </w:r>
      <w:r w:rsidRPr="008B3D24">
        <w:rPr>
          <w:rFonts w:ascii="Arial Narrow" w:hAnsi="Arial Narrow"/>
          <w:snapToGrid w:val="0"/>
          <w:sz w:val="18"/>
          <w:szCs w:val="22"/>
        </w:rPr>
        <w:t xml:space="preserve">COAST-V and COAST-W </w:t>
      </w:r>
    </w:p>
    <w:p w:rsidR="000D0DFD" w:rsidRPr="008B3D24" w:rsidRDefault="000D0DFD" w:rsidP="000D0DFD">
      <w:pPr>
        <w:spacing w:after="120"/>
        <w:contextualSpacing/>
        <w:rPr>
          <w:rFonts w:ascii="Arial Narrow" w:hAnsi="Arial Narrow"/>
          <w:snapToGrid w:val="0"/>
          <w:sz w:val="18"/>
          <w:szCs w:val="22"/>
        </w:rPr>
      </w:pPr>
      <w:r w:rsidRPr="008B3D24">
        <w:rPr>
          <w:rFonts w:ascii="Arial Narrow" w:hAnsi="Arial Narrow"/>
          <w:snapToGrid w:val="0"/>
          <w:sz w:val="18"/>
          <w:szCs w:val="22"/>
          <w:vertAlign w:val="superscript"/>
        </w:rPr>
        <w:t xml:space="preserve">b </w:t>
      </w:r>
      <w:r w:rsidR="00A62075" w:rsidRPr="008B3D24">
        <w:rPr>
          <w:rFonts w:ascii="Arial Narrow" w:hAnsi="Arial Narrow"/>
          <w:snapToGrid w:val="0"/>
          <w:sz w:val="18"/>
          <w:szCs w:val="22"/>
        </w:rPr>
        <w:t>MEASURE 2</w:t>
      </w:r>
      <w:r w:rsidRPr="008B3D24">
        <w:rPr>
          <w:rFonts w:ascii="Arial Narrow" w:hAnsi="Arial Narrow"/>
          <w:snapToGrid w:val="0"/>
          <w:sz w:val="18"/>
          <w:szCs w:val="22"/>
        </w:rPr>
        <w:t xml:space="preserve"> and </w:t>
      </w:r>
      <w:r w:rsidR="00A62075" w:rsidRPr="008B3D24">
        <w:rPr>
          <w:rFonts w:ascii="Arial Narrow" w:hAnsi="Arial Narrow"/>
          <w:snapToGrid w:val="0"/>
          <w:sz w:val="18"/>
          <w:szCs w:val="22"/>
        </w:rPr>
        <w:t>MEASURE 4</w:t>
      </w:r>
      <w:r w:rsidRPr="008B3D24">
        <w:rPr>
          <w:rFonts w:ascii="Arial Narrow" w:hAnsi="Arial Narrow"/>
          <w:snapToGrid w:val="0"/>
          <w:sz w:val="18"/>
          <w:szCs w:val="22"/>
        </w:rPr>
        <w:t xml:space="preserve"> trials</w:t>
      </w:r>
    </w:p>
    <w:p w:rsidR="000D0DFD" w:rsidRPr="008B3D24" w:rsidRDefault="000D0DFD" w:rsidP="000D0DFD">
      <w:pPr>
        <w:pStyle w:val="3-BodyText"/>
        <w:rPr>
          <w:iCs/>
        </w:rPr>
      </w:pPr>
      <w:r w:rsidRPr="008B3D24">
        <w:t xml:space="preserve">The submission stated that there was no significant difference in the risk of AEs or SAEs between </w:t>
      </w:r>
      <w:bookmarkStart w:id="21" w:name="_GoBack"/>
      <w:r w:rsidRPr="008B3D24">
        <w:t>ixekizumab</w:t>
      </w:r>
      <w:bookmarkEnd w:id="21"/>
      <w:r w:rsidRPr="008B3D24">
        <w:t xml:space="preserve"> and secukinumab. </w:t>
      </w:r>
      <w:r w:rsidRPr="008B3D24">
        <w:rPr>
          <w:iCs/>
        </w:rPr>
        <w:t xml:space="preserve">This was reasonable. </w:t>
      </w:r>
    </w:p>
    <w:p w:rsidR="006C6C1D" w:rsidRPr="008B3D24" w:rsidRDefault="000D0DFD" w:rsidP="006C6C1D">
      <w:pPr>
        <w:pStyle w:val="3-BodyText"/>
      </w:pPr>
      <w:r w:rsidRPr="008B3D24">
        <w:rPr>
          <w:iCs/>
        </w:rPr>
        <w:t>The PBAC previous</w:t>
      </w:r>
      <w:r w:rsidR="002873E7" w:rsidRPr="008B3D24">
        <w:rPr>
          <w:iCs/>
        </w:rPr>
        <w:t>ly</w:t>
      </w:r>
      <w:r w:rsidRPr="008B3D24">
        <w:rPr>
          <w:iCs/>
        </w:rPr>
        <w:t xml:space="preserve"> considered ixekizumab to have non-inferior safety to other </w:t>
      </w:r>
      <w:r w:rsidR="00045489" w:rsidRPr="008B3D24">
        <w:rPr>
          <w:iCs/>
        </w:rPr>
        <w:t>biological medicine</w:t>
      </w:r>
      <w:r w:rsidRPr="008B3D24">
        <w:rPr>
          <w:iCs/>
        </w:rPr>
        <w:t>s (including adalimumab and secukinumab) in its July 2016 consideration of ixekizumab for psoriasis (</w:t>
      </w:r>
      <w:r w:rsidR="00C45681" w:rsidRPr="008B3D24">
        <w:rPr>
          <w:iCs/>
        </w:rPr>
        <w:t>paragraph</w:t>
      </w:r>
      <w:r w:rsidR="00210740" w:rsidRPr="008B3D24">
        <w:rPr>
          <w:iCs/>
        </w:rPr>
        <w:t xml:space="preserve"> </w:t>
      </w:r>
      <w:r w:rsidRPr="008B3D24">
        <w:rPr>
          <w:iCs/>
        </w:rPr>
        <w:t>6.21, ixekizumab</w:t>
      </w:r>
      <w:r w:rsidR="00BA6C20" w:rsidRPr="008B3D24">
        <w:rPr>
          <w:iCs/>
        </w:rPr>
        <w:t xml:space="preserve"> PSD</w:t>
      </w:r>
      <w:r w:rsidRPr="008B3D24">
        <w:rPr>
          <w:iCs/>
        </w:rPr>
        <w:t xml:space="preserve">, July 2016 PBAC meeting). At its July 2018 consideration of ixekizumab for psoriatic arthritis, the PBAC considered that the claim of non-inferior safety with other </w:t>
      </w:r>
      <w:r w:rsidR="00045489" w:rsidRPr="008B3D24">
        <w:rPr>
          <w:iCs/>
        </w:rPr>
        <w:t>biological medicine</w:t>
      </w:r>
      <w:r w:rsidRPr="008B3D24">
        <w:rPr>
          <w:iCs/>
        </w:rPr>
        <w:t xml:space="preserve"> comparators appeared to be reasonably supported (</w:t>
      </w:r>
      <w:r w:rsidR="00C45681" w:rsidRPr="008B3D24">
        <w:rPr>
          <w:iCs/>
        </w:rPr>
        <w:t>paragraph</w:t>
      </w:r>
      <w:r w:rsidR="00210740" w:rsidRPr="008B3D24">
        <w:rPr>
          <w:iCs/>
        </w:rPr>
        <w:t xml:space="preserve"> </w:t>
      </w:r>
      <w:r w:rsidRPr="008B3D24">
        <w:rPr>
          <w:iCs/>
        </w:rPr>
        <w:t>7.3, ixekizumab</w:t>
      </w:r>
      <w:r w:rsidR="00BA6C20" w:rsidRPr="008B3D24">
        <w:rPr>
          <w:iCs/>
        </w:rPr>
        <w:t xml:space="preserve"> PSD</w:t>
      </w:r>
      <w:r w:rsidRPr="008B3D24">
        <w:rPr>
          <w:iCs/>
        </w:rPr>
        <w:t>, July 2018 PBAC meeting).</w:t>
      </w:r>
      <w:r w:rsidR="006C6C1D" w:rsidRPr="008B3D24">
        <w:rPr>
          <w:iCs/>
        </w:rPr>
        <w:t xml:space="preserve"> </w:t>
      </w:r>
    </w:p>
    <w:p w:rsidR="00B60939" w:rsidRPr="008B3D24" w:rsidRDefault="00B60939" w:rsidP="00E9094A">
      <w:pPr>
        <w:pStyle w:val="4-SubsectionHeading"/>
      </w:pPr>
      <w:bookmarkStart w:id="22" w:name="_Toc22897644"/>
      <w:bookmarkStart w:id="23" w:name="_Toc40706507"/>
      <w:r w:rsidRPr="008B3D24">
        <w:t>Clinical claim</w:t>
      </w:r>
      <w:bookmarkEnd w:id="22"/>
      <w:bookmarkEnd w:id="23"/>
    </w:p>
    <w:p w:rsidR="000D0DFD" w:rsidRPr="008B3D24" w:rsidRDefault="000D0DFD" w:rsidP="000D0DFD">
      <w:pPr>
        <w:pStyle w:val="3-BodyText"/>
      </w:pPr>
      <w:r w:rsidRPr="008B3D24">
        <w:t>The submission described ixekizumab as non-inferior in terms of efficacy and safety compared with adalimumab for the treatment of AS.</w:t>
      </w:r>
      <w:r w:rsidRPr="008B3D24">
        <w:rPr>
          <w:rFonts w:eastAsia="Calibri"/>
        </w:rPr>
        <w:t xml:space="preserve"> </w:t>
      </w:r>
    </w:p>
    <w:p w:rsidR="009555E6" w:rsidRPr="008B3D24" w:rsidRDefault="000D0DFD" w:rsidP="009555E6">
      <w:pPr>
        <w:pStyle w:val="3-BodyText"/>
      </w:pPr>
      <w:r w:rsidRPr="008B3D24">
        <w:t xml:space="preserve">The submission described ixekizumab as non-inferior in terms of efficacy and safety compared with secukinumab for the treatment of AS. </w:t>
      </w:r>
    </w:p>
    <w:p w:rsidR="00794242" w:rsidRPr="008B3D24" w:rsidRDefault="00794242" w:rsidP="00794242">
      <w:pPr>
        <w:pStyle w:val="3-BodyText"/>
        <w:rPr>
          <w:iCs/>
        </w:rPr>
      </w:pPr>
      <w:r w:rsidRPr="008B3D24">
        <w:rPr>
          <w:iCs/>
        </w:rPr>
        <w:t>The PBAC considered that the claim that ixekizumab is non-inferior to adalimumab and secukinumab in terms of comparative effectiveness and safety was reasonable.</w:t>
      </w:r>
    </w:p>
    <w:p w:rsidR="00FA3649" w:rsidRPr="008B3D24" w:rsidRDefault="00FA3649" w:rsidP="00FA3649">
      <w:pPr>
        <w:pStyle w:val="4-SubsectionHeading"/>
      </w:pPr>
      <w:bookmarkStart w:id="24" w:name="_Toc40706508"/>
      <w:r w:rsidRPr="008B3D24">
        <w:t>Economic analysis</w:t>
      </w:r>
      <w:bookmarkEnd w:id="24"/>
      <w:r w:rsidRPr="008B3D24">
        <w:t xml:space="preserve"> </w:t>
      </w:r>
    </w:p>
    <w:p w:rsidR="00FA3649" w:rsidRPr="008B3D24" w:rsidRDefault="00FA3649" w:rsidP="00FA3649">
      <w:pPr>
        <w:pStyle w:val="3-BodyText"/>
        <w:rPr>
          <w:iCs/>
        </w:rPr>
      </w:pPr>
      <w:r w:rsidRPr="008B3D24">
        <w:t xml:space="preserve">The submission presented a cost-minimisation analysis </w:t>
      </w:r>
      <w:r w:rsidR="00D71279" w:rsidRPr="008B3D24">
        <w:t xml:space="preserve">(CMA) </w:t>
      </w:r>
      <w:r w:rsidRPr="008B3D24">
        <w:t>between ixekizumab and adalimumab based on the published approved ex-manufacturer price (AEMP). The equi-effective doses were estimated as ixekizumab 80</w:t>
      </w:r>
      <w:r w:rsidR="00BA6866" w:rsidRPr="008B3D24">
        <w:t xml:space="preserve"> </w:t>
      </w:r>
      <w:r w:rsidRPr="008B3D24">
        <w:t xml:space="preserve">mg every four weeks and adalimumab 40 mg every two weeks </w:t>
      </w:r>
      <w:r w:rsidR="00D71279" w:rsidRPr="008B3D24">
        <w:t xml:space="preserve">and the CMA was conducted </w:t>
      </w:r>
      <w:r w:rsidRPr="008B3D24">
        <w:t>over two years. This was based on the</w:t>
      </w:r>
      <w:r w:rsidR="003262F9" w:rsidRPr="008B3D24">
        <w:t xml:space="preserve"> </w:t>
      </w:r>
      <w:r w:rsidRPr="008B3D24">
        <w:t xml:space="preserve">recommended doses in the Product Information and </w:t>
      </w:r>
      <w:r w:rsidR="003262F9" w:rsidRPr="008B3D24">
        <w:t>is consistent with the clinical data presented above.</w:t>
      </w:r>
      <w:r w:rsidRPr="008B3D24">
        <w:t xml:space="preserve"> </w:t>
      </w:r>
    </w:p>
    <w:p w:rsidR="00FA3649" w:rsidRPr="008B3D24" w:rsidRDefault="00FA3649" w:rsidP="00FA3649">
      <w:pPr>
        <w:pStyle w:val="3-BodyText"/>
      </w:pPr>
      <w:r w:rsidRPr="008B3D24">
        <w:rPr>
          <w:iCs/>
        </w:rPr>
        <w:t xml:space="preserve">Table </w:t>
      </w:r>
      <w:r w:rsidR="006A323C" w:rsidRPr="008B3D24">
        <w:rPr>
          <w:iCs/>
        </w:rPr>
        <w:t xml:space="preserve">12 </w:t>
      </w:r>
      <w:r w:rsidRPr="008B3D24">
        <w:rPr>
          <w:iCs/>
        </w:rPr>
        <w:t xml:space="preserve">presents the </w:t>
      </w:r>
      <w:r w:rsidR="00552F78" w:rsidRPr="008B3D24">
        <w:rPr>
          <w:iCs/>
        </w:rPr>
        <w:t>corrected</w:t>
      </w:r>
      <w:r w:rsidR="00372B91" w:rsidRPr="008B3D24">
        <w:rPr>
          <w:iCs/>
        </w:rPr>
        <w:t xml:space="preserve"> </w:t>
      </w:r>
      <w:r w:rsidR="00D71279" w:rsidRPr="008B3D24">
        <w:rPr>
          <w:iCs/>
        </w:rPr>
        <w:t xml:space="preserve">CMA </w:t>
      </w:r>
      <w:r w:rsidR="00372B91" w:rsidRPr="008B3D24">
        <w:rPr>
          <w:iCs/>
        </w:rPr>
        <w:t>r</w:t>
      </w:r>
      <w:r w:rsidR="008266D1" w:rsidRPr="008B3D24">
        <w:rPr>
          <w:iCs/>
        </w:rPr>
        <w:t>ecalculat</w:t>
      </w:r>
      <w:r w:rsidR="005F0490" w:rsidRPr="008B3D24">
        <w:rPr>
          <w:iCs/>
        </w:rPr>
        <w:t>ed</w:t>
      </w:r>
      <w:r w:rsidR="008266D1" w:rsidRPr="008B3D24">
        <w:rPr>
          <w:iCs/>
        </w:rPr>
        <w:t xml:space="preserve"> </w:t>
      </w:r>
      <w:r w:rsidR="00552F78" w:rsidRPr="008B3D24">
        <w:rPr>
          <w:iCs/>
        </w:rPr>
        <w:t xml:space="preserve">during evaluation based on </w:t>
      </w:r>
      <w:r w:rsidR="008266D1" w:rsidRPr="008B3D24">
        <w:rPr>
          <w:iCs/>
        </w:rPr>
        <w:t xml:space="preserve">the cost </w:t>
      </w:r>
      <w:r w:rsidR="005A7E5E" w:rsidRPr="008B3D24">
        <w:rPr>
          <w:iCs/>
        </w:rPr>
        <w:t xml:space="preserve">up to </w:t>
      </w:r>
      <w:r w:rsidR="008266D1" w:rsidRPr="008B3D24">
        <w:rPr>
          <w:iCs/>
        </w:rPr>
        <w:t>104 weeks’ treatment</w:t>
      </w:r>
      <w:r w:rsidR="005A7E5E" w:rsidRPr="008B3D24">
        <w:rPr>
          <w:iCs/>
        </w:rPr>
        <w:t xml:space="preserve"> (where treatment coverage is the same for both drugs)</w:t>
      </w:r>
      <w:r w:rsidR="005F0490" w:rsidRPr="008B3D24">
        <w:rPr>
          <w:iCs/>
        </w:rPr>
        <w:t xml:space="preserve"> and </w:t>
      </w:r>
      <w:r w:rsidR="00782DED" w:rsidRPr="008B3D24">
        <w:rPr>
          <w:iCs/>
        </w:rPr>
        <w:t xml:space="preserve">the April 2020 </w:t>
      </w:r>
      <w:r w:rsidR="00D71279" w:rsidRPr="008B3D24">
        <w:rPr>
          <w:iCs/>
        </w:rPr>
        <w:t xml:space="preserve">published </w:t>
      </w:r>
      <w:r w:rsidR="00722DCC" w:rsidRPr="008B3D24">
        <w:rPr>
          <w:iCs/>
        </w:rPr>
        <w:t xml:space="preserve">price of adalimumab </w:t>
      </w:r>
      <w:r w:rsidR="00AC7AE9" w:rsidRPr="008B3D24">
        <w:rPr>
          <w:iCs/>
        </w:rPr>
        <w:t>(</w:t>
      </w:r>
      <w:r w:rsidR="00782DED" w:rsidRPr="008B3D24">
        <w:rPr>
          <w:iCs/>
        </w:rPr>
        <w:t>which included a 5% anniversary statutory price reduction</w:t>
      </w:r>
      <w:r w:rsidR="00552F78" w:rsidRPr="008B3D24">
        <w:rPr>
          <w:iCs/>
        </w:rPr>
        <w:t>)</w:t>
      </w:r>
      <w:r w:rsidR="00782DED" w:rsidRPr="008B3D24">
        <w:rPr>
          <w:iCs/>
        </w:rPr>
        <w:t xml:space="preserve">. </w:t>
      </w:r>
    </w:p>
    <w:p w:rsidR="00FA3649" w:rsidRPr="008B3D24" w:rsidRDefault="00FA3649" w:rsidP="00FA3649">
      <w:pPr>
        <w:pStyle w:val="TableFigureHeading"/>
        <w:rPr>
          <w:rStyle w:val="CommentReference"/>
          <w:b/>
          <w:szCs w:val="24"/>
        </w:rPr>
      </w:pPr>
      <w:r w:rsidRPr="008B3D24">
        <w:rPr>
          <w:rStyle w:val="CommentReference"/>
          <w:b/>
          <w:szCs w:val="24"/>
        </w:rPr>
        <w:t>Table 1</w:t>
      </w:r>
      <w:r w:rsidR="006A323C" w:rsidRPr="008B3D24">
        <w:rPr>
          <w:rStyle w:val="CommentReference"/>
          <w:b/>
          <w:szCs w:val="24"/>
        </w:rPr>
        <w:t>2</w:t>
      </w:r>
      <w:r w:rsidRPr="008B3D24">
        <w:rPr>
          <w:rStyle w:val="CommentReference"/>
          <w:b/>
          <w:szCs w:val="24"/>
        </w:rPr>
        <w:t xml:space="preserve">: Cost minimisation analysis </w:t>
      </w:r>
      <w:r w:rsidR="00D71279" w:rsidRPr="008B3D24">
        <w:rPr>
          <w:rStyle w:val="CommentReference"/>
          <w:b/>
          <w:szCs w:val="24"/>
        </w:rPr>
        <w:t>(corrected)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2498"/>
        <w:gridCol w:w="2496"/>
      </w:tblGrid>
      <w:tr w:rsidR="002B183B" w:rsidRPr="008B3D24" w:rsidTr="00722DCC">
        <w:trPr>
          <w:cantSplit/>
          <w:tblHeader/>
        </w:trPr>
        <w:tc>
          <w:tcPr>
            <w:tcW w:w="2231" w:type="pct"/>
            <w:vMerge w:val="restart"/>
            <w:shd w:val="clear" w:color="auto" w:fill="auto"/>
            <w:vAlign w:val="center"/>
          </w:tcPr>
          <w:p w:rsidR="002B183B" w:rsidRPr="008B3D24" w:rsidRDefault="002B183B" w:rsidP="00722DCC">
            <w:pPr>
              <w:pStyle w:val="In-tableHeading"/>
              <w:rPr>
                <w:lang w:val="en-AU"/>
              </w:rPr>
            </w:pPr>
            <w:r w:rsidRPr="008B3D24">
              <w:rPr>
                <w:lang w:val="en-AU"/>
              </w:rPr>
              <w:t>Component</w:t>
            </w:r>
          </w:p>
        </w:tc>
        <w:tc>
          <w:tcPr>
            <w:tcW w:w="2769" w:type="pct"/>
            <w:gridSpan w:val="2"/>
            <w:shd w:val="clear" w:color="auto" w:fill="auto"/>
          </w:tcPr>
          <w:p w:rsidR="002B183B" w:rsidRPr="008B3D24" w:rsidDel="0009220B" w:rsidRDefault="002B183B" w:rsidP="00013FDD">
            <w:pPr>
              <w:pStyle w:val="In-tableHeading"/>
              <w:jc w:val="center"/>
              <w:rPr>
                <w:lang w:val="en-AU"/>
              </w:rPr>
            </w:pPr>
            <w:r w:rsidRPr="008B3D24">
              <w:rPr>
                <w:lang w:val="en-AU"/>
              </w:rPr>
              <w:t xml:space="preserve">CMA with adalimumab </w:t>
            </w:r>
          </w:p>
        </w:tc>
      </w:tr>
      <w:tr w:rsidR="002B183B" w:rsidRPr="008B3D24" w:rsidTr="003E751C">
        <w:trPr>
          <w:cantSplit/>
          <w:tblHeader/>
        </w:trPr>
        <w:tc>
          <w:tcPr>
            <w:tcW w:w="2231" w:type="pct"/>
            <w:vMerge/>
            <w:shd w:val="clear" w:color="auto" w:fill="auto"/>
          </w:tcPr>
          <w:p w:rsidR="002B183B" w:rsidRPr="008B3D24" w:rsidRDefault="002B183B" w:rsidP="00013FDD">
            <w:pPr>
              <w:pStyle w:val="In-tableHeading"/>
              <w:rPr>
                <w:lang w:val="en-AU"/>
              </w:rPr>
            </w:pPr>
          </w:p>
        </w:tc>
        <w:tc>
          <w:tcPr>
            <w:tcW w:w="1385" w:type="pct"/>
            <w:shd w:val="clear" w:color="auto" w:fill="auto"/>
          </w:tcPr>
          <w:p w:rsidR="002B183B" w:rsidRPr="008B3D24" w:rsidRDefault="002B183B" w:rsidP="00013FDD">
            <w:pPr>
              <w:pStyle w:val="In-tableHeading"/>
              <w:jc w:val="center"/>
              <w:rPr>
                <w:lang w:val="en-AU"/>
              </w:rPr>
            </w:pPr>
            <w:r w:rsidRPr="008B3D24">
              <w:rPr>
                <w:lang w:val="en-AU"/>
              </w:rPr>
              <w:t xml:space="preserve">Ixekizumab </w:t>
            </w:r>
          </w:p>
        </w:tc>
        <w:tc>
          <w:tcPr>
            <w:tcW w:w="1384" w:type="pct"/>
            <w:shd w:val="clear" w:color="auto" w:fill="auto"/>
          </w:tcPr>
          <w:p w:rsidR="002B183B" w:rsidRPr="008B3D24" w:rsidRDefault="002B183B" w:rsidP="00013FDD">
            <w:pPr>
              <w:pStyle w:val="In-tableHeading"/>
              <w:jc w:val="center"/>
              <w:rPr>
                <w:lang w:val="en-AU"/>
              </w:rPr>
            </w:pPr>
            <w:r w:rsidRPr="008B3D24">
              <w:rPr>
                <w:lang w:val="en-AU"/>
              </w:rPr>
              <w:t>Adalimumab</w:t>
            </w:r>
          </w:p>
        </w:tc>
      </w:tr>
      <w:tr w:rsidR="002B183B" w:rsidRPr="008B3D24" w:rsidTr="003E751C">
        <w:trPr>
          <w:cantSplit/>
        </w:trPr>
        <w:tc>
          <w:tcPr>
            <w:tcW w:w="2231" w:type="pct"/>
            <w:shd w:val="clear" w:color="auto" w:fill="auto"/>
          </w:tcPr>
          <w:p w:rsidR="002B183B" w:rsidRPr="008B3D24" w:rsidRDefault="002B183B" w:rsidP="00013FDD">
            <w:pPr>
              <w:pStyle w:val="TableText0"/>
              <w:rPr>
                <w:bCs w:val="0"/>
              </w:rPr>
            </w:pPr>
            <w:r w:rsidRPr="008B3D24">
              <w:rPr>
                <w:bCs w:val="0"/>
              </w:rPr>
              <w:t>Doses per pack</w:t>
            </w:r>
          </w:p>
        </w:tc>
        <w:tc>
          <w:tcPr>
            <w:tcW w:w="1385" w:type="pct"/>
            <w:shd w:val="clear" w:color="auto" w:fill="auto"/>
          </w:tcPr>
          <w:p w:rsidR="002B183B" w:rsidRPr="008B3D24" w:rsidRDefault="002B183B" w:rsidP="00013FDD">
            <w:pPr>
              <w:pStyle w:val="TableText0"/>
              <w:jc w:val="center"/>
              <w:rPr>
                <w:bCs w:val="0"/>
              </w:rPr>
            </w:pPr>
            <w:r w:rsidRPr="008B3D24">
              <w:rPr>
                <w:bCs w:val="0"/>
              </w:rPr>
              <w:t>2</w:t>
            </w:r>
          </w:p>
        </w:tc>
        <w:tc>
          <w:tcPr>
            <w:tcW w:w="1384" w:type="pct"/>
            <w:shd w:val="clear" w:color="auto" w:fill="auto"/>
          </w:tcPr>
          <w:p w:rsidR="002B183B" w:rsidRPr="008B3D24" w:rsidRDefault="002B183B" w:rsidP="00013FDD">
            <w:pPr>
              <w:pStyle w:val="TableText0"/>
              <w:jc w:val="center"/>
            </w:pPr>
            <w:r w:rsidRPr="008B3D24">
              <w:t>2</w:t>
            </w:r>
          </w:p>
        </w:tc>
      </w:tr>
      <w:tr w:rsidR="002B183B" w:rsidRPr="008B3D24" w:rsidTr="003E751C">
        <w:trPr>
          <w:cantSplit/>
        </w:trPr>
        <w:tc>
          <w:tcPr>
            <w:tcW w:w="2231" w:type="pct"/>
            <w:shd w:val="clear" w:color="auto" w:fill="auto"/>
          </w:tcPr>
          <w:p w:rsidR="002B183B" w:rsidRPr="008B3D24" w:rsidRDefault="002B183B" w:rsidP="00013FDD">
            <w:pPr>
              <w:pStyle w:val="TableText0"/>
              <w:rPr>
                <w:bCs w:val="0"/>
                <w:vertAlign w:val="superscript"/>
              </w:rPr>
            </w:pPr>
            <w:r w:rsidRPr="008B3D24">
              <w:rPr>
                <w:iCs/>
              </w:rPr>
              <w:t xml:space="preserve">Doses </w:t>
            </w:r>
            <w:r w:rsidR="002574CD" w:rsidRPr="008B3D24">
              <w:rPr>
                <w:iCs/>
              </w:rPr>
              <w:t>up to</w:t>
            </w:r>
            <w:r w:rsidRPr="008B3D24">
              <w:rPr>
                <w:iCs/>
              </w:rPr>
              <w:t xml:space="preserve"> </w:t>
            </w:r>
            <w:r w:rsidR="008266D1" w:rsidRPr="008B3D24">
              <w:rPr>
                <w:iCs/>
              </w:rPr>
              <w:t xml:space="preserve">104 </w:t>
            </w:r>
            <w:r w:rsidRPr="008B3D24">
              <w:rPr>
                <w:iCs/>
              </w:rPr>
              <w:t>weeks</w:t>
            </w:r>
            <w:r w:rsidRPr="008B3D24">
              <w:t xml:space="preserve"> </w:t>
            </w:r>
            <w:r w:rsidRPr="008B3D24">
              <w:rPr>
                <w:vertAlign w:val="superscript"/>
              </w:rPr>
              <w:t>a</w:t>
            </w:r>
            <w:r w:rsidRPr="008B3D24">
              <w:t xml:space="preserve"> </w:t>
            </w:r>
          </w:p>
        </w:tc>
        <w:tc>
          <w:tcPr>
            <w:tcW w:w="1385" w:type="pct"/>
            <w:shd w:val="clear" w:color="auto" w:fill="auto"/>
          </w:tcPr>
          <w:p w:rsidR="002B183B" w:rsidRPr="008B3D24" w:rsidRDefault="002B183B" w:rsidP="00013FDD">
            <w:pPr>
              <w:pStyle w:val="TableText0"/>
              <w:jc w:val="center"/>
              <w:rPr>
                <w:bCs w:val="0"/>
              </w:rPr>
            </w:pPr>
            <w:r w:rsidRPr="008B3D24">
              <w:t>26</w:t>
            </w:r>
          </w:p>
        </w:tc>
        <w:tc>
          <w:tcPr>
            <w:tcW w:w="1384" w:type="pct"/>
            <w:shd w:val="clear" w:color="auto" w:fill="auto"/>
          </w:tcPr>
          <w:p w:rsidR="002B183B" w:rsidRPr="008B3D24" w:rsidRDefault="002B183B" w:rsidP="00013FDD">
            <w:pPr>
              <w:pStyle w:val="TableText0"/>
              <w:jc w:val="center"/>
              <w:rPr>
                <w:iCs/>
              </w:rPr>
            </w:pPr>
            <w:r w:rsidRPr="008B3D24">
              <w:rPr>
                <w:iCs/>
              </w:rPr>
              <w:t>5</w:t>
            </w:r>
            <w:r w:rsidR="00286927" w:rsidRPr="008B3D24">
              <w:rPr>
                <w:iCs/>
              </w:rPr>
              <w:t>2</w:t>
            </w:r>
          </w:p>
        </w:tc>
      </w:tr>
      <w:tr w:rsidR="00722DCC" w:rsidRPr="008B3D24" w:rsidTr="003E751C">
        <w:trPr>
          <w:cantSplit/>
          <w:trHeight w:val="171"/>
        </w:trPr>
        <w:tc>
          <w:tcPr>
            <w:tcW w:w="2231" w:type="pct"/>
            <w:shd w:val="clear" w:color="auto" w:fill="auto"/>
          </w:tcPr>
          <w:p w:rsidR="00722DCC" w:rsidRPr="008B3D24" w:rsidRDefault="00722DCC" w:rsidP="00722DCC">
            <w:pPr>
              <w:pStyle w:val="TableText0"/>
            </w:pPr>
            <w:r w:rsidRPr="008B3D24">
              <w:t>Cost of treatment over 2 years</w:t>
            </w:r>
            <w:r w:rsidRPr="008B3D24">
              <w:rPr>
                <w:bCs w:val="0"/>
                <w:iCs/>
                <w:vertAlign w:val="superscript"/>
              </w:rPr>
              <w:t xml:space="preserve"> </w:t>
            </w:r>
          </w:p>
        </w:tc>
        <w:tc>
          <w:tcPr>
            <w:tcW w:w="1385" w:type="pct"/>
            <w:shd w:val="clear" w:color="auto" w:fill="auto"/>
          </w:tcPr>
          <w:p w:rsidR="00722DCC" w:rsidRPr="008B3D24" w:rsidRDefault="00722DCC" w:rsidP="00722DCC">
            <w:pPr>
              <w:pStyle w:val="TableText0"/>
              <w:jc w:val="center"/>
              <w:rPr>
                <w:rFonts w:eastAsia="Calibri"/>
                <w:iCs/>
                <w:szCs w:val="20"/>
              </w:rPr>
            </w:pPr>
            <w:r w:rsidRPr="008B3D24">
              <w:rPr>
                <w:iCs/>
              </w:rPr>
              <w:t>$</w:t>
            </w:r>
            <w:r w:rsidR="0064432C">
              <w:rPr>
                <w:iCs/>
                <w:noProof/>
                <w:color w:val="000000"/>
                <w:highlight w:val="black"/>
              </w:rPr>
              <w:t>''''''''''''''''''''''</w:t>
            </w:r>
          </w:p>
        </w:tc>
        <w:tc>
          <w:tcPr>
            <w:tcW w:w="1384" w:type="pct"/>
            <w:shd w:val="clear" w:color="auto" w:fill="auto"/>
          </w:tcPr>
          <w:p w:rsidR="00722DCC" w:rsidRPr="008B3D24" w:rsidRDefault="00722DCC" w:rsidP="00722DCC">
            <w:pPr>
              <w:pStyle w:val="TableText0"/>
              <w:jc w:val="center"/>
              <w:rPr>
                <w:rFonts w:eastAsia="Calibri"/>
                <w:iCs/>
                <w:szCs w:val="20"/>
              </w:rPr>
            </w:pPr>
            <w:r w:rsidRPr="008B3D24">
              <w:rPr>
                <w:iCs/>
              </w:rPr>
              <w:t>$27,408.16</w:t>
            </w:r>
            <w:r w:rsidR="006941BC" w:rsidRPr="008B3D24">
              <w:rPr>
                <w:iCs/>
                <w:vertAlign w:val="superscript"/>
              </w:rPr>
              <w:t xml:space="preserve"> </w:t>
            </w:r>
          </w:p>
        </w:tc>
      </w:tr>
      <w:tr w:rsidR="00722DCC" w:rsidRPr="008B3D24" w:rsidTr="003E751C">
        <w:trPr>
          <w:cantSplit/>
          <w:trHeight w:val="147"/>
        </w:trPr>
        <w:tc>
          <w:tcPr>
            <w:tcW w:w="2231" w:type="pct"/>
            <w:shd w:val="clear" w:color="auto" w:fill="auto"/>
          </w:tcPr>
          <w:p w:rsidR="00722DCC" w:rsidRPr="008B3D24" w:rsidRDefault="00722DCC" w:rsidP="00722DCC">
            <w:pPr>
              <w:pStyle w:val="TableText0"/>
            </w:pPr>
            <w:r w:rsidRPr="008B3D24">
              <w:t>Revised AEMP per pack</w:t>
            </w:r>
          </w:p>
        </w:tc>
        <w:tc>
          <w:tcPr>
            <w:tcW w:w="1385" w:type="pct"/>
            <w:shd w:val="clear" w:color="auto" w:fill="auto"/>
          </w:tcPr>
          <w:p w:rsidR="00722DCC" w:rsidRPr="008B3D24" w:rsidRDefault="00722DCC" w:rsidP="00722DCC">
            <w:pPr>
              <w:pStyle w:val="TableText0"/>
              <w:jc w:val="center"/>
              <w:rPr>
                <w:rFonts w:eastAsia="Calibri"/>
                <w:iCs/>
                <w:szCs w:val="20"/>
              </w:rPr>
            </w:pPr>
            <w:r w:rsidRPr="008B3D24">
              <w:rPr>
                <w:iCs/>
              </w:rPr>
              <w:t>$</w:t>
            </w:r>
            <w:r w:rsidR="0064432C">
              <w:rPr>
                <w:iCs/>
                <w:noProof/>
                <w:color w:val="000000"/>
                <w:highlight w:val="black"/>
              </w:rPr>
              <w:t>''''''''''''''''''''''</w:t>
            </w:r>
            <w:r w:rsidRPr="008B3D24">
              <w:rPr>
                <w:iCs/>
                <w:vertAlign w:val="superscript"/>
              </w:rPr>
              <w:t xml:space="preserve"> </w:t>
            </w:r>
          </w:p>
        </w:tc>
        <w:tc>
          <w:tcPr>
            <w:tcW w:w="1384" w:type="pct"/>
            <w:shd w:val="clear" w:color="auto" w:fill="auto"/>
          </w:tcPr>
          <w:p w:rsidR="00722DCC" w:rsidRPr="008B3D24" w:rsidRDefault="00722DCC" w:rsidP="00722DCC">
            <w:pPr>
              <w:pStyle w:val="TableText0"/>
              <w:jc w:val="center"/>
              <w:rPr>
                <w:rFonts w:eastAsia="Calibri"/>
                <w:szCs w:val="20"/>
              </w:rPr>
            </w:pPr>
            <w:r w:rsidRPr="008B3D24">
              <w:rPr>
                <w:iCs/>
              </w:rPr>
              <w:t xml:space="preserve">$1,054.16 </w:t>
            </w:r>
            <w:r w:rsidRPr="008B3D24">
              <w:rPr>
                <w:iCs/>
                <w:vertAlign w:val="superscript"/>
              </w:rPr>
              <w:t>b</w:t>
            </w:r>
          </w:p>
        </w:tc>
      </w:tr>
    </w:tbl>
    <w:p w:rsidR="00FA3649" w:rsidRPr="008B3D24" w:rsidRDefault="00FA3649" w:rsidP="00A22FDA">
      <w:pPr>
        <w:pStyle w:val="TableFigureFooter"/>
        <w:jc w:val="both"/>
        <w:rPr>
          <w:iCs/>
        </w:rPr>
      </w:pPr>
      <w:r w:rsidRPr="008B3D24">
        <w:t>Source: Table 3.4.2, p193 of the submission; April 2020 ex-manufacturer pricing spreadsheet; and</w:t>
      </w:r>
      <w:r w:rsidRPr="008B3D24">
        <w:rPr>
          <w:iCs/>
        </w:rPr>
        <w:t xml:space="preserve"> calculated during the evaluation</w:t>
      </w:r>
    </w:p>
    <w:p w:rsidR="00FA3649" w:rsidRPr="008B3D24" w:rsidRDefault="00FA3649" w:rsidP="00A22FDA">
      <w:pPr>
        <w:pStyle w:val="TableFigureFooter"/>
        <w:jc w:val="both"/>
      </w:pPr>
      <w:r w:rsidRPr="008B3D24">
        <w:t xml:space="preserve">AEMP = </w:t>
      </w:r>
      <w:r w:rsidR="000748D4" w:rsidRPr="008B3D24">
        <w:t>a</w:t>
      </w:r>
      <w:r w:rsidRPr="008B3D24">
        <w:t>pproved ex-manufacturer price; CMA = cost-minimisation analysis</w:t>
      </w:r>
    </w:p>
    <w:p w:rsidR="00FA3649" w:rsidRPr="008B3D24" w:rsidRDefault="00FA3649" w:rsidP="00A22FDA">
      <w:pPr>
        <w:pStyle w:val="TableFigureFooter"/>
        <w:jc w:val="both"/>
        <w:rPr>
          <w:iCs/>
        </w:rPr>
      </w:pPr>
      <w:r w:rsidRPr="008B3D24">
        <w:rPr>
          <w:iCs/>
          <w:vertAlign w:val="superscript"/>
        </w:rPr>
        <w:t>a</w:t>
      </w:r>
      <w:r w:rsidRPr="008B3D24">
        <w:rPr>
          <w:iCs/>
        </w:rPr>
        <w:t xml:space="preserve"> Based on treatment</w:t>
      </w:r>
      <w:r w:rsidR="005B7DF3" w:rsidRPr="008B3D24">
        <w:rPr>
          <w:iCs/>
        </w:rPr>
        <w:t xml:space="preserve"> coverage of</w:t>
      </w:r>
      <w:r w:rsidRPr="008B3D24">
        <w:rPr>
          <w:iCs/>
        </w:rPr>
        <w:t xml:space="preserve"> </w:t>
      </w:r>
      <w:r w:rsidR="005B7DF3" w:rsidRPr="008B3D24">
        <w:rPr>
          <w:iCs/>
        </w:rPr>
        <w:t>up</w:t>
      </w:r>
      <w:r w:rsidRPr="008B3D24">
        <w:rPr>
          <w:iCs/>
        </w:rPr>
        <w:t xml:space="preserve"> to 104</w:t>
      </w:r>
      <w:r w:rsidR="002574CD" w:rsidRPr="008B3D24">
        <w:rPr>
          <w:iCs/>
        </w:rPr>
        <w:t xml:space="preserve"> weeks</w:t>
      </w:r>
      <w:r w:rsidR="00D71279" w:rsidRPr="008B3D24">
        <w:rPr>
          <w:iCs/>
        </w:rPr>
        <w:t>. The submission calculated costs for 105 weeks of treatment (from Week 0 to Week 104, inclusive) and included 26 doses of ixekizumab and 53 doses of adalimumab; however, this provides treatment coverage of 104 weeks for ixekizumab and 106 for adalimumab and hence the doses are not equi-effective.</w:t>
      </w:r>
      <w:r w:rsidR="006941BC" w:rsidRPr="008B3D24">
        <w:rPr>
          <w:iCs/>
        </w:rPr>
        <w:t xml:space="preserve"> </w:t>
      </w:r>
    </w:p>
    <w:p w:rsidR="00FA3649" w:rsidRPr="008B3D24" w:rsidRDefault="00FA3649" w:rsidP="00A22FDA">
      <w:pPr>
        <w:pStyle w:val="TableFigureFooter"/>
        <w:jc w:val="both"/>
        <w:rPr>
          <w:iCs/>
        </w:rPr>
      </w:pPr>
      <w:r w:rsidRPr="008B3D24">
        <w:rPr>
          <w:iCs/>
          <w:vertAlign w:val="superscript"/>
        </w:rPr>
        <w:t xml:space="preserve">b </w:t>
      </w:r>
      <w:r w:rsidRPr="008B3D24">
        <w:rPr>
          <w:iCs/>
        </w:rPr>
        <w:t>AEMP of $</w:t>
      </w:r>
      <w:r w:rsidR="00286927" w:rsidRPr="008B3D24">
        <w:rPr>
          <w:iCs/>
        </w:rPr>
        <w:t>1,054.16</w:t>
      </w:r>
      <w:r w:rsidR="00552F78" w:rsidRPr="008B3D24">
        <w:rPr>
          <w:iCs/>
        </w:rPr>
        <w:t xml:space="preserve"> (per pack of 2 pens)</w:t>
      </w:r>
      <w:r w:rsidRPr="008B3D24">
        <w:rPr>
          <w:iCs/>
        </w:rPr>
        <w:t xml:space="preserve"> as at April 2020</w:t>
      </w:r>
    </w:p>
    <w:p w:rsidR="00FA3649" w:rsidRPr="008B3D24" w:rsidRDefault="00FA3649" w:rsidP="00FA3649">
      <w:pPr>
        <w:pStyle w:val="3-BodyText"/>
        <w:rPr>
          <w:rFonts w:eastAsia="Calibri"/>
          <w:iCs/>
        </w:rPr>
      </w:pPr>
      <w:r w:rsidRPr="008B3D24">
        <w:rPr>
          <w:iCs/>
        </w:rPr>
        <w:t>The</w:t>
      </w:r>
      <w:r w:rsidR="00D71279" w:rsidRPr="008B3D24">
        <w:rPr>
          <w:iCs/>
        </w:rPr>
        <w:t xml:space="preserve"> corrected</w:t>
      </w:r>
      <w:r w:rsidRPr="008B3D24">
        <w:rPr>
          <w:iCs/>
        </w:rPr>
        <w:t xml:space="preserve"> analysis </w:t>
      </w:r>
      <w:r w:rsidR="00286927" w:rsidRPr="008B3D24">
        <w:rPr>
          <w:iCs/>
        </w:rPr>
        <w:t xml:space="preserve">based on </w:t>
      </w:r>
      <w:r w:rsidR="002574CD" w:rsidRPr="008B3D24">
        <w:rPr>
          <w:iCs/>
        </w:rPr>
        <w:t xml:space="preserve">up to </w:t>
      </w:r>
      <w:r w:rsidR="00286927" w:rsidRPr="008B3D24">
        <w:rPr>
          <w:iCs/>
        </w:rPr>
        <w:t xml:space="preserve">104 weeks of treatment and the updated </w:t>
      </w:r>
      <w:r w:rsidRPr="008B3D24">
        <w:rPr>
          <w:iCs/>
        </w:rPr>
        <w:t xml:space="preserve">April 2020 </w:t>
      </w:r>
      <w:r w:rsidR="0024211B" w:rsidRPr="008B3D24">
        <w:rPr>
          <w:iCs/>
        </w:rPr>
        <w:t xml:space="preserve">published </w:t>
      </w:r>
      <w:r w:rsidR="00240554" w:rsidRPr="008B3D24">
        <w:rPr>
          <w:iCs/>
        </w:rPr>
        <w:t xml:space="preserve">AEMP of </w:t>
      </w:r>
      <w:r w:rsidRPr="008B3D24">
        <w:rPr>
          <w:iCs/>
        </w:rPr>
        <w:t xml:space="preserve">adalimumab </w:t>
      </w:r>
      <w:r w:rsidR="00286927" w:rsidRPr="008B3D24">
        <w:rPr>
          <w:iCs/>
        </w:rPr>
        <w:t xml:space="preserve">resulted in an AEMP of </w:t>
      </w:r>
      <w:r w:rsidRPr="008B3D24">
        <w:rPr>
          <w:iCs/>
        </w:rPr>
        <w:t>$</w:t>
      </w:r>
      <w:r w:rsidR="0064432C">
        <w:rPr>
          <w:iCs/>
          <w:noProof/>
          <w:color w:val="000000"/>
          <w:highlight w:val="black"/>
        </w:rPr>
        <w:t>'''''''''''''''</w:t>
      </w:r>
      <w:r w:rsidRPr="008B3D24">
        <w:rPr>
          <w:iCs/>
        </w:rPr>
        <w:t>.</w:t>
      </w:r>
      <w:r w:rsidR="0006534A" w:rsidRPr="008B3D24">
        <w:rPr>
          <w:iCs/>
        </w:rPr>
        <w:t xml:space="preserve"> </w:t>
      </w:r>
    </w:p>
    <w:p w:rsidR="00C25D9C" w:rsidRPr="008B3D24" w:rsidRDefault="00C25D9C" w:rsidP="00BB732D">
      <w:pPr>
        <w:pStyle w:val="4-SubsectionHeading"/>
      </w:pPr>
      <w:bookmarkStart w:id="25" w:name="_Toc22897646"/>
      <w:bookmarkStart w:id="26" w:name="_Toc40706509"/>
      <w:r w:rsidRPr="008B3D24">
        <w:t>Drug cost/patient/year</w:t>
      </w:r>
      <w:bookmarkEnd w:id="25"/>
      <w:bookmarkEnd w:id="26"/>
    </w:p>
    <w:p w:rsidR="005E4168" w:rsidRPr="008B3D24" w:rsidRDefault="005E4168" w:rsidP="005E4168">
      <w:pPr>
        <w:pStyle w:val="3-BodyText"/>
        <w:rPr>
          <w:iCs/>
          <w:color w:val="000000" w:themeColor="text1"/>
        </w:rPr>
      </w:pPr>
      <w:r w:rsidRPr="008B3D24">
        <w:rPr>
          <w:iCs/>
          <w:color w:val="000000" w:themeColor="text1"/>
        </w:rPr>
        <w:t xml:space="preserve">Ixekizumab was estimated to cost </w:t>
      </w:r>
      <w:r w:rsidRPr="008B3D24">
        <w:rPr>
          <w:iCs/>
        </w:rPr>
        <w:t>$</w:t>
      </w:r>
      <w:r w:rsidR="0064432C">
        <w:rPr>
          <w:iCs/>
          <w:noProof/>
          <w:color w:val="000000"/>
          <w:highlight w:val="black"/>
        </w:rPr>
        <w:t>''''''''''''''</w:t>
      </w:r>
      <w:r w:rsidRPr="008B3D24">
        <w:rPr>
          <w:iCs/>
        </w:rPr>
        <w:t xml:space="preserve"> per year based on the </w:t>
      </w:r>
      <w:r w:rsidR="00094A2E" w:rsidRPr="008B3D24">
        <w:rPr>
          <w:iCs/>
        </w:rPr>
        <w:t xml:space="preserve">revised effective </w:t>
      </w:r>
      <w:r w:rsidR="00235B61" w:rsidRPr="008B3D24">
        <w:rPr>
          <w:iCs/>
        </w:rPr>
        <w:t>DPMQ ($</w:t>
      </w:r>
      <w:r w:rsidR="0064432C">
        <w:rPr>
          <w:iCs/>
          <w:noProof/>
          <w:color w:val="000000"/>
          <w:highlight w:val="black"/>
        </w:rPr>
        <w:t>'''''''''''''''''</w:t>
      </w:r>
      <w:r w:rsidR="00094A2E" w:rsidRPr="008B3D24">
        <w:rPr>
          <w:iCs/>
        </w:rPr>
        <w:t>)</w:t>
      </w:r>
      <w:r w:rsidRPr="008B3D24">
        <w:rPr>
          <w:iCs/>
        </w:rPr>
        <w:t xml:space="preserve"> and 6.5 prescriptions per year. Adalimumab was estimated to </w:t>
      </w:r>
      <w:r w:rsidR="00161663" w:rsidRPr="008B3D24">
        <w:rPr>
          <w:iCs/>
        </w:rPr>
        <w:t xml:space="preserve">cost </w:t>
      </w:r>
      <w:r w:rsidRPr="008B3D24">
        <w:rPr>
          <w:iCs/>
        </w:rPr>
        <w:t>$</w:t>
      </w:r>
      <w:r w:rsidR="00094A2E" w:rsidRPr="008B3D24">
        <w:rPr>
          <w:iCs/>
        </w:rPr>
        <w:t>15,192</w:t>
      </w:r>
      <w:r w:rsidRPr="008B3D24">
        <w:rPr>
          <w:iCs/>
        </w:rPr>
        <w:t xml:space="preserve"> based on the </w:t>
      </w:r>
      <w:r w:rsidR="00094A2E" w:rsidRPr="008B3D24">
        <w:rPr>
          <w:iCs/>
        </w:rPr>
        <w:t xml:space="preserve">current </w:t>
      </w:r>
      <w:r w:rsidR="0024211B" w:rsidRPr="008B3D24">
        <w:rPr>
          <w:iCs/>
        </w:rPr>
        <w:t xml:space="preserve">published </w:t>
      </w:r>
      <w:r w:rsidRPr="008B3D24">
        <w:rPr>
          <w:iCs/>
        </w:rPr>
        <w:t xml:space="preserve">DPMQ </w:t>
      </w:r>
      <w:r w:rsidR="00235B61" w:rsidRPr="008B3D24">
        <w:rPr>
          <w:iCs/>
        </w:rPr>
        <w:t>($1,168</w:t>
      </w:r>
      <w:r w:rsidR="00094A2E" w:rsidRPr="008B3D24">
        <w:rPr>
          <w:iCs/>
        </w:rPr>
        <w:t>.</w:t>
      </w:r>
      <w:r w:rsidR="00235B61" w:rsidRPr="008B3D24">
        <w:rPr>
          <w:iCs/>
        </w:rPr>
        <w:t xml:space="preserve">62) </w:t>
      </w:r>
      <w:r w:rsidRPr="008B3D24">
        <w:rPr>
          <w:iCs/>
        </w:rPr>
        <w:t xml:space="preserve">and 13 prescriptions per year. </w:t>
      </w:r>
    </w:p>
    <w:p w:rsidR="00B60939" w:rsidRPr="008B3D24" w:rsidRDefault="00B60939" w:rsidP="002B05A1">
      <w:pPr>
        <w:pStyle w:val="4-SubsectionHeading"/>
      </w:pPr>
      <w:bookmarkStart w:id="27" w:name="_Toc22897647"/>
      <w:bookmarkStart w:id="28" w:name="_Toc40706510"/>
      <w:r w:rsidRPr="008B3D24">
        <w:t>Estimated PBS usage &amp; financial implications</w:t>
      </w:r>
      <w:bookmarkEnd w:id="27"/>
      <w:bookmarkEnd w:id="28"/>
    </w:p>
    <w:p w:rsidR="005936B3" w:rsidRPr="008B3D24" w:rsidRDefault="005936B3" w:rsidP="0024211B">
      <w:pPr>
        <w:pStyle w:val="3-BodyText"/>
      </w:pPr>
      <w:r w:rsidRPr="008B3D24">
        <w:t xml:space="preserve">This submission </w:t>
      </w:r>
      <w:r w:rsidR="00F03F00" w:rsidRPr="008B3D24">
        <w:t>was not</w:t>
      </w:r>
      <w:r w:rsidRPr="008B3D24">
        <w:t xml:space="preserve"> considered by DUSC. The submission used a market-share approach to estimate the financial implications of the proposed listing. The key inputs used to estimate the financial estimates </w:t>
      </w:r>
      <w:r w:rsidR="001D4516" w:rsidRPr="008B3D24">
        <w:t>are</w:t>
      </w:r>
      <w:r w:rsidR="00485AA4" w:rsidRPr="008B3D24">
        <w:t xml:space="preserve"> </w:t>
      </w:r>
      <w:r w:rsidRPr="008B3D24">
        <w:t xml:space="preserve">presented in Table </w:t>
      </w:r>
      <w:r w:rsidR="00432764" w:rsidRPr="008B3D24">
        <w:t>1</w:t>
      </w:r>
      <w:r w:rsidR="000D5765" w:rsidRPr="008B3D24">
        <w:t>3</w:t>
      </w:r>
      <w:r w:rsidRPr="008B3D24">
        <w:t xml:space="preserve">. The submission assumed there would be 0% uptake in Year 1 (2020) as ixekizumab would not be listed until December 2020. </w:t>
      </w:r>
      <w:r w:rsidR="0024211B" w:rsidRPr="008B3D24">
        <w:t>The Sponsor provided revised financial estimates in the PSCR with 5% uptake in Year 1 (2021) and 8% in Year 3 (2023) onwards.</w:t>
      </w:r>
    </w:p>
    <w:p w:rsidR="00E42F73" w:rsidRPr="008B3D24" w:rsidRDefault="00E42F73" w:rsidP="00B2415E">
      <w:pPr>
        <w:pStyle w:val="3-BodyText"/>
        <w:keepNext/>
        <w:numPr>
          <w:ilvl w:val="0"/>
          <w:numId w:val="0"/>
        </w:numPr>
        <w:spacing w:after="0"/>
        <w:rPr>
          <w:rStyle w:val="CommentReference"/>
          <w:szCs w:val="24"/>
        </w:rPr>
      </w:pPr>
      <w:r w:rsidRPr="008B3D24">
        <w:rPr>
          <w:rStyle w:val="CommentReference"/>
          <w:szCs w:val="24"/>
        </w:rPr>
        <w:t xml:space="preserve">Table </w:t>
      </w:r>
      <w:r w:rsidR="00432764" w:rsidRPr="008B3D24">
        <w:rPr>
          <w:rStyle w:val="CommentReference"/>
          <w:szCs w:val="24"/>
        </w:rPr>
        <w:t>1</w:t>
      </w:r>
      <w:r w:rsidR="000D5765" w:rsidRPr="008B3D24">
        <w:rPr>
          <w:rStyle w:val="CommentReference"/>
          <w:szCs w:val="24"/>
        </w:rPr>
        <w:t>3</w:t>
      </w:r>
      <w:r w:rsidRPr="008B3D24">
        <w:rPr>
          <w:rStyle w:val="CommentReference"/>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3811"/>
        <w:gridCol w:w="3493"/>
      </w:tblGrid>
      <w:tr w:rsidR="005936B3" w:rsidRPr="008B3D24" w:rsidTr="00B2415E">
        <w:trPr>
          <w:tblHeader/>
        </w:trPr>
        <w:tc>
          <w:tcPr>
            <w:tcW w:w="950" w:type="pct"/>
            <w:shd w:val="clear" w:color="auto" w:fill="auto"/>
            <w:vAlign w:val="center"/>
          </w:tcPr>
          <w:p w:rsidR="005936B3" w:rsidRPr="008B3D24" w:rsidRDefault="005936B3" w:rsidP="00B2415E">
            <w:pPr>
              <w:keepNext/>
              <w:jc w:val="left"/>
              <w:rPr>
                <w:rFonts w:ascii="Arial Narrow" w:eastAsiaTheme="majorEastAsia" w:hAnsi="Arial Narrow" w:cs="Times New Roman"/>
                <w:b/>
                <w:sz w:val="20"/>
              </w:rPr>
            </w:pPr>
            <w:r w:rsidRPr="008B3D24">
              <w:rPr>
                <w:rFonts w:ascii="Arial Narrow" w:eastAsiaTheme="majorEastAsia" w:hAnsi="Arial Narrow" w:cs="Times New Roman"/>
                <w:b/>
                <w:sz w:val="20"/>
              </w:rPr>
              <w:t>Parameter</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imes New Roman"/>
                <w:b/>
                <w:sz w:val="20"/>
              </w:rPr>
            </w:pPr>
            <w:r w:rsidRPr="008B3D24">
              <w:rPr>
                <w:rFonts w:ascii="Arial Narrow" w:eastAsiaTheme="majorEastAsia" w:hAnsi="Arial Narrow" w:cs="Times New Roman"/>
                <w:b/>
                <w:sz w:val="20"/>
              </w:rPr>
              <w:t>Value applied and source</w:t>
            </w:r>
          </w:p>
        </w:tc>
        <w:tc>
          <w:tcPr>
            <w:tcW w:w="1937" w:type="pct"/>
            <w:shd w:val="clear" w:color="auto" w:fill="auto"/>
            <w:vAlign w:val="center"/>
          </w:tcPr>
          <w:p w:rsidR="005936B3" w:rsidRPr="008B3D24" w:rsidRDefault="005936B3" w:rsidP="00B2415E">
            <w:pPr>
              <w:keepNext/>
              <w:jc w:val="left"/>
              <w:rPr>
                <w:rFonts w:ascii="Arial Narrow" w:eastAsiaTheme="majorEastAsia" w:hAnsi="Arial Narrow" w:cs="Times New Roman"/>
                <w:b/>
                <w:sz w:val="20"/>
              </w:rPr>
            </w:pPr>
            <w:r w:rsidRPr="008B3D24">
              <w:rPr>
                <w:rFonts w:ascii="Arial Narrow" w:eastAsiaTheme="majorEastAsia" w:hAnsi="Arial Narrow" w:cs="Times New Roman"/>
                <w:b/>
                <w:sz w:val="20"/>
              </w:rPr>
              <w:t>Comment</w:t>
            </w:r>
          </w:p>
        </w:tc>
      </w:tr>
      <w:tr w:rsidR="005936B3" w:rsidRPr="008B3D24" w:rsidTr="00B2415E">
        <w:tc>
          <w:tcPr>
            <w:tcW w:w="950"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Current market share </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sz w:val="20"/>
              </w:rPr>
              <w:t>PBS &amp; RPBS items processed from December 2018 to November 2019</w:t>
            </w:r>
          </w:p>
        </w:tc>
        <w:tc>
          <w:tcPr>
            <w:tcW w:w="1937" w:type="pct"/>
            <w:shd w:val="clear" w:color="auto" w:fill="auto"/>
            <w:vAlign w:val="center"/>
          </w:tcPr>
          <w:p w:rsidR="005936B3" w:rsidRPr="008B3D24" w:rsidRDefault="00512CF1"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The evaluation considered this </w:t>
            </w:r>
            <w:r w:rsidR="005936B3" w:rsidRPr="008B3D24">
              <w:rPr>
                <w:rFonts w:ascii="Arial Narrow" w:eastAsiaTheme="majorEastAsia" w:hAnsi="Arial Narrow" w:cstheme="majorBidi"/>
                <w:bCs/>
                <w:sz w:val="20"/>
              </w:rPr>
              <w:t>was appropriate</w:t>
            </w:r>
          </w:p>
        </w:tc>
      </w:tr>
      <w:tr w:rsidR="005936B3" w:rsidRPr="008B3D24" w:rsidTr="00B2415E">
        <w:tc>
          <w:tcPr>
            <w:tcW w:w="950"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Market growth up</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heme="majorBidi"/>
                <w:sz w:val="20"/>
              </w:rPr>
            </w:pPr>
            <w:r w:rsidRPr="008B3D24">
              <w:rPr>
                <w:rFonts w:ascii="Arial Narrow" w:eastAsiaTheme="majorEastAsia" w:hAnsi="Arial Narrow" w:cstheme="majorBidi"/>
                <w:sz w:val="20"/>
              </w:rPr>
              <w:t>12.61% and 22.59% for initial and continuing items, respectively based on growth from 2014 to 2017.</w:t>
            </w:r>
          </w:p>
        </w:tc>
        <w:tc>
          <w:tcPr>
            <w:tcW w:w="1937"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iCs/>
                <w:sz w:val="20"/>
              </w:rPr>
              <w:t>Potentially underestimated. Data from 2014 to 2019 resulted in higher growth rates:</w:t>
            </w:r>
            <w:r w:rsidR="003A57C4" w:rsidRPr="008B3D24">
              <w:rPr>
                <w:rFonts w:ascii="Arial Narrow" w:eastAsiaTheme="majorEastAsia" w:hAnsi="Arial Narrow" w:cstheme="majorBidi"/>
                <w:bCs/>
                <w:iCs/>
                <w:sz w:val="20"/>
              </w:rPr>
              <w:t xml:space="preserve"> </w:t>
            </w:r>
            <w:r w:rsidRPr="008B3D24">
              <w:rPr>
                <w:rFonts w:ascii="Arial Narrow" w:eastAsiaTheme="majorEastAsia" w:hAnsi="Arial Narrow" w:cstheme="majorBidi"/>
                <w:bCs/>
                <w:iCs/>
                <w:sz w:val="20"/>
              </w:rPr>
              <w:t>15.65% (initial) and 35.22% continuing.</w:t>
            </w:r>
          </w:p>
        </w:tc>
      </w:tr>
      <w:tr w:rsidR="005936B3" w:rsidRPr="008B3D24" w:rsidTr="00B2415E">
        <w:tc>
          <w:tcPr>
            <w:tcW w:w="950"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Ixekizumab uptake </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0% in Year 1 (2020) increasing to 8% for Year 4 (2025) onwards. Based on secukinumab uptake.</w:t>
            </w:r>
          </w:p>
        </w:tc>
        <w:tc>
          <w:tcPr>
            <w:tcW w:w="1937" w:type="pct"/>
            <w:shd w:val="clear" w:color="auto" w:fill="auto"/>
            <w:vAlign w:val="center"/>
          </w:tcPr>
          <w:p w:rsidR="005936B3" w:rsidRPr="008B3D24" w:rsidRDefault="00D71279"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The Sponsor provided revised financial estimates in the PSCR with 5% uptake in Year 1 (2021) and 8% in Year 3 (2023) onwards.</w:t>
            </w:r>
          </w:p>
        </w:tc>
      </w:tr>
      <w:tr w:rsidR="005936B3" w:rsidRPr="008B3D24" w:rsidTr="00B2415E">
        <w:tc>
          <w:tcPr>
            <w:tcW w:w="950"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Replaced </w:t>
            </w:r>
            <w:r w:rsidR="00045489" w:rsidRPr="008B3D24">
              <w:rPr>
                <w:rFonts w:ascii="Arial Narrow" w:eastAsiaTheme="majorEastAsia" w:hAnsi="Arial Narrow" w:cstheme="majorBidi"/>
                <w:bCs/>
                <w:sz w:val="20"/>
              </w:rPr>
              <w:t>biological medicine</w:t>
            </w:r>
            <w:r w:rsidRPr="008B3D24">
              <w:rPr>
                <w:rFonts w:ascii="Arial Narrow" w:eastAsiaTheme="majorEastAsia" w:hAnsi="Arial Narrow" w:cstheme="majorBidi"/>
                <w:bCs/>
                <w:sz w:val="20"/>
              </w:rPr>
              <w:t xml:space="preserve">s </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Existing </w:t>
            </w:r>
            <w:r w:rsidR="00045489" w:rsidRPr="008B3D24">
              <w:rPr>
                <w:rFonts w:ascii="Arial Narrow" w:eastAsiaTheme="majorEastAsia" w:hAnsi="Arial Narrow" w:cstheme="majorBidi"/>
                <w:bCs/>
                <w:sz w:val="20"/>
              </w:rPr>
              <w:t>biological medicine</w:t>
            </w:r>
            <w:r w:rsidRPr="008B3D24">
              <w:rPr>
                <w:rFonts w:ascii="Arial Narrow" w:eastAsiaTheme="majorEastAsia" w:hAnsi="Arial Narrow" w:cstheme="majorBidi"/>
                <w:bCs/>
                <w:sz w:val="20"/>
              </w:rPr>
              <w:t>s replaced in proportion to 2019 market share. Prices from March 2020 PBS schedule.</w:t>
            </w:r>
          </w:p>
        </w:tc>
        <w:tc>
          <w:tcPr>
            <w:tcW w:w="1937" w:type="pct"/>
            <w:shd w:val="clear" w:color="auto" w:fill="auto"/>
            <w:vAlign w:val="center"/>
          </w:tcPr>
          <w:p w:rsidR="005936B3" w:rsidRPr="008B3D24" w:rsidRDefault="00512CF1"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The evaluation considered this was </w:t>
            </w:r>
            <w:r w:rsidR="005936B3" w:rsidRPr="008B3D24">
              <w:rPr>
                <w:rFonts w:ascii="Arial Narrow" w:eastAsiaTheme="majorEastAsia" w:hAnsi="Arial Narrow" w:cstheme="majorBidi"/>
                <w:bCs/>
                <w:sz w:val="20"/>
              </w:rPr>
              <w:t xml:space="preserve">reasonable. </w:t>
            </w:r>
          </w:p>
        </w:tc>
      </w:tr>
      <w:tr w:rsidR="005936B3" w:rsidRPr="008B3D24" w:rsidTr="00B2415E">
        <w:tc>
          <w:tcPr>
            <w:tcW w:w="950"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MBS item 14245</w:t>
            </w:r>
          </w:p>
        </w:tc>
        <w:tc>
          <w:tcPr>
            <w:tcW w:w="2113"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$99.50 (100% schedule fee) for replaced infliximab infusions. </w:t>
            </w:r>
          </w:p>
        </w:tc>
        <w:tc>
          <w:tcPr>
            <w:tcW w:w="1937" w:type="pct"/>
            <w:shd w:val="clear" w:color="auto" w:fill="auto"/>
            <w:vAlign w:val="center"/>
          </w:tcPr>
          <w:p w:rsidR="005936B3" w:rsidRPr="008B3D24" w:rsidRDefault="005936B3" w:rsidP="00B2415E">
            <w:pPr>
              <w:keepNext/>
              <w:jc w:val="left"/>
              <w:rPr>
                <w:rFonts w:ascii="Arial Narrow" w:eastAsiaTheme="majorEastAsia" w:hAnsi="Arial Narrow" w:cstheme="majorBidi"/>
                <w:bCs/>
                <w:sz w:val="20"/>
              </w:rPr>
            </w:pPr>
            <w:r w:rsidRPr="008B3D24">
              <w:rPr>
                <w:rFonts w:ascii="Arial Narrow" w:eastAsiaTheme="majorEastAsia" w:hAnsi="Arial Narrow" w:cstheme="majorBidi"/>
                <w:bCs/>
                <w:sz w:val="20"/>
              </w:rPr>
              <w:t xml:space="preserve">Should be calculated at 85% </w:t>
            </w:r>
            <w:r w:rsidR="000748D4" w:rsidRPr="008B3D24">
              <w:rPr>
                <w:rFonts w:ascii="Arial Narrow" w:eastAsiaTheme="majorEastAsia" w:hAnsi="Arial Narrow" w:cstheme="majorBidi"/>
                <w:bCs/>
                <w:sz w:val="20"/>
              </w:rPr>
              <w:t>s</w:t>
            </w:r>
            <w:r w:rsidRPr="008B3D24">
              <w:rPr>
                <w:rFonts w:ascii="Arial Narrow" w:eastAsiaTheme="majorEastAsia" w:hAnsi="Arial Narrow" w:cstheme="majorBidi"/>
                <w:bCs/>
                <w:sz w:val="20"/>
              </w:rPr>
              <w:t xml:space="preserve">chedule </w:t>
            </w:r>
            <w:r w:rsidR="000748D4" w:rsidRPr="008B3D24">
              <w:rPr>
                <w:rFonts w:ascii="Arial Narrow" w:eastAsiaTheme="majorEastAsia" w:hAnsi="Arial Narrow" w:cstheme="majorBidi"/>
                <w:bCs/>
                <w:sz w:val="20"/>
              </w:rPr>
              <w:t>f</w:t>
            </w:r>
            <w:r w:rsidRPr="008B3D24">
              <w:rPr>
                <w:rFonts w:ascii="Arial Narrow" w:eastAsiaTheme="majorEastAsia" w:hAnsi="Arial Narrow" w:cstheme="majorBidi"/>
                <w:bCs/>
                <w:sz w:val="20"/>
              </w:rPr>
              <w:t>ee (</w:t>
            </w:r>
            <w:r w:rsidR="00D71279" w:rsidRPr="008B3D24">
              <w:rPr>
                <w:rFonts w:ascii="Arial Narrow" w:eastAsiaTheme="majorEastAsia" w:hAnsi="Arial Narrow" w:cstheme="majorBidi"/>
                <w:bCs/>
                <w:sz w:val="20"/>
              </w:rPr>
              <w:t xml:space="preserve">corrected </w:t>
            </w:r>
            <w:r w:rsidRPr="008B3D24">
              <w:rPr>
                <w:rFonts w:ascii="Arial Narrow" w:eastAsiaTheme="majorEastAsia" w:hAnsi="Arial Narrow" w:cstheme="majorBidi"/>
                <w:bCs/>
                <w:sz w:val="20"/>
              </w:rPr>
              <w:t>in evaluation)</w:t>
            </w:r>
          </w:p>
        </w:tc>
      </w:tr>
    </w:tbl>
    <w:p w:rsidR="005936B3" w:rsidRPr="008B3D24" w:rsidRDefault="005936B3" w:rsidP="00A22FDA">
      <w:pPr>
        <w:rPr>
          <w:rFonts w:ascii="Arial Narrow" w:hAnsi="Arial Narrow" w:cs="Times New Roman"/>
          <w:snapToGrid w:val="0"/>
          <w:sz w:val="18"/>
          <w:szCs w:val="22"/>
          <w:lang w:eastAsia="en-GB"/>
        </w:rPr>
      </w:pPr>
      <w:r w:rsidRPr="008B3D24">
        <w:rPr>
          <w:rFonts w:ascii="Arial Narrow" w:hAnsi="Arial Narrow" w:cs="Times New Roman"/>
          <w:snapToGrid w:val="0"/>
          <w:sz w:val="18"/>
          <w:szCs w:val="22"/>
          <w:lang w:eastAsia="en-GB"/>
        </w:rPr>
        <w:t xml:space="preserve">Source: Table 4.1-2, pp196-197 </w:t>
      </w:r>
      <w:r w:rsidR="000748D4" w:rsidRPr="008B3D24">
        <w:rPr>
          <w:rFonts w:ascii="Arial Narrow" w:hAnsi="Arial Narrow" w:cs="Times New Roman"/>
          <w:snapToGrid w:val="0"/>
          <w:sz w:val="18"/>
          <w:szCs w:val="22"/>
          <w:lang w:eastAsia="en-GB"/>
        </w:rPr>
        <w:t xml:space="preserve">of submission; </w:t>
      </w:r>
      <w:r w:rsidRPr="008B3D24">
        <w:rPr>
          <w:rFonts w:ascii="Arial Narrow" w:hAnsi="Arial Narrow" w:cs="Times New Roman"/>
          <w:snapToGrid w:val="0"/>
          <w:sz w:val="18"/>
          <w:szCs w:val="22"/>
          <w:lang w:eastAsia="en-GB"/>
        </w:rPr>
        <w:t>Section 4 spreadsheet</w:t>
      </w:r>
    </w:p>
    <w:p w:rsidR="005936B3" w:rsidRPr="008B3D24" w:rsidRDefault="005936B3" w:rsidP="00A22FDA">
      <w:pPr>
        <w:rPr>
          <w:rFonts w:ascii="Arial Narrow" w:hAnsi="Arial Narrow" w:cs="Times New Roman"/>
          <w:snapToGrid w:val="0"/>
          <w:sz w:val="18"/>
          <w:szCs w:val="22"/>
          <w:lang w:eastAsia="en-GB"/>
        </w:rPr>
      </w:pPr>
      <w:r w:rsidRPr="008B3D24">
        <w:rPr>
          <w:rFonts w:ascii="Arial Narrow" w:hAnsi="Arial Narrow" w:cs="Times New Roman"/>
          <w:snapToGrid w:val="0"/>
          <w:sz w:val="18"/>
          <w:szCs w:val="22"/>
          <w:lang w:eastAsia="en-GB"/>
        </w:rPr>
        <w:t xml:space="preserve">DPMQ = </w:t>
      </w:r>
      <w:r w:rsidR="00DC727C" w:rsidRPr="008B3D24">
        <w:rPr>
          <w:rFonts w:ascii="Arial Narrow" w:hAnsi="Arial Narrow" w:cs="Times New Roman"/>
          <w:snapToGrid w:val="0"/>
          <w:sz w:val="18"/>
          <w:szCs w:val="22"/>
          <w:lang w:eastAsia="en-GB"/>
        </w:rPr>
        <w:t>dispensed price for maximum quantity</w:t>
      </w:r>
      <w:r w:rsidRPr="008B3D24">
        <w:rPr>
          <w:rFonts w:ascii="Arial Narrow" w:hAnsi="Arial Narrow" w:cs="Times New Roman"/>
          <w:snapToGrid w:val="0"/>
          <w:sz w:val="18"/>
          <w:szCs w:val="22"/>
          <w:lang w:eastAsia="en-GB"/>
        </w:rPr>
        <w:t xml:space="preserve">; </w:t>
      </w:r>
      <w:r w:rsidR="000748D4" w:rsidRPr="008B3D24">
        <w:rPr>
          <w:rFonts w:ascii="Arial Narrow" w:hAnsi="Arial Narrow" w:cs="Times New Roman"/>
          <w:snapToGrid w:val="0"/>
          <w:sz w:val="18"/>
          <w:szCs w:val="22"/>
          <w:lang w:eastAsia="en-GB"/>
        </w:rPr>
        <w:t xml:space="preserve">MBS = Medicare Benefits Schedule; </w:t>
      </w:r>
      <w:r w:rsidRPr="008B3D24">
        <w:rPr>
          <w:rFonts w:ascii="Arial Narrow" w:hAnsi="Arial Narrow" w:cs="Times New Roman"/>
          <w:snapToGrid w:val="0"/>
          <w:sz w:val="18"/>
          <w:szCs w:val="22"/>
          <w:lang w:eastAsia="en-GB"/>
        </w:rPr>
        <w:t xml:space="preserve">PBS = Pharmaceutical Benefits Scheme; RPBS = Repatriation Schedule of Pharmaceutical Benefits </w:t>
      </w:r>
    </w:p>
    <w:p w:rsidR="005936B3" w:rsidRPr="008B3D24" w:rsidRDefault="005936B3" w:rsidP="005936B3">
      <w:pPr>
        <w:jc w:val="left"/>
        <w:rPr>
          <w:rFonts w:ascii="Arial Narrow" w:hAnsi="Arial Narrow" w:cs="Times New Roman"/>
          <w:snapToGrid w:val="0"/>
          <w:sz w:val="18"/>
          <w:szCs w:val="22"/>
          <w:lang w:eastAsia="en-GB"/>
        </w:rPr>
      </w:pPr>
    </w:p>
    <w:p w:rsidR="005936B3" w:rsidRPr="008B3D24" w:rsidRDefault="005936B3" w:rsidP="005936B3">
      <w:pPr>
        <w:pStyle w:val="3-BodyText"/>
        <w:rPr>
          <w:i/>
        </w:rPr>
      </w:pPr>
      <w:r w:rsidRPr="008B3D24">
        <w:t xml:space="preserve">The submission estimated that the AS </w:t>
      </w:r>
      <w:r w:rsidR="00045489" w:rsidRPr="008B3D24">
        <w:t>biological medicine</w:t>
      </w:r>
      <w:r w:rsidRPr="008B3D24">
        <w:t xml:space="preserve"> market would grow at 12.61% and 22.59% for initial and continuing items, respectively based on market growth rates from 2014 to 2017. </w:t>
      </w:r>
      <w:r w:rsidRPr="008B3D24">
        <w:rPr>
          <w:iCs/>
        </w:rPr>
        <w:t xml:space="preserve">This may have been underestimated, as more recent data from June 2014 to June 2019 estimated annual growth of 15.65% for initial items and 35.22% for continuing items. </w:t>
      </w:r>
      <w:r w:rsidRPr="008B3D24">
        <w:t xml:space="preserve">The submission assumed ixekizumab would gain maximum market share of 8% in Year 4 (2023), based on the uptake of secukinumab. The submission assumed that ixekizumab would take market share from all </w:t>
      </w:r>
      <w:r w:rsidR="00045489" w:rsidRPr="008B3D24">
        <w:t>biological medicine</w:t>
      </w:r>
      <w:r w:rsidRPr="008B3D24">
        <w:t xml:space="preserve">s in proportion to their 2019 market share. The submission converted the number of replaced </w:t>
      </w:r>
      <w:r w:rsidR="00045489" w:rsidRPr="008B3D24">
        <w:t>biological medicine</w:t>
      </w:r>
      <w:r w:rsidRPr="008B3D24">
        <w:t xml:space="preserve"> prescriptions into ixekizumab prescriptions using a “script-equivalence” conversion factor, which accounted for the different lengths of treatment provided by a single prescription. </w:t>
      </w:r>
      <w:r w:rsidRPr="008B3D24">
        <w:rPr>
          <w:iCs/>
        </w:rPr>
        <w:t>The approach was reasonable but did not account for infliximab and certolizumab pegol hav</w:t>
      </w:r>
      <w:r w:rsidR="0057102D" w:rsidRPr="008B3D24">
        <w:rPr>
          <w:iCs/>
        </w:rPr>
        <w:t>ing</w:t>
      </w:r>
      <w:r w:rsidRPr="008B3D24">
        <w:rPr>
          <w:iCs/>
        </w:rPr>
        <w:t xml:space="preserve"> longer </w:t>
      </w:r>
      <w:r w:rsidR="00B10631" w:rsidRPr="008B3D24">
        <w:rPr>
          <w:iCs/>
        </w:rPr>
        <w:t xml:space="preserve">durations of </w:t>
      </w:r>
      <w:r w:rsidRPr="008B3D24">
        <w:rPr>
          <w:iCs/>
        </w:rPr>
        <w:t xml:space="preserve">initial treatment. A summary of the financial implications is presented in Table </w:t>
      </w:r>
      <w:r w:rsidR="00432764" w:rsidRPr="008B3D24">
        <w:rPr>
          <w:iCs/>
        </w:rPr>
        <w:t>1</w:t>
      </w:r>
      <w:r w:rsidR="000D5765" w:rsidRPr="008B3D24">
        <w:rPr>
          <w:iCs/>
        </w:rPr>
        <w:t>4</w:t>
      </w:r>
      <w:r w:rsidRPr="008B3D24">
        <w:rPr>
          <w:iCs/>
        </w:rPr>
        <w:t>.</w:t>
      </w:r>
      <w:r w:rsidR="00C87F4E" w:rsidRPr="008B3D24">
        <w:rPr>
          <w:iCs/>
        </w:rPr>
        <w:t xml:space="preserve"> During the evaluation, the cost of infliximab was corrected to allow 4.87 vials per dose (rather than one vial for several items) and Medicare Benefits Schedule (MBS) administration costs were calculated at 85% of the Schedule Fee.</w:t>
      </w:r>
      <w:r w:rsidR="001454C6" w:rsidRPr="008B3D24">
        <w:rPr>
          <w:iCs/>
        </w:rPr>
        <w:t xml:space="preserve"> The PSCR identified a calculation error </w:t>
      </w:r>
      <w:r w:rsidR="005E68DA" w:rsidRPr="008B3D24">
        <w:rPr>
          <w:iCs/>
        </w:rPr>
        <w:t>in how uptake rates were applied in the model provided with the submission. Revised financial estimates are presented in Table 14.</w:t>
      </w:r>
      <w:r w:rsidR="005E68DA" w:rsidRPr="008B3D24">
        <w:rPr>
          <w:i/>
          <w:iCs/>
        </w:rPr>
        <w:t xml:space="preserve"> </w:t>
      </w:r>
    </w:p>
    <w:p w:rsidR="00C25D9C" w:rsidRPr="008B3D24" w:rsidRDefault="002A2F50" w:rsidP="00606FBA">
      <w:pPr>
        <w:pStyle w:val="TableFigureHeading"/>
      </w:pPr>
      <w:r w:rsidRPr="008B3D24">
        <w:rPr>
          <w:rStyle w:val="CommentReference"/>
          <w:b/>
          <w:szCs w:val="24"/>
        </w:rPr>
        <w:t xml:space="preserve">Table </w:t>
      </w:r>
      <w:r w:rsidR="00432764" w:rsidRPr="008B3D24">
        <w:rPr>
          <w:rStyle w:val="CommentReference"/>
          <w:b/>
          <w:szCs w:val="24"/>
        </w:rPr>
        <w:t>1</w:t>
      </w:r>
      <w:r w:rsidR="000D5765" w:rsidRPr="008B3D24">
        <w:rPr>
          <w:rStyle w:val="CommentReference"/>
          <w:b/>
          <w:szCs w:val="24"/>
        </w:rPr>
        <w:t>4</w:t>
      </w:r>
      <w:r w:rsidRPr="008B3D24">
        <w:rPr>
          <w:rStyle w:val="CommentReference"/>
          <w:b/>
          <w:szCs w:val="24"/>
        </w:rPr>
        <w:t>: Estimated use and financial implications</w:t>
      </w:r>
      <w:r w:rsidR="00F866EC" w:rsidRPr="008B3D24">
        <w:rPr>
          <w:rStyle w:val="CommentReference"/>
          <w:b/>
          <w:szCs w:val="24"/>
        </w:rPr>
        <w:t xml:space="preserve"> (based on uptake </w:t>
      </w:r>
      <w:r w:rsidR="002215D9" w:rsidRPr="008B3D24">
        <w:rPr>
          <w:rStyle w:val="CommentReference"/>
          <w:b/>
          <w:szCs w:val="24"/>
        </w:rPr>
        <w:t xml:space="preserve">corrected for error as advised in </w:t>
      </w:r>
      <w:r w:rsidR="00F866EC" w:rsidRPr="008B3D24">
        <w:rPr>
          <w:rStyle w:val="CommentReference"/>
          <w:b/>
          <w:szCs w:val="24"/>
        </w:rPr>
        <w:t>PSCR)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02"/>
        <w:gridCol w:w="997"/>
        <w:gridCol w:w="1002"/>
        <w:gridCol w:w="1009"/>
        <w:gridCol w:w="1002"/>
        <w:gridCol w:w="1009"/>
        <w:gridCol w:w="996"/>
      </w:tblGrid>
      <w:tr w:rsidR="009F7035" w:rsidRPr="008B3D24" w:rsidTr="00A22FDA">
        <w:trPr>
          <w:tblHeader/>
        </w:trPr>
        <w:tc>
          <w:tcPr>
            <w:tcW w:w="1666"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p>
        </w:tc>
        <w:tc>
          <w:tcPr>
            <w:tcW w:w="554"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1</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1</w:t>
            </w:r>
            <w:r w:rsidRPr="008B3D24">
              <w:rPr>
                <w:rFonts w:ascii="Arial Narrow" w:eastAsiaTheme="majorEastAsia" w:hAnsi="Arial Narrow" w:cs="Times New Roman"/>
                <w:b/>
                <w:sz w:val="20"/>
              </w:rPr>
              <w:t>)</w:t>
            </w:r>
          </w:p>
        </w:tc>
        <w:tc>
          <w:tcPr>
            <w:tcW w:w="557"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2</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2</w:t>
            </w:r>
            <w:r w:rsidRPr="008B3D24">
              <w:rPr>
                <w:rFonts w:ascii="Arial Narrow" w:eastAsiaTheme="majorEastAsia" w:hAnsi="Arial Narrow" w:cs="Times New Roman"/>
                <w:b/>
                <w:sz w:val="20"/>
              </w:rPr>
              <w:t>)</w:t>
            </w:r>
          </w:p>
        </w:tc>
        <w:tc>
          <w:tcPr>
            <w:tcW w:w="557"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3</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3</w:t>
            </w:r>
            <w:r w:rsidRPr="008B3D24">
              <w:rPr>
                <w:rFonts w:ascii="Arial Narrow" w:eastAsiaTheme="majorEastAsia" w:hAnsi="Arial Narrow" w:cs="Times New Roman"/>
                <w:b/>
                <w:sz w:val="20"/>
              </w:rPr>
              <w:t>)</w:t>
            </w:r>
          </w:p>
        </w:tc>
        <w:tc>
          <w:tcPr>
            <w:tcW w:w="556"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4</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4</w:t>
            </w:r>
            <w:r w:rsidRPr="008B3D24">
              <w:rPr>
                <w:rFonts w:ascii="Arial Narrow" w:eastAsiaTheme="majorEastAsia" w:hAnsi="Arial Narrow" w:cs="Times New Roman"/>
                <w:b/>
                <w:sz w:val="20"/>
              </w:rPr>
              <w:t>)</w:t>
            </w:r>
          </w:p>
        </w:tc>
        <w:tc>
          <w:tcPr>
            <w:tcW w:w="557" w:type="pct"/>
            <w:shd w:val="clear" w:color="auto" w:fill="auto"/>
            <w:vAlign w:val="center"/>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5</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5</w:t>
            </w:r>
            <w:r w:rsidRPr="008B3D24">
              <w:rPr>
                <w:rFonts w:ascii="Arial Narrow" w:eastAsiaTheme="majorEastAsia" w:hAnsi="Arial Narrow" w:cs="Times New Roman"/>
                <w:b/>
                <w:sz w:val="20"/>
              </w:rPr>
              <w:t>)</w:t>
            </w:r>
          </w:p>
        </w:tc>
        <w:tc>
          <w:tcPr>
            <w:tcW w:w="553" w:type="pct"/>
          </w:tcPr>
          <w:p w:rsidR="009F7035" w:rsidRPr="008B3D24" w:rsidRDefault="009F7035"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Year 6</w:t>
            </w:r>
          </w:p>
          <w:p w:rsidR="003D3DE9" w:rsidRPr="008B3D24" w:rsidRDefault="003D3DE9" w:rsidP="009F7035">
            <w:pPr>
              <w:keepNext/>
              <w:jc w:val="center"/>
              <w:rPr>
                <w:rFonts w:ascii="Arial Narrow" w:eastAsiaTheme="majorEastAsia" w:hAnsi="Arial Narrow" w:cs="Times New Roman"/>
                <w:b/>
                <w:sz w:val="20"/>
              </w:rPr>
            </w:pPr>
            <w:r w:rsidRPr="008B3D24">
              <w:rPr>
                <w:rFonts w:ascii="Arial Narrow" w:eastAsiaTheme="majorEastAsia" w:hAnsi="Arial Narrow" w:cs="Times New Roman"/>
                <w:b/>
                <w:sz w:val="20"/>
              </w:rPr>
              <w:t>(202</w:t>
            </w:r>
            <w:r w:rsidR="007E203A" w:rsidRPr="008B3D24">
              <w:rPr>
                <w:rFonts w:ascii="Arial Narrow" w:eastAsiaTheme="majorEastAsia" w:hAnsi="Arial Narrow" w:cs="Times New Roman"/>
                <w:b/>
                <w:sz w:val="20"/>
              </w:rPr>
              <w:t>6</w:t>
            </w:r>
            <w:r w:rsidRPr="008B3D24">
              <w:rPr>
                <w:rFonts w:ascii="Arial Narrow" w:eastAsiaTheme="majorEastAsia" w:hAnsi="Arial Narrow" w:cs="Times New Roman"/>
                <w:b/>
                <w:sz w:val="20"/>
              </w:rPr>
              <w:t>)</w:t>
            </w:r>
          </w:p>
        </w:tc>
      </w:tr>
      <w:tr w:rsidR="009F7035" w:rsidRPr="008B3D24" w:rsidTr="00A22FDA">
        <w:tc>
          <w:tcPr>
            <w:tcW w:w="5000" w:type="pct"/>
            <w:gridSpan w:val="7"/>
            <w:shd w:val="clear" w:color="auto" w:fill="auto"/>
            <w:vAlign w:val="center"/>
          </w:tcPr>
          <w:p w:rsidR="009F7035" w:rsidRPr="008B3D24" w:rsidRDefault="009F7035" w:rsidP="009F7035">
            <w:pPr>
              <w:keepNext/>
              <w:jc w:val="left"/>
              <w:rPr>
                <w:rFonts w:ascii="Arial Narrow" w:eastAsiaTheme="majorEastAsia" w:hAnsi="Arial Narrow" w:cs="Times New Roman"/>
                <w:b/>
                <w:bCs/>
                <w:color w:val="000000"/>
                <w:sz w:val="20"/>
              </w:rPr>
            </w:pPr>
            <w:r w:rsidRPr="008B3D24">
              <w:rPr>
                <w:rFonts w:ascii="Arial Narrow" w:eastAsiaTheme="majorEastAsia" w:hAnsi="Arial Narrow" w:cs="Times New Roman"/>
                <w:b/>
                <w:bCs/>
                <w:color w:val="000000"/>
                <w:sz w:val="20"/>
              </w:rPr>
              <w:t>Estimated extent of use</w:t>
            </w:r>
          </w:p>
        </w:tc>
      </w:tr>
      <w:tr w:rsidR="007E203A" w:rsidRPr="008B3D24" w:rsidTr="00A22FDA">
        <w:tc>
          <w:tcPr>
            <w:tcW w:w="1666" w:type="pct"/>
            <w:shd w:val="clear" w:color="auto" w:fill="auto"/>
            <w:vAlign w:val="center"/>
          </w:tcPr>
          <w:p w:rsidR="007E203A" w:rsidRPr="008B3D24" w:rsidRDefault="007E203A" w:rsidP="007E203A">
            <w:pPr>
              <w:keepNext/>
              <w:jc w:val="left"/>
              <w:rPr>
                <w:rFonts w:ascii="Times" w:eastAsiaTheme="majorEastAsia" w:hAnsi="Times" w:cstheme="majorBidi"/>
                <w:bCs/>
                <w:sz w:val="20"/>
              </w:rPr>
            </w:pPr>
            <w:r w:rsidRPr="008B3D24">
              <w:rPr>
                <w:rFonts w:ascii="Arial Narrow" w:eastAsiaTheme="majorEastAsia" w:hAnsi="Arial Narrow" w:cstheme="majorBidi"/>
                <w:bCs/>
                <w:sz w:val="20"/>
              </w:rPr>
              <w:t xml:space="preserve">Number of scripts dispensed </w:t>
            </w:r>
          </w:p>
        </w:tc>
        <w:tc>
          <w:tcPr>
            <w:tcW w:w="554" w:type="pct"/>
            <w:shd w:val="clear" w:color="auto" w:fill="auto"/>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c>
          <w:tcPr>
            <w:tcW w:w="557" w:type="pct"/>
            <w:shd w:val="clear" w:color="auto" w:fill="auto"/>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c>
          <w:tcPr>
            <w:tcW w:w="557" w:type="pct"/>
            <w:shd w:val="clear" w:color="auto" w:fill="auto"/>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c>
          <w:tcPr>
            <w:tcW w:w="556" w:type="pct"/>
            <w:shd w:val="clear" w:color="auto" w:fill="auto"/>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c>
          <w:tcPr>
            <w:tcW w:w="557" w:type="pct"/>
            <w:shd w:val="clear" w:color="auto" w:fill="auto"/>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c>
          <w:tcPr>
            <w:tcW w:w="553" w:type="pct"/>
          </w:tcPr>
          <w:p w:rsidR="007E203A" w:rsidRPr="0064432C" w:rsidRDefault="0064432C" w:rsidP="007E203A">
            <w:pPr>
              <w:keepNext/>
              <w:jc w:val="center"/>
              <w:rPr>
                <w:rFonts w:ascii="Arial Narrow" w:eastAsiaTheme="majorEastAsia" w:hAnsi="Arial Narrow" w:cstheme="majorBidi"/>
                <w:bCs/>
                <w:color w:val="000000"/>
                <w:sz w:val="20"/>
                <w:highlight w:val="black"/>
              </w:rPr>
            </w:pPr>
            <w:r>
              <w:rPr>
                <w:rFonts w:ascii="Arial Narrow" w:hAnsi="Arial Narrow"/>
                <w:noProof/>
                <w:color w:val="000000"/>
                <w:sz w:val="19"/>
                <w:szCs w:val="19"/>
                <w:highlight w:val="black"/>
              </w:rPr>
              <w:t>'''''''''''''''</w:t>
            </w:r>
            <w:r w:rsidR="007E203A" w:rsidRPr="0064432C">
              <w:rPr>
                <w:rFonts w:ascii="Arial Narrow" w:hAnsi="Arial Narrow"/>
                <w:sz w:val="19"/>
                <w:szCs w:val="19"/>
                <w:highlight w:val="black"/>
              </w:rPr>
              <w:t xml:space="preserve"> </w:t>
            </w:r>
          </w:p>
        </w:tc>
      </w:tr>
      <w:tr w:rsidR="007E203A" w:rsidRPr="008B3D24" w:rsidTr="00A22FDA">
        <w:tc>
          <w:tcPr>
            <w:tcW w:w="5000" w:type="pct"/>
            <w:gridSpan w:val="7"/>
            <w:shd w:val="clear" w:color="auto" w:fill="auto"/>
            <w:vAlign w:val="center"/>
          </w:tcPr>
          <w:p w:rsidR="007E203A" w:rsidRPr="008B3D24" w:rsidRDefault="007E203A" w:rsidP="007E203A">
            <w:pPr>
              <w:keepNext/>
              <w:jc w:val="left"/>
              <w:rPr>
                <w:rFonts w:ascii="Arial Narrow" w:eastAsiaTheme="majorEastAsia" w:hAnsi="Arial Narrow" w:cs="Times New Roman"/>
                <w:b/>
                <w:sz w:val="20"/>
              </w:rPr>
            </w:pPr>
            <w:r w:rsidRPr="008B3D24">
              <w:rPr>
                <w:rFonts w:ascii="Arial Narrow" w:eastAsiaTheme="majorEastAsia" w:hAnsi="Arial Narrow" w:cs="Times New Roman"/>
                <w:b/>
                <w:sz w:val="20"/>
              </w:rPr>
              <w:t xml:space="preserve">Estimated financial implications of ixekizumab </w:t>
            </w:r>
            <w:r w:rsidRPr="008B3D24">
              <w:rPr>
                <w:rFonts w:ascii="Arial Narrow" w:eastAsiaTheme="majorEastAsia" w:hAnsi="Arial Narrow" w:cs="Times New Roman"/>
                <w:b/>
                <w:sz w:val="20"/>
                <w:vertAlign w:val="superscript"/>
              </w:rPr>
              <w:t>a</w:t>
            </w:r>
          </w:p>
        </w:tc>
      </w:tr>
      <w:tr w:rsidR="007E203A" w:rsidRPr="008B3D24" w:rsidTr="00A22FDA">
        <w:trPr>
          <w:trHeight w:val="97"/>
        </w:trPr>
        <w:tc>
          <w:tcPr>
            <w:tcW w:w="1666" w:type="pct"/>
            <w:shd w:val="clear" w:color="auto" w:fill="auto"/>
            <w:vAlign w:val="center"/>
          </w:tcPr>
          <w:p w:rsidR="007E203A" w:rsidRPr="008B3D24" w:rsidRDefault="007E203A" w:rsidP="007E203A">
            <w:pPr>
              <w:keepNext/>
              <w:jc w:val="left"/>
              <w:rPr>
                <w:rFonts w:ascii="Arial Narrow" w:eastAsiaTheme="majorEastAsia" w:hAnsi="Arial Narrow" w:cstheme="majorBidi"/>
                <w:bCs/>
                <w:sz w:val="19"/>
                <w:szCs w:val="19"/>
              </w:rPr>
            </w:pPr>
            <w:r w:rsidRPr="008B3D24">
              <w:rPr>
                <w:rFonts w:ascii="Arial Narrow" w:eastAsiaTheme="majorEastAsia" w:hAnsi="Arial Narrow" w:cstheme="majorBidi"/>
                <w:bCs/>
                <w:sz w:val="19"/>
                <w:szCs w:val="19"/>
              </w:rPr>
              <w:t>Cost to PBS/RPBS less co-payments</w:t>
            </w:r>
          </w:p>
        </w:tc>
        <w:tc>
          <w:tcPr>
            <w:tcW w:w="554" w:type="pct"/>
            <w:shd w:val="clear" w:color="auto" w:fill="auto"/>
            <w:vAlign w:val="center"/>
          </w:tcPr>
          <w:p w:rsidR="007E203A" w:rsidRPr="008B3D24" w:rsidRDefault="007E203A" w:rsidP="007E203A">
            <w:pPr>
              <w:keepNext/>
              <w:jc w:val="center"/>
              <w:rPr>
                <w:rFonts w:ascii="Arial Narrow" w:eastAsiaTheme="majorEastAsia" w:hAnsi="Arial Narrow" w:cstheme="majorBidi"/>
                <w:bCs/>
                <w:sz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bCs/>
                <w:iCs/>
                <w:sz w:val="20"/>
                <w:szCs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bCs/>
                <w:iCs/>
                <w:sz w:val="20"/>
                <w:szCs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c>
          <w:tcPr>
            <w:tcW w:w="556" w:type="pct"/>
            <w:shd w:val="clear" w:color="auto" w:fill="auto"/>
            <w:vAlign w:val="center"/>
          </w:tcPr>
          <w:p w:rsidR="007E203A" w:rsidRPr="008B3D24" w:rsidRDefault="007E203A" w:rsidP="007E203A">
            <w:pPr>
              <w:keepNext/>
              <w:jc w:val="center"/>
              <w:rPr>
                <w:rFonts w:ascii="Arial Narrow" w:eastAsiaTheme="majorEastAsia" w:hAnsi="Arial Narrow" w:cstheme="majorBidi"/>
                <w:bCs/>
                <w:iCs/>
                <w:sz w:val="20"/>
                <w:szCs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bCs/>
                <w:iCs/>
                <w:sz w:val="20"/>
                <w:szCs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c>
          <w:tcPr>
            <w:tcW w:w="553" w:type="pct"/>
            <w:shd w:val="clear" w:color="auto" w:fill="auto"/>
            <w:vAlign w:val="center"/>
          </w:tcPr>
          <w:p w:rsidR="007E203A" w:rsidRPr="008B3D24" w:rsidRDefault="007E203A" w:rsidP="007E203A">
            <w:pPr>
              <w:keepNext/>
              <w:jc w:val="center"/>
              <w:rPr>
                <w:rFonts w:ascii="Arial Narrow" w:eastAsiaTheme="majorEastAsia" w:hAnsi="Arial Narrow" w:cstheme="majorBidi"/>
                <w:bCs/>
                <w:iCs/>
                <w:sz w:val="20"/>
                <w:szCs w:val="20"/>
              </w:rPr>
            </w:pPr>
            <w:r w:rsidRPr="008B3D24">
              <w:rPr>
                <w:rFonts w:ascii="Arial Narrow" w:eastAsia="Calibri" w:hAnsi="Arial Narrow"/>
                <w:sz w:val="19"/>
                <w:szCs w:val="19"/>
                <w:lang w:bidi="en-AU"/>
              </w:rPr>
              <w:t>$</w:t>
            </w:r>
            <w:r w:rsidR="0064432C">
              <w:rPr>
                <w:rFonts w:ascii="Arial Narrow" w:eastAsia="Calibri" w:hAnsi="Arial Narrow"/>
                <w:noProof/>
                <w:color w:val="000000"/>
                <w:sz w:val="19"/>
                <w:szCs w:val="19"/>
                <w:highlight w:val="black"/>
                <w:lang w:bidi="en-AU"/>
              </w:rPr>
              <w:t>''''''''''''''''''''''''</w:t>
            </w:r>
          </w:p>
        </w:tc>
      </w:tr>
      <w:tr w:rsidR="007E203A" w:rsidRPr="008B3D24" w:rsidTr="00A22FDA">
        <w:tc>
          <w:tcPr>
            <w:tcW w:w="5000" w:type="pct"/>
            <w:gridSpan w:val="7"/>
            <w:shd w:val="clear" w:color="auto" w:fill="auto"/>
            <w:vAlign w:val="center"/>
          </w:tcPr>
          <w:p w:rsidR="007E203A" w:rsidRPr="008B3D24" w:rsidRDefault="007E203A" w:rsidP="007E203A">
            <w:pPr>
              <w:keepNext/>
              <w:jc w:val="left"/>
              <w:rPr>
                <w:rFonts w:ascii="Arial Narrow" w:eastAsiaTheme="majorEastAsia" w:hAnsi="Arial Narrow" w:cstheme="majorBidi"/>
                <w:b/>
                <w:sz w:val="20"/>
              </w:rPr>
            </w:pPr>
            <w:r w:rsidRPr="008B3D24">
              <w:rPr>
                <w:rFonts w:ascii="Arial Narrow" w:eastAsiaTheme="majorEastAsia" w:hAnsi="Arial Narrow" w:cstheme="majorBidi"/>
                <w:b/>
                <w:sz w:val="20"/>
              </w:rPr>
              <w:t xml:space="preserve">Estimated financial implications for other biological medicines </w:t>
            </w:r>
            <w:r w:rsidRPr="008B3D24">
              <w:rPr>
                <w:rFonts w:ascii="Arial Narrow" w:eastAsiaTheme="majorEastAsia" w:hAnsi="Arial Narrow" w:cstheme="majorBidi"/>
                <w:b/>
                <w:sz w:val="20"/>
                <w:vertAlign w:val="superscript"/>
              </w:rPr>
              <w:t>b</w:t>
            </w:r>
          </w:p>
        </w:tc>
      </w:tr>
      <w:tr w:rsidR="007E203A" w:rsidRPr="008B3D24" w:rsidTr="00A22FDA">
        <w:tc>
          <w:tcPr>
            <w:tcW w:w="1666" w:type="pct"/>
            <w:shd w:val="clear" w:color="auto" w:fill="auto"/>
            <w:vAlign w:val="center"/>
          </w:tcPr>
          <w:p w:rsidR="007E203A" w:rsidRPr="008B3D24" w:rsidRDefault="007E203A" w:rsidP="007E203A">
            <w:pPr>
              <w:keepNext/>
              <w:jc w:val="left"/>
              <w:rPr>
                <w:rFonts w:ascii="Arial Narrow" w:eastAsiaTheme="majorEastAsia" w:hAnsi="Arial Narrow" w:cstheme="majorBidi"/>
                <w:bCs/>
                <w:iCs/>
                <w:sz w:val="20"/>
              </w:rPr>
            </w:pPr>
            <w:r w:rsidRPr="008B3D24">
              <w:rPr>
                <w:rFonts w:ascii="Arial Narrow" w:eastAsiaTheme="majorEastAsia" w:hAnsi="Arial Narrow" w:cstheme="majorBidi"/>
                <w:bCs/>
                <w:iCs/>
                <w:sz w:val="20"/>
              </w:rPr>
              <w:t xml:space="preserve">Cost to PBS/RPBS less co-payments </w:t>
            </w:r>
            <w:r w:rsidRPr="008B3D24">
              <w:rPr>
                <w:rFonts w:ascii="Arial Narrow" w:eastAsiaTheme="majorEastAsia" w:hAnsi="Arial Narrow" w:cstheme="majorBidi"/>
                <w:bCs/>
                <w:iCs/>
                <w:sz w:val="20"/>
                <w:vertAlign w:val="superscript"/>
              </w:rPr>
              <w:t>b</w:t>
            </w:r>
          </w:p>
        </w:tc>
        <w:tc>
          <w:tcPr>
            <w:tcW w:w="554" w:type="pct"/>
            <w:shd w:val="clear" w:color="auto" w:fill="auto"/>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c>
          <w:tcPr>
            <w:tcW w:w="556" w:type="pct"/>
            <w:shd w:val="clear" w:color="auto" w:fill="auto"/>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c>
          <w:tcPr>
            <w:tcW w:w="557" w:type="pct"/>
            <w:shd w:val="clear" w:color="auto" w:fill="auto"/>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c>
          <w:tcPr>
            <w:tcW w:w="553" w:type="pct"/>
            <w:vAlign w:val="center"/>
          </w:tcPr>
          <w:p w:rsidR="007E203A" w:rsidRPr="008B3D24" w:rsidRDefault="007E203A" w:rsidP="007E203A">
            <w:pPr>
              <w:keepNext/>
              <w:jc w:val="center"/>
              <w:rPr>
                <w:rFonts w:ascii="Arial Narrow" w:eastAsiaTheme="majorEastAsia" w:hAnsi="Arial Narrow" w:cstheme="majorBidi"/>
                <w:sz w:val="20"/>
              </w:rPr>
            </w:pPr>
            <w:r w:rsidRPr="008B3D24">
              <w:rPr>
                <w:rFonts w:ascii="Arial Narrow" w:eastAsia="Calibri" w:hAnsi="Arial Narrow"/>
                <w:color w:val="000000"/>
                <w:sz w:val="19"/>
                <w:szCs w:val="19"/>
                <w:lang w:bidi="en-AU"/>
              </w:rPr>
              <w:t>-$</w:t>
            </w:r>
            <w:r w:rsidR="0064432C">
              <w:rPr>
                <w:rFonts w:ascii="Arial Narrow" w:eastAsia="Calibri" w:hAnsi="Arial Narrow"/>
                <w:noProof/>
                <w:color w:val="000000"/>
                <w:sz w:val="19"/>
                <w:szCs w:val="19"/>
                <w:highlight w:val="black"/>
                <w:lang w:bidi="en-AU"/>
              </w:rPr>
              <w:t>'''''''''''''''''''''''''''</w:t>
            </w:r>
          </w:p>
        </w:tc>
      </w:tr>
      <w:tr w:rsidR="007E203A" w:rsidRPr="008B3D24" w:rsidTr="00A22FDA">
        <w:tc>
          <w:tcPr>
            <w:tcW w:w="5000" w:type="pct"/>
            <w:gridSpan w:val="7"/>
            <w:shd w:val="clear" w:color="auto" w:fill="auto"/>
            <w:vAlign w:val="center"/>
          </w:tcPr>
          <w:p w:rsidR="007E203A" w:rsidRPr="008B3D24" w:rsidRDefault="007E203A" w:rsidP="007E203A">
            <w:pPr>
              <w:keepNext/>
              <w:jc w:val="left"/>
              <w:rPr>
                <w:rFonts w:ascii="Arial Narrow" w:eastAsiaTheme="majorEastAsia" w:hAnsi="Arial Narrow" w:cstheme="majorBidi"/>
                <w:iCs/>
                <w:sz w:val="20"/>
              </w:rPr>
            </w:pPr>
            <w:r w:rsidRPr="008B3D24">
              <w:rPr>
                <w:rFonts w:ascii="Arial Narrow" w:eastAsiaTheme="majorEastAsia" w:hAnsi="Arial Narrow" w:cstheme="majorBidi"/>
                <w:iCs/>
                <w:sz w:val="20"/>
              </w:rPr>
              <w:t>Net financial implications</w:t>
            </w:r>
            <w:r w:rsidRPr="008B3D24">
              <w:rPr>
                <w:rFonts w:ascii="Arial Narrow" w:eastAsiaTheme="majorEastAsia" w:hAnsi="Arial Narrow" w:cstheme="majorBidi"/>
                <w:iCs/>
                <w:color w:val="4BACC6" w:themeColor="accent5"/>
                <w:sz w:val="20"/>
              </w:rPr>
              <w:t xml:space="preserve"> </w:t>
            </w:r>
          </w:p>
        </w:tc>
      </w:tr>
      <w:tr w:rsidR="007E203A" w:rsidRPr="008B3D24" w:rsidTr="00A22FDA">
        <w:tc>
          <w:tcPr>
            <w:tcW w:w="1666" w:type="pct"/>
            <w:shd w:val="clear" w:color="auto" w:fill="auto"/>
            <w:vAlign w:val="center"/>
          </w:tcPr>
          <w:p w:rsidR="007E203A" w:rsidRPr="008B3D24" w:rsidRDefault="007E203A" w:rsidP="007E203A">
            <w:pPr>
              <w:keepNext/>
              <w:jc w:val="left"/>
              <w:rPr>
                <w:rFonts w:ascii="Arial Narrow" w:eastAsiaTheme="majorEastAsia" w:hAnsi="Arial Narrow" w:cstheme="majorBidi"/>
                <w:bCs/>
                <w:sz w:val="19"/>
                <w:szCs w:val="19"/>
              </w:rPr>
            </w:pPr>
            <w:r w:rsidRPr="008B3D24">
              <w:rPr>
                <w:rFonts w:ascii="Arial Narrow" w:eastAsiaTheme="majorEastAsia" w:hAnsi="Arial Narrow" w:cstheme="majorBidi"/>
                <w:bCs/>
                <w:sz w:val="19"/>
                <w:szCs w:val="19"/>
              </w:rPr>
              <w:t>Net cost to PBS/RPBS</w:t>
            </w:r>
          </w:p>
        </w:tc>
        <w:tc>
          <w:tcPr>
            <w:tcW w:w="554"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6"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3"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r>
      <w:tr w:rsidR="007E203A" w:rsidRPr="008B3D24" w:rsidTr="00A22FDA">
        <w:tc>
          <w:tcPr>
            <w:tcW w:w="1666" w:type="pct"/>
            <w:shd w:val="clear" w:color="auto" w:fill="auto"/>
            <w:vAlign w:val="center"/>
          </w:tcPr>
          <w:p w:rsidR="007E203A" w:rsidRPr="008B3D24" w:rsidRDefault="007E203A" w:rsidP="007E203A">
            <w:pPr>
              <w:keepNext/>
              <w:jc w:val="left"/>
              <w:rPr>
                <w:rFonts w:ascii="Arial Narrow" w:eastAsiaTheme="majorEastAsia" w:hAnsi="Arial Narrow" w:cstheme="majorBidi"/>
                <w:bCs/>
                <w:iCs/>
                <w:sz w:val="19"/>
                <w:szCs w:val="19"/>
              </w:rPr>
            </w:pPr>
            <w:r w:rsidRPr="008B3D24">
              <w:rPr>
                <w:rFonts w:ascii="Arial Narrow" w:eastAsiaTheme="majorEastAsia" w:hAnsi="Arial Narrow" w:cstheme="majorBidi"/>
                <w:bCs/>
                <w:iCs/>
                <w:sz w:val="19"/>
                <w:szCs w:val="19"/>
              </w:rPr>
              <w:t>Net cost to MBS (85% schedule fee)</w:t>
            </w:r>
          </w:p>
        </w:tc>
        <w:tc>
          <w:tcPr>
            <w:tcW w:w="554"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6"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3" w:type="pct"/>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r>
      <w:tr w:rsidR="007E203A" w:rsidRPr="008B3D24" w:rsidTr="00A22FDA">
        <w:tc>
          <w:tcPr>
            <w:tcW w:w="1666" w:type="pct"/>
            <w:shd w:val="clear" w:color="auto" w:fill="auto"/>
            <w:vAlign w:val="center"/>
          </w:tcPr>
          <w:p w:rsidR="007E203A" w:rsidRPr="008B3D24" w:rsidRDefault="007E203A" w:rsidP="007E203A">
            <w:pPr>
              <w:keepNext/>
              <w:jc w:val="left"/>
              <w:rPr>
                <w:rFonts w:ascii="Arial Narrow" w:eastAsiaTheme="majorEastAsia" w:hAnsi="Arial Narrow" w:cstheme="majorBidi"/>
                <w:bCs/>
                <w:sz w:val="19"/>
                <w:szCs w:val="19"/>
              </w:rPr>
            </w:pPr>
            <w:r w:rsidRPr="008B3D24">
              <w:rPr>
                <w:rFonts w:ascii="Arial Narrow" w:eastAsiaTheme="majorEastAsia" w:hAnsi="Arial Narrow" w:cstheme="majorBidi"/>
                <w:bCs/>
                <w:sz w:val="19"/>
                <w:szCs w:val="19"/>
              </w:rPr>
              <w:t>Net cost to PBS/RPBS/MBS</w:t>
            </w:r>
          </w:p>
        </w:tc>
        <w:tc>
          <w:tcPr>
            <w:tcW w:w="554" w:type="pct"/>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tcBorders>
              <w:top w:val="single" w:sz="4" w:space="0" w:color="auto"/>
              <w:left w:val="nil"/>
              <w:bottom w:val="single" w:sz="4" w:space="0" w:color="auto"/>
              <w:right w:val="single" w:sz="4" w:space="0" w:color="auto"/>
            </w:tcBorders>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6" w:type="pct"/>
            <w:tcBorders>
              <w:top w:val="single" w:sz="4" w:space="0" w:color="auto"/>
              <w:left w:val="single" w:sz="4" w:space="0" w:color="auto"/>
              <w:bottom w:val="single" w:sz="4" w:space="0" w:color="auto"/>
              <w:right w:val="single" w:sz="4" w:space="0" w:color="auto"/>
            </w:tcBorders>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7" w:type="pct"/>
            <w:tcBorders>
              <w:top w:val="single" w:sz="4" w:space="0" w:color="auto"/>
              <w:left w:val="single" w:sz="4" w:space="0" w:color="auto"/>
              <w:bottom w:val="single" w:sz="4" w:space="0" w:color="auto"/>
              <w:right w:val="single" w:sz="4" w:space="0" w:color="auto"/>
            </w:tcBorders>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c>
          <w:tcPr>
            <w:tcW w:w="553" w:type="pct"/>
            <w:tcBorders>
              <w:top w:val="single" w:sz="4" w:space="0" w:color="auto"/>
              <w:left w:val="single" w:sz="4" w:space="0" w:color="auto"/>
              <w:bottom w:val="single" w:sz="4" w:space="0" w:color="auto"/>
              <w:right w:val="single" w:sz="4" w:space="0" w:color="auto"/>
            </w:tcBorders>
            <w:shd w:val="clear" w:color="auto" w:fill="auto"/>
            <w:vAlign w:val="bottom"/>
          </w:tcPr>
          <w:p w:rsidR="007E203A" w:rsidRPr="008B3D24" w:rsidRDefault="007E203A" w:rsidP="007E203A">
            <w:pPr>
              <w:keepNext/>
              <w:jc w:val="center"/>
              <w:rPr>
                <w:rFonts w:ascii="Arial Narrow" w:eastAsiaTheme="majorEastAsia" w:hAnsi="Arial Narrow" w:cstheme="majorBidi"/>
                <w:bCs/>
                <w:sz w:val="20"/>
                <w:szCs w:val="20"/>
              </w:rPr>
            </w:pPr>
            <w:r w:rsidRPr="008B3D24">
              <w:rPr>
                <w:rFonts w:ascii="Arial Narrow" w:eastAsia="Calibri" w:hAnsi="Arial Narrow" w:cs="Calibri"/>
                <w:iCs/>
                <w:color w:val="000000"/>
                <w:sz w:val="19"/>
                <w:szCs w:val="19"/>
                <w:lang w:bidi="en-AU"/>
              </w:rPr>
              <w:t>$</w:t>
            </w:r>
            <w:r w:rsidR="0064432C">
              <w:rPr>
                <w:rFonts w:ascii="Arial Narrow" w:eastAsia="Calibri" w:hAnsi="Arial Narrow" w:cs="Calibri"/>
                <w:iCs/>
                <w:noProof/>
                <w:color w:val="000000"/>
                <w:sz w:val="19"/>
                <w:szCs w:val="19"/>
                <w:highlight w:val="black"/>
                <w:lang w:bidi="en-AU"/>
              </w:rPr>
              <w:t>'''''''''''''''''</w:t>
            </w:r>
          </w:p>
        </w:tc>
      </w:tr>
    </w:tbl>
    <w:p w:rsidR="009F7035" w:rsidRPr="008B3D24" w:rsidRDefault="009F7035" w:rsidP="00A22FDA">
      <w:pPr>
        <w:spacing w:after="120"/>
        <w:contextualSpacing/>
        <w:rPr>
          <w:rFonts w:ascii="Arial Narrow" w:hAnsi="Arial Narrow" w:cs="Times New Roman"/>
          <w:iCs/>
          <w:snapToGrid w:val="0"/>
          <w:sz w:val="18"/>
          <w:szCs w:val="22"/>
          <w:lang w:eastAsia="en-GB"/>
        </w:rPr>
      </w:pPr>
      <w:r w:rsidRPr="008B3D24">
        <w:rPr>
          <w:rFonts w:ascii="Arial Narrow" w:hAnsi="Arial Narrow" w:cs="Times New Roman"/>
          <w:snapToGrid w:val="0"/>
          <w:sz w:val="18"/>
          <w:szCs w:val="22"/>
          <w:lang w:eastAsia="en-GB"/>
        </w:rPr>
        <w:t xml:space="preserve">Source: Tables 4.1-2 to 4.5-3, pp196-219 of the submission </w:t>
      </w:r>
      <w:r w:rsidRPr="008B3D24">
        <w:rPr>
          <w:rFonts w:ascii="Arial Narrow" w:hAnsi="Arial Narrow" w:cs="Times New Roman"/>
          <w:iCs/>
          <w:snapToGrid w:val="0"/>
          <w:sz w:val="18"/>
          <w:szCs w:val="22"/>
          <w:lang w:eastAsia="en-GB"/>
        </w:rPr>
        <w:t>and calculated during the evaluation</w:t>
      </w:r>
    </w:p>
    <w:p w:rsidR="009F7035" w:rsidRPr="008B3D24" w:rsidRDefault="009F7035" w:rsidP="00A22FDA">
      <w:pPr>
        <w:spacing w:after="120"/>
        <w:contextualSpacing/>
        <w:rPr>
          <w:rFonts w:ascii="Arial Narrow" w:hAnsi="Arial Narrow" w:cs="Times New Roman"/>
          <w:snapToGrid w:val="0"/>
          <w:sz w:val="18"/>
          <w:szCs w:val="22"/>
          <w:lang w:eastAsia="en-GB"/>
        </w:rPr>
      </w:pPr>
      <w:r w:rsidRPr="008B3D24">
        <w:rPr>
          <w:rFonts w:ascii="Arial Narrow" w:hAnsi="Arial Narrow" w:cs="Times New Roman"/>
          <w:snapToGrid w:val="0"/>
          <w:sz w:val="18"/>
          <w:szCs w:val="22"/>
          <w:lang w:eastAsia="en-GB"/>
        </w:rPr>
        <w:t>MBS = Medicare Benefits Schedule; PBS = Pharmaceutical Benefits Scheme; RPBS = Repatriation Schedule of Pharmaceutical Benefits</w:t>
      </w:r>
    </w:p>
    <w:p w:rsidR="00886686" w:rsidRPr="008B3D24" w:rsidRDefault="00886686" w:rsidP="00A22FDA">
      <w:pPr>
        <w:spacing w:after="120"/>
        <w:contextualSpacing/>
        <w:rPr>
          <w:rFonts w:ascii="Arial Narrow" w:hAnsi="Arial Narrow"/>
          <w:i/>
          <w:iCs/>
          <w:snapToGrid w:val="0"/>
          <w:sz w:val="18"/>
          <w:szCs w:val="18"/>
        </w:rPr>
      </w:pPr>
      <w:r w:rsidRPr="008B3D24">
        <w:rPr>
          <w:rFonts w:ascii="Arial Narrow" w:hAnsi="Arial Narrow"/>
          <w:iCs/>
          <w:snapToGrid w:val="0"/>
          <w:sz w:val="18"/>
          <w:szCs w:val="22"/>
          <w:vertAlign w:val="superscript"/>
        </w:rPr>
        <w:t>a</w:t>
      </w:r>
      <w:r w:rsidRPr="008B3D24">
        <w:rPr>
          <w:rFonts w:ascii="Arial Narrow" w:hAnsi="Arial Narrow"/>
          <w:iCs/>
          <w:snapToGrid w:val="0"/>
          <w:sz w:val="18"/>
          <w:szCs w:val="22"/>
        </w:rPr>
        <w:t xml:space="preserve"> Based on a recalculated ixekizumab </w:t>
      </w:r>
      <w:r w:rsidR="007B05E5" w:rsidRPr="008B3D24">
        <w:rPr>
          <w:rFonts w:ascii="Arial Narrow" w:hAnsi="Arial Narrow"/>
          <w:iCs/>
          <w:snapToGrid w:val="0"/>
          <w:sz w:val="18"/>
          <w:szCs w:val="22"/>
        </w:rPr>
        <w:t>effective</w:t>
      </w:r>
      <w:r w:rsidR="00EB6C73" w:rsidRPr="008B3D24">
        <w:rPr>
          <w:rFonts w:ascii="Arial Narrow" w:hAnsi="Arial Narrow"/>
          <w:iCs/>
          <w:snapToGrid w:val="0"/>
          <w:sz w:val="18"/>
          <w:szCs w:val="22"/>
        </w:rPr>
        <w:t xml:space="preserve"> </w:t>
      </w:r>
      <w:r w:rsidRPr="008B3D24">
        <w:rPr>
          <w:rFonts w:ascii="Arial Narrow" w:hAnsi="Arial Narrow"/>
          <w:iCs/>
          <w:snapToGrid w:val="0"/>
          <w:sz w:val="18"/>
          <w:szCs w:val="22"/>
        </w:rPr>
        <w:t>DPMQ of $</w:t>
      </w:r>
      <w:r w:rsidR="0064432C">
        <w:rPr>
          <w:rFonts w:ascii="Arial Narrow" w:hAnsi="Arial Narrow"/>
          <w:iCs/>
          <w:noProof/>
          <w:snapToGrid w:val="0"/>
          <w:color w:val="000000"/>
          <w:sz w:val="18"/>
          <w:szCs w:val="22"/>
          <w:highlight w:val="black"/>
        </w:rPr>
        <w:t>'''''''''''''''''''</w:t>
      </w:r>
      <w:r w:rsidRPr="008B3D24">
        <w:rPr>
          <w:rFonts w:ascii="Arial Narrow" w:hAnsi="Arial Narrow"/>
          <w:iCs/>
          <w:snapToGrid w:val="0"/>
          <w:sz w:val="18"/>
          <w:szCs w:val="18"/>
        </w:rPr>
        <w:t>, PBS co-payment of $29.87 and RPBS co-payment of $5.34.</w:t>
      </w:r>
      <w:r w:rsidR="007E203A" w:rsidRPr="008B3D24">
        <w:rPr>
          <w:rFonts w:ascii="Arial Narrow" w:hAnsi="Arial Narrow"/>
          <w:iCs/>
          <w:snapToGrid w:val="0"/>
          <w:sz w:val="18"/>
          <w:szCs w:val="18"/>
        </w:rPr>
        <w:t xml:space="preserve"> The </w:t>
      </w:r>
      <w:r w:rsidR="00E54D4A" w:rsidRPr="008B3D24">
        <w:rPr>
          <w:rFonts w:ascii="Arial Narrow" w:hAnsi="Arial Narrow"/>
          <w:iCs/>
          <w:snapToGrid w:val="0"/>
          <w:sz w:val="18"/>
          <w:szCs w:val="18"/>
        </w:rPr>
        <w:t>financial estimates</w:t>
      </w:r>
      <w:r w:rsidR="007E203A" w:rsidRPr="008B3D24">
        <w:rPr>
          <w:rFonts w:ascii="Arial Narrow" w:hAnsi="Arial Narrow"/>
          <w:iCs/>
          <w:snapToGrid w:val="0"/>
          <w:sz w:val="18"/>
          <w:szCs w:val="18"/>
        </w:rPr>
        <w:t xml:space="preserve"> provided in the PSCR incorrectly </w:t>
      </w:r>
      <w:r w:rsidR="002215D9" w:rsidRPr="008B3D24">
        <w:rPr>
          <w:rFonts w:ascii="Arial Narrow" w:hAnsi="Arial Narrow"/>
          <w:iCs/>
          <w:snapToGrid w:val="0"/>
          <w:sz w:val="18"/>
          <w:szCs w:val="18"/>
        </w:rPr>
        <w:t xml:space="preserve">used </w:t>
      </w:r>
      <w:r w:rsidR="007E203A" w:rsidRPr="008B3D24">
        <w:rPr>
          <w:rFonts w:ascii="Arial Narrow" w:hAnsi="Arial Narrow"/>
          <w:iCs/>
          <w:snapToGrid w:val="0"/>
          <w:sz w:val="18"/>
          <w:szCs w:val="18"/>
        </w:rPr>
        <w:t>a DPMQ of $</w:t>
      </w:r>
      <w:r w:rsidR="0064432C">
        <w:rPr>
          <w:rFonts w:ascii="Arial Narrow" w:hAnsi="Arial Narrow"/>
          <w:iCs/>
          <w:noProof/>
          <w:snapToGrid w:val="0"/>
          <w:color w:val="000000"/>
          <w:sz w:val="18"/>
          <w:szCs w:val="18"/>
          <w:highlight w:val="black"/>
        </w:rPr>
        <w:t>''''''''''''''''''''</w:t>
      </w:r>
      <w:r w:rsidR="007E203A" w:rsidRPr="008B3D24">
        <w:rPr>
          <w:rFonts w:ascii="Arial Narrow" w:hAnsi="Arial Narrow"/>
          <w:iCs/>
          <w:snapToGrid w:val="0"/>
          <w:sz w:val="18"/>
          <w:szCs w:val="18"/>
        </w:rPr>
        <w:t>.</w:t>
      </w:r>
      <w:r w:rsidR="007E203A" w:rsidRPr="008B3D24">
        <w:rPr>
          <w:rFonts w:ascii="Arial Narrow" w:hAnsi="Arial Narrow"/>
          <w:i/>
          <w:iCs/>
          <w:snapToGrid w:val="0"/>
          <w:sz w:val="18"/>
          <w:szCs w:val="18"/>
        </w:rPr>
        <w:t xml:space="preserve"> </w:t>
      </w:r>
    </w:p>
    <w:p w:rsidR="00886686" w:rsidRPr="008B3D24" w:rsidRDefault="00886686" w:rsidP="00A22FDA">
      <w:pPr>
        <w:contextualSpacing/>
        <w:rPr>
          <w:rFonts w:ascii="Arial Narrow" w:hAnsi="Arial Narrow"/>
          <w:iCs/>
          <w:sz w:val="18"/>
          <w:szCs w:val="18"/>
        </w:rPr>
      </w:pPr>
      <w:r w:rsidRPr="008B3D24">
        <w:rPr>
          <w:rFonts w:ascii="Arial Narrow" w:hAnsi="Arial Narrow" w:cs="Times New Roman"/>
          <w:snapToGrid w:val="0"/>
          <w:sz w:val="18"/>
          <w:szCs w:val="18"/>
          <w:vertAlign w:val="superscript"/>
          <w:lang w:eastAsia="en-GB"/>
        </w:rPr>
        <w:t>b</w:t>
      </w:r>
      <w:r w:rsidRPr="008B3D24">
        <w:rPr>
          <w:rFonts w:ascii="Arial Narrow" w:hAnsi="Arial Narrow" w:cs="Times New Roman"/>
          <w:snapToGrid w:val="0"/>
          <w:sz w:val="18"/>
          <w:szCs w:val="18"/>
          <w:lang w:eastAsia="en-GB"/>
        </w:rPr>
        <w:t xml:space="preserve"> </w:t>
      </w:r>
      <w:r w:rsidR="007B05E5" w:rsidRPr="008B3D24">
        <w:rPr>
          <w:rFonts w:ascii="Arial Narrow" w:hAnsi="Arial Narrow"/>
          <w:iCs/>
          <w:snapToGrid w:val="0"/>
          <w:sz w:val="18"/>
          <w:szCs w:val="18"/>
        </w:rPr>
        <w:t>Based on the corrected infliximab costs (</w:t>
      </w:r>
      <w:r w:rsidR="009F7035" w:rsidRPr="008B3D24">
        <w:rPr>
          <w:rFonts w:ascii="Arial Narrow" w:hAnsi="Arial Narrow"/>
          <w:iCs/>
          <w:snapToGrid w:val="0"/>
          <w:sz w:val="18"/>
          <w:szCs w:val="18"/>
        </w:rPr>
        <w:t>dispensed price changed to $1,561.86 (public) and $1,609.15 (private) for 4.87 vials per dose</w:t>
      </w:r>
      <w:r w:rsidR="00DE7BC4" w:rsidRPr="008B3D24">
        <w:rPr>
          <w:rFonts w:ascii="Arial Narrow" w:hAnsi="Arial Narrow"/>
          <w:iCs/>
          <w:snapToGrid w:val="0"/>
          <w:sz w:val="18"/>
          <w:szCs w:val="18"/>
        </w:rPr>
        <w:t>) and</w:t>
      </w:r>
      <w:r w:rsidR="007B05E5" w:rsidRPr="008B3D24">
        <w:rPr>
          <w:rFonts w:ascii="Arial Narrow" w:hAnsi="Arial Narrow"/>
          <w:iCs/>
          <w:snapToGrid w:val="0"/>
          <w:sz w:val="18"/>
          <w:szCs w:val="18"/>
        </w:rPr>
        <w:t xml:space="preserve"> updated dispensed price of adalimumab (</w:t>
      </w:r>
      <w:r w:rsidRPr="008B3D24">
        <w:rPr>
          <w:rFonts w:ascii="Arial Narrow" w:hAnsi="Arial Narrow"/>
          <w:iCs/>
          <w:sz w:val="18"/>
          <w:szCs w:val="18"/>
        </w:rPr>
        <w:t>$1,168.62</w:t>
      </w:r>
      <w:r w:rsidR="007B05E5" w:rsidRPr="008B3D24">
        <w:rPr>
          <w:rFonts w:ascii="Arial Narrow" w:hAnsi="Arial Narrow"/>
          <w:iCs/>
          <w:sz w:val="18"/>
          <w:szCs w:val="18"/>
        </w:rPr>
        <w:t xml:space="preserve"> as at </w:t>
      </w:r>
      <w:r w:rsidRPr="008B3D24">
        <w:rPr>
          <w:rFonts w:ascii="Arial Narrow" w:hAnsi="Arial Narrow"/>
          <w:iCs/>
          <w:sz w:val="18"/>
          <w:szCs w:val="18"/>
        </w:rPr>
        <w:t>April 2020).</w:t>
      </w:r>
      <w:r w:rsidR="007E203A" w:rsidRPr="008B3D24">
        <w:rPr>
          <w:rFonts w:ascii="Arial Narrow" w:hAnsi="Arial Narrow"/>
          <w:iCs/>
          <w:sz w:val="18"/>
          <w:szCs w:val="18"/>
        </w:rPr>
        <w:t xml:space="preserve"> The financial estimates provided in the PSCR did not correct the infliximab error or use the April 2020 price for adalimumab. </w:t>
      </w:r>
    </w:p>
    <w:p w:rsidR="00886686" w:rsidRDefault="00886686" w:rsidP="009F7035">
      <w:pPr>
        <w:spacing w:after="120"/>
        <w:contextualSpacing/>
        <w:jc w:val="left"/>
        <w:rPr>
          <w:rFonts w:ascii="Arial Narrow" w:hAnsi="Arial Narrow"/>
          <w:iCs/>
          <w:snapToGrid w:val="0"/>
          <w:sz w:val="18"/>
          <w:szCs w:val="22"/>
        </w:rPr>
      </w:pPr>
    </w:p>
    <w:p w:rsidR="0007245E" w:rsidRPr="0007245E" w:rsidRDefault="0007245E" w:rsidP="009F7035">
      <w:pPr>
        <w:spacing w:after="120"/>
        <w:contextualSpacing/>
        <w:jc w:val="left"/>
        <w:rPr>
          <w:rFonts w:asciiTheme="minorHAnsi" w:hAnsiTheme="minorHAnsi" w:cstheme="minorHAnsi"/>
          <w:i/>
          <w:iCs/>
          <w:snapToGrid w:val="0"/>
        </w:rPr>
      </w:pPr>
      <w:r>
        <w:rPr>
          <w:rFonts w:asciiTheme="minorHAnsi" w:hAnsiTheme="minorHAnsi" w:cstheme="minorHAnsi"/>
          <w:i/>
          <w:iCs/>
          <w:snapToGrid w:val="0"/>
        </w:rPr>
        <w:t xml:space="preserve">The redacted table shows that at Year 6, the estimated number of scripts dispensed was 10,000 &lt; 20,000. </w:t>
      </w:r>
    </w:p>
    <w:p w:rsidR="009F7035" w:rsidRPr="008B3D24" w:rsidRDefault="009F7035" w:rsidP="009F7035">
      <w:pPr>
        <w:pStyle w:val="3-BodyText"/>
      </w:pPr>
      <w:r w:rsidRPr="008B3D24">
        <w:rPr>
          <w:iCs/>
        </w:rPr>
        <w:t>The total cost to the PBS/RPBS of listing ixekizumab was estimated to be $</w:t>
      </w:r>
      <w:r w:rsidR="0007245E">
        <w:rPr>
          <w:iCs/>
        </w:rPr>
        <w:t>0 to &lt; $10 million</w:t>
      </w:r>
      <w:r w:rsidRPr="008B3D24">
        <w:rPr>
          <w:iCs/>
        </w:rPr>
        <w:t xml:space="preserve"> in Year 6, and a total of $</w:t>
      </w:r>
      <w:r w:rsidR="002105AC">
        <w:rPr>
          <w:iCs/>
        </w:rPr>
        <w:t>0 to &lt; $10 million</w:t>
      </w:r>
      <w:r w:rsidRPr="008B3D24">
        <w:rPr>
          <w:iCs/>
        </w:rPr>
        <w:t xml:space="preserve"> in the first </w:t>
      </w:r>
      <w:r w:rsidR="00450A71" w:rsidRPr="008B3D24">
        <w:rPr>
          <w:iCs/>
        </w:rPr>
        <w:t xml:space="preserve">six </w:t>
      </w:r>
      <w:r w:rsidRPr="008B3D24">
        <w:rPr>
          <w:iCs/>
        </w:rPr>
        <w:t xml:space="preserve">years of listing. The total cost to the PBS/RPBS was </w:t>
      </w:r>
      <w:r w:rsidR="008B3D24">
        <w:rPr>
          <w:iCs/>
        </w:rPr>
        <w:t>inaccurate</w:t>
      </w:r>
      <w:r w:rsidR="008B3D24" w:rsidRPr="008B3D24">
        <w:rPr>
          <w:iCs/>
        </w:rPr>
        <w:t xml:space="preserve"> </w:t>
      </w:r>
      <w:r w:rsidRPr="008B3D24">
        <w:rPr>
          <w:iCs/>
        </w:rPr>
        <w:t xml:space="preserve">as it was based on the published prices of other </w:t>
      </w:r>
      <w:r w:rsidR="00045489" w:rsidRPr="008B3D24">
        <w:rPr>
          <w:iCs/>
        </w:rPr>
        <w:t>biological medicine</w:t>
      </w:r>
      <w:r w:rsidRPr="008B3D24">
        <w:rPr>
          <w:iCs/>
        </w:rPr>
        <w:t>s replaced.</w:t>
      </w:r>
    </w:p>
    <w:p w:rsidR="00653AFD" w:rsidRDefault="009F7035" w:rsidP="009F7035">
      <w:pPr>
        <w:pStyle w:val="3-BodyText"/>
        <w:rPr>
          <w:iCs/>
        </w:rPr>
      </w:pPr>
      <w:r w:rsidRPr="008B3D24">
        <w:rPr>
          <w:iCs/>
        </w:rPr>
        <w:t>The small net cost was mostly due to 12 months continuing treatment with ixekizumab ($</w:t>
      </w:r>
      <w:r w:rsidR="0064432C">
        <w:rPr>
          <w:iCs/>
          <w:noProof/>
          <w:color w:val="000000"/>
          <w:highlight w:val="black"/>
        </w:rPr>
        <w:t>''''''''''''''</w:t>
      </w:r>
      <w:r w:rsidRPr="008B3D24">
        <w:rPr>
          <w:iCs/>
        </w:rPr>
        <w:t>) costing more than secukinumab ($</w:t>
      </w:r>
      <w:r w:rsidR="000F04B5" w:rsidRPr="008B3D24">
        <w:rPr>
          <w:iCs/>
        </w:rPr>
        <w:t>9,</w:t>
      </w:r>
      <w:r w:rsidR="00CA1AB4" w:rsidRPr="008B3D24">
        <w:rPr>
          <w:iCs/>
        </w:rPr>
        <w:t>626</w:t>
      </w:r>
      <w:r w:rsidRPr="008B3D24">
        <w:rPr>
          <w:iCs/>
        </w:rPr>
        <w:t>), etanercept ($13,646), certolizumab pegol ($13,192)</w:t>
      </w:r>
      <w:r w:rsidR="00CA3EBB" w:rsidRPr="008B3D24">
        <w:rPr>
          <w:iCs/>
        </w:rPr>
        <w:t xml:space="preserve"> and</w:t>
      </w:r>
      <w:r w:rsidR="00413923" w:rsidRPr="008B3D24">
        <w:rPr>
          <w:iCs/>
        </w:rPr>
        <w:t xml:space="preserve"> </w:t>
      </w:r>
      <w:r w:rsidRPr="008B3D24">
        <w:rPr>
          <w:iCs/>
        </w:rPr>
        <w:t>infliximab ($1</w:t>
      </w:r>
      <w:r w:rsidR="00987A31" w:rsidRPr="008B3D24">
        <w:rPr>
          <w:iCs/>
        </w:rPr>
        <w:t xml:space="preserve">3,588 </w:t>
      </w:r>
      <w:r w:rsidRPr="008B3D24">
        <w:rPr>
          <w:iCs/>
        </w:rPr>
        <w:t>[public] and $1</w:t>
      </w:r>
      <w:r w:rsidR="00987A31" w:rsidRPr="008B3D24">
        <w:rPr>
          <w:iCs/>
        </w:rPr>
        <w:t>3,994</w:t>
      </w:r>
      <w:r w:rsidRPr="008B3D24">
        <w:rPr>
          <w:iCs/>
        </w:rPr>
        <w:t xml:space="preserve"> [private] when corrected)</w:t>
      </w:r>
      <w:r w:rsidR="00CA3EBB" w:rsidRPr="008B3D24">
        <w:rPr>
          <w:iCs/>
        </w:rPr>
        <w:t xml:space="preserve">. </w:t>
      </w:r>
      <w:r w:rsidRPr="008B3D24">
        <w:rPr>
          <w:iCs/>
        </w:rPr>
        <w:t>Assuming ixekizumab were to be listed on a cost-minimisation basis to the least costly alternative therapy and current market growth was unchanged, then the requested listing would be expected to have negligible financial impact on the PBS/RPBS.</w:t>
      </w:r>
    </w:p>
    <w:p w:rsidR="00B2415E" w:rsidRPr="00B2415E" w:rsidRDefault="00B2415E" w:rsidP="00B2415E">
      <w:pPr>
        <w:ind w:firstLine="720"/>
        <w:rPr>
          <w:i/>
          <w:color w:val="0066FF"/>
        </w:rPr>
      </w:pPr>
      <w:r w:rsidRPr="00B2415E">
        <w:rPr>
          <w:i/>
        </w:rPr>
        <w:t>For more detail on PBAC’s view, see section 7 PBAC outcome.</w:t>
      </w:r>
    </w:p>
    <w:p w:rsidR="00AB3BAE" w:rsidRPr="008B3D24" w:rsidRDefault="00AB3BAE" w:rsidP="00AB3BAE">
      <w:pPr>
        <w:pStyle w:val="2-SectionHeading"/>
      </w:pPr>
      <w:r w:rsidRPr="008B3D24">
        <w:t>PBAC Outcome</w:t>
      </w:r>
    </w:p>
    <w:p w:rsidR="00AB3BAE" w:rsidRPr="008B3D24" w:rsidRDefault="00AB3BAE" w:rsidP="00AB3BAE">
      <w:pPr>
        <w:pStyle w:val="3-BodyText"/>
        <w:numPr>
          <w:ilvl w:val="1"/>
          <w:numId w:val="23"/>
        </w:numPr>
      </w:pPr>
      <w:r w:rsidRPr="008B3D24">
        <w:t xml:space="preserve">The PBAC recommended the listing of </w:t>
      </w:r>
      <w:r w:rsidR="001F3ADC" w:rsidRPr="008B3D24">
        <w:t xml:space="preserve">ixekizumab </w:t>
      </w:r>
      <w:r w:rsidRPr="008B3D24">
        <w:t>on a cost-minimisation basis t</w:t>
      </w:r>
      <w:r w:rsidR="00C264EF" w:rsidRPr="008B3D24">
        <w:t>o</w:t>
      </w:r>
      <w:r w:rsidRPr="008B3D24">
        <w:t xml:space="preserve"> </w:t>
      </w:r>
      <w:r w:rsidR="00C264EF" w:rsidRPr="008B3D24">
        <w:t xml:space="preserve">the </w:t>
      </w:r>
      <w:r w:rsidRPr="008B3D24">
        <w:t xml:space="preserve">least costly biological </w:t>
      </w:r>
      <w:r w:rsidR="008122D1" w:rsidRPr="008B3D24">
        <w:t xml:space="preserve">medicine </w:t>
      </w:r>
      <w:r w:rsidRPr="008B3D24">
        <w:t>for</w:t>
      </w:r>
      <w:r w:rsidR="001F3ADC" w:rsidRPr="008B3D24">
        <w:t xml:space="preserve"> ankylosing spondylitis (AS)</w:t>
      </w:r>
      <w:r w:rsidRPr="008B3D24">
        <w:t>. In making this recommendation, the PBAC accepted any of the c</w:t>
      </w:r>
      <w:r w:rsidR="001F3ADC" w:rsidRPr="008B3D24">
        <w:t xml:space="preserve">urrent PBS listed </w:t>
      </w:r>
      <w:r w:rsidR="008122D1" w:rsidRPr="008B3D24">
        <w:t>biological medicine</w:t>
      </w:r>
      <w:r w:rsidR="00044512" w:rsidRPr="008B3D24">
        <w:t>s</w:t>
      </w:r>
      <w:r w:rsidR="008122D1" w:rsidRPr="008B3D24">
        <w:t xml:space="preserve"> </w:t>
      </w:r>
      <w:r w:rsidR="001F3ADC" w:rsidRPr="008B3D24">
        <w:t>for AS</w:t>
      </w:r>
      <w:r w:rsidRPr="008B3D24">
        <w:t xml:space="preserve"> could </w:t>
      </w:r>
      <w:r w:rsidR="001F3ADC" w:rsidRPr="008B3D24">
        <w:t>be an alternative therapy to ixekizumab</w:t>
      </w:r>
      <w:r w:rsidRPr="008B3D24">
        <w:t>.</w:t>
      </w:r>
    </w:p>
    <w:p w:rsidR="00AB3BAE" w:rsidRPr="008B3D24" w:rsidRDefault="00AB3BAE" w:rsidP="00AB3BAE">
      <w:pPr>
        <w:pStyle w:val="3-BodyText"/>
        <w:numPr>
          <w:ilvl w:val="1"/>
          <w:numId w:val="23"/>
        </w:numPr>
      </w:pPr>
      <w:r w:rsidRPr="008B3D24">
        <w:t xml:space="preserve">The PBAC considered the equi-effective doses between </w:t>
      </w:r>
      <w:r w:rsidR="001F3ADC" w:rsidRPr="008B3D24">
        <w:t xml:space="preserve">ixekizumab </w:t>
      </w:r>
      <w:r w:rsidRPr="008B3D24">
        <w:t xml:space="preserve">(at a dose of </w:t>
      </w:r>
      <w:r w:rsidR="008122D1" w:rsidRPr="008B3D24">
        <w:t>80</w:t>
      </w:r>
      <w:r w:rsidR="00266FA4" w:rsidRPr="008B3D24">
        <w:t> </w:t>
      </w:r>
      <w:r w:rsidR="008122D1" w:rsidRPr="008B3D24">
        <w:t>mg every four weeks</w:t>
      </w:r>
      <w:r w:rsidRPr="008B3D24">
        <w:t xml:space="preserve">) and the alternative </w:t>
      </w:r>
      <w:r w:rsidR="00E311FC" w:rsidRPr="008B3D24">
        <w:t>biological medicines</w:t>
      </w:r>
      <w:r w:rsidRPr="008B3D24">
        <w:t xml:space="preserve"> could be derived from the product information and with reference to the previously recommended equi-effective doses collated in the PBS Therapeutic Relativity Sheets. The cost minimisation analysis should be conducted over two years using approved ex-manufacturer prices consistent with methodology previously accepted by the PBAC for b</w:t>
      </w:r>
      <w:r w:rsidR="00E311FC" w:rsidRPr="008B3D24">
        <w:t>iological medicines</w:t>
      </w:r>
      <w:r w:rsidRPr="008B3D24">
        <w:t xml:space="preserve">. </w:t>
      </w:r>
    </w:p>
    <w:p w:rsidR="00AB3BAE" w:rsidRPr="008B3D24" w:rsidRDefault="00AB3BAE" w:rsidP="00AB3BAE">
      <w:pPr>
        <w:pStyle w:val="3-BodyText"/>
        <w:numPr>
          <w:ilvl w:val="1"/>
          <w:numId w:val="23"/>
        </w:numPr>
      </w:pPr>
      <w:r w:rsidRPr="008B3D24">
        <w:rPr>
          <w:bCs/>
        </w:rPr>
        <w:t xml:space="preserve">The PBAC noted that </w:t>
      </w:r>
      <w:r w:rsidR="00044512" w:rsidRPr="008B3D24">
        <w:rPr>
          <w:bCs/>
        </w:rPr>
        <w:t>six</w:t>
      </w:r>
      <w:r w:rsidRPr="008B3D24">
        <w:rPr>
          <w:bCs/>
        </w:rPr>
        <w:t xml:space="preserve"> alternative therapies were listed on the PBS for the treatment of </w:t>
      </w:r>
      <w:r w:rsidR="001F3ADC" w:rsidRPr="008B3D24">
        <w:rPr>
          <w:bCs/>
        </w:rPr>
        <w:t>AS</w:t>
      </w:r>
      <w:r w:rsidRPr="008B3D24">
        <w:rPr>
          <w:bCs/>
        </w:rPr>
        <w:t xml:space="preserve"> at the time of consideration. The PBAC considered that while the clinical need for an additional treatment was low, the addition of another option</w:t>
      </w:r>
      <w:r w:rsidR="006941BC" w:rsidRPr="008B3D24">
        <w:rPr>
          <w:bCs/>
        </w:rPr>
        <w:t xml:space="preserve"> </w:t>
      </w:r>
      <w:r w:rsidRPr="008B3D24">
        <w:rPr>
          <w:bCs/>
        </w:rPr>
        <w:t>may be useful for some patients</w:t>
      </w:r>
      <w:r w:rsidR="00266FA4" w:rsidRPr="008B3D24">
        <w:rPr>
          <w:bCs/>
        </w:rPr>
        <w:t>.</w:t>
      </w:r>
    </w:p>
    <w:p w:rsidR="00AB3BAE" w:rsidRPr="008B3D24" w:rsidRDefault="00AB3BAE" w:rsidP="00AB3BAE">
      <w:pPr>
        <w:pStyle w:val="3-BodyText"/>
        <w:numPr>
          <w:ilvl w:val="1"/>
          <w:numId w:val="23"/>
        </w:numPr>
      </w:pPr>
      <w:r w:rsidRPr="008B3D24">
        <w:t xml:space="preserve">The PBAC considered the nominated comparators of </w:t>
      </w:r>
      <w:r w:rsidR="00A64E17" w:rsidRPr="008B3D24">
        <w:t xml:space="preserve">adalimumab and secukinumab </w:t>
      </w:r>
      <w:r w:rsidRPr="008B3D24">
        <w:t xml:space="preserve">were reasonable; however, noted any of the </w:t>
      </w:r>
      <w:r w:rsidR="00044512" w:rsidRPr="008B3D24">
        <w:t xml:space="preserve">biological medicines </w:t>
      </w:r>
      <w:r w:rsidRPr="008B3D24">
        <w:t xml:space="preserve">currently listed on the PBS for </w:t>
      </w:r>
      <w:r w:rsidR="001F3ADC" w:rsidRPr="008B3D24">
        <w:t>AS</w:t>
      </w:r>
      <w:r w:rsidRPr="008B3D24">
        <w:t xml:space="preserve"> were relevant alternative therapies. </w:t>
      </w:r>
    </w:p>
    <w:p w:rsidR="00AB3BAE" w:rsidRPr="008B3D24" w:rsidRDefault="00AB3BAE" w:rsidP="00AB3BAE">
      <w:pPr>
        <w:pStyle w:val="3-BodyText"/>
        <w:numPr>
          <w:ilvl w:val="1"/>
          <w:numId w:val="23"/>
        </w:numPr>
      </w:pPr>
      <w:r w:rsidRPr="008B3D24">
        <w:t>The PBAC considered the claim that</w:t>
      </w:r>
      <w:r w:rsidR="00044512" w:rsidRPr="008B3D24">
        <w:t xml:space="preserve"> ixekizumab</w:t>
      </w:r>
      <w:r w:rsidRPr="008B3D24">
        <w:t xml:space="preserve"> is non-inferior to</w:t>
      </w:r>
      <w:r w:rsidR="00044512" w:rsidRPr="008B3D24">
        <w:t xml:space="preserve"> adalimumab and secukinumab</w:t>
      </w:r>
      <w:r w:rsidRPr="008B3D24">
        <w:t xml:space="preserve"> in terms of effectiveness and safety </w:t>
      </w:r>
      <w:r w:rsidR="00044512" w:rsidRPr="008B3D24">
        <w:t xml:space="preserve">was </w:t>
      </w:r>
      <w:r w:rsidRPr="008B3D24">
        <w:t xml:space="preserve">adequately supported by the clinical evidence presented in the submission. The PBAC noted no evidence demonstrating superiority against any of the other alternative therapies was provided. </w:t>
      </w:r>
    </w:p>
    <w:p w:rsidR="00AB3BAE" w:rsidRPr="008B3D24" w:rsidRDefault="00AB3BAE" w:rsidP="00AB3BAE">
      <w:pPr>
        <w:pStyle w:val="3-BodyText"/>
        <w:numPr>
          <w:ilvl w:val="1"/>
          <w:numId w:val="23"/>
        </w:numPr>
      </w:pPr>
      <w:r w:rsidRPr="008B3D24">
        <w:t xml:space="preserve">The PBAC considered that </w:t>
      </w:r>
      <w:r w:rsidR="00B75206" w:rsidRPr="008B3D24">
        <w:t xml:space="preserve">the </w:t>
      </w:r>
      <w:r w:rsidRPr="008B3D24">
        <w:t xml:space="preserve">listing of </w:t>
      </w:r>
      <w:r w:rsidR="001F3ADC" w:rsidRPr="008B3D24">
        <w:t xml:space="preserve">ixekizumab for AS </w:t>
      </w:r>
      <w:r w:rsidRPr="008B3D24">
        <w:t xml:space="preserve">based on a cost minimisation basis with the least costly </w:t>
      </w:r>
      <w:r w:rsidR="00044512" w:rsidRPr="008B3D24">
        <w:t xml:space="preserve">biological medicine </w:t>
      </w:r>
      <w:r w:rsidRPr="008B3D24">
        <w:t xml:space="preserve">using effective prices would </w:t>
      </w:r>
      <w:r w:rsidR="00B072E6">
        <w:t xml:space="preserve">result in no additional cost to the PBS. </w:t>
      </w:r>
    </w:p>
    <w:p w:rsidR="00AB3BAE" w:rsidRPr="008B3D24" w:rsidRDefault="00AB3BAE" w:rsidP="00AB3BAE">
      <w:pPr>
        <w:pStyle w:val="3-BodyText"/>
        <w:numPr>
          <w:ilvl w:val="1"/>
          <w:numId w:val="23"/>
        </w:numPr>
      </w:pPr>
      <w:r w:rsidRPr="008B3D24">
        <w:t xml:space="preserve">The PBAC advised that the restriction is </w:t>
      </w:r>
      <w:r w:rsidR="00044512" w:rsidRPr="008B3D24">
        <w:t xml:space="preserve">simple </w:t>
      </w:r>
      <w:r w:rsidRPr="008B3D24">
        <w:t xml:space="preserve">and that the </w:t>
      </w:r>
      <w:r w:rsidRPr="008B3D24">
        <w:rPr>
          <w:rFonts w:cstheme="minorHAnsi"/>
          <w:color w:val="000000"/>
        </w:rPr>
        <w:t xml:space="preserve">listing </w:t>
      </w:r>
      <w:r w:rsidR="00044512" w:rsidRPr="008B3D24">
        <w:rPr>
          <w:rFonts w:cstheme="minorHAnsi"/>
          <w:color w:val="000000"/>
        </w:rPr>
        <w:t xml:space="preserve">of ixekizumab </w:t>
      </w:r>
      <w:r w:rsidRPr="008B3D24">
        <w:rPr>
          <w:rFonts w:cstheme="minorHAnsi"/>
          <w:color w:val="000000"/>
        </w:rPr>
        <w:t>would result in flow-on changes to the Prescriber Instructions regarding the treatment of adult patients with</w:t>
      </w:r>
      <w:r w:rsidR="00044512" w:rsidRPr="008B3D24">
        <w:rPr>
          <w:rFonts w:cstheme="minorHAnsi"/>
          <w:color w:val="000000"/>
        </w:rPr>
        <w:t xml:space="preserve"> AS</w:t>
      </w:r>
      <w:r w:rsidRPr="008B3D24">
        <w:t>.</w:t>
      </w:r>
    </w:p>
    <w:p w:rsidR="001F3ADC" w:rsidRDefault="001F3ADC" w:rsidP="001F3ADC">
      <w:pPr>
        <w:pStyle w:val="3-BodyText"/>
        <w:numPr>
          <w:ilvl w:val="1"/>
          <w:numId w:val="23"/>
        </w:numPr>
      </w:pPr>
      <w:r w:rsidRPr="008B3D24">
        <w:t>The PBAC noted that its recommendation was on a cost-minimisation basis and advised that, because ixekizumab is not expected to provide a substantial and clinically relevant improvement in efficacy, or reduction of toxicity, over alternative therapies, or not expected to address a high and urgent unmet clinical need given the presence of an alternative therapy, the criteria prescribed by the National Health (Pharmaceuticals and Vaccines – Cost Recovery) Regulations 2009 for Pricing Pathway A were not met.</w:t>
      </w:r>
    </w:p>
    <w:p w:rsidR="0026370A" w:rsidRPr="008B3D24" w:rsidRDefault="0026370A" w:rsidP="0026370A">
      <w:pPr>
        <w:pStyle w:val="3-BodyText"/>
        <w:numPr>
          <w:ilvl w:val="1"/>
          <w:numId w:val="23"/>
        </w:numPr>
      </w:pPr>
      <w:r w:rsidRPr="008B3D24">
        <w:t>The PBAC noted that this submission is not eligible for an Independent Review as it received a positive recommendation.</w:t>
      </w:r>
    </w:p>
    <w:p w:rsidR="00AB3BAE" w:rsidRPr="008B3D24" w:rsidRDefault="00044512" w:rsidP="00AB3BAE">
      <w:pPr>
        <w:pStyle w:val="ListBullet"/>
        <w:rPr>
          <w:b/>
        </w:rPr>
      </w:pPr>
      <w:r w:rsidRPr="008B3D24">
        <w:rPr>
          <w:b/>
        </w:rPr>
        <w:t>Outcome:</w:t>
      </w:r>
    </w:p>
    <w:p w:rsidR="00044512" w:rsidRPr="008B3D24" w:rsidRDefault="00044512" w:rsidP="00AB3BAE">
      <w:pPr>
        <w:pStyle w:val="ListBullet"/>
      </w:pPr>
      <w:r w:rsidRPr="008B3D24">
        <w:t>Recommended</w:t>
      </w:r>
    </w:p>
    <w:p w:rsidR="00B82E83" w:rsidRPr="008B3D24" w:rsidRDefault="00C264EF" w:rsidP="00C264EF">
      <w:pPr>
        <w:pStyle w:val="2-SectionHeading"/>
        <w:numPr>
          <w:ilvl w:val="0"/>
          <w:numId w:val="26"/>
        </w:numPr>
      </w:pPr>
      <w:r w:rsidRPr="008B3D24">
        <w:t>Recommended listing</w:t>
      </w:r>
      <w:r w:rsidR="00B82E83" w:rsidRPr="008B3D24">
        <w:t xml:space="preserve">. </w:t>
      </w:r>
    </w:p>
    <w:p w:rsidR="00B82E83" w:rsidRPr="008B3D24" w:rsidRDefault="00C264EF" w:rsidP="00B82E83">
      <w:pPr>
        <w:spacing w:after="120"/>
        <w:rPr>
          <w:rFonts w:asciiTheme="minorHAnsi" w:hAnsiTheme="minorHAnsi"/>
          <w:snapToGrid w:val="0"/>
        </w:rPr>
      </w:pPr>
      <w:r w:rsidRPr="008B3D24">
        <w:rPr>
          <w:rFonts w:asciiTheme="minorHAnsi" w:hAnsiTheme="minorHAnsi"/>
          <w:snapToGrid w:val="0"/>
        </w:rPr>
        <w:t>A</w:t>
      </w:r>
      <w:r w:rsidR="00DC15D2" w:rsidRPr="008B3D24">
        <w:rPr>
          <w:rFonts w:asciiTheme="minorHAnsi" w:hAnsiTheme="minorHAnsi"/>
          <w:snapToGrid w:val="0"/>
        </w:rPr>
        <w:t xml:space="preserve">dd new PBS indication </w:t>
      </w:r>
      <w:r w:rsidRPr="008B3D24">
        <w:rPr>
          <w:rFonts w:asciiTheme="minorHAnsi" w:hAnsiTheme="minorHAnsi"/>
          <w:snapToGrid w:val="0"/>
        </w:rPr>
        <w:t>/recommended listing as follows:</w:t>
      </w:r>
    </w:p>
    <w:p w:rsidR="00C264EF" w:rsidRPr="008B3D24" w:rsidRDefault="00C264EF" w:rsidP="00B82E83">
      <w:pPr>
        <w:spacing w:after="120"/>
        <w:rPr>
          <w:rFonts w:ascii="Arial Narrow" w:hAnsi="Arial Narrow" w:cstheme="minorHAnsi"/>
          <w:sz w:val="18"/>
          <w:szCs w:val="18"/>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82E83" w:rsidRPr="008B3D24" w:rsidTr="000B3342">
        <w:trPr>
          <w:cantSplit/>
          <w:trHeight w:val="471"/>
        </w:trPr>
        <w:tc>
          <w:tcPr>
            <w:tcW w:w="2689" w:type="dxa"/>
          </w:tcPr>
          <w:p w:rsidR="00B82E83" w:rsidRPr="008B3D24" w:rsidRDefault="00B82E83" w:rsidP="000B3342">
            <w:pPr>
              <w:keepNext/>
              <w:ind w:left="-108"/>
              <w:rPr>
                <w:rFonts w:ascii="Arial Narrow" w:hAnsi="Arial Narrow"/>
                <w:b/>
                <w:sz w:val="18"/>
                <w:szCs w:val="18"/>
              </w:rPr>
            </w:pPr>
            <w:r w:rsidRPr="008B3D24">
              <w:rPr>
                <w:rFonts w:ascii="Arial Narrow" w:hAnsi="Arial Narrow"/>
                <w:b/>
                <w:sz w:val="18"/>
                <w:szCs w:val="18"/>
              </w:rPr>
              <w:t>Name, Restriction,</w:t>
            </w:r>
          </w:p>
          <w:p w:rsidR="00B82E83" w:rsidRPr="008B3D24" w:rsidRDefault="00B82E83" w:rsidP="000B3342">
            <w:pPr>
              <w:keepNext/>
              <w:ind w:left="-108"/>
              <w:rPr>
                <w:rFonts w:ascii="Arial Narrow" w:hAnsi="Arial Narrow"/>
                <w:b/>
                <w:sz w:val="18"/>
                <w:szCs w:val="18"/>
              </w:rPr>
            </w:pPr>
            <w:r w:rsidRPr="008B3D24">
              <w:rPr>
                <w:rFonts w:ascii="Arial Narrow" w:hAnsi="Arial Narrow"/>
                <w:b/>
                <w:sz w:val="18"/>
                <w:szCs w:val="18"/>
              </w:rPr>
              <w:t>Manner of administration and form</w:t>
            </w:r>
          </w:p>
        </w:tc>
        <w:tc>
          <w:tcPr>
            <w:tcW w:w="1275"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PBS item code</w:t>
            </w:r>
          </w:p>
        </w:tc>
        <w:tc>
          <w:tcPr>
            <w:tcW w:w="851"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Max. qty packs</w:t>
            </w:r>
          </w:p>
        </w:tc>
        <w:tc>
          <w:tcPr>
            <w:tcW w:w="850"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Max. qty units</w:t>
            </w:r>
          </w:p>
        </w:tc>
        <w:tc>
          <w:tcPr>
            <w:tcW w:w="709"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№.of</w:t>
            </w:r>
          </w:p>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Rpts</w:t>
            </w:r>
          </w:p>
        </w:tc>
        <w:tc>
          <w:tcPr>
            <w:tcW w:w="2551" w:type="dxa"/>
            <w:gridSpan w:val="2"/>
          </w:tcPr>
          <w:p w:rsidR="00B82E83" w:rsidRPr="008B3D24" w:rsidRDefault="00B82E83" w:rsidP="000B3342">
            <w:pPr>
              <w:keepNext/>
              <w:rPr>
                <w:rFonts w:ascii="Arial Narrow" w:hAnsi="Arial Narrow"/>
                <w:b/>
                <w:sz w:val="18"/>
                <w:szCs w:val="18"/>
              </w:rPr>
            </w:pPr>
            <w:r w:rsidRPr="008B3D24">
              <w:rPr>
                <w:rFonts w:ascii="Arial Narrow" w:hAnsi="Arial Narrow"/>
                <w:b/>
                <w:sz w:val="18"/>
                <w:szCs w:val="18"/>
              </w:rPr>
              <w:t>Proprietary Name and Manufacturer</w:t>
            </w:r>
          </w:p>
        </w:tc>
      </w:tr>
      <w:tr w:rsidR="00B82E83" w:rsidRPr="008B3D24" w:rsidTr="00B2415E">
        <w:trPr>
          <w:cantSplit/>
          <w:trHeight w:val="562"/>
        </w:trPr>
        <w:tc>
          <w:tcPr>
            <w:tcW w:w="2689" w:type="dxa"/>
          </w:tcPr>
          <w:p w:rsidR="00B82E83" w:rsidRPr="008B3D24" w:rsidRDefault="00B82E83" w:rsidP="000B3342">
            <w:pPr>
              <w:keepNext/>
              <w:ind w:left="-108"/>
              <w:rPr>
                <w:rFonts w:ascii="Arial Narrow" w:hAnsi="Arial Narrow"/>
                <w:sz w:val="18"/>
                <w:szCs w:val="18"/>
              </w:rPr>
            </w:pPr>
            <w:r w:rsidRPr="008B3D24">
              <w:rPr>
                <w:rFonts w:ascii="Arial Narrow" w:hAnsi="Arial Narrow"/>
                <w:sz w:val="18"/>
                <w:szCs w:val="18"/>
              </w:rPr>
              <w:t xml:space="preserve">IXEKIZUMAB </w:t>
            </w:r>
          </w:p>
          <w:p w:rsidR="00B82E83" w:rsidRPr="008B3D24" w:rsidRDefault="00B82E83" w:rsidP="00B2415E">
            <w:pPr>
              <w:keepNext/>
              <w:ind w:left="-108"/>
              <w:rPr>
                <w:rFonts w:ascii="Arial Narrow" w:hAnsi="Arial Narrow"/>
                <w:sz w:val="18"/>
                <w:szCs w:val="18"/>
              </w:rPr>
            </w:pPr>
            <w:r w:rsidRPr="008B3D24">
              <w:rPr>
                <w:rFonts w:ascii="Arial Narrow" w:hAnsi="Arial Narrow"/>
                <w:sz w:val="18"/>
                <w:szCs w:val="18"/>
              </w:rPr>
              <w:t>ixekizumab 80 mg/mL injection, 2 x 1 mL pen devices</w:t>
            </w:r>
          </w:p>
        </w:tc>
        <w:tc>
          <w:tcPr>
            <w:tcW w:w="1275" w:type="dxa"/>
          </w:tcPr>
          <w:p w:rsidR="00B82E83" w:rsidRPr="008B3D24" w:rsidRDefault="00B82E83" w:rsidP="000B3342">
            <w:pPr>
              <w:keepNext/>
              <w:ind w:left="-108"/>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NEW</w:t>
            </w:r>
          </w:p>
        </w:tc>
        <w:tc>
          <w:tcPr>
            <w:tcW w:w="851" w:type="dxa"/>
          </w:tcPr>
          <w:p w:rsidR="00B82E83" w:rsidRPr="008B3D24" w:rsidRDefault="00B82E83" w:rsidP="000B3342">
            <w:pPr>
              <w:keepNext/>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1</w:t>
            </w:r>
          </w:p>
        </w:tc>
        <w:tc>
          <w:tcPr>
            <w:tcW w:w="850" w:type="dxa"/>
          </w:tcPr>
          <w:p w:rsidR="00B82E83" w:rsidRPr="008B3D24" w:rsidRDefault="00B82E83" w:rsidP="000B3342">
            <w:pPr>
              <w:keepNext/>
              <w:ind w:left="-108"/>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2</w:t>
            </w:r>
          </w:p>
        </w:tc>
        <w:tc>
          <w:tcPr>
            <w:tcW w:w="709" w:type="dxa"/>
          </w:tcPr>
          <w:p w:rsidR="00B82E83" w:rsidRPr="008B3D24" w:rsidRDefault="00B82E83" w:rsidP="000B3342">
            <w:pPr>
              <w:keepNext/>
              <w:ind w:left="-108"/>
              <w:jc w:val="center"/>
              <w:rPr>
                <w:rFonts w:ascii="Arial Narrow" w:hAnsi="Arial Narrow"/>
                <w:sz w:val="18"/>
                <w:szCs w:val="18"/>
              </w:rPr>
            </w:pPr>
          </w:p>
          <w:p w:rsidR="00B82E83" w:rsidRPr="008B3D24" w:rsidRDefault="00B2415E" w:rsidP="00B2415E">
            <w:pPr>
              <w:keepNext/>
              <w:jc w:val="center"/>
              <w:rPr>
                <w:rFonts w:ascii="Arial Narrow" w:hAnsi="Arial Narrow"/>
                <w:sz w:val="18"/>
                <w:szCs w:val="18"/>
              </w:rPr>
            </w:pPr>
            <w:r>
              <w:rPr>
                <w:rFonts w:ascii="Arial Narrow" w:hAnsi="Arial Narrow"/>
                <w:sz w:val="18"/>
                <w:szCs w:val="18"/>
              </w:rPr>
              <w:t>1</w:t>
            </w:r>
          </w:p>
        </w:tc>
        <w:tc>
          <w:tcPr>
            <w:tcW w:w="1134" w:type="dxa"/>
          </w:tcPr>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br/>
              <w:t>TALTZ</w:t>
            </w:r>
          </w:p>
        </w:tc>
        <w:tc>
          <w:tcPr>
            <w:tcW w:w="1417" w:type="dxa"/>
          </w:tcPr>
          <w:p w:rsidR="00B82E83" w:rsidRPr="008B3D24" w:rsidRDefault="00B82E83" w:rsidP="000B3342">
            <w:pPr>
              <w:keepNext/>
              <w:rPr>
                <w:rFonts w:ascii="Arial Narrow" w:hAnsi="Arial Narrow"/>
                <w:sz w:val="18"/>
                <w:szCs w:val="18"/>
              </w:rPr>
            </w:pPr>
          </w:p>
          <w:p w:rsidR="00B82E83" w:rsidRPr="008B3D24" w:rsidRDefault="00B82E83" w:rsidP="000B3342">
            <w:pPr>
              <w:keepNext/>
              <w:rPr>
                <w:rFonts w:ascii="Arial Narrow" w:hAnsi="Arial Narrow"/>
                <w:sz w:val="18"/>
                <w:szCs w:val="18"/>
              </w:rPr>
            </w:pPr>
            <w:r w:rsidRPr="008B3D24">
              <w:rPr>
                <w:rFonts w:ascii="Arial Narrow" w:hAnsi="Arial Narrow"/>
                <w:sz w:val="18"/>
                <w:szCs w:val="18"/>
              </w:rPr>
              <w:t>Eli Lilly Australia Pty Ltd</w:t>
            </w:r>
          </w:p>
        </w:tc>
      </w:tr>
    </w:tbl>
    <w:p w:rsidR="0008772F" w:rsidRDefault="0008772F" w:rsidP="00B82E83"/>
    <w:p w:rsidR="00684AD6" w:rsidRPr="00B2415E" w:rsidRDefault="0008772F" w:rsidP="00B82E83">
      <w:pPr>
        <w:rPr>
          <w:rFonts w:ascii="Arial Narrow" w:hAnsi="Arial Narrow" w:cstheme="minorHAnsi"/>
          <w:b/>
          <w:sz w:val="20"/>
          <w:szCs w:val="20"/>
        </w:rPr>
      </w:pPr>
      <w:r>
        <w:rPr>
          <w:rFonts w:ascii="Arial Narrow" w:hAnsi="Arial Narrow" w:cstheme="minorHAnsi"/>
          <w:b/>
          <w:sz w:val="20"/>
          <w:szCs w:val="20"/>
        </w:rPr>
        <w:br/>
      </w:r>
      <w:r w:rsidR="00B82E83" w:rsidRPr="00B2415E">
        <w:rPr>
          <w:rFonts w:ascii="Arial Narrow" w:hAnsi="Arial Narrow" w:cstheme="minorHAnsi"/>
          <w:b/>
          <w:sz w:val="20"/>
          <w:szCs w:val="20"/>
        </w:rPr>
        <w:t>Restriction Summary 9530 / ToC: 9503</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29"/>
      </w:tblGrid>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Category/ Program</w:t>
            </w:r>
            <w:r w:rsidRPr="008B3D24">
              <w:rPr>
                <w:rFonts w:ascii="Arial Narrow" w:hAnsi="Arial Narrow"/>
                <w:b/>
                <w:bCs/>
                <w:sz w:val="18"/>
                <w:szCs w:val="18"/>
              </w:rPr>
              <w:t>:</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 xml:space="preserve">GENERAL – General Schedule (Code GE)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Prescriber type</w:t>
            </w:r>
            <w:r w:rsidRPr="008B3D24">
              <w:rPr>
                <w:rFonts w:ascii="Arial Narrow" w:hAnsi="Arial Narrow"/>
                <w:b/>
                <w:bCs/>
                <w:sz w:val="18"/>
                <w:szCs w:val="18"/>
              </w:rPr>
              <w:t xml:space="preserve"> :</w:t>
            </w:r>
          </w:p>
          <w:p w:rsidR="0008772F" w:rsidRPr="008B3D24" w:rsidRDefault="0008772F" w:rsidP="004273DD">
            <w:pPr>
              <w:rPr>
                <w:rFonts w:ascii="Arial Narrow" w:hAnsi="Arial Narrow"/>
                <w:bCs/>
                <w:sz w:val="18"/>
                <w:szCs w:val="18"/>
              </w:rPr>
            </w:pPr>
            <w:r w:rsidRPr="008B3D24">
              <w:rPr>
                <w:rFonts w:ascii="Arial Narrow" w:hAnsi="Arial Narrow"/>
                <w:bCs/>
                <w:sz w:val="18"/>
                <w:szCs w:val="18"/>
              </w:rPr>
              <w:fldChar w:fldCharType="begin">
                <w:ffData>
                  <w:name w:val="Check1"/>
                  <w:enabled/>
                  <w:calcOnExit w:val="0"/>
                  <w:checkBox>
                    <w:sizeAuto/>
                    <w:default w:val="1"/>
                  </w:checkBox>
                </w:ffData>
              </w:fldChar>
            </w:r>
            <w:bookmarkStart w:id="29" w:name="Check1"/>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bookmarkEnd w:id="29"/>
            <w:r w:rsidRPr="008B3D24">
              <w:rPr>
                <w:rFonts w:ascii="Arial Narrow" w:hAnsi="Arial Narrow"/>
                <w:bCs/>
                <w:sz w:val="18"/>
                <w:szCs w:val="18"/>
              </w:rPr>
              <w:t xml:space="preserve">Medical Practitioners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Restriction type: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fldChar w:fldCharType="begin">
                <w:ffData>
                  <w:name w:val="Check3"/>
                  <w:enabled/>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Pr>
                <w:rFonts w:ascii="Arial Narrow" w:hAnsi="Arial Narrow"/>
                <w:bCs/>
                <w:sz w:val="18"/>
                <w:szCs w:val="18"/>
              </w:rPr>
              <w:t>Authority Required - In Writing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Indication:</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Phase:</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 xml:space="preserve">Initial treatment - Initial 1 (new patient)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The condition must be radiographically (plain X-ray) confirmed Grade II bilateral sacroiliitis or Grade III unilateral sacroiliitis</w:t>
            </w:r>
          </w:p>
        </w:tc>
      </w:tr>
      <w:tr w:rsidR="0008772F" w:rsidRPr="008B3D24" w:rsidTr="0008772F">
        <w:trPr>
          <w:trHeight w:val="108"/>
        </w:trPr>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not have received PBS-subsidised treatment with a biological medicine for this condition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 xml:space="preserve">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failed to achieve an adequate response following treatment with at least 2 non-steroidal anti-inflammatory drugs (NSAIDs), whilst completing an appropriate exercise program, for a total period of 3 months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not receive more than 16 weeks of treatment under this restriction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Population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be aged 18 years or older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 xml:space="preserve">The application must include details of the NSAIDs trialled, their doses and duration of treatment. </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If the NSAID dose is less than the maximum recommended dose in the relevant TGA-approved Product Information, the application must include the reason a higher dose cannot be used.</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If treatment with NSAIDs is contraindicated according to the relevant TGA-approved Product Information, the application must provide details of the contraindication.</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If intolerance to NSAID treatment develops during the relevant period of use which is of a severity to necessitate permanent treatment withdrawal, the application must provide details of the nature and severity of this intolerance.</w:t>
            </w:r>
            <w:r w:rsidRPr="008B3D24">
              <w:rPr>
                <w:rFonts w:ascii="Arial Narrow" w:hAnsi="Arial Narrow"/>
                <w:b/>
                <w:bCs/>
                <w:sz w:val="18"/>
                <w:szCs w:val="18"/>
              </w:rPr>
              <w:t xml:space="preserve">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The following criteria indicate failure to achieve an adequate response and must be demonstrated at the time of the initial application:</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a Bath Ankylosing Spondylitis Disease Activity Index (BASDAI) of at least 4 on a 0-10 scale; AND</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(b) an elevated erythrocyte sedimentation rate (ESR) greater than 25 mm per hour or a C-reactive protein (CRP) level greater than 10 mg per L.</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The BASDAI must be determined at the completion of the 3 month NSAID and exercise trial, but prior to ceasing NSAID treatment. The BASDAI must be no more than 1 month old at the time of initial application.</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Both ESR and CRP measures should be provided with the initial treatment application and both must be no more than 1 month old. If the above requirement to demonstrate an elevated ESR or CRP cannot be met, the application must state the reason this criterion cannot be satisfied.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The authority application must be made in writing and must include: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a completed authority prescription form; and</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(b) a completed Ankylosing Spondylitis PBS Authority Application - Supporting Information Form which includes the following:</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 a copy of the radiological report confirming Grade II bilateral sacroiliitis or Grade III unilateral sacroiliitis; and</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(ii) a completed BASDAI Assessment Form; and</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(iii) a completed Exercise Program Self Certification Form included in the supporting information form.</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Where the response assessment is not submitted within this timeframe, the patient will be deemed to have failed to respond to treatment with this drug.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Details of the toxicities, including severity, which will be accepted for the purposes of administering this restriction can be found on the Services Australia</w:t>
            </w:r>
            <w:r w:rsidRPr="008B3D24">
              <w:rPr>
                <w:rFonts w:ascii="Arial Narrow" w:hAnsi="Arial Narrow"/>
                <w:bCs/>
                <w:i/>
                <w:sz w:val="18"/>
                <w:szCs w:val="18"/>
              </w:rPr>
              <w:t xml:space="preserve"> </w:t>
            </w:r>
            <w:r w:rsidRPr="008B3D24">
              <w:rPr>
                <w:rFonts w:ascii="Arial Narrow" w:hAnsi="Arial Narrow"/>
                <w:bCs/>
                <w:sz w:val="18"/>
                <w:szCs w:val="18"/>
              </w:rPr>
              <w:t>website at www.servicesaustralia.gov.au</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For details on the appropriate minimum exercise program that will be accepted for the purposes of administering this restriction, please refer to the Services Australia</w:t>
            </w:r>
            <w:r w:rsidRPr="008B3D24">
              <w:rPr>
                <w:rFonts w:ascii="Arial Narrow" w:hAnsi="Arial Narrow"/>
                <w:bCs/>
                <w:i/>
                <w:sz w:val="18"/>
                <w:szCs w:val="18"/>
              </w:rPr>
              <w:t xml:space="preserve"> </w:t>
            </w:r>
            <w:r w:rsidRPr="008B3D24">
              <w:rPr>
                <w:rFonts w:ascii="Arial Narrow" w:hAnsi="Arial Narrow"/>
                <w:bCs/>
                <w:sz w:val="18"/>
                <w:szCs w:val="18"/>
              </w:rPr>
              <w:t>website at www.servicesaustralia.gov.au</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Any queries concerning the arrangements to prescribe may be directed to Services Australia on 1800 700 270 (hours of operation 8 a.m. to 5 p.m. EST Monday to Friday).</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Applications for authority to prescribe should be submitted online using the form upload facility in Health Professional Online Services (HPOS) at www.servicesaustralia.gov.au/hpos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Or mailed to:</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Services Australia</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Complex Drugs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Reply Paid 9826</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HOBART TAS 7001</w:t>
            </w:r>
          </w:p>
        </w:tc>
      </w:tr>
    </w:tbl>
    <w:p w:rsidR="0008772F" w:rsidRDefault="0008772F">
      <w:r>
        <w:br w:type="page"/>
      </w:r>
    </w:p>
    <w:tbl>
      <w:tblPr>
        <w:tblpPr w:leftFromText="181" w:rightFromText="181" w:vertAnchor="page" w:horzAnchor="margin" w:tblpY="1911"/>
        <w:tblOverlap w:val="neve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38"/>
      </w:tblGrid>
      <w:tr w:rsidR="0008772F" w:rsidRPr="008B3D24" w:rsidTr="0008772F">
        <w:tc>
          <w:tcPr>
            <w:tcW w:w="5000" w:type="pct"/>
            <w:tcBorders>
              <w:top w:val="nil"/>
              <w:left w:val="nil"/>
              <w:bottom w:val="single" w:sz="4" w:space="0" w:color="auto"/>
              <w:right w:val="nil"/>
            </w:tcBorders>
            <w:vAlign w:val="center"/>
          </w:tcPr>
          <w:p w:rsidR="0008772F" w:rsidRPr="0008772F" w:rsidRDefault="0008772F" w:rsidP="0037693A">
            <w:pPr>
              <w:widowControl w:val="0"/>
              <w:rPr>
                <w:rFonts w:ascii="Arial Narrow" w:hAnsi="Arial Narrow" w:cstheme="minorHAnsi"/>
                <w:b/>
                <w:sz w:val="20"/>
                <w:szCs w:val="20"/>
              </w:rPr>
            </w:pPr>
            <w:r w:rsidRPr="00B2415E">
              <w:rPr>
                <w:rFonts w:ascii="Arial Narrow" w:hAnsi="Arial Narrow" w:cstheme="minorHAnsi"/>
                <w:b/>
                <w:sz w:val="20"/>
                <w:szCs w:val="20"/>
              </w:rPr>
              <w:t>Restr</w:t>
            </w:r>
            <w:r>
              <w:rPr>
                <w:rFonts w:ascii="Arial Narrow" w:hAnsi="Arial Narrow" w:cstheme="minorHAnsi"/>
                <w:b/>
                <w:sz w:val="20"/>
                <w:szCs w:val="20"/>
              </w:rPr>
              <w:t>iction Summary 9412 / ToC: 9414</w:t>
            </w:r>
          </w:p>
        </w:tc>
      </w:tr>
      <w:tr w:rsidR="0008772F" w:rsidRPr="008B3D24" w:rsidTr="0008772F">
        <w:tc>
          <w:tcPr>
            <w:tcW w:w="5000" w:type="pct"/>
            <w:tcBorders>
              <w:top w:val="single" w:sz="4" w:space="0" w:color="auto"/>
            </w:tcBorders>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Indication:</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Ankylosing spondylitis</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Treatment Phase:</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Initial treatment - Initial 2 (change or recommencement of treatment after a break in biological medicine of less than 5 years)</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Patient must have received prior PBS-subsidised treatment with a biological medicine for this condition in this treatment cycle</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Patient must not have already failed, or ceased to respond to, PBS-subsidised treatment with this drug for this condition during the current treatment cycle</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AND</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Patient must not receive more than 16 weeks of treatment under this restriction</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AND</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Population criteria:</w:t>
            </w:r>
          </w:p>
        </w:tc>
      </w:tr>
      <w:tr w:rsidR="0008772F" w:rsidRPr="008B3D24" w:rsidTr="0008772F">
        <w:tc>
          <w:tcPr>
            <w:tcW w:w="5000" w:type="pct"/>
            <w:vAlign w:val="center"/>
          </w:tcPr>
          <w:p w:rsidR="0008772F" w:rsidRPr="008B3D24" w:rsidRDefault="0008772F" w:rsidP="0037693A">
            <w:pPr>
              <w:widowControl w:val="0"/>
              <w:rPr>
                <w:rFonts w:ascii="Arial Narrow" w:hAnsi="Arial Narrow"/>
                <w:bCs/>
                <w:i/>
                <w:sz w:val="18"/>
                <w:szCs w:val="18"/>
              </w:rPr>
            </w:pPr>
            <w:r w:rsidRPr="008B3D24">
              <w:rPr>
                <w:rFonts w:ascii="Arial Narrow" w:hAnsi="Arial Narrow"/>
                <w:bCs/>
                <w:sz w:val="18"/>
                <w:szCs w:val="18"/>
              </w:rPr>
              <w:t>Patient must be aged 18 years or older</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AND</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vAlign w:val="center"/>
          </w:tcPr>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The authority application must be made in writing and must include:</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 a completed authority prescription form; and</w:t>
            </w:r>
          </w:p>
          <w:p w:rsidR="0008772F" w:rsidRPr="008B3D24" w:rsidRDefault="0008772F" w:rsidP="0037693A">
            <w:pPr>
              <w:widowControl w:val="0"/>
              <w:rPr>
                <w:rFonts w:ascii="Arial Narrow" w:hAnsi="Arial Narrow"/>
                <w:b/>
                <w:bCs/>
                <w:sz w:val="18"/>
                <w:szCs w:val="18"/>
              </w:rPr>
            </w:pPr>
            <w:r w:rsidRPr="008B3D24">
              <w:rPr>
                <w:rFonts w:ascii="Arial Narrow" w:hAnsi="Arial Narrow"/>
                <w:bCs/>
                <w:sz w:val="18"/>
                <w:szCs w:val="18"/>
              </w:rPr>
              <w:t>(b) a completed Ankylosing Spondylitis PBS Authority Application - Supporting Information Form.</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C264EF">
            <w:pPr>
              <w:widowControl w:val="0"/>
              <w:rPr>
                <w:rFonts w:ascii="Arial Narrow" w:hAnsi="Arial Narrow"/>
                <w:bCs/>
                <w:i/>
                <w:sz w:val="18"/>
                <w:szCs w:val="18"/>
              </w:rPr>
            </w:pPr>
            <w:r w:rsidRPr="008B3D24">
              <w:rPr>
                <w:rFonts w:ascii="Arial Narrow" w:hAnsi="Arial Narrow"/>
                <w:bCs/>
                <w:sz w:val="18"/>
                <w:szCs w:val="18"/>
              </w:rPr>
              <w:t>Where the most recent course of PBS-subsidised biological medicine treatment was approved under either Initial 1, Initial 2, Initial 3 or continuing treatment restrictions, an assessment of a patient's response must have been conducted following a minimum of 12 weeks of therapy and submitted no later than 4 weeks from the date of completion of treatment</w:t>
            </w:r>
            <w:r w:rsidRPr="008B3D24">
              <w:rPr>
                <w:rFonts w:ascii="Arial Narrow" w:hAnsi="Arial Narrow"/>
                <w:bCs/>
                <w:i/>
                <w:sz w:val="18"/>
                <w:szCs w:val="18"/>
              </w:rPr>
              <w:t>.</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C264EF">
            <w:pPr>
              <w:widowControl w:val="0"/>
              <w:rPr>
                <w:rFonts w:ascii="Arial Narrow" w:hAnsi="Arial Narrow"/>
                <w:b/>
                <w:bCs/>
                <w:sz w:val="18"/>
                <w:szCs w:val="18"/>
              </w:rPr>
            </w:pPr>
            <w:r w:rsidRPr="008B3D24">
              <w:rPr>
                <w:rFonts w:ascii="Arial Narrow" w:hAnsi="Arial Narrow"/>
                <w:bCs/>
                <w:sz w:val="18"/>
                <w:szCs w:val="18"/>
              </w:rPr>
              <w:t>An application for the continuing treatment must be accompanied with the assessment of response following a minimum of 12 weeks of therapy with this drug and submitted no later than</w:t>
            </w:r>
            <w:r w:rsidRPr="008B3D24">
              <w:rPr>
                <w:rFonts w:ascii="Arial Narrow" w:hAnsi="Arial Narrow"/>
                <w:b/>
                <w:bCs/>
                <w:sz w:val="18"/>
                <w:szCs w:val="18"/>
              </w:rPr>
              <w:t xml:space="preserve"> </w:t>
            </w:r>
            <w:r w:rsidRPr="008B3D24">
              <w:rPr>
                <w:rFonts w:ascii="Arial Narrow" w:hAnsi="Arial Narrow"/>
                <w:bCs/>
                <w:sz w:val="18"/>
                <w:szCs w:val="18"/>
              </w:rPr>
              <w:t>4 weeks from the</w:t>
            </w:r>
            <w:r w:rsidRPr="008B3D24">
              <w:rPr>
                <w:rFonts w:ascii="Arial Narrow" w:hAnsi="Arial Narrow"/>
                <w:b/>
                <w:bCs/>
                <w:sz w:val="18"/>
                <w:szCs w:val="18"/>
              </w:rPr>
              <w:t xml:space="preserve"> </w:t>
            </w:r>
            <w:r w:rsidRPr="008B3D24">
              <w:rPr>
                <w:rFonts w:ascii="Arial Narrow" w:hAnsi="Arial Narrow"/>
                <w:bCs/>
                <w:sz w:val="18"/>
                <w:szCs w:val="18"/>
              </w:rPr>
              <w:t>date of completion of treatment. This will enable ongoing treatment for those who meet the continuing restriction for PBS-subsidised treatment.</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An adequate response is defined as an improvement from baseline of at least 2 of the BASDAI and 1 of the following:</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 an ESR measurement no greater than 25 mm per hour; or</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(b) a CRP measurement no greater than 10 mg per L; or</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(c) an ESR or CRP measurement reduced by at least 20% from baseline.</w:t>
            </w:r>
          </w:p>
          <w:p w:rsidR="0008772F" w:rsidRPr="008B3D24" w:rsidRDefault="0008772F" w:rsidP="0037693A">
            <w:pPr>
              <w:widowControl w:val="0"/>
              <w:rPr>
                <w:rFonts w:ascii="Arial Narrow" w:hAnsi="Arial Narrow"/>
                <w:b/>
                <w:bCs/>
                <w:sz w:val="18"/>
                <w:szCs w:val="18"/>
              </w:rPr>
            </w:pPr>
            <w:r w:rsidRPr="008B3D24">
              <w:rPr>
                <w:rFonts w:ascii="Arial Narrow" w:hAnsi="Arial Narrow"/>
                <w:bCs/>
                <w:sz w:val="18"/>
                <w:szCs w:val="18"/>
              </w:rPr>
              <w:t>Where only 1 acute phase reactant measurement is supplied in the first application for PBS-subsidised treatment, that same marker must be measured and supplied in all subsequent continuing treatment applications.</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All measurements provided must be no more than 1 month old at the time of application.</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8772F" w:rsidRPr="008B3D24" w:rsidTr="0008772F">
        <w:tc>
          <w:tcPr>
            <w:tcW w:w="5000" w:type="pct"/>
            <w:vAlign w:val="center"/>
          </w:tcPr>
          <w:p w:rsidR="0008772F" w:rsidRPr="008B3D24" w:rsidRDefault="0008772F" w:rsidP="0037693A">
            <w:pPr>
              <w:widowControl w:val="0"/>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Any queries concerning the arrangements to prescribe may be directed to Services Australia on 1800 700 270 (hours of operation 8 a.m. to 5 p.m. EST Monday to Friday).</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Applications for authority to prescribe should be submitted online using the form upload facility in Health Professional Online Services (HPOS) at www.servicesaustralia.gov.au/hpos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Or mailed to:</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Services Australia</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Complex Drugs</w:t>
            </w:r>
          </w:p>
          <w:p w:rsidR="0008772F" w:rsidRPr="008B3D24" w:rsidRDefault="0008772F" w:rsidP="0037693A">
            <w:pPr>
              <w:widowControl w:val="0"/>
              <w:rPr>
                <w:rFonts w:ascii="Arial Narrow" w:hAnsi="Arial Narrow"/>
                <w:bCs/>
                <w:sz w:val="18"/>
                <w:szCs w:val="18"/>
              </w:rPr>
            </w:pPr>
            <w:r w:rsidRPr="008B3D24">
              <w:rPr>
                <w:rFonts w:ascii="Arial Narrow" w:hAnsi="Arial Narrow"/>
                <w:bCs/>
                <w:sz w:val="18"/>
                <w:szCs w:val="18"/>
              </w:rPr>
              <w:t>Reply Paid 9826</w:t>
            </w:r>
          </w:p>
          <w:p w:rsidR="0008772F" w:rsidRPr="008B3D24" w:rsidRDefault="0008772F" w:rsidP="0037693A">
            <w:pPr>
              <w:widowControl w:val="0"/>
              <w:rPr>
                <w:rFonts w:ascii="Arial Narrow" w:hAnsi="Arial Narrow"/>
                <w:b/>
                <w:bCs/>
                <w:sz w:val="18"/>
                <w:szCs w:val="18"/>
              </w:rPr>
            </w:pPr>
            <w:r w:rsidRPr="008B3D24">
              <w:rPr>
                <w:rFonts w:ascii="Arial Narrow" w:hAnsi="Arial Narrow"/>
                <w:bCs/>
                <w:sz w:val="18"/>
                <w:szCs w:val="18"/>
              </w:rPr>
              <w:t>HOBART TAS 7001</w:t>
            </w:r>
          </w:p>
        </w:tc>
      </w:tr>
    </w:tbl>
    <w:p w:rsidR="00B82E83" w:rsidRPr="008B3D24" w:rsidRDefault="00B82E83" w:rsidP="00153A93">
      <w:pPr>
        <w:keepNext/>
        <w:keepLines/>
        <w:rPr>
          <w:rFonts w:ascii="Arial Narrow" w:hAnsi="Arial Narrow" w:cstheme="minorHAnsi"/>
          <w:sz w:val="20"/>
          <w:szCs w:val="20"/>
        </w:rPr>
      </w:pPr>
    </w:p>
    <w:p w:rsidR="00A22FDA" w:rsidRPr="008B3D24" w:rsidRDefault="00A22FDA" w:rsidP="00153A93">
      <w:pPr>
        <w:keepNext/>
        <w:keepLines/>
        <w:rPr>
          <w:rFonts w:ascii="Arial Narrow" w:hAnsi="Arial Narrow" w:cstheme="minorHAnsi"/>
          <w:sz w:val="20"/>
          <w:szCs w:val="20"/>
        </w:rPr>
      </w:pPr>
    </w:p>
    <w:p w:rsidR="0008772F" w:rsidRDefault="0008772F" w:rsidP="00B82E83">
      <w:pPr>
        <w:rPr>
          <w:rFonts w:ascii="Arial Narrow" w:hAnsi="Arial Narrow" w:cstheme="minorHAnsi"/>
          <w:b/>
          <w:sz w:val="20"/>
          <w:szCs w:val="20"/>
        </w:rPr>
      </w:pPr>
    </w:p>
    <w:p w:rsidR="0008772F" w:rsidRDefault="0008772F" w:rsidP="00B82E83">
      <w:pPr>
        <w:rPr>
          <w:rFonts w:ascii="Arial Narrow" w:hAnsi="Arial Narrow" w:cstheme="minorHAnsi"/>
          <w:b/>
          <w:sz w:val="20"/>
          <w:szCs w:val="20"/>
        </w:rPr>
      </w:pPr>
    </w:p>
    <w:p w:rsidR="0008772F" w:rsidRDefault="0008772F" w:rsidP="00B82E83">
      <w:pPr>
        <w:rPr>
          <w:rFonts w:ascii="Arial Narrow" w:hAnsi="Arial Narrow" w:cstheme="minorHAnsi"/>
          <w:b/>
          <w:sz w:val="20"/>
          <w:szCs w:val="20"/>
        </w:rPr>
      </w:pPr>
    </w:p>
    <w:p w:rsidR="0008772F" w:rsidRDefault="0008772F">
      <w:pPr>
        <w:jc w:val="left"/>
        <w:rPr>
          <w:rFonts w:ascii="Arial Narrow" w:hAnsi="Arial Narrow" w:cstheme="minorHAnsi"/>
          <w:b/>
          <w:sz w:val="20"/>
          <w:szCs w:val="20"/>
        </w:rPr>
      </w:pPr>
      <w:r>
        <w:rPr>
          <w:rFonts w:ascii="Arial Narrow" w:hAnsi="Arial Narrow" w:cstheme="minorHAnsi"/>
          <w:b/>
          <w:sz w:val="20"/>
          <w:szCs w:val="20"/>
        </w:rPr>
        <w:br w:type="page"/>
      </w:r>
    </w:p>
    <w:p w:rsidR="00B82E83" w:rsidRPr="00B2415E" w:rsidRDefault="00B82E83" w:rsidP="00B82E83">
      <w:pPr>
        <w:rPr>
          <w:rFonts w:ascii="Arial Narrow" w:hAnsi="Arial Narrow" w:cstheme="minorHAnsi"/>
          <w:b/>
          <w:sz w:val="20"/>
          <w:szCs w:val="20"/>
        </w:rPr>
      </w:pPr>
      <w:r w:rsidRPr="00B2415E">
        <w:rPr>
          <w:rFonts w:ascii="Arial Narrow" w:hAnsi="Arial Narrow" w:cstheme="minorHAnsi"/>
          <w:b/>
          <w:sz w:val="20"/>
          <w:szCs w:val="20"/>
        </w:rPr>
        <w:t>Restriction Summary 9427 / ToC: 9428</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29"/>
      </w:tblGrid>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Indication:</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Phase: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Initial treatment - Initial 3 (recommencement of treatment after a break in biological medicine of more than 5 years)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received prior PBS-subsidised treatment with a biological medicine for this condition</w:t>
            </w:r>
          </w:p>
        </w:tc>
      </w:tr>
      <w:tr w:rsidR="0008772F" w:rsidRPr="008B3D24" w:rsidTr="0008772F">
        <w:trPr>
          <w:trHeight w:val="136"/>
        </w:trPr>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a break in treatment of 5 years or more from the most recently approved PBS-subsidised biological medicine for this condition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The condition must be radiographically (plain X-ray) confirmed Grade II bilateral sacroiliitis or Grade III unilateral sacroiliitis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 xml:space="preserve">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a Bath Ankylosing Spondylitis Disease Activity Index (BASDAI) of at least 4 on a 0-10 scale that is no more than 4 weeks old at the time of application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an elevated erythrocyte sedimentation rate (ESR) greater than 25 mm per hour that is no more than 4 weeks old at the time of application;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a C-reactive protein (CRP) level greater than 10 mg per L that is no more than 4 weeks old at the time of application;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a clinical reason as to why demonstration of an elevated ESR or CRP cannot be met and the application must state the reason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not receive more than 16 weeks of treatment under this restriction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Population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be aged 18 years or older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The authority application must be made in writing and must include: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a completed authority prescription form; and</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(b) a completed Ankylosing Spondylitis PBS Authority Application - Supporting Information Form which includes the following:</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 a copy of the radiological report confirming Grade II bilateral sacroiliitis or Grade III unilateral sacroiliitis; and</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(ii) a completed BASDAI Assessment Form.</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An assessment of a patient's response to an initial course of treatment must be conducted following a minimum of 12 weeks of therapy. An application for the continuing treatment must be accompanied with the assessment of response and submitted no later than 4 weeks from the date of completion of the most recent course of treatment. This will enable ongoing treatment for those who meet the continuing restriction for PBS-subsidised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Where the response assessment is not submitted within this timeframe, the patient will be deemed to have failed to respond to treatment with this drug.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Any queries concerning the arrangements to prescribe may be directed to Services Australia on 1800 700 270 (hours of operation 8 a.m. to 5 p.m. EST Monday to Friday).</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Applications for authority to prescribe should be submitted online using the form upload facility in Health Professional Online Services (HPOS) at www.servicesaustralia.gov.au/hpos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Or mailed to:</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Services Australia</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Complex Drugs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Reply Paid 9826</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HOBART TAS 7001</w:t>
            </w:r>
          </w:p>
        </w:tc>
      </w:tr>
    </w:tbl>
    <w:p w:rsidR="00B82E83" w:rsidRPr="008B3D24" w:rsidRDefault="00B82E83" w:rsidP="00B82E83"/>
    <w:p w:rsidR="00B82E83" w:rsidRPr="00B2415E" w:rsidRDefault="00B82E83" w:rsidP="00B82E83">
      <w:pPr>
        <w:rPr>
          <w:rFonts w:ascii="Arial Narrow" w:hAnsi="Arial Narrow" w:cstheme="minorHAnsi"/>
          <w:b/>
          <w:sz w:val="20"/>
          <w:szCs w:val="20"/>
        </w:rPr>
      </w:pPr>
      <w:r w:rsidRPr="00B2415E">
        <w:rPr>
          <w:rFonts w:ascii="Arial Narrow" w:hAnsi="Arial Narrow" w:cstheme="minorHAnsi"/>
          <w:b/>
          <w:sz w:val="20"/>
          <w:szCs w:val="20"/>
        </w:rPr>
        <w:t>Restriction Summary 9535 / ToC: 9429</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29"/>
      </w:tblGrid>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Category/ Program</w:t>
            </w:r>
            <w:r w:rsidRPr="008B3D24">
              <w:rPr>
                <w:rFonts w:ascii="Arial Narrow" w:hAnsi="Arial Narrow"/>
                <w:b/>
                <w:bCs/>
                <w:sz w:val="18"/>
                <w:szCs w:val="18"/>
              </w:rPr>
              <w:t>:</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GENERAL – General Schedule (Code GE)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Prescriber type</w:t>
            </w:r>
            <w:r w:rsidRPr="008B3D24">
              <w:rPr>
                <w:rFonts w:ascii="Arial Narrow" w:hAnsi="Arial Narrow"/>
                <w:b/>
                <w:bCs/>
                <w:sz w:val="18"/>
                <w:szCs w:val="18"/>
              </w:rPr>
              <w:t xml:space="preserve"> :</w:t>
            </w:r>
          </w:p>
          <w:p w:rsidR="0008772F" w:rsidRPr="008B3D24" w:rsidRDefault="0008772F" w:rsidP="00590E14">
            <w:pPr>
              <w:rPr>
                <w:rFonts w:ascii="Arial Narrow" w:hAnsi="Arial Narrow"/>
                <w:bCs/>
                <w:sz w:val="18"/>
                <w:szCs w:val="18"/>
              </w:rPr>
            </w:pPr>
            <w:r w:rsidRPr="008B3D24">
              <w:rPr>
                <w:rFonts w:ascii="Arial Narrow" w:hAnsi="Arial Narrow"/>
                <w:bCs/>
                <w:sz w:val="18"/>
                <w:szCs w:val="18"/>
              </w:rPr>
              <w:t xml:space="preserve"> </w:t>
            </w:r>
            <w:r w:rsidRPr="008B3D24">
              <w:rPr>
                <w:rFonts w:ascii="Arial Narrow" w:hAnsi="Arial Narrow"/>
                <w:bCs/>
                <w:sz w:val="18"/>
                <w:szCs w:val="18"/>
              </w:rPr>
              <w:fldChar w:fldCharType="begin">
                <w:ffData>
                  <w:name w:val="Check1"/>
                  <w:enabled/>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sidRPr="008B3D24">
              <w:rPr>
                <w:rFonts w:ascii="Arial Narrow" w:hAnsi="Arial Narrow"/>
                <w:bCs/>
                <w:sz w:val="18"/>
                <w:szCs w:val="18"/>
              </w:rPr>
              <w:t xml:space="preserve">Medical Practitioners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sz w:val="18"/>
                <w:szCs w:val="18"/>
              </w:rPr>
              <w:t>Restriction type:</w:t>
            </w:r>
          </w:p>
          <w:p w:rsidR="0008772F" w:rsidRPr="00B2415E" w:rsidRDefault="0008772F" w:rsidP="000B3342">
            <w:pPr>
              <w:rPr>
                <w:rFonts w:ascii="Arial Narrow" w:hAnsi="Arial Narrow"/>
                <w:bCs/>
                <w:sz w:val="18"/>
                <w:szCs w:val="18"/>
              </w:rPr>
            </w:pPr>
            <w:r w:rsidRPr="008B3D24">
              <w:rPr>
                <w:rFonts w:ascii="Arial Narrow" w:hAnsi="Arial Narrow"/>
                <w:bCs/>
                <w:sz w:val="18"/>
                <w:szCs w:val="18"/>
              </w:rPr>
              <w:fldChar w:fldCharType="begin">
                <w:ffData>
                  <w:name w:val=""/>
                  <w:enabled/>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Pr>
                <w:rFonts w:ascii="Arial Narrow" w:hAnsi="Arial Narrow"/>
                <w:bCs/>
                <w:sz w:val="18"/>
                <w:szCs w:val="18"/>
              </w:rPr>
              <w:t>Authority Required - Telephone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sz w:val="18"/>
                <w:szCs w:val="18"/>
              </w:rPr>
            </w:pPr>
            <w:r w:rsidRPr="008B3D24">
              <w:rPr>
                <w:rFonts w:ascii="Arial Narrow" w:hAnsi="Arial Narrow"/>
                <w:b/>
                <w:sz w:val="18"/>
                <w:szCs w:val="18"/>
              </w:rPr>
              <w:t>Indication:</w:t>
            </w:r>
          </w:p>
          <w:p w:rsidR="0008772F" w:rsidRPr="008B3D24" w:rsidRDefault="0008772F" w:rsidP="000B3342">
            <w:pPr>
              <w:rPr>
                <w:rFonts w:ascii="Arial Narrow" w:hAnsi="Arial Narrow"/>
                <w:sz w:val="18"/>
                <w:szCs w:val="18"/>
              </w:rPr>
            </w:pPr>
            <w:r w:rsidRPr="008B3D24">
              <w:rPr>
                <w:rFonts w:ascii="Arial Narrow" w:hAnsi="Arial Narrow"/>
                <w:sz w:val="18"/>
                <w:szCs w:val="18"/>
              </w:rPr>
              <w:t>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sz w:val="18"/>
                <w:szCs w:val="18"/>
              </w:rPr>
            </w:pPr>
            <w:r w:rsidRPr="008B3D24">
              <w:rPr>
                <w:rFonts w:ascii="Arial Narrow" w:hAnsi="Arial Narrow"/>
                <w:b/>
                <w:sz w:val="18"/>
                <w:szCs w:val="18"/>
              </w:rPr>
              <w:t>Treatment Phase:</w:t>
            </w:r>
          </w:p>
          <w:p w:rsidR="0008772F" w:rsidRPr="008B3D24" w:rsidRDefault="0008772F" w:rsidP="000B3342">
            <w:pPr>
              <w:rPr>
                <w:rFonts w:ascii="Arial Narrow" w:hAnsi="Arial Narrow"/>
                <w:b/>
                <w:sz w:val="18"/>
                <w:szCs w:val="18"/>
              </w:rPr>
            </w:pPr>
            <w:r w:rsidRPr="008B3D24">
              <w:rPr>
                <w:rFonts w:ascii="Arial Narrow" w:hAnsi="Arial Narrow"/>
                <w:sz w:val="18"/>
                <w:szCs w:val="18"/>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received insufficient therapy with this drug for this condition under the Initial 1 (new patient) restriction to complete 16 weeks treatment;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received insufficient therapy with this drug for this condition under the Initial 2 (change or recommencement of treatment after a break in biological medicine of less than 5 years) restriction to complete 16 weeks treatment;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received insufficient therapy with this drug for this condition under the Initial 3 (recommencement of treatment after a break in biological medicine of more than 5 years) restriction to complete 16 weeks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The treatment must provide no more than the balance of up to 16 weeks treatment available under the above restrictions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 xml:space="preserve">Authority approval for sufficient therapy to complete the balance of supply may be requested by telephone by contacting </w:t>
            </w:r>
            <w:r w:rsidRPr="008B3D24">
              <w:rPr>
                <w:rFonts w:ascii="Arial Narrow" w:hAnsi="Arial Narrow"/>
                <w:bCs/>
                <w:strike/>
                <w:sz w:val="18"/>
                <w:szCs w:val="18"/>
              </w:rPr>
              <w:t xml:space="preserve">the </w:t>
            </w:r>
            <w:r w:rsidRPr="008B3D24">
              <w:rPr>
                <w:rFonts w:ascii="Arial Narrow" w:hAnsi="Arial Narrow"/>
                <w:bCs/>
                <w:sz w:val="18"/>
                <w:szCs w:val="18"/>
              </w:rPr>
              <w:t>Services Australia on 1800 700 270 (hours of operation 8 a.m. to 5 p.m. EST Monday to Friday).</w:t>
            </w:r>
          </w:p>
        </w:tc>
      </w:tr>
    </w:tbl>
    <w:p w:rsidR="00B82E83" w:rsidRPr="008B3D24" w:rsidRDefault="00B82E83" w:rsidP="00B82E83"/>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82E83" w:rsidRPr="008B3D24" w:rsidTr="000B3342">
        <w:trPr>
          <w:cantSplit/>
          <w:trHeight w:val="471"/>
        </w:trPr>
        <w:tc>
          <w:tcPr>
            <w:tcW w:w="2689" w:type="dxa"/>
          </w:tcPr>
          <w:p w:rsidR="00B82E83" w:rsidRPr="008B3D24" w:rsidRDefault="00B82E83" w:rsidP="000B3342">
            <w:pPr>
              <w:keepNext/>
              <w:ind w:left="-108"/>
              <w:rPr>
                <w:rFonts w:ascii="Arial Narrow" w:hAnsi="Arial Narrow"/>
                <w:b/>
                <w:sz w:val="18"/>
                <w:szCs w:val="18"/>
              </w:rPr>
            </w:pPr>
            <w:r w:rsidRPr="008B3D24">
              <w:rPr>
                <w:rFonts w:ascii="Arial Narrow" w:hAnsi="Arial Narrow"/>
                <w:b/>
                <w:sz w:val="18"/>
                <w:szCs w:val="18"/>
              </w:rPr>
              <w:t>Name, Restriction,</w:t>
            </w:r>
          </w:p>
          <w:p w:rsidR="00B82E83" w:rsidRPr="008B3D24" w:rsidRDefault="00B82E83" w:rsidP="000B3342">
            <w:pPr>
              <w:keepNext/>
              <w:ind w:left="-108"/>
              <w:rPr>
                <w:rFonts w:ascii="Arial Narrow" w:hAnsi="Arial Narrow"/>
                <w:b/>
                <w:sz w:val="18"/>
                <w:szCs w:val="18"/>
              </w:rPr>
            </w:pPr>
            <w:r w:rsidRPr="008B3D24">
              <w:rPr>
                <w:rFonts w:ascii="Arial Narrow" w:hAnsi="Arial Narrow"/>
                <w:b/>
                <w:sz w:val="18"/>
                <w:szCs w:val="18"/>
              </w:rPr>
              <w:t>Manner of administration and form</w:t>
            </w:r>
          </w:p>
        </w:tc>
        <w:tc>
          <w:tcPr>
            <w:tcW w:w="1275"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PBS item code</w:t>
            </w:r>
          </w:p>
        </w:tc>
        <w:tc>
          <w:tcPr>
            <w:tcW w:w="851"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Max. qty packs</w:t>
            </w:r>
          </w:p>
        </w:tc>
        <w:tc>
          <w:tcPr>
            <w:tcW w:w="850"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Max. qty units</w:t>
            </w:r>
          </w:p>
        </w:tc>
        <w:tc>
          <w:tcPr>
            <w:tcW w:w="709" w:type="dxa"/>
          </w:tcPr>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№.of</w:t>
            </w:r>
          </w:p>
          <w:p w:rsidR="00B82E83" w:rsidRPr="008B3D24" w:rsidRDefault="00B82E83" w:rsidP="000B3342">
            <w:pPr>
              <w:keepNext/>
              <w:ind w:left="-108"/>
              <w:jc w:val="center"/>
              <w:rPr>
                <w:rFonts w:ascii="Arial Narrow" w:hAnsi="Arial Narrow"/>
                <w:b/>
                <w:sz w:val="18"/>
                <w:szCs w:val="18"/>
              </w:rPr>
            </w:pPr>
            <w:r w:rsidRPr="008B3D24">
              <w:rPr>
                <w:rFonts w:ascii="Arial Narrow" w:hAnsi="Arial Narrow"/>
                <w:b/>
                <w:sz w:val="18"/>
                <w:szCs w:val="18"/>
              </w:rPr>
              <w:t>Rpts</w:t>
            </w:r>
          </w:p>
        </w:tc>
        <w:tc>
          <w:tcPr>
            <w:tcW w:w="2551" w:type="dxa"/>
            <w:gridSpan w:val="2"/>
          </w:tcPr>
          <w:p w:rsidR="00B82E83" w:rsidRPr="008B3D24" w:rsidRDefault="00B82E83" w:rsidP="000B3342">
            <w:pPr>
              <w:keepNext/>
              <w:rPr>
                <w:rFonts w:ascii="Arial Narrow" w:hAnsi="Arial Narrow"/>
                <w:b/>
                <w:sz w:val="18"/>
                <w:szCs w:val="18"/>
              </w:rPr>
            </w:pPr>
            <w:r w:rsidRPr="008B3D24">
              <w:rPr>
                <w:rFonts w:ascii="Arial Narrow" w:hAnsi="Arial Narrow"/>
                <w:b/>
                <w:sz w:val="18"/>
                <w:szCs w:val="18"/>
              </w:rPr>
              <w:t>Proprietary Name and Manufacturer</w:t>
            </w:r>
          </w:p>
        </w:tc>
      </w:tr>
      <w:tr w:rsidR="00B82E83" w:rsidRPr="008B3D24" w:rsidTr="00B2415E">
        <w:trPr>
          <w:cantSplit/>
          <w:trHeight w:val="444"/>
        </w:trPr>
        <w:tc>
          <w:tcPr>
            <w:tcW w:w="2689" w:type="dxa"/>
          </w:tcPr>
          <w:p w:rsidR="00B82E83" w:rsidRPr="008B3D24" w:rsidRDefault="00B82E83" w:rsidP="000B3342">
            <w:pPr>
              <w:keepNext/>
              <w:ind w:left="-108"/>
              <w:rPr>
                <w:rFonts w:ascii="Arial Narrow" w:hAnsi="Arial Narrow"/>
                <w:sz w:val="18"/>
                <w:szCs w:val="18"/>
              </w:rPr>
            </w:pPr>
            <w:r w:rsidRPr="008B3D24">
              <w:rPr>
                <w:rFonts w:ascii="Arial Narrow" w:hAnsi="Arial Narrow"/>
                <w:sz w:val="18"/>
                <w:szCs w:val="18"/>
              </w:rPr>
              <w:t xml:space="preserve">IXEKIZUMAB </w:t>
            </w:r>
          </w:p>
          <w:p w:rsidR="00B82E83" w:rsidRPr="008B3D24" w:rsidRDefault="00B82E83" w:rsidP="00B2415E">
            <w:pPr>
              <w:keepNext/>
              <w:ind w:left="-108"/>
              <w:rPr>
                <w:rFonts w:ascii="Arial Narrow" w:hAnsi="Arial Narrow"/>
                <w:sz w:val="18"/>
                <w:szCs w:val="18"/>
              </w:rPr>
            </w:pPr>
            <w:r w:rsidRPr="008B3D24">
              <w:rPr>
                <w:rFonts w:ascii="Arial Narrow" w:hAnsi="Arial Narrow"/>
                <w:sz w:val="18"/>
                <w:szCs w:val="18"/>
              </w:rPr>
              <w:t>ixekizumab 80 mg/mL injection, 2 x 1 mL pen devices</w:t>
            </w:r>
          </w:p>
        </w:tc>
        <w:tc>
          <w:tcPr>
            <w:tcW w:w="1275" w:type="dxa"/>
          </w:tcPr>
          <w:p w:rsidR="00B82E83" w:rsidRPr="008B3D24" w:rsidRDefault="00B82E83" w:rsidP="000B3342">
            <w:pPr>
              <w:keepNext/>
              <w:ind w:left="-108"/>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NEW</w:t>
            </w:r>
          </w:p>
        </w:tc>
        <w:tc>
          <w:tcPr>
            <w:tcW w:w="851" w:type="dxa"/>
          </w:tcPr>
          <w:p w:rsidR="00B82E83" w:rsidRPr="008B3D24" w:rsidRDefault="00B82E83" w:rsidP="000B3342">
            <w:pPr>
              <w:keepNext/>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1</w:t>
            </w:r>
          </w:p>
        </w:tc>
        <w:tc>
          <w:tcPr>
            <w:tcW w:w="850" w:type="dxa"/>
          </w:tcPr>
          <w:p w:rsidR="00B82E83" w:rsidRPr="008B3D24" w:rsidRDefault="00B82E83" w:rsidP="000B3342">
            <w:pPr>
              <w:keepNext/>
              <w:ind w:left="-108"/>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2</w:t>
            </w:r>
          </w:p>
        </w:tc>
        <w:tc>
          <w:tcPr>
            <w:tcW w:w="709" w:type="dxa"/>
          </w:tcPr>
          <w:p w:rsidR="00B82E83" w:rsidRPr="008B3D24" w:rsidRDefault="00B82E83" w:rsidP="000B3342">
            <w:pPr>
              <w:keepNext/>
              <w:ind w:left="-108"/>
              <w:jc w:val="center"/>
              <w:rPr>
                <w:rFonts w:ascii="Arial Narrow" w:hAnsi="Arial Narrow"/>
                <w:sz w:val="18"/>
                <w:szCs w:val="18"/>
              </w:rPr>
            </w:pPr>
          </w:p>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t>2</w:t>
            </w:r>
          </w:p>
          <w:p w:rsidR="00B82E83" w:rsidRPr="008B3D24" w:rsidRDefault="00B82E83" w:rsidP="000B3342">
            <w:pPr>
              <w:keepNext/>
              <w:jc w:val="center"/>
              <w:rPr>
                <w:rFonts w:ascii="Arial Narrow" w:hAnsi="Arial Narrow"/>
                <w:sz w:val="18"/>
                <w:szCs w:val="18"/>
              </w:rPr>
            </w:pPr>
          </w:p>
        </w:tc>
        <w:tc>
          <w:tcPr>
            <w:tcW w:w="1134" w:type="dxa"/>
          </w:tcPr>
          <w:p w:rsidR="00B82E83" w:rsidRPr="008B3D24" w:rsidRDefault="00B82E83" w:rsidP="000B3342">
            <w:pPr>
              <w:keepNext/>
              <w:jc w:val="center"/>
              <w:rPr>
                <w:rFonts w:ascii="Arial Narrow" w:hAnsi="Arial Narrow"/>
                <w:sz w:val="18"/>
                <w:szCs w:val="18"/>
              </w:rPr>
            </w:pPr>
            <w:r w:rsidRPr="008B3D24">
              <w:rPr>
                <w:rFonts w:ascii="Arial Narrow" w:hAnsi="Arial Narrow"/>
                <w:sz w:val="18"/>
                <w:szCs w:val="18"/>
              </w:rPr>
              <w:br/>
              <w:t>TALTZ</w:t>
            </w:r>
          </w:p>
        </w:tc>
        <w:tc>
          <w:tcPr>
            <w:tcW w:w="1417" w:type="dxa"/>
          </w:tcPr>
          <w:p w:rsidR="00B82E83" w:rsidRPr="008B3D24" w:rsidRDefault="00B82E83" w:rsidP="000B3342">
            <w:pPr>
              <w:keepNext/>
              <w:rPr>
                <w:rFonts w:ascii="Arial Narrow" w:hAnsi="Arial Narrow"/>
                <w:sz w:val="18"/>
                <w:szCs w:val="18"/>
              </w:rPr>
            </w:pPr>
          </w:p>
          <w:p w:rsidR="00B82E83" w:rsidRPr="008B3D24" w:rsidRDefault="00B82E83" w:rsidP="000B3342">
            <w:pPr>
              <w:keepNext/>
              <w:rPr>
                <w:rFonts w:ascii="Arial Narrow" w:hAnsi="Arial Narrow"/>
                <w:sz w:val="18"/>
                <w:szCs w:val="18"/>
              </w:rPr>
            </w:pPr>
            <w:r w:rsidRPr="008B3D24">
              <w:rPr>
                <w:rFonts w:ascii="Arial Narrow" w:hAnsi="Arial Narrow"/>
                <w:sz w:val="18"/>
                <w:szCs w:val="18"/>
              </w:rPr>
              <w:t>Eli Lilly Australia Pty Ltd</w:t>
            </w:r>
          </w:p>
        </w:tc>
      </w:tr>
    </w:tbl>
    <w:p w:rsidR="00B82E83" w:rsidRPr="008B3D24" w:rsidRDefault="00B82E83" w:rsidP="00B82E83"/>
    <w:p w:rsidR="00B82E83" w:rsidRPr="00B2415E" w:rsidRDefault="00B82E83" w:rsidP="00B82E83">
      <w:pPr>
        <w:rPr>
          <w:rFonts w:ascii="Arial Narrow" w:hAnsi="Arial Narrow" w:cstheme="minorHAnsi"/>
          <w:b/>
          <w:sz w:val="20"/>
          <w:szCs w:val="20"/>
        </w:rPr>
      </w:pPr>
      <w:r w:rsidRPr="00B2415E">
        <w:rPr>
          <w:rFonts w:ascii="Arial Narrow" w:hAnsi="Arial Narrow" w:cstheme="minorHAnsi"/>
          <w:b/>
          <w:sz w:val="20"/>
          <w:szCs w:val="20"/>
        </w:rPr>
        <w:t>Restriction Summary 9508 / ToC: 9430</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29"/>
      </w:tblGrid>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Category/ Program:</w:t>
            </w:r>
          </w:p>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GENERAL – General Schedule (Code GE)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590E14">
            <w:pPr>
              <w:rPr>
                <w:rFonts w:ascii="Arial Narrow" w:hAnsi="Arial Narrow"/>
                <w:b/>
                <w:bCs/>
                <w:sz w:val="18"/>
                <w:szCs w:val="18"/>
              </w:rPr>
            </w:pPr>
            <w:r w:rsidRPr="008B3D24">
              <w:rPr>
                <w:rFonts w:ascii="Arial Narrow" w:hAnsi="Arial Narrow"/>
                <w:b/>
                <w:bCs/>
                <w:sz w:val="18"/>
                <w:szCs w:val="18"/>
              </w:rPr>
              <w:t>Prescriber type :</w:t>
            </w:r>
            <w:r w:rsidRPr="008B3D24" w:rsidDel="00590E14">
              <w:rPr>
                <w:rFonts w:ascii="Arial Narrow" w:hAnsi="Arial Narrow"/>
                <w:b/>
                <w:bCs/>
                <w:sz w:val="18"/>
                <w:szCs w:val="18"/>
              </w:rPr>
              <w:t xml:space="preserve"> </w:t>
            </w:r>
            <w:r w:rsidRPr="008B3D24">
              <w:rPr>
                <w:rFonts w:ascii="Arial Narrow" w:hAnsi="Arial Narrow"/>
                <w:b/>
                <w:bCs/>
                <w:sz w:val="18"/>
                <w:szCs w:val="18"/>
              </w:rPr>
              <w:t xml:space="preserve"> </w:t>
            </w:r>
            <w:r w:rsidRPr="008B3D24">
              <w:rPr>
                <w:rFonts w:ascii="Arial Narrow" w:hAnsi="Arial Narrow"/>
                <w:b/>
                <w:bCs/>
                <w:sz w:val="18"/>
                <w:szCs w:val="18"/>
              </w:rPr>
              <w:fldChar w:fldCharType="begin">
                <w:ffData>
                  <w:name w:val="Check1"/>
                  <w:enabled/>
                  <w:calcOnExit w:val="0"/>
                  <w:checkBox>
                    <w:sizeAuto/>
                    <w:default w:val="1"/>
                  </w:checkBox>
                </w:ffData>
              </w:fldChar>
            </w:r>
            <w:r w:rsidRPr="008B3D24">
              <w:rPr>
                <w:rFonts w:ascii="Arial Narrow" w:hAnsi="Arial Narrow"/>
                <w:b/>
                <w:bCs/>
                <w:sz w:val="18"/>
                <w:szCs w:val="18"/>
              </w:rPr>
              <w:instrText xml:space="preserve"> FORMCHECKBOX </w:instrText>
            </w:r>
            <w:r w:rsidR="00093936">
              <w:rPr>
                <w:rFonts w:ascii="Arial Narrow" w:hAnsi="Arial Narrow"/>
                <w:b/>
                <w:bCs/>
                <w:sz w:val="18"/>
                <w:szCs w:val="18"/>
              </w:rPr>
            </w:r>
            <w:r w:rsidR="00093936">
              <w:rPr>
                <w:rFonts w:ascii="Arial Narrow" w:hAnsi="Arial Narrow"/>
                <w:b/>
                <w:bCs/>
                <w:sz w:val="18"/>
                <w:szCs w:val="18"/>
              </w:rPr>
              <w:fldChar w:fldCharType="separate"/>
            </w:r>
            <w:r w:rsidRPr="008B3D24">
              <w:rPr>
                <w:rFonts w:ascii="Arial Narrow" w:hAnsi="Arial Narrow"/>
                <w:b/>
                <w:bCs/>
                <w:sz w:val="18"/>
                <w:szCs w:val="18"/>
              </w:rPr>
              <w:fldChar w:fldCharType="end"/>
            </w:r>
            <w:r w:rsidRPr="008B3D24">
              <w:rPr>
                <w:rFonts w:ascii="Arial Narrow" w:hAnsi="Arial Narrow"/>
                <w:b/>
                <w:bCs/>
                <w:sz w:val="18"/>
                <w:szCs w:val="18"/>
              </w:rPr>
              <w:t xml:space="preserve">Medical Practitioners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Restriction type:</w:t>
            </w:r>
          </w:p>
          <w:p w:rsidR="0008772F" w:rsidRPr="00B2415E" w:rsidRDefault="0008772F" w:rsidP="000B3342">
            <w:pPr>
              <w:rPr>
                <w:rFonts w:ascii="Arial Narrow" w:hAnsi="Arial Narrow"/>
                <w:bCs/>
                <w:sz w:val="18"/>
                <w:szCs w:val="18"/>
              </w:rPr>
            </w:pPr>
            <w:r w:rsidRPr="008B3D24">
              <w:rPr>
                <w:rFonts w:ascii="Arial Narrow" w:hAnsi="Arial Narrow"/>
                <w:bCs/>
                <w:sz w:val="18"/>
                <w:szCs w:val="18"/>
              </w:rPr>
              <w:fldChar w:fldCharType="begin">
                <w:ffData>
                  <w:name w:val=""/>
                  <w:enabled w:val="0"/>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Pr>
                <w:rFonts w:ascii="Arial Narrow" w:hAnsi="Arial Narrow"/>
                <w:bCs/>
                <w:sz w:val="18"/>
                <w:szCs w:val="18"/>
              </w:rPr>
              <w:t>Authority Required - In Writing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Indication:</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Phase: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Continuing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received this drug as their most recent course of PBS-subsidised biological medicine treatment for this condition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have demonstrated an adequate response to treatment with this drug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not receive more than 24 weeks of treatment under this restriction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Population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Patient must be aged 18 years or older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The authority application must be made in writing and must include: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a completed authority prescription form; and</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(b) a completed Ankylosing Spondylitis PBS Authority Application - Supporting Information Form.</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 adequate response is defined as an improvement from baseline of at least 2 of the BASDAI and 1 of the following:</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an ESR measurement no greater than 25 mm per hour; or</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(b) a CRP measurement no greater than 10 mg per L; or</w:t>
            </w:r>
          </w:p>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w:t>
            </w:r>
            <w:r w:rsidRPr="008B3D24">
              <w:rPr>
                <w:rFonts w:ascii="Arial Narrow" w:hAnsi="Arial Narrow"/>
                <w:bCs/>
                <w:sz w:val="18"/>
                <w:szCs w:val="18"/>
              </w:rPr>
              <w:t>c) an ESR or CRP measurement reduced by at least 20% from baseline.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Where only 1 acute phase reactant measurement is supplied in the first application for PBS-subsidised treatment, that same marker must be measured and supplied in all subsequent continuing treatment applications.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All measurements provided must be no more than 1 month old at the time of application.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C264EF">
            <w:pPr>
              <w:rPr>
                <w:rFonts w:ascii="Arial Narrow" w:hAnsi="Arial Narrow"/>
                <w:bCs/>
                <w:sz w:val="18"/>
                <w:szCs w:val="18"/>
              </w:rPr>
            </w:pPr>
            <w:r w:rsidRPr="008B3D24">
              <w:rPr>
                <w:rFonts w:ascii="Arial Narrow" w:hAnsi="Arial Narrow"/>
                <w:bCs/>
                <w:sz w:val="18"/>
                <w:szCs w:val="18"/>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Where the response assessment is not submitted within this timeframe, the patient will be deemed to have failed to respond to treatment with this drug.</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Prescribing Instructions: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0B3342">
            <w:pPr>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Any queries concerning the arrangements to prescribe may be directed to Services Australia on 1800 700 270 (hours of operation 8 a.m. to 5 p.m. EST Monday to Friday).</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Prescribing information (including Authority Application forms and other relevant documentation as applicable) is available on the Services Australia website at www.servicesaustralia.gov.au</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Applications for authority to prescribe should be submitted online using the form upload facility in Health Professional Online Services (HPOS) at www.servicesaustralia.gov.au/hpos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Or mailed to:</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Services Australia</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Complex Drugs</w:t>
            </w:r>
          </w:p>
          <w:p w:rsidR="0008772F" w:rsidRPr="008B3D24" w:rsidRDefault="0008772F" w:rsidP="000B3342">
            <w:pPr>
              <w:rPr>
                <w:rFonts w:ascii="Arial Narrow" w:hAnsi="Arial Narrow"/>
                <w:bCs/>
                <w:sz w:val="18"/>
                <w:szCs w:val="18"/>
              </w:rPr>
            </w:pPr>
            <w:r w:rsidRPr="008B3D24">
              <w:rPr>
                <w:rFonts w:ascii="Arial Narrow" w:hAnsi="Arial Narrow"/>
                <w:bCs/>
                <w:sz w:val="18"/>
                <w:szCs w:val="18"/>
              </w:rPr>
              <w:t>Reply Paid 9826</w:t>
            </w:r>
          </w:p>
          <w:p w:rsidR="0008772F" w:rsidRPr="008B3D24" w:rsidRDefault="0008772F" w:rsidP="000B3342">
            <w:pPr>
              <w:rPr>
                <w:rFonts w:ascii="Arial Narrow" w:hAnsi="Arial Narrow"/>
                <w:b/>
                <w:bCs/>
                <w:sz w:val="18"/>
                <w:szCs w:val="18"/>
              </w:rPr>
            </w:pPr>
            <w:r w:rsidRPr="008B3D24">
              <w:rPr>
                <w:rFonts w:ascii="Arial Narrow" w:hAnsi="Arial Narrow"/>
                <w:bCs/>
                <w:sz w:val="18"/>
                <w:szCs w:val="18"/>
              </w:rPr>
              <w:t>HOBART TAS 7001</w:t>
            </w:r>
          </w:p>
        </w:tc>
      </w:tr>
    </w:tbl>
    <w:p w:rsidR="00B82E83" w:rsidRPr="008B3D24" w:rsidRDefault="00B82E83" w:rsidP="00B82E83"/>
    <w:p w:rsidR="00B82E83" w:rsidRPr="00B2415E" w:rsidRDefault="00B82E83" w:rsidP="00A22FDA">
      <w:pPr>
        <w:keepNext/>
        <w:keepLines/>
        <w:rPr>
          <w:rFonts w:ascii="Arial Narrow" w:hAnsi="Arial Narrow" w:cstheme="minorHAnsi"/>
          <w:b/>
          <w:sz w:val="20"/>
          <w:szCs w:val="20"/>
        </w:rPr>
      </w:pPr>
      <w:r w:rsidRPr="00B2415E">
        <w:rPr>
          <w:rFonts w:ascii="Arial Narrow" w:hAnsi="Arial Narrow" w:cstheme="minorHAnsi"/>
          <w:b/>
          <w:sz w:val="20"/>
          <w:szCs w:val="20"/>
        </w:rPr>
        <w:t>Restriction Summary 9415 / ToC: 9431</w:t>
      </w:r>
    </w:p>
    <w:tbl>
      <w:tblPr>
        <w:tblW w:w="44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29"/>
      </w:tblGrid>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sz w:val="18"/>
                <w:szCs w:val="18"/>
              </w:rPr>
              <w:t>Category/ Program</w:t>
            </w:r>
            <w:r w:rsidRPr="008B3D24">
              <w:rPr>
                <w:rFonts w:ascii="Arial Narrow" w:hAnsi="Arial Narrow"/>
                <w:b/>
                <w:bCs/>
                <w:sz w:val="18"/>
                <w:szCs w:val="18"/>
              </w:rPr>
              <w:t>:</w:t>
            </w:r>
          </w:p>
          <w:p w:rsidR="0008772F" w:rsidRPr="008B3D24" w:rsidRDefault="0008772F" w:rsidP="00A22FDA">
            <w:pPr>
              <w:keepNext/>
              <w:keepLines/>
              <w:rPr>
                <w:rFonts w:ascii="Arial Narrow" w:hAnsi="Arial Narrow"/>
                <w:b/>
                <w:bCs/>
                <w:sz w:val="18"/>
                <w:szCs w:val="18"/>
              </w:rPr>
            </w:pPr>
            <w:r w:rsidRPr="008B3D24">
              <w:rPr>
                <w:rFonts w:ascii="Arial Narrow" w:hAnsi="Arial Narrow"/>
                <w:bCs/>
                <w:sz w:val="18"/>
                <w:szCs w:val="18"/>
              </w:rPr>
              <w:t>GENERAL – General Schedule (Code GE)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sz w:val="18"/>
                <w:szCs w:val="18"/>
              </w:rPr>
              <w:t>Prescriber type</w:t>
            </w:r>
            <w:r w:rsidRPr="008B3D24">
              <w:rPr>
                <w:rFonts w:ascii="Arial Narrow" w:hAnsi="Arial Narrow"/>
                <w:b/>
                <w:bCs/>
                <w:sz w:val="18"/>
                <w:szCs w:val="18"/>
              </w:rPr>
              <w:t xml:space="preserve"> :</w:t>
            </w:r>
          </w:p>
          <w:p w:rsidR="0008772F" w:rsidRPr="008B3D24" w:rsidRDefault="0008772F" w:rsidP="00590E14">
            <w:pPr>
              <w:keepNext/>
              <w:keepLines/>
              <w:rPr>
                <w:rFonts w:ascii="Arial Narrow" w:hAnsi="Arial Narrow"/>
                <w:bCs/>
                <w:sz w:val="18"/>
                <w:szCs w:val="18"/>
              </w:rPr>
            </w:pPr>
            <w:r w:rsidRPr="008B3D24">
              <w:rPr>
                <w:rFonts w:ascii="Arial Narrow" w:hAnsi="Arial Narrow"/>
                <w:bCs/>
                <w:sz w:val="18"/>
                <w:szCs w:val="18"/>
              </w:rPr>
              <w:fldChar w:fldCharType="begin">
                <w:ffData>
                  <w:name w:val="Check1"/>
                  <w:enabled/>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sidRPr="008B3D24">
              <w:rPr>
                <w:rFonts w:ascii="Arial Narrow" w:hAnsi="Arial Narrow"/>
                <w:bCs/>
                <w:sz w:val="18"/>
                <w:szCs w:val="18"/>
              </w:rPr>
              <w:t xml:space="preserve">Medical Practitioners </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sz w:val="18"/>
                <w:szCs w:val="18"/>
              </w:rPr>
              <w:t>Restriction level:</w:t>
            </w:r>
          </w:p>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fldChar w:fldCharType="begin">
                <w:ffData>
                  <w:name w:val=""/>
                  <w:enabled/>
                  <w:calcOnExit w:val="0"/>
                  <w:checkBox>
                    <w:sizeAuto/>
                    <w:default w:val="1"/>
                  </w:checkBox>
                </w:ffData>
              </w:fldChar>
            </w:r>
            <w:r w:rsidRPr="008B3D24">
              <w:rPr>
                <w:rFonts w:ascii="Arial Narrow" w:hAnsi="Arial Narrow"/>
                <w:bCs/>
                <w:sz w:val="18"/>
                <w:szCs w:val="18"/>
              </w:rPr>
              <w:instrText xml:space="preserve"> FORMCHECKBOX </w:instrText>
            </w:r>
            <w:r w:rsidR="00093936">
              <w:rPr>
                <w:rFonts w:ascii="Arial Narrow" w:hAnsi="Arial Narrow"/>
                <w:bCs/>
                <w:sz w:val="18"/>
                <w:szCs w:val="18"/>
              </w:rPr>
            </w:r>
            <w:r w:rsidR="00093936">
              <w:rPr>
                <w:rFonts w:ascii="Arial Narrow" w:hAnsi="Arial Narrow"/>
                <w:bCs/>
                <w:sz w:val="18"/>
                <w:szCs w:val="18"/>
              </w:rPr>
              <w:fldChar w:fldCharType="separate"/>
            </w:r>
            <w:r w:rsidRPr="008B3D24">
              <w:rPr>
                <w:rFonts w:ascii="Arial Narrow" w:hAnsi="Arial Narrow"/>
                <w:bCs/>
                <w:sz w:val="18"/>
                <w:szCs w:val="18"/>
              </w:rPr>
              <w:fldChar w:fldCharType="end"/>
            </w:r>
            <w:r>
              <w:rPr>
                <w:rFonts w:ascii="Arial Narrow" w:hAnsi="Arial Narrow"/>
                <w:bCs/>
                <w:sz w:val="18"/>
                <w:szCs w:val="18"/>
              </w:rPr>
              <w:t>Authority Required - Telephone</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sz w:val="18"/>
                <w:szCs w:val="18"/>
              </w:rPr>
            </w:pPr>
            <w:r w:rsidRPr="008B3D24">
              <w:rPr>
                <w:rFonts w:ascii="Arial Narrow" w:hAnsi="Arial Narrow"/>
                <w:b/>
                <w:sz w:val="18"/>
                <w:szCs w:val="18"/>
              </w:rPr>
              <w:t>Indication:</w:t>
            </w:r>
          </w:p>
          <w:p w:rsidR="0008772F" w:rsidRPr="008B3D24" w:rsidRDefault="0008772F" w:rsidP="00A22FDA">
            <w:pPr>
              <w:keepNext/>
              <w:keepLines/>
              <w:rPr>
                <w:rFonts w:ascii="Arial Narrow" w:hAnsi="Arial Narrow"/>
                <w:sz w:val="18"/>
                <w:szCs w:val="18"/>
              </w:rPr>
            </w:pPr>
            <w:r w:rsidRPr="008B3D24">
              <w:rPr>
                <w:rFonts w:ascii="Arial Narrow" w:hAnsi="Arial Narrow"/>
                <w:sz w:val="18"/>
                <w:szCs w:val="18"/>
              </w:rPr>
              <w:t>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sz w:val="18"/>
                <w:szCs w:val="18"/>
              </w:rPr>
            </w:pPr>
            <w:r w:rsidRPr="008B3D24">
              <w:rPr>
                <w:rFonts w:ascii="Arial Narrow" w:hAnsi="Arial Narrow"/>
                <w:b/>
                <w:sz w:val="18"/>
                <w:szCs w:val="18"/>
              </w:rPr>
              <w:t>Treatment phase:</w:t>
            </w:r>
          </w:p>
          <w:p w:rsidR="0008772F" w:rsidRPr="008B3D24" w:rsidRDefault="0008772F" w:rsidP="00A22FDA">
            <w:pPr>
              <w:keepNext/>
              <w:keepLines/>
              <w:rPr>
                <w:rFonts w:ascii="Arial Narrow" w:hAnsi="Arial Narrow"/>
                <w:sz w:val="18"/>
                <w:szCs w:val="18"/>
              </w:rPr>
            </w:pPr>
            <w:r w:rsidRPr="008B3D24">
              <w:rPr>
                <w:rFonts w:ascii="Arial Narrow" w:hAnsi="Arial Narrow"/>
                <w:sz w:val="18"/>
                <w:szCs w:val="18"/>
              </w:rPr>
              <w:t>Continuing treatment – balance of supply</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Patient must have received insufficient therapy with this drug under the Continuing treatment restriction to complete 24 weeks treatment</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bCs/>
                <w:sz w:val="18"/>
                <w:szCs w:val="18"/>
              </w:rPr>
              <w:t>Clinical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The treatment must provide no more than the balance of up to 24 weeks treatment available under the above restriction</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i/>
                <w:sz w:val="18"/>
                <w:szCs w:val="18"/>
              </w:rPr>
            </w:pPr>
            <w:r w:rsidRPr="008B3D24">
              <w:rPr>
                <w:rFonts w:ascii="Arial Narrow" w:hAnsi="Arial Narrow"/>
                <w:bCs/>
                <w:i/>
                <w:sz w:val="18"/>
                <w:szCs w:val="18"/>
              </w:rPr>
              <w:t>AND</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bCs/>
                <w:sz w:val="18"/>
                <w:szCs w:val="18"/>
              </w:rPr>
              <w:t>Treatment criteria:</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Must be treated by a rheumatologist; or</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Must be treated by a clinical immunologist with expertise in the management of ankylosing spondylitis</w:t>
            </w:r>
          </w:p>
        </w:tc>
      </w:tr>
      <w:tr w:rsidR="0008772F" w:rsidRPr="008B3D24" w:rsidTr="0008772F">
        <w:tc>
          <w:tcPr>
            <w:tcW w:w="5000" w:type="pct"/>
            <w:tcBorders>
              <w:top w:val="single" w:sz="4" w:space="0" w:color="auto"/>
              <w:left w:val="single" w:sz="4" w:space="0" w:color="auto"/>
              <w:bottom w:val="single" w:sz="4" w:space="0" w:color="auto"/>
              <w:right w:val="single" w:sz="4" w:space="0" w:color="auto"/>
            </w:tcBorders>
            <w:vAlign w:val="center"/>
          </w:tcPr>
          <w:p w:rsidR="0008772F" w:rsidRPr="008B3D24" w:rsidRDefault="0008772F" w:rsidP="00A22FDA">
            <w:pPr>
              <w:keepNext/>
              <w:keepLines/>
              <w:rPr>
                <w:rFonts w:ascii="Arial Narrow" w:hAnsi="Arial Narrow"/>
                <w:b/>
                <w:bCs/>
                <w:sz w:val="18"/>
                <w:szCs w:val="18"/>
              </w:rPr>
            </w:pPr>
            <w:r w:rsidRPr="008B3D24">
              <w:rPr>
                <w:rFonts w:ascii="Arial Narrow" w:hAnsi="Arial Narrow"/>
                <w:b/>
                <w:bCs/>
                <w:sz w:val="18"/>
                <w:szCs w:val="18"/>
              </w:rPr>
              <w:t>Administrative Advice:</w:t>
            </w:r>
          </w:p>
          <w:p w:rsidR="0008772F" w:rsidRPr="008B3D24" w:rsidRDefault="0008772F" w:rsidP="00A22FDA">
            <w:pPr>
              <w:keepNext/>
              <w:keepLines/>
              <w:rPr>
                <w:rFonts w:ascii="Arial Narrow" w:hAnsi="Arial Narrow"/>
                <w:bCs/>
                <w:sz w:val="18"/>
                <w:szCs w:val="18"/>
              </w:rPr>
            </w:pPr>
            <w:r w:rsidRPr="008B3D24">
              <w:rPr>
                <w:rFonts w:ascii="Arial Narrow" w:hAnsi="Arial Narrow"/>
                <w:bCs/>
                <w:sz w:val="18"/>
                <w:szCs w:val="18"/>
              </w:rPr>
              <w:t>Authority approval for sufficient therapy to complete the balance of supply may be requested by telephone by contacting Services Australia on 1800 700 270 (hours of operation 8 a.m. to 5 p.m. EST Monday to Friday).</w:t>
            </w:r>
          </w:p>
        </w:tc>
      </w:tr>
    </w:tbl>
    <w:p w:rsidR="00B82E83" w:rsidRPr="008B3D24" w:rsidRDefault="00B82E83" w:rsidP="00B82E83"/>
    <w:p w:rsidR="00B82E83" w:rsidRPr="008B3D24" w:rsidRDefault="00B82E83" w:rsidP="00B82E83">
      <w:pPr>
        <w:tabs>
          <w:tab w:val="left" w:pos="426"/>
          <w:tab w:val="left" w:pos="567"/>
        </w:tabs>
        <w:autoSpaceDE w:val="0"/>
        <w:autoSpaceDN w:val="0"/>
        <w:adjustRightInd w:val="0"/>
        <w:spacing w:after="120"/>
      </w:pPr>
      <w:r w:rsidRPr="008B3D24">
        <w:t>Flow on changes required.</w:t>
      </w:r>
    </w:p>
    <w:p w:rsidR="00B82E83" w:rsidRPr="008B3D24" w:rsidRDefault="00B82E83" w:rsidP="00B82E83">
      <w:pPr>
        <w:tabs>
          <w:tab w:val="left" w:pos="426"/>
          <w:tab w:val="left" w:pos="567"/>
        </w:tabs>
        <w:autoSpaceDE w:val="0"/>
        <w:autoSpaceDN w:val="0"/>
        <w:adjustRightInd w:val="0"/>
        <w:spacing w:after="120"/>
        <w:rPr>
          <w:i/>
        </w:rPr>
      </w:pPr>
      <w:r w:rsidRPr="008B3D24">
        <w:t>The note for all AS item codes for infliximab, adalimumab, secukinumab, golimumab, certolizumab pegol and etanercept will need to be amended to include ixekizumab as a biological medicine for the purposes of a treatment cycle.</w:t>
      </w:r>
      <w:r w:rsidRPr="008B3D24">
        <w:rPr>
          <w:i/>
        </w:rPr>
        <w:t xml:space="preserve"> </w:t>
      </w:r>
    </w:p>
    <w:p w:rsidR="00B61765" w:rsidRPr="008B3D24" w:rsidRDefault="00B61765" w:rsidP="00B61765">
      <w:pPr>
        <w:rPr>
          <w:rFonts w:cs="Calibri"/>
          <w:b/>
          <w:i/>
        </w:rPr>
      </w:pPr>
      <w:r w:rsidRPr="008B3D24">
        <w:rPr>
          <w:rFonts w:cs="Calibri"/>
          <w:b/>
          <w:i/>
        </w:rPr>
        <w:t>This restriction may be subject to further review. Should there be any changes made to the restriction the Sponsor will be informed.</w:t>
      </w:r>
    </w:p>
    <w:p w:rsidR="00B61765" w:rsidRPr="008B3D24" w:rsidRDefault="00B61765" w:rsidP="00B82E83">
      <w:pPr>
        <w:tabs>
          <w:tab w:val="left" w:pos="426"/>
          <w:tab w:val="left" w:pos="567"/>
        </w:tabs>
        <w:autoSpaceDE w:val="0"/>
        <w:autoSpaceDN w:val="0"/>
        <w:adjustRightInd w:val="0"/>
        <w:spacing w:after="120"/>
      </w:pPr>
    </w:p>
    <w:p w:rsidR="0008772F" w:rsidRDefault="0008772F" w:rsidP="0008772F">
      <w:pPr>
        <w:pStyle w:val="2Sections"/>
        <w:numPr>
          <w:ilvl w:val="0"/>
          <w:numId w:val="1"/>
        </w:numPr>
        <w:rPr>
          <w:color w:val="1F497D"/>
        </w:rPr>
      </w:pPr>
      <w:r w:rsidRPr="00C07617">
        <w:t>Context for Decision</w:t>
      </w:r>
    </w:p>
    <w:p w:rsidR="0008772F" w:rsidRDefault="0008772F" w:rsidP="0008772F">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w:t>
      </w:r>
      <w:r w:rsidRPr="003F5AE0">
        <w:rPr>
          <w:rFonts w:asciiTheme="minorHAnsi" w:hAnsiTheme="minorHAnsi"/>
          <w:bCs/>
          <w:lang w:val="en-GB"/>
        </w:rPr>
        <w:t>medicines</w:t>
      </w:r>
      <w:r w:rsidRPr="007129F2">
        <w:rPr>
          <w:rFonts w:asciiTheme="minorHAnsi" w:hAnsiTheme="minorHAnsi"/>
          <w:bCs/>
          <w:lang w:val="en-GB"/>
        </w:rPr>
        <w:t xml:space="preserve">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8772F" w:rsidRPr="007129F2" w:rsidRDefault="0008772F" w:rsidP="0008772F">
      <w:pPr>
        <w:rPr>
          <w:rFonts w:asciiTheme="minorHAnsi" w:hAnsiTheme="minorHAnsi"/>
          <w:bCs/>
          <w:lang w:val="en-GB"/>
        </w:rPr>
      </w:pPr>
    </w:p>
    <w:p w:rsidR="0008772F" w:rsidRPr="00C07617" w:rsidRDefault="0008772F" w:rsidP="0008772F">
      <w:pPr>
        <w:pStyle w:val="2Sections"/>
        <w:numPr>
          <w:ilvl w:val="0"/>
          <w:numId w:val="1"/>
        </w:numPr>
        <w:rPr>
          <w:b w:val="0"/>
        </w:rPr>
      </w:pPr>
      <w:r>
        <w:t>Sponsor’s Comment</w:t>
      </w:r>
    </w:p>
    <w:p w:rsidR="0008772F" w:rsidRPr="001179AC" w:rsidRDefault="0008772F" w:rsidP="0008772F">
      <w:pPr>
        <w:spacing w:after="120"/>
        <w:rPr>
          <w:rFonts w:asciiTheme="minorHAnsi" w:hAnsiTheme="minorHAnsi"/>
          <w:bCs/>
        </w:rPr>
      </w:pPr>
      <w:r w:rsidRPr="00C07617">
        <w:rPr>
          <w:rFonts w:asciiTheme="minorHAnsi" w:hAnsiTheme="minorHAnsi"/>
          <w:bCs/>
        </w:rPr>
        <w:t>The sponsor had no comment.</w:t>
      </w:r>
    </w:p>
    <w:p w:rsidR="00B82E83" w:rsidRPr="008B3D24" w:rsidRDefault="00B82E83" w:rsidP="00B82E83"/>
    <w:p w:rsidR="00B82E83" w:rsidRPr="008B3D24" w:rsidRDefault="00B82E83" w:rsidP="00B82E83"/>
    <w:sectPr w:rsidR="00B82E83" w:rsidRPr="008B3D24" w:rsidSect="00153A93">
      <w:headerReference w:type="even" r:id="rId8"/>
      <w:headerReference w:type="default" r:id="rId9"/>
      <w:footerReference w:type="even" r:id="rId10"/>
      <w:footerReference w:type="default" r:id="rId11"/>
      <w:headerReference w:type="first" r:id="rId12"/>
      <w:footerReference w:type="first" r:id="rId13"/>
      <w:pgSz w:w="11907" w:h="16840" w:code="9"/>
      <w:pgMar w:top="1951"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2C" w:rsidRDefault="0064432C" w:rsidP="00124A51">
      <w:r>
        <w:separator/>
      </w:r>
    </w:p>
    <w:p w:rsidR="0064432C" w:rsidRDefault="0064432C"/>
  </w:endnote>
  <w:endnote w:type="continuationSeparator" w:id="0">
    <w:p w:rsidR="0064432C" w:rsidRDefault="0064432C" w:rsidP="00124A51">
      <w:r>
        <w:continuationSeparator/>
      </w:r>
    </w:p>
    <w:p w:rsidR="0064432C" w:rsidRDefault="0064432C"/>
  </w:endnote>
  <w:endnote w:type="continuationNotice" w:id="1">
    <w:p w:rsidR="0064432C" w:rsidRDefault="00644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29" w:rsidRDefault="00596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F9" w:rsidRDefault="00C044F9" w:rsidP="00015886">
    <w:pPr>
      <w:ind w:right="360"/>
      <w:jc w:val="center"/>
      <w:rPr>
        <w:b/>
      </w:rPr>
    </w:pPr>
  </w:p>
  <w:p w:rsidR="00C044F9" w:rsidRPr="00387C5F" w:rsidRDefault="00C044F9" w:rsidP="00015886">
    <w:pPr>
      <w:ind w:right="360"/>
      <w:jc w:val="center"/>
      <w:rPr>
        <w:b/>
      </w:rPr>
    </w:pPr>
    <w:r w:rsidRPr="00387C5F">
      <w:rPr>
        <w:b/>
      </w:rPr>
      <w:fldChar w:fldCharType="begin"/>
    </w:r>
    <w:r w:rsidRPr="00387C5F">
      <w:rPr>
        <w:b/>
      </w:rPr>
      <w:instrText xml:space="preserve"> PAGE   \* MERGEFORMAT </w:instrText>
    </w:r>
    <w:r w:rsidRPr="00387C5F">
      <w:rPr>
        <w:b/>
      </w:rPr>
      <w:fldChar w:fldCharType="separate"/>
    </w:r>
    <w:r w:rsidR="00093936">
      <w:rPr>
        <w:b/>
        <w:noProof/>
      </w:rPr>
      <w:t>16</w:t>
    </w:r>
    <w:r w:rsidRPr="00387C5F">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29" w:rsidRDefault="00596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2C" w:rsidRDefault="0064432C" w:rsidP="00124A51">
      <w:r>
        <w:separator/>
      </w:r>
    </w:p>
    <w:p w:rsidR="0064432C" w:rsidRDefault="0064432C"/>
  </w:footnote>
  <w:footnote w:type="continuationSeparator" w:id="0">
    <w:p w:rsidR="0064432C" w:rsidRDefault="0064432C" w:rsidP="00124A51">
      <w:r>
        <w:continuationSeparator/>
      </w:r>
    </w:p>
    <w:p w:rsidR="0064432C" w:rsidRDefault="0064432C"/>
  </w:footnote>
  <w:footnote w:type="continuationNotice" w:id="1">
    <w:p w:rsidR="0064432C" w:rsidRDefault="0064432C"/>
  </w:footnote>
  <w:footnote w:id="2">
    <w:p w:rsidR="00C044F9" w:rsidRPr="00703624" w:rsidRDefault="00C044F9" w:rsidP="005A3CA7">
      <w:pPr>
        <w:pStyle w:val="FootnoteText"/>
        <w:rPr>
          <w:rFonts w:ascii="Arial Narrow" w:hAnsi="Arial Narrow"/>
        </w:rPr>
      </w:pPr>
      <w:r w:rsidRPr="00703624">
        <w:rPr>
          <w:rStyle w:val="FootnoteReference"/>
          <w:rFonts w:ascii="Arial Narrow" w:hAnsi="Arial Narrow"/>
        </w:rPr>
        <w:footnoteRef/>
      </w:r>
      <w:r w:rsidRPr="00703624">
        <w:rPr>
          <w:rFonts w:ascii="Arial Narrow" w:hAnsi="Arial Narrow"/>
        </w:rPr>
        <w:t xml:space="preserve"> Boel A, Molto A, van der Heijde D, </w:t>
      </w:r>
      <w:r w:rsidRPr="00703624">
        <w:rPr>
          <w:rFonts w:ascii="Arial Narrow" w:hAnsi="Arial Narrow"/>
          <w:i/>
          <w:iCs/>
        </w:rPr>
        <w:t>et al.</w:t>
      </w:r>
      <w:r w:rsidRPr="00703624">
        <w:rPr>
          <w:rFonts w:ascii="Arial Narrow" w:hAnsi="Arial Narrow"/>
        </w:rPr>
        <w:t xml:space="preserve"> Do patients with axial spondyloarthritis with radiographic sacroiliitis fulfil both the modified New York criteria and the ASAS axial spondyloarthritis criteria? Results from eight cohorts. Ann Rheum Dis 2019; 78:1545-9.</w:t>
      </w:r>
    </w:p>
    <w:p w:rsidR="00C044F9" w:rsidRDefault="00C044F9">
      <w:pPr>
        <w:pStyle w:val="FootnoteText"/>
      </w:pPr>
    </w:p>
  </w:footnote>
  <w:footnote w:id="3">
    <w:p w:rsidR="00C044F9" w:rsidRPr="005979C2" w:rsidRDefault="00C044F9">
      <w:pPr>
        <w:pStyle w:val="FootnoteText"/>
        <w:rPr>
          <w:rFonts w:ascii="Arial Narrow" w:hAnsi="Arial Narrow"/>
          <w:sz w:val="18"/>
          <w:szCs w:val="18"/>
        </w:rPr>
      </w:pPr>
      <w:r w:rsidRPr="005979C2">
        <w:rPr>
          <w:rStyle w:val="FootnoteReference"/>
          <w:rFonts w:ascii="Arial Narrow" w:hAnsi="Arial Narrow"/>
          <w:sz w:val="18"/>
          <w:szCs w:val="18"/>
        </w:rPr>
        <w:footnoteRef/>
      </w:r>
      <w:r w:rsidRPr="005979C2">
        <w:rPr>
          <w:rFonts w:ascii="Arial Narrow" w:hAnsi="Arial Narrow"/>
          <w:sz w:val="18"/>
          <w:szCs w:val="18"/>
        </w:rPr>
        <w:t xml:space="preserve"> Kviatkovsky, M. J., et al. (2016). The Minimum Clinically Important Improvement and Patient-acceptable Symptom State in the BASDAI and BASFI for Patients with Ankylosing Spondylitis. </w:t>
      </w:r>
      <w:r w:rsidRPr="005979C2">
        <w:rPr>
          <w:rFonts w:ascii="Arial Narrow" w:hAnsi="Arial Narrow"/>
          <w:i/>
          <w:iCs/>
          <w:sz w:val="18"/>
          <w:szCs w:val="18"/>
        </w:rPr>
        <w:t>J Rheumatol, 43</w:t>
      </w:r>
      <w:r w:rsidRPr="005979C2">
        <w:rPr>
          <w:rFonts w:ascii="Arial Narrow" w:hAnsi="Arial Narrow"/>
          <w:sz w:val="18"/>
          <w:szCs w:val="18"/>
        </w:rPr>
        <w:t>(9), 1680-1686. doi:10.3899/jrheum.151244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29" w:rsidRDefault="00596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F9" w:rsidRPr="00966288" w:rsidRDefault="00C044F9" w:rsidP="0008772F">
    <w:pPr>
      <w:pStyle w:val="MinorOVRHeader"/>
      <w:jc w:val="center"/>
      <w:rPr>
        <w:i/>
      </w:rPr>
    </w:pPr>
    <w:r>
      <w:rPr>
        <w:i/>
      </w:rPr>
      <w:t>Public Summary Document</w:t>
    </w:r>
    <w:r w:rsidRPr="00966288">
      <w:rPr>
        <w:i/>
      </w:rPr>
      <w:t xml:space="preserve"> – </w:t>
    </w:r>
    <w:r>
      <w:rPr>
        <w:i/>
      </w:rPr>
      <w:t xml:space="preserve">July </w:t>
    </w:r>
    <w:r w:rsidRPr="00966288">
      <w:rPr>
        <w:i/>
      </w:rPr>
      <w:t>2020 PBAC Meeting</w:t>
    </w:r>
  </w:p>
  <w:p w:rsidR="00C044F9" w:rsidRPr="008C7ECB" w:rsidRDefault="00C044F9" w:rsidP="00672D72">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29" w:rsidRDefault="00596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10E"/>
    <w:multiLevelType w:val="multilevel"/>
    <w:tmpl w:val="3A2AB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E0F760E"/>
    <w:multiLevelType w:val="hybridMultilevel"/>
    <w:tmpl w:val="B7A4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FE0B81"/>
    <w:multiLevelType w:val="hybridMultilevel"/>
    <w:tmpl w:val="011E23B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3B6274A"/>
    <w:multiLevelType w:val="hybridMultilevel"/>
    <w:tmpl w:val="59965D02"/>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F1D638E"/>
    <w:multiLevelType w:val="multilevel"/>
    <w:tmpl w:val="2E7811DC"/>
    <w:styleLink w:val="SectionBi"/>
    <w:lvl w:ilvl="0">
      <w:start w:val="2"/>
      <w:numFmt w:val="upperLetter"/>
      <w:lvlText w:val="%1(i)."/>
      <w:lvlJc w:val="left"/>
      <w:pPr>
        <w:ind w:left="1134" w:hanging="1134"/>
      </w:pPr>
      <w:rPr>
        <w:rFonts w:ascii="Arial" w:hAnsi="Arial" w:hint="default"/>
        <w:b/>
        <w:sz w:val="22"/>
        <w:szCs w:val="22"/>
      </w:rPr>
    </w:lvl>
    <w:lvl w:ilvl="1">
      <w:start w:val="1"/>
      <w:numFmt w:val="decimal"/>
      <w:lvlText w:val="%1(i).%2"/>
      <w:lvlJc w:val="left"/>
      <w:pPr>
        <w:ind w:left="1134" w:hanging="1134"/>
      </w:pPr>
      <w:rPr>
        <w:rFonts w:ascii="Arial" w:hAnsi="Arial" w:hint="default"/>
        <w:sz w:val="22"/>
      </w:rPr>
    </w:lvl>
    <w:lvl w:ilvl="2">
      <w:start w:val="1"/>
      <w:numFmt w:val="decimal"/>
      <w:lvlText w:val="%1(i).%2.%3"/>
      <w:lvlJc w:val="left"/>
      <w:pPr>
        <w:ind w:left="1134" w:hanging="1134"/>
      </w:pPr>
      <w:rPr>
        <w:rFonts w:ascii="Arial" w:hAnsi="Arial" w:hint="default"/>
        <w:sz w:val="22"/>
      </w:rPr>
    </w:lvl>
    <w:lvl w:ilvl="3">
      <w:start w:val="1"/>
      <w:numFmt w:val="decimal"/>
      <w:lvlText w:val="%1(i).%2.%3.%4"/>
      <w:lvlJc w:val="left"/>
      <w:pPr>
        <w:ind w:left="1134" w:hanging="1134"/>
      </w:pPr>
      <w:rPr>
        <w:rFonts w:ascii="Arial" w:hAnsi="Arial" w:hint="default"/>
        <w:sz w:val="22"/>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8" w15:restartNumberingAfterBreak="0">
    <w:nsid w:val="56B824A8"/>
    <w:multiLevelType w:val="hybridMultilevel"/>
    <w:tmpl w:val="EF6C853A"/>
    <w:lvl w:ilvl="0" w:tplc="73A85FBE">
      <w:start w:val="1"/>
      <w:numFmt w:val="bullet"/>
      <w:pStyle w:val="TableBullet"/>
      <w:lvlText w:val=""/>
      <w:lvlJc w:val="left"/>
      <w:pPr>
        <w:ind w:left="763" w:hanging="360"/>
      </w:pPr>
      <w:rPr>
        <w:rFonts w:ascii="Symbol" w:hAnsi="Symbol" w:cs="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cs="Wingdings" w:hint="default"/>
      </w:rPr>
    </w:lvl>
    <w:lvl w:ilvl="3" w:tplc="0C090001" w:tentative="1">
      <w:start w:val="1"/>
      <w:numFmt w:val="bullet"/>
      <w:lvlText w:val=""/>
      <w:lvlJc w:val="left"/>
      <w:pPr>
        <w:ind w:left="2923" w:hanging="360"/>
      </w:pPr>
      <w:rPr>
        <w:rFonts w:ascii="Symbol" w:hAnsi="Symbol" w:cs="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cs="Wingdings" w:hint="default"/>
      </w:rPr>
    </w:lvl>
    <w:lvl w:ilvl="6" w:tplc="0C090001" w:tentative="1">
      <w:start w:val="1"/>
      <w:numFmt w:val="bullet"/>
      <w:lvlText w:val=""/>
      <w:lvlJc w:val="left"/>
      <w:pPr>
        <w:ind w:left="5083" w:hanging="360"/>
      </w:pPr>
      <w:rPr>
        <w:rFonts w:ascii="Symbol" w:hAnsi="Symbol" w:cs="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cs="Wingdings" w:hint="default"/>
      </w:rPr>
    </w:lvl>
  </w:abstractNum>
  <w:abstractNum w:abstractNumId="9" w15:restartNumberingAfterBreak="0">
    <w:nsid w:val="6F6D0646"/>
    <w:multiLevelType w:val="hybridMultilevel"/>
    <w:tmpl w:val="37EE2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3744D2"/>
    <w:multiLevelType w:val="hybridMultilevel"/>
    <w:tmpl w:val="FF0AB8B8"/>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1" w15:restartNumberingAfterBreak="0">
    <w:nsid w:val="72917A57"/>
    <w:multiLevelType w:val="hybridMultilevel"/>
    <w:tmpl w:val="3DAC3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84D033C"/>
    <w:multiLevelType w:val="multilevel"/>
    <w:tmpl w:val="4D449CD0"/>
    <w:lvl w:ilvl="0">
      <w:start w:val="1"/>
      <w:numFmt w:val="decimal"/>
      <w:pStyle w:val="2-SectionHeading"/>
      <w:lvlText w:val="%1"/>
      <w:lvlJc w:val="left"/>
      <w:pPr>
        <w:ind w:left="720" w:hanging="720"/>
      </w:pPr>
      <w:rPr>
        <w:rFonts w:hint="default"/>
        <w:b/>
        <w:color w:val="auto"/>
      </w:rPr>
    </w:lvl>
    <w:lvl w:ilvl="1">
      <w:start w:val="10"/>
      <w:numFmt w:val="decimal"/>
      <w:pStyle w:val="3-BodyText"/>
      <w:lvlText w:val="%1.%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EC272B"/>
    <w:multiLevelType w:val="hybridMultilevel"/>
    <w:tmpl w:val="42227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3"/>
  </w:num>
  <w:num w:numId="5">
    <w:abstractNumId w:val="9"/>
  </w:num>
  <w:num w:numId="6">
    <w:abstractNumId w:val="7"/>
  </w:num>
  <w:num w:numId="7">
    <w:abstractNumId w:val="1"/>
  </w:num>
  <w:num w:numId="8">
    <w:abstractNumId w:val="2"/>
  </w:num>
  <w:num w:numId="9">
    <w:abstractNumId w:val="8"/>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2"/>
  </w:num>
  <w:num w:numId="26">
    <w:abstractNumId w:val="12"/>
    <w:lvlOverride w:ilvl="0">
      <w:startOverride w:val="8"/>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_PBAC Copy2&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wwr5wsyswetrevf9kx25x5w0z9d5fddzws&quot;&gt;Ixekizumab PBAC July 2020&lt;record-ids&gt;&lt;item&gt;2&lt;/item&gt;&lt;item&gt;3&lt;/item&gt;&lt;item&gt;11&lt;/item&gt;&lt;item&gt;12&lt;/item&gt;&lt;item&gt;14&lt;/item&gt;&lt;item&gt;16&lt;/item&gt;&lt;item&gt;17&lt;/item&gt;&lt;item&gt;19&lt;/item&gt;&lt;item&gt;24&lt;/item&gt;&lt;item&gt;25&lt;/item&gt;&lt;item&gt;26&lt;/item&gt;&lt;item&gt;27&lt;/item&gt;&lt;item&gt;28&lt;/item&gt;&lt;item&gt;29&lt;/item&gt;&lt;item&gt;30&lt;/item&gt;&lt;item&gt;32&lt;/item&gt;&lt;/record-ids&gt;&lt;/item&gt;&lt;/Libraries&gt;"/>
  </w:docVars>
  <w:rsids>
    <w:rsidRoot w:val="00E65E79"/>
    <w:rsid w:val="00000790"/>
    <w:rsid w:val="0000110B"/>
    <w:rsid w:val="00001D6E"/>
    <w:rsid w:val="000028D0"/>
    <w:rsid w:val="00002AD2"/>
    <w:rsid w:val="00002C00"/>
    <w:rsid w:val="00003499"/>
    <w:rsid w:val="000039B7"/>
    <w:rsid w:val="00004FE0"/>
    <w:rsid w:val="00005DBB"/>
    <w:rsid w:val="0000639A"/>
    <w:rsid w:val="000064A7"/>
    <w:rsid w:val="000076FD"/>
    <w:rsid w:val="000104DE"/>
    <w:rsid w:val="000112E0"/>
    <w:rsid w:val="000126EF"/>
    <w:rsid w:val="00013247"/>
    <w:rsid w:val="00013FDD"/>
    <w:rsid w:val="00014573"/>
    <w:rsid w:val="00015886"/>
    <w:rsid w:val="000162EF"/>
    <w:rsid w:val="00017F16"/>
    <w:rsid w:val="000207C9"/>
    <w:rsid w:val="0002225F"/>
    <w:rsid w:val="00023763"/>
    <w:rsid w:val="00023B5D"/>
    <w:rsid w:val="00024618"/>
    <w:rsid w:val="00024D1D"/>
    <w:rsid w:val="000257CE"/>
    <w:rsid w:val="00025920"/>
    <w:rsid w:val="000274B8"/>
    <w:rsid w:val="00027BF5"/>
    <w:rsid w:val="00030416"/>
    <w:rsid w:val="000305C8"/>
    <w:rsid w:val="00030949"/>
    <w:rsid w:val="00033863"/>
    <w:rsid w:val="00033F3A"/>
    <w:rsid w:val="00034180"/>
    <w:rsid w:val="00034694"/>
    <w:rsid w:val="0003479C"/>
    <w:rsid w:val="0003518B"/>
    <w:rsid w:val="000351E2"/>
    <w:rsid w:val="00035829"/>
    <w:rsid w:val="00035B22"/>
    <w:rsid w:val="00035DC0"/>
    <w:rsid w:val="00036829"/>
    <w:rsid w:val="00037B38"/>
    <w:rsid w:val="00040895"/>
    <w:rsid w:val="00040ABE"/>
    <w:rsid w:val="00041142"/>
    <w:rsid w:val="000416C0"/>
    <w:rsid w:val="00043460"/>
    <w:rsid w:val="000435EE"/>
    <w:rsid w:val="00043C37"/>
    <w:rsid w:val="00044512"/>
    <w:rsid w:val="00045017"/>
    <w:rsid w:val="00045489"/>
    <w:rsid w:val="00045A2B"/>
    <w:rsid w:val="0004698F"/>
    <w:rsid w:val="00052311"/>
    <w:rsid w:val="000539D0"/>
    <w:rsid w:val="00053BB9"/>
    <w:rsid w:val="00054621"/>
    <w:rsid w:val="000546D7"/>
    <w:rsid w:val="00054F16"/>
    <w:rsid w:val="000565C3"/>
    <w:rsid w:val="00056ADE"/>
    <w:rsid w:val="00056B3E"/>
    <w:rsid w:val="00056ECF"/>
    <w:rsid w:val="000604DF"/>
    <w:rsid w:val="00061DA3"/>
    <w:rsid w:val="000626DF"/>
    <w:rsid w:val="00063539"/>
    <w:rsid w:val="000637E2"/>
    <w:rsid w:val="00063EBE"/>
    <w:rsid w:val="00064EFF"/>
    <w:rsid w:val="0006534A"/>
    <w:rsid w:val="000653B5"/>
    <w:rsid w:val="00066360"/>
    <w:rsid w:val="00066AF8"/>
    <w:rsid w:val="00067A3A"/>
    <w:rsid w:val="00067BB0"/>
    <w:rsid w:val="00067E36"/>
    <w:rsid w:val="00067E46"/>
    <w:rsid w:val="00070378"/>
    <w:rsid w:val="000708EF"/>
    <w:rsid w:val="00070E96"/>
    <w:rsid w:val="00071248"/>
    <w:rsid w:val="000720B9"/>
    <w:rsid w:val="0007245E"/>
    <w:rsid w:val="00072978"/>
    <w:rsid w:val="000737F7"/>
    <w:rsid w:val="0007421B"/>
    <w:rsid w:val="000748D4"/>
    <w:rsid w:val="000755ED"/>
    <w:rsid w:val="0007638E"/>
    <w:rsid w:val="0007672F"/>
    <w:rsid w:val="0007681D"/>
    <w:rsid w:val="00076B54"/>
    <w:rsid w:val="000774F0"/>
    <w:rsid w:val="0008018F"/>
    <w:rsid w:val="00080909"/>
    <w:rsid w:val="00080B7D"/>
    <w:rsid w:val="000812CA"/>
    <w:rsid w:val="00081E63"/>
    <w:rsid w:val="00082459"/>
    <w:rsid w:val="0008258D"/>
    <w:rsid w:val="0008317C"/>
    <w:rsid w:val="00083445"/>
    <w:rsid w:val="00083E99"/>
    <w:rsid w:val="0008450C"/>
    <w:rsid w:val="00084FA8"/>
    <w:rsid w:val="000856C5"/>
    <w:rsid w:val="00085C31"/>
    <w:rsid w:val="0008616E"/>
    <w:rsid w:val="0008772F"/>
    <w:rsid w:val="00087E6A"/>
    <w:rsid w:val="000902D9"/>
    <w:rsid w:val="00090C7E"/>
    <w:rsid w:val="00091080"/>
    <w:rsid w:val="00091CF4"/>
    <w:rsid w:val="00092600"/>
    <w:rsid w:val="0009262B"/>
    <w:rsid w:val="000931F1"/>
    <w:rsid w:val="00093310"/>
    <w:rsid w:val="00093936"/>
    <w:rsid w:val="0009445C"/>
    <w:rsid w:val="00094A2E"/>
    <w:rsid w:val="00094B3C"/>
    <w:rsid w:val="00094FB2"/>
    <w:rsid w:val="00095200"/>
    <w:rsid w:val="000956B9"/>
    <w:rsid w:val="00095FE5"/>
    <w:rsid w:val="00096284"/>
    <w:rsid w:val="00096E68"/>
    <w:rsid w:val="00097C8B"/>
    <w:rsid w:val="000A0A59"/>
    <w:rsid w:val="000A1BC0"/>
    <w:rsid w:val="000A2A7C"/>
    <w:rsid w:val="000A3751"/>
    <w:rsid w:val="000A6039"/>
    <w:rsid w:val="000A7453"/>
    <w:rsid w:val="000A7D08"/>
    <w:rsid w:val="000B0121"/>
    <w:rsid w:val="000B0670"/>
    <w:rsid w:val="000B0D33"/>
    <w:rsid w:val="000B0DF0"/>
    <w:rsid w:val="000B0E75"/>
    <w:rsid w:val="000B2DCB"/>
    <w:rsid w:val="000B3342"/>
    <w:rsid w:val="000B3EAA"/>
    <w:rsid w:val="000B4FE5"/>
    <w:rsid w:val="000B5CE0"/>
    <w:rsid w:val="000B6CAC"/>
    <w:rsid w:val="000B7238"/>
    <w:rsid w:val="000B7612"/>
    <w:rsid w:val="000B78AE"/>
    <w:rsid w:val="000C2046"/>
    <w:rsid w:val="000C33DA"/>
    <w:rsid w:val="000C3DF9"/>
    <w:rsid w:val="000C4E34"/>
    <w:rsid w:val="000C6713"/>
    <w:rsid w:val="000C7579"/>
    <w:rsid w:val="000C76AC"/>
    <w:rsid w:val="000C7D51"/>
    <w:rsid w:val="000D0DCE"/>
    <w:rsid w:val="000D0DFD"/>
    <w:rsid w:val="000D156C"/>
    <w:rsid w:val="000D1BFC"/>
    <w:rsid w:val="000D1D5D"/>
    <w:rsid w:val="000D1EE2"/>
    <w:rsid w:val="000D281A"/>
    <w:rsid w:val="000D2848"/>
    <w:rsid w:val="000D2FB2"/>
    <w:rsid w:val="000D3064"/>
    <w:rsid w:val="000D326A"/>
    <w:rsid w:val="000D4737"/>
    <w:rsid w:val="000D4E03"/>
    <w:rsid w:val="000D51FB"/>
    <w:rsid w:val="000D5765"/>
    <w:rsid w:val="000D6222"/>
    <w:rsid w:val="000D69D5"/>
    <w:rsid w:val="000D6A52"/>
    <w:rsid w:val="000E024F"/>
    <w:rsid w:val="000E0640"/>
    <w:rsid w:val="000E0BEC"/>
    <w:rsid w:val="000E0FF0"/>
    <w:rsid w:val="000E11ED"/>
    <w:rsid w:val="000E135D"/>
    <w:rsid w:val="000E5ABB"/>
    <w:rsid w:val="000E65F5"/>
    <w:rsid w:val="000E671C"/>
    <w:rsid w:val="000E7128"/>
    <w:rsid w:val="000F00BA"/>
    <w:rsid w:val="000F01E8"/>
    <w:rsid w:val="000F04B5"/>
    <w:rsid w:val="000F14BD"/>
    <w:rsid w:val="000F2650"/>
    <w:rsid w:val="000F283B"/>
    <w:rsid w:val="000F2ED8"/>
    <w:rsid w:val="000F316A"/>
    <w:rsid w:val="000F3C74"/>
    <w:rsid w:val="000F41DB"/>
    <w:rsid w:val="000F4BB8"/>
    <w:rsid w:val="000F4FA9"/>
    <w:rsid w:val="000F53FB"/>
    <w:rsid w:val="000F5CE2"/>
    <w:rsid w:val="000F649B"/>
    <w:rsid w:val="000F6F07"/>
    <w:rsid w:val="000F7127"/>
    <w:rsid w:val="000F776D"/>
    <w:rsid w:val="000F7B54"/>
    <w:rsid w:val="000F7FD0"/>
    <w:rsid w:val="0010010F"/>
    <w:rsid w:val="00100245"/>
    <w:rsid w:val="00100F8A"/>
    <w:rsid w:val="00102518"/>
    <w:rsid w:val="00102B26"/>
    <w:rsid w:val="00103607"/>
    <w:rsid w:val="0010452E"/>
    <w:rsid w:val="0010472B"/>
    <w:rsid w:val="00105AE2"/>
    <w:rsid w:val="001060C6"/>
    <w:rsid w:val="00106A4A"/>
    <w:rsid w:val="00106B80"/>
    <w:rsid w:val="0011032E"/>
    <w:rsid w:val="00113062"/>
    <w:rsid w:val="0011348B"/>
    <w:rsid w:val="00113F2D"/>
    <w:rsid w:val="00114494"/>
    <w:rsid w:val="00115982"/>
    <w:rsid w:val="00116702"/>
    <w:rsid w:val="00116C53"/>
    <w:rsid w:val="00116E82"/>
    <w:rsid w:val="00116E90"/>
    <w:rsid w:val="00121799"/>
    <w:rsid w:val="00122297"/>
    <w:rsid w:val="001222FC"/>
    <w:rsid w:val="001225BD"/>
    <w:rsid w:val="0012374E"/>
    <w:rsid w:val="00123902"/>
    <w:rsid w:val="00124A51"/>
    <w:rsid w:val="00125015"/>
    <w:rsid w:val="00126468"/>
    <w:rsid w:val="001264BE"/>
    <w:rsid w:val="00126621"/>
    <w:rsid w:val="00126B1D"/>
    <w:rsid w:val="001301E9"/>
    <w:rsid w:val="0013047E"/>
    <w:rsid w:val="00131D82"/>
    <w:rsid w:val="00132775"/>
    <w:rsid w:val="00132B22"/>
    <w:rsid w:val="00133D36"/>
    <w:rsid w:val="001352D1"/>
    <w:rsid w:val="001369AF"/>
    <w:rsid w:val="00136B91"/>
    <w:rsid w:val="00137361"/>
    <w:rsid w:val="00137645"/>
    <w:rsid w:val="00137904"/>
    <w:rsid w:val="0014015A"/>
    <w:rsid w:val="001407CE"/>
    <w:rsid w:val="00140835"/>
    <w:rsid w:val="00140E99"/>
    <w:rsid w:val="001415EF"/>
    <w:rsid w:val="00143958"/>
    <w:rsid w:val="00143F67"/>
    <w:rsid w:val="001454C6"/>
    <w:rsid w:val="00145540"/>
    <w:rsid w:val="001456B0"/>
    <w:rsid w:val="00145EDE"/>
    <w:rsid w:val="0014614F"/>
    <w:rsid w:val="00146201"/>
    <w:rsid w:val="001471C4"/>
    <w:rsid w:val="0015184B"/>
    <w:rsid w:val="00151D39"/>
    <w:rsid w:val="00153244"/>
    <w:rsid w:val="00153A93"/>
    <w:rsid w:val="00156562"/>
    <w:rsid w:val="00156F8F"/>
    <w:rsid w:val="00157130"/>
    <w:rsid w:val="001576B1"/>
    <w:rsid w:val="0016047B"/>
    <w:rsid w:val="00160A4C"/>
    <w:rsid w:val="00161663"/>
    <w:rsid w:val="001618CE"/>
    <w:rsid w:val="00162913"/>
    <w:rsid w:val="00162CDA"/>
    <w:rsid w:val="00163EFF"/>
    <w:rsid w:val="00163F66"/>
    <w:rsid w:val="001651F7"/>
    <w:rsid w:val="001661FB"/>
    <w:rsid w:val="001671A0"/>
    <w:rsid w:val="0016767F"/>
    <w:rsid w:val="001714C3"/>
    <w:rsid w:val="0017158A"/>
    <w:rsid w:val="00171EA8"/>
    <w:rsid w:val="00171F62"/>
    <w:rsid w:val="001726BD"/>
    <w:rsid w:val="00173565"/>
    <w:rsid w:val="00173B07"/>
    <w:rsid w:val="001751FA"/>
    <w:rsid w:val="00175ABB"/>
    <w:rsid w:val="0017618A"/>
    <w:rsid w:val="001765F3"/>
    <w:rsid w:val="001777DF"/>
    <w:rsid w:val="0018082B"/>
    <w:rsid w:val="001812A9"/>
    <w:rsid w:val="00181D9C"/>
    <w:rsid w:val="001820DD"/>
    <w:rsid w:val="00182597"/>
    <w:rsid w:val="00182955"/>
    <w:rsid w:val="00182974"/>
    <w:rsid w:val="001834FA"/>
    <w:rsid w:val="0018449C"/>
    <w:rsid w:val="00184B0E"/>
    <w:rsid w:val="0018555F"/>
    <w:rsid w:val="00186387"/>
    <w:rsid w:val="0018752F"/>
    <w:rsid w:val="0019370A"/>
    <w:rsid w:val="00193838"/>
    <w:rsid w:val="00193D62"/>
    <w:rsid w:val="00194AD8"/>
    <w:rsid w:val="001950D5"/>
    <w:rsid w:val="00195222"/>
    <w:rsid w:val="001975D8"/>
    <w:rsid w:val="001A178E"/>
    <w:rsid w:val="001A18DF"/>
    <w:rsid w:val="001A282D"/>
    <w:rsid w:val="001A43FA"/>
    <w:rsid w:val="001A47C5"/>
    <w:rsid w:val="001A59E9"/>
    <w:rsid w:val="001A59FB"/>
    <w:rsid w:val="001A5E9E"/>
    <w:rsid w:val="001A6354"/>
    <w:rsid w:val="001A6366"/>
    <w:rsid w:val="001A7594"/>
    <w:rsid w:val="001A7AE8"/>
    <w:rsid w:val="001B0FD0"/>
    <w:rsid w:val="001B204E"/>
    <w:rsid w:val="001B2170"/>
    <w:rsid w:val="001B2372"/>
    <w:rsid w:val="001B2AC4"/>
    <w:rsid w:val="001B3443"/>
    <w:rsid w:val="001B4D20"/>
    <w:rsid w:val="001B519D"/>
    <w:rsid w:val="001B5310"/>
    <w:rsid w:val="001B69FA"/>
    <w:rsid w:val="001C1012"/>
    <w:rsid w:val="001C1315"/>
    <w:rsid w:val="001C2A9B"/>
    <w:rsid w:val="001C2F41"/>
    <w:rsid w:val="001C4299"/>
    <w:rsid w:val="001C4874"/>
    <w:rsid w:val="001C5D6C"/>
    <w:rsid w:val="001C5F94"/>
    <w:rsid w:val="001C6E66"/>
    <w:rsid w:val="001C7235"/>
    <w:rsid w:val="001D1100"/>
    <w:rsid w:val="001D1330"/>
    <w:rsid w:val="001D1391"/>
    <w:rsid w:val="001D25D7"/>
    <w:rsid w:val="001D4516"/>
    <w:rsid w:val="001D4A8F"/>
    <w:rsid w:val="001D4B72"/>
    <w:rsid w:val="001D50B2"/>
    <w:rsid w:val="001D5AE9"/>
    <w:rsid w:val="001D5DB6"/>
    <w:rsid w:val="001D6019"/>
    <w:rsid w:val="001D6A38"/>
    <w:rsid w:val="001D6F54"/>
    <w:rsid w:val="001D7645"/>
    <w:rsid w:val="001E0960"/>
    <w:rsid w:val="001E1739"/>
    <w:rsid w:val="001E1919"/>
    <w:rsid w:val="001E1E86"/>
    <w:rsid w:val="001E238E"/>
    <w:rsid w:val="001E2483"/>
    <w:rsid w:val="001E26D0"/>
    <w:rsid w:val="001E2B1E"/>
    <w:rsid w:val="001E2CFF"/>
    <w:rsid w:val="001E2F24"/>
    <w:rsid w:val="001E30D4"/>
    <w:rsid w:val="001E325D"/>
    <w:rsid w:val="001E34DF"/>
    <w:rsid w:val="001E38D7"/>
    <w:rsid w:val="001E52EB"/>
    <w:rsid w:val="001E5DD5"/>
    <w:rsid w:val="001E61D2"/>
    <w:rsid w:val="001E740C"/>
    <w:rsid w:val="001E747A"/>
    <w:rsid w:val="001E7607"/>
    <w:rsid w:val="001F1235"/>
    <w:rsid w:val="001F1CB3"/>
    <w:rsid w:val="001F23EA"/>
    <w:rsid w:val="001F2CFA"/>
    <w:rsid w:val="001F303F"/>
    <w:rsid w:val="001F32EB"/>
    <w:rsid w:val="001F38B5"/>
    <w:rsid w:val="001F3ADC"/>
    <w:rsid w:val="001F4081"/>
    <w:rsid w:val="001F50B8"/>
    <w:rsid w:val="001F5372"/>
    <w:rsid w:val="001F62AF"/>
    <w:rsid w:val="001F68A4"/>
    <w:rsid w:val="001F7023"/>
    <w:rsid w:val="001F7361"/>
    <w:rsid w:val="002011B0"/>
    <w:rsid w:val="0020168C"/>
    <w:rsid w:val="002025E3"/>
    <w:rsid w:val="00203181"/>
    <w:rsid w:val="002032D1"/>
    <w:rsid w:val="00203517"/>
    <w:rsid w:val="00203783"/>
    <w:rsid w:val="0020385F"/>
    <w:rsid w:val="00204FB2"/>
    <w:rsid w:val="00205FB9"/>
    <w:rsid w:val="002068A0"/>
    <w:rsid w:val="00206B04"/>
    <w:rsid w:val="00207021"/>
    <w:rsid w:val="0020732F"/>
    <w:rsid w:val="00207D00"/>
    <w:rsid w:val="002105AC"/>
    <w:rsid w:val="002105C1"/>
    <w:rsid w:val="002105EB"/>
    <w:rsid w:val="00210740"/>
    <w:rsid w:val="00210749"/>
    <w:rsid w:val="00211027"/>
    <w:rsid w:val="002125AA"/>
    <w:rsid w:val="00213EF5"/>
    <w:rsid w:val="00214B2E"/>
    <w:rsid w:val="00216624"/>
    <w:rsid w:val="00216BF5"/>
    <w:rsid w:val="002207CA"/>
    <w:rsid w:val="002215D9"/>
    <w:rsid w:val="00221F36"/>
    <w:rsid w:val="00223969"/>
    <w:rsid w:val="00223B49"/>
    <w:rsid w:val="00223D5A"/>
    <w:rsid w:val="002244EE"/>
    <w:rsid w:val="00224DD4"/>
    <w:rsid w:val="00225D14"/>
    <w:rsid w:val="002262BB"/>
    <w:rsid w:val="002278A0"/>
    <w:rsid w:val="00227DB0"/>
    <w:rsid w:val="002309CC"/>
    <w:rsid w:val="00230EA8"/>
    <w:rsid w:val="00231AAC"/>
    <w:rsid w:val="0023209F"/>
    <w:rsid w:val="00233C01"/>
    <w:rsid w:val="0023413C"/>
    <w:rsid w:val="002346F0"/>
    <w:rsid w:val="00235B61"/>
    <w:rsid w:val="00235FD7"/>
    <w:rsid w:val="0023629D"/>
    <w:rsid w:val="00236AE5"/>
    <w:rsid w:val="00237255"/>
    <w:rsid w:val="00237745"/>
    <w:rsid w:val="00240281"/>
    <w:rsid w:val="00240554"/>
    <w:rsid w:val="00241B4F"/>
    <w:rsid w:val="00241CE6"/>
    <w:rsid w:val="0024211B"/>
    <w:rsid w:val="002424AF"/>
    <w:rsid w:val="00242E0D"/>
    <w:rsid w:val="002439DC"/>
    <w:rsid w:val="00243A0E"/>
    <w:rsid w:val="00243A89"/>
    <w:rsid w:val="002441D2"/>
    <w:rsid w:val="00244438"/>
    <w:rsid w:val="00244DC8"/>
    <w:rsid w:val="002458BA"/>
    <w:rsid w:val="00245CE9"/>
    <w:rsid w:val="0024636C"/>
    <w:rsid w:val="00246B25"/>
    <w:rsid w:val="002470F0"/>
    <w:rsid w:val="00247925"/>
    <w:rsid w:val="00250F30"/>
    <w:rsid w:val="00251006"/>
    <w:rsid w:val="002514A3"/>
    <w:rsid w:val="0025150C"/>
    <w:rsid w:val="002524D5"/>
    <w:rsid w:val="00253955"/>
    <w:rsid w:val="00253B1D"/>
    <w:rsid w:val="00253ED8"/>
    <w:rsid w:val="00254225"/>
    <w:rsid w:val="002544BC"/>
    <w:rsid w:val="00254DCF"/>
    <w:rsid w:val="0025534B"/>
    <w:rsid w:val="002558EC"/>
    <w:rsid w:val="00255B18"/>
    <w:rsid w:val="00255BB7"/>
    <w:rsid w:val="002574CD"/>
    <w:rsid w:val="00257541"/>
    <w:rsid w:val="00257A39"/>
    <w:rsid w:val="00257AC4"/>
    <w:rsid w:val="00260302"/>
    <w:rsid w:val="00261EEF"/>
    <w:rsid w:val="00262A1A"/>
    <w:rsid w:val="00262A87"/>
    <w:rsid w:val="0026370A"/>
    <w:rsid w:val="00264137"/>
    <w:rsid w:val="00264243"/>
    <w:rsid w:val="00264D26"/>
    <w:rsid w:val="002668E5"/>
    <w:rsid w:val="002669F9"/>
    <w:rsid w:val="00266FA4"/>
    <w:rsid w:val="00267642"/>
    <w:rsid w:val="00267AEA"/>
    <w:rsid w:val="00267ED3"/>
    <w:rsid w:val="002700E6"/>
    <w:rsid w:val="0027294B"/>
    <w:rsid w:val="00273EB4"/>
    <w:rsid w:val="002743ED"/>
    <w:rsid w:val="00274481"/>
    <w:rsid w:val="00274682"/>
    <w:rsid w:val="00275789"/>
    <w:rsid w:val="00275C5A"/>
    <w:rsid w:val="00280746"/>
    <w:rsid w:val="002808E3"/>
    <w:rsid w:val="00281014"/>
    <w:rsid w:val="002829DA"/>
    <w:rsid w:val="00283EBC"/>
    <w:rsid w:val="00283F3F"/>
    <w:rsid w:val="00284934"/>
    <w:rsid w:val="0028567E"/>
    <w:rsid w:val="0028665D"/>
    <w:rsid w:val="00286927"/>
    <w:rsid w:val="002873E7"/>
    <w:rsid w:val="002904BB"/>
    <w:rsid w:val="00292DB5"/>
    <w:rsid w:val="00292DFF"/>
    <w:rsid w:val="00294F99"/>
    <w:rsid w:val="002A0607"/>
    <w:rsid w:val="002A1323"/>
    <w:rsid w:val="002A14AB"/>
    <w:rsid w:val="002A168C"/>
    <w:rsid w:val="002A1892"/>
    <w:rsid w:val="002A21F7"/>
    <w:rsid w:val="002A2ADE"/>
    <w:rsid w:val="002A2F50"/>
    <w:rsid w:val="002A591D"/>
    <w:rsid w:val="002A5E76"/>
    <w:rsid w:val="002A63B7"/>
    <w:rsid w:val="002A71CC"/>
    <w:rsid w:val="002A7DBD"/>
    <w:rsid w:val="002B03B8"/>
    <w:rsid w:val="002B05A1"/>
    <w:rsid w:val="002B09A4"/>
    <w:rsid w:val="002B183B"/>
    <w:rsid w:val="002B1C1F"/>
    <w:rsid w:val="002B29AF"/>
    <w:rsid w:val="002B3375"/>
    <w:rsid w:val="002B432F"/>
    <w:rsid w:val="002B5D94"/>
    <w:rsid w:val="002B62B3"/>
    <w:rsid w:val="002B65D8"/>
    <w:rsid w:val="002B662F"/>
    <w:rsid w:val="002B6754"/>
    <w:rsid w:val="002B6CCE"/>
    <w:rsid w:val="002B6F61"/>
    <w:rsid w:val="002C0492"/>
    <w:rsid w:val="002C0C2C"/>
    <w:rsid w:val="002C2510"/>
    <w:rsid w:val="002C2775"/>
    <w:rsid w:val="002C27C1"/>
    <w:rsid w:val="002C3201"/>
    <w:rsid w:val="002C44EA"/>
    <w:rsid w:val="002C4FC3"/>
    <w:rsid w:val="002C5099"/>
    <w:rsid w:val="002C5889"/>
    <w:rsid w:val="002C71CE"/>
    <w:rsid w:val="002D08F8"/>
    <w:rsid w:val="002D3406"/>
    <w:rsid w:val="002D577C"/>
    <w:rsid w:val="002D65DD"/>
    <w:rsid w:val="002D6C53"/>
    <w:rsid w:val="002D7B8C"/>
    <w:rsid w:val="002E0B29"/>
    <w:rsid w:val="002E1071"/>
    <w:rsid w:val="002E15B9"/>
    <w:rsid w:val="002E1FB0"/>
    <w:rsid w:val="002E2158"/>
    <w:rsid w:val="002E2213"/>
    <w:rsid w:val="002E4F02"/>
    <w:rsid w:val="002E5168"/>
    <w:rsid w:val="002E6699"/>
    <w:rsid w:val="002E6D6A"/>
    <w:rsid w:val="002E7722"/>
    <w:rsid w:val="002E7E77"/>
    <w:rsid w:val="002F07BA"/>
    <w:rsid w:val="002F0DA9"/>
    <w:rsid w:val="002F1014"/>
    <w:rsid w:val="002F16AF"/>
    <w:rsid w:val="002F273E"/>
    <w:rsid w:val="002F48A5"/>
    <w:rsid w:val="002F4F99"/>
    <w:rsid w:val="002F643C"/>
    <w:rsid w:val="002F71C0"/>
    <w:rsid w:val="002F74F1"/>
    <w:rsid w:val="00300CF4"/>
    <w:rsid w:val="00301017"/>
    <w:rsid w:val="0030155F"/>
    <w:rsid w:val="0030366C"/>
    <w:rsid w:val="003038B6"/>
    <w:rsid w:val="00304419"/>
    <w:rsid w:val="0030541D"/>
    <w:rsid w:val="0030587B"/>
    <w:rsid w:val="003059F2"/>
    <w:rsid w:val="00305DFE"/>
    <w:rsid w:val="00306D98"/>
    <w:rsid w:val="0030786C"/>
    <w:rsid w:val="0031031A"/>
    <w:rsid w:val="00310981"/>
    <w:rsid w:val="003121AC"/>
    <w:rsid w:val="003123E0"/>
    <w:rsid w:val="003124D9"/>
    <w:rsid w:val="00312594"/>
    <w:rsid w:val="00312920"/>
    <w:rsid w:val="003132F8"/>
    <w:rsid w:val="00313471"/>
    <w:rsid w:val="00313BD0"/>
    <w:rsid w:val="00315498"/>
    <w:rsid w:val="003154F9"/>
    <w:rsid w:val="003156D9"/>
    <w:rsid w:val="00316474"/>
    <w:rsid w:val="00317371"/>
    <w:rsid w:val="00317771"/>
    <w:rsid w:val="00322107"/>
    <w:rsid w:val="00322355"/>
    <w:rsid w:val="00322543"/>
    <w:rsid w:val="00322846"/>
    <w:rsid w:val="00324E12"/>
    <w:rsid w:val="00325C44"/>
    <w:rsid w:val="00326062"/>
    <w:rsid w:val="00326184"/>
    <w:rsid w:val="003262F9"/>
    <w:rsid w:val="00326DA5"/>
    <w:rsid w:val="00326DA7"/>
    <w:rsid w:val="003270E4"/>
    <w:rsid w:val="00327AE6"/>
    <w:rsid w:val="00327ED7"/>
    <w:rsid w:val="0033093B"/>
    <w:rsid w:val="00330A8B"/>
    <w:rsid w:val="00330A8F"/>
    <w:rsid w:val="00330DAA"/>
    <w:rsid w:val="00330EC1"/>
    <w:rsid w:val="00330F5C"/>
    <w:rsid w:val="00331EAB"/>
    <w:rsid w:val="003328CF"/>
    <w:rsid w:val="00333231"/>
    <w:rsid w:val="003364AA"/>
    <w:rsid w:val="003366C9"/>
    <w:rsid w:val="00336FB0"/>
    <w:rsid w:val="003371B0"/>
    <w:rsid w:val="003408AE"/>
    <w:rsid w:val="00340DF1"/>
    <w:rsid w:val="00341054"/>
    <w:rsid w:val="00341A05"/>
    <w:rsid w:val="00342224"/>
    <w:rsid w:val="00343168"/>
    <w:rsid w:val="003432B4"/>
    <w:rsid w:val="00343729"/>
    <w:rsid w:val="00344F6A"/>
    <w:rsid w:val="003458E2"/>
    <w:rsid w:val="00346A5C"/>
    <w:rsid w:val="003506A3"/>
    <w:rsid w:val="00351155"/>
    <w:rsid w:val="003511E6"/>
    <w:rsid w:val="003517F9"/>
    <w:rsid w:val="00351BA9"/>
    <w:rsid w:val="0035275F"/>
    <w:rsid w:val="003535AB"/>
    <w:rsid w:val="003548DA"/>
    <w:rsid w:val="00354DE1"/>
    <w:rsid w:val="00354F64"/>
    <w:rsid w:val="0035620E"/>
    <w:rsid w:val="00360345"/>
    <w:rsid w:val="003612D1"/>
    <w:rsid w:val="00361A05"/>
    <w:rsid w:val="003624C4"/>
    <w:rsid w:val="00362F4C"/>
    <w:rsid w:val="00363598"/>
    <w:rsid w:val="00363B00"/>
    <w:rsid w:val="0036468E"/>
    <w:rsid w:val="00364863"/>
    <w:rsid w:val="003654AC"/>
    <w:rsid w:val="00365A98"/>
    <w:rsid w:val="00367CB6"/>
    <w:rsid w:val="003702E8"/>
    <w:rsid w:val="00370EC1"/>
    <w:rsid w:val="003710CF"/>
    <w:rsid w:val="003717D5"/>
    <w:rsid w:val="00372698"/>
    <w:rsid w:val="003729E8"/>
    <w:rsid w:val="00372B91"/>
    <w:rsid w:val="0037358A"/>
    <w:rsid w:val="00373727"/>
    <w:rsid w:val="00373B7E"/>
    <w:rsid w:val="0037403A"/>
    <w:rsid w:val="00374169"/>
    <w:rsid w:val="0037430B"/>
    <w:rsid w:val="003750F6"/>
    <w:rsid w:val="003760FC"/>
    <w:rsid w:val="0037693A"/>
    <w:rsid w:val="00376B43"/>
    <w:rsid w:val="00376D9E"/>
    <w:rsid w:val="00376DAE"/>
    <w:rsid w:val="00380E83"/>
    <w:rsid w:val="0038365C"/>
    <w:rsid w:val="0038369B"/>
    <w:rsid w:val="00383B78"/>
    <w:rsid w:val="00384FFA"/>
    <w:rsid w:val="00385A9D"/>
    <w:rsid w:val="00387676"/>
    <w:rsid w:val="0038777B"/>
    <w:rsid w:val="00387B9E"/>
    <w:rsid w:val="00387C39"/>
    <w:rsid w:val="00387C5F"/>
    <w:rsid w:val="003902B1"/>
    <w:rsid w:val="0039179C"/>
    <w:rsid w:val="003920CB"/>
    <w:rsid w:val="003948B8"/>
    <w:rsid w:val="003949FA"/>
    <w:rsid w:val="00394A49"/>
    <w:rsid w:val="0039587D"/>
    <w:rsid w:val="00396896"/>
    <w:rsid w:val="00396B7A"/>
    <w:rsid w:val="00396FD0"/>
    <w:rsid w:val="00397A69"/>
    <w:rsid w:val="003A1A7A"/>
    <w:rsid w:val="003A2392"/>
    <w:rsid w:val="003A248A"/>
    <w:rsid w:val="003A257D"/>
    <w:rsid w:val="003A2831"/>
    <w:rsid w:val="003A3CB6"/>
    <w:rsid w:val="003A3ED1"/>
    <w:rsid w:val="003A4417"/>
    <w:rsid w:val="003A44DB"/>
    <w:rsid w:val="003A57C4"/>
    <w:rsid w:val="003A651E"/>
    <w:rsid w:val="003A6AE9"/>
    <w:rsid w:val="003A76F8"/>
    <w:rsid w:val="003A77BE"/>
    <w:rsid w:val="003B0CF9"/>
    <w:rsid w:val="003B1750"/>
    <w:rsid w:val="003B3971"/>
    <w:rsid w:val="003B55D1"/>
    <w:rsid w:val="003B5B61"/>
    <w:rsid w:val="003C074F"/>
    <w:rsid w:val="003C08F6"/>
    <w:rsid w:val="003C1654"/>
    <w:rsid w:val="003C34F0"/>
    <w:rsid w:val="003C4133"/>
    <w:rsid w:val="003C469F"/>
    <w:rsid w:val="003C5542"/>
    <w:rsid w:val="003C7D19"/>
    <w:rsid w:val="003C7D2F"/>
    <w:rsid w:val="003D1828"/>
    <w:rsid w:val="003D1DE4"/>
    <w:rsid w:val="003D1E9A"/>
    <w:rsid w:val="003D2422"/>
    <w:rsid w:val="003D31EC"/>
    <w:rsid w:val="003D380D"/>
    <w:rsid w:val="003D39A1"/>
    <w:rsid w:val="003D3DE9"/>
    <w:rsid w:val="003D3FBF"/>
    <w:rsid w:val="003D4A30"/>
    <w:rsid w:val="003D5613"/>
    <w:rsid w:val="003D7452"/>
    <w:rsid w:val="003D79BB"/>
    <w:rsid w:val="003D7C98"/>
    <w:rsid w:val="003D7D9D"/>
    <w:rsid w:val="003D7E0E"/>
    <w:rsid w:val="003E0543"/>
    <w:rsid w:val="003E06EF"/>
    <w:rsid w:val="003E25BC"/>
    <w:rsid w:val="003E3F6F"/>
    <w:rsid w:val="003E749E"/>
    <w:rsid w:val="003E751C"/>
    <w:rsid w:val="003F0339"/>
    <w:rsid w:val="003F0429"/>
    <w:rsid w:val="003F2000"/>
    <w:rsid w:val="003F4156"/>
    <w:rsid w:val="003F454C"/>
    <w:rsid w:val="003F52AB"/>
    <w:rsid w:val="003F5ADF"/>
    <w:rsid w:val="003F6C66"/>
    <w:rsid w:val="003F748E"/>
    <w:rsid w:val="0040002B"/>
    <w:rsid w:val="00400B29"/>
    <w:rsid w:val="00403FAF"/>
    <w:rsid w:val="004044CA"/>
    <w:rsid w:val="00404BAD"/>
    <w:rsid w:val="0040504B"/>
    <w:rsid w:val="004054D7"/>
    <w:rsid w:val="004058E4"/>
    <w:rsid w:val="004059F4"/>
    <w:rsid w:val="00406F30"/>
    <w:rsid w:val="00407681"/>
    <w:rsid w:val="004077D1"/>
    <w:rsid w:val="00407BDD"/>
    <w:rsid w:val="00407E17"/>
    <w:rsid w:val="00407FE5"/>
    <w:rsid w:val="004101B0"/>
    <w:rsid w:val="00410326"/>
    <w:rsid w:val="00410708"/>
    <w:rsid w:val="00410E23"/>
    <w:rsid w:val="00410EC7"/>
    <w:rsid w:val="00411083"/>
    <w:rsid w:val="0041198D"/>
    <w:rsid w:val="00411B39"/>
    <w:rsid w:val="00411C11"/>
    <w:rsid w:val="004127A7"/>
    <w:rsid w:val="00412D0D"/>
    <w:rsid w:val="00413923"/>
    <w:rsid w:val="00413A1E"/>
    <w:rsid w:val="00414476"/>
    <w:rsid w:val="00414C2E"/>
    <w:rsid w:val="004151CF"/>
    <w:rsid w:val="0041544D"/>
    <w:rsid w:val="00415FFD"/>
    <w:rsid w:val="00416364"/>
    <w:rsid w:val="00417738"/>
    <w:rsid w:val="00420256"/>
    <w:rsid w:val="0042047F"/>
    <w:rsid w:val="00420645"/>
    <w:rsid w:val="00420AA6"/>
    <w:rsid w:val="00420B9F"/>
    <w:rsid w:val="004210CB"/>
    <w:rsid w:val="0042192C"/>
    <w:rsid w:val="00422260"/>
    <w:rsid w:val="0042413F"/>
    <w:rsid w:val="0042430B"/>
    <w:rsid w:val="0042585A"/>
    <w:rsid w:val="004273DD"/>
    <w:rsid w:val="00427C50"/>
    <w:rsid w:val="00427ECC"/>
    <w:rsid w:val="0043001B"/>
    <w:rsid w:val="00430811"/>
    <w:rsid w:val="00430F1A"/>
    <w:rsid w:val="004319F8"/>
    <w:rsid w:val="00431E55"/>
    <w:rsid w:val="00431FEB"/>
    <w:rsid w:val="004321F6"/>
    <w:rsid w:val="0043249C"/>
    <w:rsid w:val="00432764"/>
    <w:rsid w:val="00432B31"/>
    <w:rsid w:val="00433044"/>
    <w:rsid w:val="00434088"/>
    <w:rsid w:val="0043621A"/>
    <w:rsid w:val="0043666C"/>
    <w:rsid w:val="004375B9"/>
    <w:rsid w:val="00441A86"/>
    <w:rsid w:val="004424F1"/>
    <w:rsid w:val="004428D0"/>
    <w:rsid w:val="004435C0"/>
    <w:rsid w:val="00444185"/>
    <w:rsid w:val="004443A7"/>
    <w:rsid w:val="0044442C"/>
    <w:rsid w:val="0044457C"/>
    <w:rsid w:val="004448D7"/>
    <w:rsid w:val="00445941"/>
    <w:rsid w:val="004464EB"/>
    <w:rsid w:val="00447D26"/>
    <w:rsid w:val="00447DFC"/>
    <w:rsid w:val="00450A71"/>
    <w:rsid w:val="004516DA"/>
    <w:rsid w:val="0045279A"/>
    <w:rsid w:val="00452DBA"/>
    <w:rsid w:val="00455D45"/>
    <w:rsid w:val="00456979"/>
    <w:rsid w:val="00456DE6"/>
    <w:rsid w:val="0046044B"/>
    <w:rsid w:val="00461CBD"/>
    <w:rsid w:val="00461F7A"/>
    <w:rsid w:val="00462192"/>
    <w:rsid w:val="00462716"/>
    <w:rsid w:val="004635C2"/>
    <w:rsid w:val="00464595"/>
    <w:rsid w:val="00465712"/>
    <w:rsid w:val="004658B5"/>
    <w:rsid w:val="00465D71"/>
    <w:rsid w:val="00471480"/>
    <w:rsid w:val="00471EA5"/>
    <w:rsid w:val="0047217F"/>
    <w:rsid w:val="00472A79"/>
    <w:rsid w:val="0047325E"/>
    <w:rsid w:val="00473F19"/>
    <w:rsid w:val="00474392"/>
    <w:rsid w:val="0047508D"/>
    <w:rsid w:val="00475098"/>
    <w:rsid w:val="00475E22"/>
    <w:rsid w:val="00476C75"/>
    <w:rsid w:val="0048088E"/>
    <w:rsid w:val="00480F2B"/>
    <w:rsid w:val="0048269E"/>
    <w:rsid w:val="00482720"/>
    <w:rsid w:val="00483354"/>
    <w:rsid w:val="004835E7"/>
    <w:rsid w:val="004845A4"/>
    <w:rsid w:val="0048575E"/>
    <w:rsid w:val="00485AA4"/>
    <w:rsid w:val="004867E2"/>
    <w:rsid w:val="00490917"/>
    <w:rsid w:val="00490B17"/>
    <w:rsid w:val="00491246"/>
    <w:rsid w:val="004915B4"/>
    <w:rsid w:val="00491B3A"/>
    <w:rsid w:val="00492635"/>
    <w:rsid w:val="004929C4"/>
    <w:rsid w:val="00492CFD"/>
    <w:rsid w:val="00494207"/>
    <w:rsid w:val="00494DD5"/>
    <w:rsid w:val="00494DF1"/>
    <w:rsid w:val="00495E4A"/>
    <w:rsid w:val="004962D2"/>
    <w:rsid w:val="00496535"/>
    <w:rsid w:val="0049744E"/>
    <w:rsid w:val="004A0DA1"/>
    <w:rsid w:val="004A13D6"/>
    <w:rsid w:val="004A37F7"/>
    <w:rsid w:val="004A4304"/>
    <w:rsid w:val="004A4A67"/>
    <w:rsid w:val="004A52E9"/>
    <w:rsid w:val="004A5848"/>
    <w:rsid w:val="004A6040"/>
    <w:rsid w:val="004A60C3"/>
    <w:rsid w:val="004A6597"/>
    <w:rsid w:val="004A7848"/>
    <w:rsid w:val="004B00C9"/>
    <w:rsid w:val="004B0A15"/>
    <w:rsid w:val="004B1CB4"/>
    <w:rsid w:val="004B215B"/>
    <w:rsid w:val="004B2DAC"/>
    <w:rsid w:val="004B2F18"/>
    <w:rsid w:val="004B3DDB"/>
    <w:rsid w:val="004B42D0"/>
    <w:rsid w:val="004B4366"/>
    <w:rsid w:val="004B44FD"/>
    <w:rsid w:val="004B5B25"/>
    <w:rsid w:val="004B5CFC"/>
    <w:rsid w:val="004B5DE4"/>
    <w:rsid w:val="004B5EE3"/>
    <w:rsid w:val="004B60E5"/>
    <w:rsid w:val="004B642C"/>
    <w:rsid w:val="004B6AD6"/>
    <w:rsid w:val="004B6F79"/>
    <w:rsid w:val="004B7268"/>
    <w:rsid w:val="004B774D"/>
    <w:rsid w:val="004B7774"/>
    <w:rsid w:val="004B78C6"/>
    <w:rsid w:val="004C0A58"/>
    <w:rsid w:val="004C1213"/>
    <w:rsid w:val="004C2738"/>
    <w:rsid w:val="004C2769"/>
    <w:rsid w:val="004C419E"/>
    <w:rsid w:val="004C4AED"/>
    <w:rsid w:val="004C4BF8"/>
    <w:rsid w:val="004C5C4A"/>
    <w:rsid w:val="004C6FFD"/>
    <w:rsid w:val="004C7661"/>
    <w:rsid w:val="004C7A4D"/>
    <w:rsid w:val="004D0564"/>
    <w:rsid w:val="004D1607"/>
    <w:rsid w:val="004D2AC5"/>
    <w:rsid w:val="004D2C2D"/>
    <w:rsid w:val="004D2D71"/>
    <w:rsid w:val="004D4595"/>
    <w:rsid w:val="004D4E47"/>
    <w:rsid w:val="004D69B5"/>
    <w:rsid w:val="004D7227"/>
    <w:rsid w:val="004D72BA"/>
    <w:rsid w:val="004E05CF"/>
    <w:rsid w:val="004E0E7F"/>
    <w:rsid w:val="004E0EB8"/>
    <w:rsid w:val="004E18E9"/>
    <w:rsid w:val="004E2416"/>
    <w:rsid w:val="004E2ADC"/>
    <w:rsid w:val="004E41FB"/>
    <w:rsid w:val="004E43B2"/>
    <w:rsid w:val="004E46AF"/>
    <w:rsid w:val="004E4E7A"/>
    <w:rsid w:val="004F0542"/>
    <w:rsid w:val="004F0748"/>
    <w:rsid w:val="004F0DA3"/>
    <w:rsid w:val="004F1D02"/>
    <w:rsid w:val="004F23C4"/>
    <w:rsid w:val="004F262E"/>
    <w:rsid w:val="004F2679"/>
    <w:rsid w:val="004F2F21"/>
    <w:rsid w:val="004F3060"/>
    <w:rsid w:val="004F3B68"/>
    <w:rsid w:val="004F3DE5"/>
    <w:rsid w:val="004F6058"/>
    <w:rsid w:val="004F6422"/>
    <w:rsid w:val="004F6913"/>
    <w:rsid w:val="004F6AB8"/>
    <w:rsid w:val="004F7865"/>
    <w:rsid w:val="004F7FB2"/>
    <w:rsid w:val="00500086"/>
    <w:rsid w:val="005005DE"/>
    <w:rsid w:val="005009ED"/>
    <w:rsid w:val="00501173"/>
    <w:rsid w:val="0050174E"/>
    <w:rsid w:val="00501854"/>
    <w:rsid w:val="0050219B"/>
    <w:rsid w:val="005039D7"/>
    <w:rsid w:val="00503F17"/>
    <w:rsid w:val="00504B03"/>
    <w:rsid w:val="00505339"/>
    <w:rsid w:val="0050623C"/>
    <w:rsid w:val="00506928"/>
    <w:rsid w:val="00506D49"/>
    <w:rsid w:val="00506E16"/>
    <w:rsid w:val="005077EF"/>
    <w:rsid w:val="00511596"/>
    <w:rsid w:val="0051168C"/>
    <w:rsid w:val="00511A9A"/>
    <w:rsid w:val="00511AD5"/>
    <w:rsid w:val="00511DC7"/>
    <w:rsid w:val="00512CF1"/>
    <w:rsid w:val="00512FB6"/>
    <w:rsid w:val="005142C5"/>
    <w:rsid w:val="005142F2"/>
    <w:rsid w:val="00514C46"/>
    <w:rsid w:val="0051501B"/>
    <w:rsid w:val="005152B5"/>
    <w:rsid w:val="00520E0C"/>
    <w:rsid w:val="0052123C"/>
    <w:rsid w:val="00521319"/>
    <w:rsid w:val="005226D1"/>
    <w:rsid w:val="00522BC8"/>
    <w:rsid w:val="005232EE"/>
    <w:rsid w:val="00523C28"/>
    <w:rsid w:val="00526142"/>
    <w:rsid w:val="005273CD"/>
    <w:rsid w:val="0052765C"/>
    <w:rsid w:val="00527935"/>
    <w:rsid w:val="0053107E"/>
    <w:rsid w:val="0053176B"/>
    <w:rsid w:val="00533433"/>
    <w:rsid w:val="00533769"/>
    <w:rsid w:val="0053422A"/>
    <w:rsid w:val="0053567E"/>
    <w:rsid w:val="00536F42"/>
    <w:rsid w:val="00537182"/>
    <w:rsid w:val="00537650"/>
    <w:rsid w:val="005406CD"/>
    <w:rsid w:val="00541EDD"/>
    <w:rsid w:val="00542743"/>
    <w:rsid w:val="00542C2D"/>
    <w:rsid w:val="00542F76"/>
    <w:rsid w:val="00544270"/>
    <w:rsid w:val="0054656B"/>
    <w:rsid w:val="00546BA8"/>
    <w:rsid w:val="005478BD"/>
    <w:rsid w:val="005479E3"/>
    <w:rsid w:val="00547EB5"/>
    <w:rsid w:val="00551985"/>
    <w:rsid w:val="00551C8D"/>
    <w:rsid w:val="00552920"/>
    <w:rsid w:val="00552BD3"/>
    <w:rsid w:val="00552F01"/>
    <w:rsid w:val="00552F78"/>
    <w:rsid w:val="005532A0"/>
    <w:rsid w:val="00554CF0"/>
    <w:rsid w:val="00555109"/>
    <w:rsid w:val="00555936"/>
    <w:rsid w:val="00556B35"/>
    <w:rsid w:val="0055741A"/>
    <w:rsid w:val="00557D6B"/>
    <w:rsid w:val="0056049F"/>
    <w:rsid w:val="005611B7"/>
    <w:rsid w:val="005618D4"/>
    <w:rsid w:val="00561A95"/>
    <w:rsid w:val="00564CE0"/>
    <w:rsid w:val="00565095"/>
    <w:rsid w:val="00565DF0"/>
    <w:rsid w:val="00566470"/>
    <w:rsid w:val="0056696F"/>
    <w:rsid w:val="00567837"/>
    <w:rsid w:val="0056783D"/>
    <w:rsid w:val="0057102D"/>
    <w:rsid w:val="00572269"/>
    <w:rsid w:val="0057244A"/>
    <w:rsid w:val="00572F26"/>
    <w:rsid w:val="005740AA"/>
    <w:rsid w:val="0057427C"/>
    <w:rsid w:val="00574AC5"/>
    <w:rsid w:val="005750C5"/>
    <w:rsid w:val="0057525D"/>
    <w:rsid w:val="005752DE"/>
    <w:rsid w:val="005757F5"/>
    <w:rsid w:val="00575D8D"/>
    <w:rsid w:val="00576972"/>
    <w:rsid w:val="00580068"/>
    <w:rsid w:val="00581C7C"/>
    <w:rsid w:val="00581FA1"/>
    <w:rsid w:val="0058268D"/>
    <w:rsid w:val="00583699"/>
    <w:rsid w:val="00583DFE"/>
    <w:rsid w:val="00584BF1"/>
    <w:rsid w:val="00584CA8"/>
    <w:rsid w:val="00585114"/>
    <w:rsid w:val="0058527A"/>
    <w:rsid w:val="00585CDD"/>
    <w:rsid w:val="00585EDA"/>
    <w:rsid w:val="00586335"/>
    <w:rsid w:val="00586ADF"/>
    <w:rsid w:val="00587058"/>
    <w:rsid w:val="00587E7B"/>
    <w:rsid w:val="0059089B"/>
    <w:rsid w:val="00590E14"/>
    <w:rsid w:val="00591957"/>
    <w:rsid w:val="00592756"/>
    <w:rsid w:val="0059367F"/>
    <w:rsid w:val="005936B3"/>
    <w:rsid w:val="00595953"/>
    <w:rsid w:val="0059643F"/>
    <w:rsid w:val="00596F29"/>
    <w:rsid w:val="005979C2"/>
    <w:rsid w:val="00597BF9"/>
    <w:rsid w:val="00597C49"/>
    <w:rsid w:val="005A0BF7"/>
    <w:rsid w:val="005A124F"/>
    <w:rsid w:val="005A164C"/>
    <w:rsid w:val="005A309A"/>
    <w:rsid w:val="005A373D"/>
    <w:rsid w:val="005A3CA7"/>
    <w:rsid w:val="005A47AE"/>
    <w:rsid w:val="005A5813"/>
    <w:rsid w:val="005A7797"/>
    <w:rsid w:val="005A7E5E"/>
    <w:rsid w:val="005B0003"/>
    <w:rsid w:val="005B0B58"/>
    <w:rsid w:val="005B159F"/>
    <w:rsid w:val="005B1677"/>
    <w:rsid w:val="005B22EB"/>
    <w:rsid w:val="005B2DA9"/>
    <w:rsid w:val="005B383E"/>
    <w:rsid w:val="005B3D1F"/>
    <w:rsid w:val="005B4388"/>
    <w:rsid w:val="005B4E53"/>
    <w:rsid w:val="005B5857"/>
    <w:rsid w:val="005B5918"/>
    <w:rsid w:val="005B6797"/>
    <w:rsid w:val="005B6AE8"/>
    <w:rsid w:val="005B7038"/>
    <w:rsid w:val="005B7DF3"/>
    <w:rsid w:val="005C067B"/>
    <w:rsid w:val="005C1B83"/>
    <w:rsid w:val="005C25FF"/>
    <w:rsid w:val="005C2803"/>
    <w:rsid w:val="005C289D"/>
    <w:rsid w:val="005C2D55"/>
    <w:rsid w:val="005C307D"/>
    <w:rsid w:val="005C346B"/>
    <w:rsid w:val="005C7DF5"/>
    <w:rsid w:val="005D044D"/>
    <w:rsid w:val="005D0ABD"/>
    <w:rsid w:val="005D18AD"/>
    <w:rsid w:val="005D26B4"/>
    <w:rsid w:val="005D2928"/>
    <w:rsid w:val="005D5319"/>
    <w:rsid w:val="005D5354"/>
    <w:rsid w:val="005D55C6"/>
    <w:rsid w:val="005D5657"/>
    <w:rsid w:val="005D614B"/>
    <w:rsid w:val="005D7C7E"/>
    <w:rsid w:val="005E0550"/>
    <w:rsid w:val="005E09F0"/>
    <w:rsid w:val="005E0C3E"/>
    <w:rsid w:val="005E13CB"/>
    <w:rsid w:val="005E188B"/>
    <w:rsid w:val="005E4168"/>
    <w:rsid w:val="005E58E1"/>
    <w:rsid w:val="005E68DA"/>
    <w:rsid w:val="005E6CBC"/>
    <w:rsid w:val="005E6FD0"/>
    <w:rsid w:val="005E72FF"/>
    <w:rsid w:val="005E73C0"/>
    <w:rsid w:val="005F0490"/>
    <w:rsid w:val="005F2227"/>
    <w:rsid w:val="005F2706"/>
    <w:rsid w:val="005F685C"/>
    <w:rsid w:val="005F6A8F"/>
    <w:rsid w:val="005F6BB7"/>
    <w:rsid w:val="005F7588"/>
    <w:rsid w:val="005F7FDC"/>
    <w:rsid w:val="00600E94"/>
    <w:rsid w:val="00601C20"/>
    <w:rsid w:val="00601D75"/>
    <w:rsid w:val="00602E6D"/>
    <w:rsid w:val="00603DB9"/>
    <w:rsid w:val="00603E82"/>
    <w:rsid w:val="006043B2"/>
    <w:rsid w:val="0060563A"/>
    <w:rsid w:val="00606375"/>
    <w:rsid w:val="00606FBA"/>
    <w:rsid w:val="00607669"/>
    <w:rsid w:val="006076F4"/>
    <w:rsid w:val="00607AFD"/>
    <w:rsid w:val="00607AFE"/>
    <w:rsid w:val="00607E20"/>
    <w:rsid w:val="0061004F"/>
    <w:rsid w:val="00611245"/>
    <w:rsid w:val="00612F97"/>
    <w:rsid w:val="0061345D"/>
    <w:rsid w:val="0061447F"/>
    <w:rsid w:val="00614806"/>
    <w:rsid w:val="0061549B"/>
    <w:rsid w:val="00615E36"/>
    <w:rsid w:val="00616802"/>
    <w:rsid w:val="00616B72"/>
    <w:rsid w:val="0061705D"/>
    <w:rsid w:val="0061709C"/>
    <w:rsid w:val="00617333"/>
    <w:rsid w:val="00617E12"/>
    <w:rsid w:val="00620C25"/>
    <w:rsid w:val="00621477"/>
    <w:rsid w:val="00621732"/>
    <w:rsid w:val="00621ADA"/>
    <w:rsid w:val="00622F3A"/>
    <w:rsid w:val="00623F7B"/>
    <w:rsid w:val="00624EF8"/>
    <w:rsid w:val="00625FA4"/>
    <w:rsid w:val="006304D4"/>
    <w:rsid w:val="0063158F"/>
    <w:rsid w:val="00631D6B"/>
    <w:rsid w:val="00632133"/>
    <w:rsid w:val="00632183"/>
    <w:rsid w:val="006330A1"/>
    <w:rsid w:val="006337E8"/>
    <w:rsid w:val="0063479F"/>
    <w:rsid w:val="006353F0"/>
    <w:rsid w:val="006354D5"/>
    <w:rsid w:val="006357B5"/>
    <w:rsid w:val="006364A1"/>
    <w:rsid w:val="0063678E"/>
    <w:rsid w:val="006373DF"/>
    <w:rsid w:val="00637BFD"/>
    <w:rsid w:val="00637CEE"/>
    <w:rsid w:val="0064012B"/>
    <w:rsid w:val="00641C4E"/>
    <w:rsid w:val="00641FB3"/>
    <w:rsid w:val="006434F0"/>
    <w:rsid w:val="006442A5"/>
    <w:rsid w:val="0064432C"/>
    <w:rsid w:val="0064434C"/>
    <w:rsid w:val="00645BD7"/>
    <w:rsid w:val="006471CC"/>
    <w:rsid w:val="006474E4"/>
    <w:rsid w:val="00647A29"/>
    <w:rsid w:val="0065079F"/>
    <w:rsid w:val="00652585"/>
    <w:rsid w:val="00652A28"/>
    <w:rsid w:val="0065379F"/>
    <w:rsid w:val="00653AFD"/>
    <w:rsid w:val="00653E33"/>
    <w:rsid w:val="00654A92"/>
    <w:rsid w:val="00656188"/>
    <w:rsid w:val="0065715A"/>
    <w:rsid w:val="00660DF6"/>
    <w:rsid w:val="006610F1"/>
    <w:rsid w:val="00661C6B"/>
    <w:rsid w:val="00662929"/>
    <w:rsid w:val="0066443A"/>
    <w:rsid w:val="00665455"/>
    <w:rsid w:val="0066569C"/>
    <w:rsid w:val="006670E2"/>
    <w:rsid w:val="0066775E"/>
    <w:rsid w:val="00667D86"/>
    <w:rsid w:val="00671004"/>
    <w:rsid w:val="00672646"/>
    <w:rsid w:val="00672D72"/>
    <w:rsid w:val="00673B69"/>
    <w:rsid w:val="00673F6F"/>
    <w:rsid w:val="00674E42"/>
    <w:rsid w:val="006813F8"/>
    <w:rsid w:val="00682112"/>
    <w:rsid w:val="006821B0"/>
    <w:rsid w:val="00682BA6"/>
    <w:rsid w:val="00684AD6"/>
    <w:rsid w:val="0068511E"/>
    <w:rsid w:val="0068566E"/>
    <w:rsid w:val="00686957"/>
    <w:rsid w:val="006872BA"/>
    <w:rsid w:val="00687653"/>
    <w:rsid w:val="00690795"/>
    <w:rsid w:val="00691145"/>
    <w:rsid w:val="00691648"/>
    <w:rsid w:val="006917D7"/>
    <w:rsid w:val="006941BC"/>
    <w:rsid w:val="0069434C"/>
    <w:rsid w:val="00694F44"/>
    <w:rsid w:val="0069599A"/>
    <w:rsid w:val="00695F07"/>
    <w:rsid w:val="00696A6E"/>
    <w:rsid w:val="00696F51"/>
    <w:rsid w:val="006979A5"/>
    <w:rsid w:val="006A1676"/>
    <w:rsid w:val="006A280D"/>
    <w:rsid w:val="006A323C"/>
    <w:rsid w:val="006A3AA7"/>
    <w:rsid w:val="006A61EF"/>
    <w:rsid w:val="006A6567"/>
    <w:rsid w:val="006A6B99"/>
    <w:rsid w:val="006A7E5F"/>
    <w:rsid w:val="006B14A3"/>
    <w:rsid w:val="006B261B"/>
    <w:rsid w:val="006B2C90"/>
    <w:rsid w:val="006B2EAB"/>
    <w:rsid w:val="006B35E6"/>
    <w:rsid w:val="006B465A"/>
    <w:rsid w:val="006B5810"/>
    <w:rsid w:val="006B6B33"/>
    <w:rsid w:val="006B6C8B"/>
    <w:rsid w:val="006B6DD0"/>
    <w:rsid w:val="006B6E28"/>
    <w:rsid w:val="006B74CD"/>
    <w:rsid w:val="006B75D2"/>
    <w:rsid w:val="006C0399"/>
    <w:rsid w:val="006C1240"/>
    <w:rsid w:val="006C1269"/>
    <w:rsid w:val="006C2A8E"/>
    <w:rsid w:val="006C2BE0"/>
    <w:rsid w:val="006C3255"/>
    <w:rsid w:val="006C3F26"/>
    <w:rsid w:val="006C4695"/>
    <w:rsid w:val="006C4D2E"/>
    <w:rsid w:val="006C4D70"/>
    <w:rsid w:val="006C4E84"/>
    <w:rsid w:val="006C5095"/>
    <w:rsid w:val="006C6C1D"/>
    <w:rsid w:val="006D06A0"/>
    <w:rsid w:val="006D0D17"/>
    <w:rsid w:val="006D3C7D"/>
    <w:rsid w:val="006D3FF5"/>
    <w:rsid w:val="006D45C0"/>
    <w:rsid w:val="006D4659"/>
    <w:rsid w:val="006D51EA"/>
    <w:rsid w:val="006D5D5F"/>
    <w:rsid w:val="006D5F42"/>
    <w:rsid w:val="006D68FB"/>
    <w:rsid w:val="006D77FB"/>
    <w:rsid w:val="006E2868"/>
    <w:rsid w:val="006E305C"/>
    <w:rsid w:val="006E343D"/>
    <w:rsid w:val="006E3843"/>
    <w:rsid w:val="006E415E"/>
    <w:rsid w:val="006E507D"/>
    <w:rsid w:val="006E7F7E"/>
    <w:rsid w:val="006F06A0"/>
    <w:rsid w:val="006F139D"/>
    <w:rsid w:val="006F306C"/>
    <w:rsid w:val="006F4BB3"/>
    <w:rsid w:val="006F4DC1"/>
    <w:rsid w:val="006F63A5"/>
    <w:rsid w:val="006F687B"/>
    <w:rsid w:val="006F6B9F"/>
    <w:rsid w:val="007001E1"/>
    <w:rsid w:val="007007E5"/>
    <w:rsid w:val="0070142B"/>
    <w:rsid w:val="0070210F"/>
    <w:rsid w:val="0070276E"/>
    <w:rsid w:val="00702EF3"/>
    <w:rsid w:val="00702F8F"/>
    <w:rsid w:val="0070321D"/>
    <w:rsid w:val="00703624"/>
    <w:rsid w:val="00704147"/>
    <w:rsid w:val="00706433"/>
    <w:rsid w:val="007073A8"/>
    <w:rsid w:val="00707518"/>
    <w:rsid w:val="00707608"/>
    <w:rsid w:val="007079FC"/>
    <w:rsid w:val="00707CAD"/>
    <w:rsid w:val="0071025C"/>
    <w:rsid w:val="00710D88"/>
    <w:rsid w:val="00711A36"/>
    <w:rsid w:val="00712974"/>
    <w:rsid w:val="00714014"/>
    <w:rsid w:val="007143D5"/>
    <w:rsid w:val="00714B12"/>
    <w:rsid w:val="00714C26"/>
    <w:rsid w:val="0071529C"/>
    <w:rsid w:val="007170DA"/>
    <w:rsid w:val="007172AD"/>
    <w:rsid w:val="007206D2"/>
    <w:rsid w:val="00720801"/>
    <w:rsid w:val="00720861"/>
    <w:rsid w:val="00720B81"/>
    <w:rsid w:val="00722B1B"/>
    <w:rsid w:val="00722DCC"/>
    <w:rsid w:val="007236DC"/>
    <w:rsid w:val="0072416F"/>
    <w:rsid w:val="00724DFC"/>
    <w:rsid w:val="0072611C"/>
    <w:rsid w:val="007270CE"/>
    <w:rsid w:val="00727A86"/>
    <w:rsid w:val="00727C94"/>
    <w:rsid w:val="00730800"/>
    <w:rsid w:val="00730A3D"/>
    <w:rsid w:val="00730BC5"/>
    <w:rsid w:val="00731B0A"/>
    <w:rsid w:val="00731EAE"/>
    <w:rsid w:val="00733073"/>
    <w:rsid w:val="00733206"/>
    <w:rsid w:val="00735033"/>
    <w:rsid w:val="007351AA"/>
    <w:rsid w:val="00735328"/>
    <w:rsid w:val="00735704"/>
    <w:rsid w:val="0073685B"/>
    <w:rsid w:val="00736EF7"/>
    <w:rsid w:val="00740B6E"/>
    <w:rsid w:val="00740B8E"/>
    <w:rsid w:val="0074245D"/>
    <w:rsid w:val="007431AE"/>
    <w:rsid w:val="00744482"/>
    <w:rsid w:val="007449BF"/>
    <w:rsid w:val="00746316"/>
    <w:rsid w:val="0074636D"/>
    <w:rsid w:val="00746BC0"/>
    <w:rsid w:val="007510B4"/>
    <w:rsid w:val="007514BF"/>
    <w:rsid w:val="00752142"/>
    <w:rsid w:val="007523F9"/>
    <w:rsid w:val="0075248E"/>
    <w:rsid w:val="00752E69"/>
    <w:rsid w:val="0075357E"/>
    <w:rsid w:val="00753B87"/>
    <w:rsid w:val="007549C6"/>
    <w:rsid w:val="00755495"/>
    <w:rsid w:val="007571CC"/>
    <w:rsid w:val="007572D9"/>
    <w:rsid w:val="007573E8"/>
    <w:rsid w:val="007605BA"/>
    <w:rsid w:val="00760C4E"/>
    <w:rsid w:val="00760F9E"/>
    <w:rsid w:val="007627BE"/>
    <w:rsid w:val="00762FE0"/>
    <w:rsid w:val="007635EE"/>
    <w:rsid w:val="00763D52"/>
    <w:rsid w:val="007640F2"/>
    <w:rsid w:val="00764F03"/>
    <w:rsid w:val="0076595F"/>
    <w:rsid w:val="00765B1A"/>
    <w:rsid w:val="00767EDE"/>
    <w:rsid w:val="00770BB7"/>
    <w:rsid w:val="00771FC9"/>
    <w:rsid w:val="007722D8"/>
    <w:rsid w:val="00773DB2"/>
    <w:rsid w:val="00776F9F"/>
    <w:rsid w:val="00777335"/>
    <w:rsid w:val="00777A30"/>
    <w:rsid w:val="00780A3F"/>
    <w:rsid w:val="0078259D"/>
    <w:rsid w:val="00782AC0"/>
    <w:rsid w:val="00782DED"/>
    <w:rsid w:val="007843F2"/>
    <w:rsid w:val="00784540"/>
    <w:rsid w:val="00784EFB"/>
    <w:rsid w:val="0078516D"/>
    <w:rsid w:val="00785A9F"/>
    <w:rsid w:val="00790130"/>
    <w:rsid w:val="00790D42"/>
    <w:rsid w:val="00790D8D"/>
    <w:rsid w:val="007925DF"/>
    <w:rsid w:val="007926D9"/>
    <w:rsid w:val="007935D5"/>
    <w:rsid w:val="00793D71"/>
    <w:rsid w:val="00794242"/>
    <w:rsid w:val="00794EC9"/>
    <w:rsid w:val="007958D2"/>
    <w:rsid w:val="007A08AA"/>
    <w:rsid w:val="007A0A12"/>
    <w:rsid w:val="007A132D"/>
    <w:rsid w:val="007A1345"/>
    <w:rsid w:val="007A1B75"/>
    <w:rsid w:val="007A2BFD"/>
    <w:rsid w:val="007A2DDB"/>
    <w:rsid w:val="007A5FB0"/>
    <w:rsid w:val="007A6407"/>
    <w:rsid w:val="007A70BA"/>
    <w:rsid w:val="007A72A8"/>
    <w:rsid w:val="007B05E5"/>
    <w:rsid w:val="007B0D68"/>
    <w:rsid w:val="007B1192"/>
    <w:rsid w:val="007B251D"/>
    <w:rsid w:val="007B31F0"/>
    <w:rsid w:val="007B3997"/>
    <w:rsid w:val="007B3AFB"/>
    <w:rsid w:val="007B44B8"/>
    <w:rsid w:val="007B4F58"/>
    <w:rsid w:val="007B528D"/>
    <w:rsid w:val="007B5958"/>
    <w:rsid w:val="007B5FCF"/>
    <w:rsid w:val="007B63CA"/>
    <w:rsid w:val="007B6D48"/>
    <w:rsid w:val="007B77D1"/>
    <w:rsid w:val="007B7DDF"/>
    <w:rsid w:val="007C07C7"/>
    <w:rsid w:val="007C1CD9"/>
    <w:rsid w:val="007C2E81"/>
    <w:rsid w:val="007C32EF"/>
    <w:rsid w:val="007C361D"/>
    <w:rsid w:val="007C3BF1"/>
    <w:rsid w:val="007C3D2A"/>
    <w:rsid w:val="007C4B84"/>
    <w:rsid w:val="007C70FF"/>
    <w:rsid w:val="007C7562"/>
    <w:rsid w:val="007C7C25"/>
    <w:rsid w:val="007C7EDF"/>
    <w:rsid w:val="007D004F"/>
    <w:rsid w:val="007D0859"/>
    <w:rsid w:val="007D0B38"/>
    <w:rsid w:val="007D2CC2"/>
    <w:rsid w:val="007D393F"/>
    <w:rsid w:val="007D5440"/>
    <w:rsid w:val="007D5937"/>
    <w:rsid w:val="007D69EB"/>
    <w:rsid w:val="007D74B8"/>
    <w:rsid w:val="007D7D4A"/>
    <w:rsid w:val="007E00C7"/>
    <w:rsid w:val="007E0718"/>
    <w:rsid w:val="007E105D"/>
    <w:rsid w:val="007E128F"/>
    <w:rsid w:val="007E203A"/>
    <w:rsid w:val="007E357F"/>
    <w:rsid w:val="007E5033"/>
    <w:rsid w:val="007E6FCA"/>
    <w:rsid w:val="007F0F79"/>
    <w:rsid w:val="007F1017"/>
    <w:rsid w:val="007F2DE8"/>
    <w:rsid w:val="007F2EB1"/>
    <w:rsid w:val="007F4A3F"/>
    <w:rsid w:val="007F4A61"/>
    <w:rsid w:val="007F5255"/>
    <w:rsid w:val="007F56CC"/>
    <w:rsid w:val="007F61C2"/>
    <w:rsid w:val="007F6D11"/>
    <w:rsid w:val="007F771B"/>
    <w:rsid w:val="0080200A"/>
    <w:rsid w:val="008033EA"/>
    <w:rsid w:val="0080355B"/>
    <w:rsid w:val="00804ECB"/>
    <w:rsid w:val="00805142"/>
    <w:rsid w:val="00805FCE"/>
    <w:rsid w:val="00807A8B"/>
    <w:rsid w:val="00810070"/>
    <w:rsid w:val="0081083C"/>
    <w:rsid w:val="00811383"/>
    <w:rsid w:val="00811BA9"/>
    <w:rsid w:val="00811FCB"/>
    <w:rsid w:val="00812149"/>
    <w:rsid w:val="008122D1"/>
    <w:rsid w:val="00812CAC"/>
    <w:rsid w:val="00816361"/>
    <w:rsid w:val="008166EF"/>
    <w:rsid w:val="00816FEF"/>
    <w:rsid w:val="00817851"/>
    <w:rsid w:val="00817913"/>
    <w:rsid w:val="008206C7"/>
    <w:rsid w:val="00820A43"/>
    <w:rsid w:val="00820A8C"/>
    <w:rsid w:val="008215FB"/>
    <w:rsid w:val="008219A5"/>
    <w:rsid w:val="00821EBE"/>
    <w:rsid w:val="008222EB"/>
    <w:rsid w:val="00822391"/>
    <w:rsid w:val="0082241C"/>
    <w:rsid w:val="00822DC3"/>
    <w:rsid w:val="00823174"/>
    <w:rsid w:val="00825751"/>
    <w:rsid w:val="00825FD8"/>
    <w:rsid w:val="008264EB"/>
    <w:rsid w:val="008266D1"/>
    <w:rsid w:val="00827168"/>
    <w:rsid w:val="008275CE"/>
    <w:rsid w:val="008321C7"/>
    <w:rsid w:val="00833B05"/>
    <w:rsid w:val="00835547"/>
    <w:rsid w:val="00835A84"/>
    <w:rsid w:val="008362B4"/>
    <w:rsid w:val="00836FB7"/>
    <w:rsid w:val="0083728A"/>
    <w:rsid w:val="00840CA2"/>
    <w:rsid w:val="00841D57"/>
    <w:rsid w:val="00842D93"/>
    <w:rsid w:val="0084374F"/>
    <w:rsid w:val="00844A22"/>
    <w:rsid w:val="00846519"/>
    <w:rsid w:val="008465BE"/>
    <w:rsid w:val="00847108"/>
    <w:rsid w:val="00847703"/>
    <w:rsid w:val="00847C7B"/>
    <w:rsid w:val="00847DF5"/>
    <w:rsid w:val="00850193"/>
    <w:rsid w:val="008518D4"/>
    <w:rsid w:val="008522EF"/>
    <w:rsid w:val="008529C4"/>
    <w:rsid w:val="0085309D"/>
    <w:rsid w:val="008531D4"/>
    <w:rsid w:val="00853BF6"/>
    <w:rsid w:val="00853FDE"/>
    <w:rsid w:val="00856250"/>
    <w:rsid w:val="00856897"/>
    <w:rsid w:val="00856E9A"/>
    <w:rsid w:val="00856EC7"/>
    <w:rsid w:val="00857082"/>
    <w:rsid w:val="00860098"/>
    <w:rsid w:val="0086075D"/>
    <w:rsid w:val="0086207D"/>
    <w:rsid w:val="00862502"/>
    <w:rsid w:val="00862A34"/>
    <w:rsid w:val="00862CB8"/>
    <w:rsid w:val="00862CC1"/>
    <w:rsid w:val="00863800"/>
    <w:rsid w:val="00865C0F"/>
    <w:rsid w:val="008660D4"/>
    <w:rsid w:val="008662C8"/>
    <w:rsid w:val="00871FA9"/>
    <w:rsid w:val="00872029"/>
    <w:rsid w:val="008728E9"/>
    <w:rsid w:val="008729B4"/>
    <w:rsid w:val="008742D8"/>
    <w:rsid w:val="008771C9"/>
    <w:rsid w:val="008774F8"/>
    <w:rsid w:val="00877DCA"/>
    <w:rsid w:val="0088100F"/>
    <w:rsid w:val="00882703"/>
    <w:rsid w:val="00882874"/>
    <w:rsid w:val="008828D9"/>
    <w:rsid w:val="00882947"/>
    <w:rsid w:val="00882E3C"/>
    <w:rsid w:val="0088334F"/>
    <w:rsid w:val="00883787"/>
    <w:rsid w:val="008855E4"/>
    <w:rsid w:val="00886686"/>
    <w:rsid w:val="00886CD2"/>
    <w:rsid w:val="0088726D"/>
    <w:rsid w:val="00887F76"/>
    <w:rsid w:val="00887F9C"/>
    <w:rsid w:val="00890F26"/>
    <w:rsid w:val="008914EC"/>
    <w:rsid w:val="00891A01"/>
    <w:rsid w:val="00891E6F"/>
    <w:rsid w:val="0089275D"/>
    <w:rsid w:val="00892A36"/>
    <w:rsid w:val="00892DA0"/>
    <w:rsid w:val="00893239"/>
    <w:rsid w:val="00894146"/>
    <w:rsid w:val="00894489"/>
    <w:rsid w:val="00895A01"/>
    <w:rsid w:val="008963A5"/>
    <w:rsid w:val="008966A5"/>
    <w:rsid w:val="00896D5D"/>
    <w:rsid w:val="00897422"/>
    <w:rsid w:val="00897C15"/>
    <w:rsid w:val="008A05B4"/>
    <w:rsid w:val="008A2959"/>
    <w:rsid w:val="008A2FBF"/>
    <w:rsid w:val="008A3363"/>
    <w:rsid w:val="008A3371"/>
    <w:rsid w:val="008A33D9"/>
    <w:rsid w:val="008A3C3E"/>
    <w:rsid w:val="008A3C96"/>
    <w:rsid w:val="008A4466"/>
    <w:rsid w:val="008A54FB"/>
    <w:rsid w:val="008A5A75"/>
    <w:rsid w:val="008A5DB2"/>
    <w:rsid w:val="008A5F04"/>
    <w:rsid w:val="008A6614"/>
    <w:rsid w:val="008A676D"/>
    <w:rsid w:val="008A79DE"/>
    <w:rsid w:val="008B01AB"/>
    <w:rsid w:val="008B1757"/>
    <w:rsid w:val="008B1F26"/>
    <w:rsid w:val="008B2B7F"/>
    <w:rsid w:val="008B3714"/>
    <w:rsid w:val="008B3D24"/>
    <w:rsid w:val="008B7992"/>
    <w:rsid w:val="008B7D7E"/>
    <w:rsid w:val="008C00F8"/>
    <w:rsid w:val="008C1E8D"/>
    <w:rsid w:val="008C26C6"/>
    <w:rsid w:val="008C278A"/>
    <w:rsid w:val="008C3217"/>
    <w:rsid w:val="008C3D67"/>
    <w:rsid w:val="008C4149"/>
    <w:rsid w:val="008C5610"/>
    <w:rsid w:val="008C5739"/>
    <w:rsid w:val="008C5F8D"/>
    <w:rsid w:val="008C780F"/>
    <w:rsid w:val="008C7ECB"/>
    <w:rsid w:val="008D10A2"/>
    <w:rsid w:val="008D2C57"/>
    <w:rsid w:val="008D3B86"/>
    <w:rsid w:val="008D4755"/>
    <w:rsid w:val="008D4C3D"/>
    <w:rsid w:val="008D4E5B"/>
    <w:rsid w:val="008D5E7B"/>
    <w:rsid w:val="008D743C"/>
    <w:rsid w:val="008D76A9"/>
    <w:rsid w:val="008E0BDC"/>
    <w:rsid w:val="008E0D3C"/>
    <w:rsid w:val="008E1B9E"/>
    <w:rsid w:val="008E2D2B"/>
    <w:rsid w:val="008E2F6D"/>
    <w:rsid w:val="008E3755"/>
    <w:rsid w:val="008E391B"/>
    <w:rsid w:val="008E4DB6"/>
    <w:rsid w:val="008E55AB"/>
    <w:rsid w:val="008E639A"/>
    <w:rsid w:val="008E71F4"/>
    <w:rsid w:val="008E7847"/>
    <w:rsid w:val="008F120A"/>
    <w:rsid w:val="008F1FB6"/>
    <w:rsid w:val="008F27E0"/>
    <w:rsid w:val="008F4040"/>
    <w:rsid w:val="008F461C"/>
    <w:rsid w:val="008F48EB"/>
    <w:rsid w:val="008F4958"/>
    <w:rsid w:val="008F4F0B"/>
    <w:rsid w:val="008F5680"/>
    <w:rsid w:val="008F6BA0"/>
    <w:rsid w:val="00900727"/>
    <w:rsid w:val="0090080F"/>
    <w:rsid w:val="009016C2"/>
    <w:rsid w:val="009023C9"/>
    <w:rsid w:val="0090310F"/>
    <w:rsid w:val="00903162"/>
    <w:rsid w:val="009046C4"/>
    <w:rsid w:val="00905DBB"/>
    <w:rsid w:val="009062A5"/>
    <w:rsid w:val="009064C8"/>
    <w:rsid w:val="009075EA"/>
    <w:rsid w:val="00907F03"/>
    <w:rsid w:val="00910FA7"/>
    <w:rsid w:val="00911272"/>
    <w:rsid w:val="00911500"/>
    <w:rsid w:val="00911F11"/>
    <w:rsid w:val="009135D6"/>
    <w:rsid w:val="00913A1F"/>
    <w:rsid w:val="00913B25"/>
    <w:rsid w:val="00914C77"/>
    <w:rsid w:val="009154EE"/>
    <w:rsid w:val="0091630F"/>
    <w:rsid w:val="00916D54"/>
    <w:rsid w:val="009211EC"/>
    <w:rsid w:val="00921211"/>
    <w:rsid w:val="00921ACB"/>
    <w:rsid w:val="0092201E"/>
    <w:rsid w:val="00922AE8"/>
    <w:rsid w:val="00922C82"/>
    <w:rsid w:val="0092369B"/>
    <w:rsid w:val="00924784"/>
    <w:rsid w:val="009274C1"/>
    <w:rsid w:val="0093079F"/>
    <w:rsid w:val="00930F37"/>
    <w:rsid w:val="009323E8"/>
    <w:rsid w:val="0093313E"/>
    <w:rsid w:val="00933D2A"/>
    <w:rsid w:val="00934178"/>
    <w:rsid w:val="00934988"/>
    <w:rsid w:val="00936103"/>
    <w:rsid w:val="00937089"/>
    <w:rsid w:val="009371A0"/>
    <w:rsid w:val="00937AAA"/>
    <w:rsid w:val="0094031D"/>
    <w:rsid w:val="009408F2"/>
    <w:rsid w:val="00940CA6"/>
    <w:rsid w:val="009427B6"/>
    <w:rsid w:val="00943736"/>
    <w:rsid w:val="00944F8A"/>
    <w:rsid w:val="009452DA"/>
    <w:rsid w:val="00945D9A"/>
    <w:rsid w:val="009509C5"/>
    <w:rsid w:val="009510A2"/>
    <w:rsid w:val="00953257"/>
    <w:rsid w:val="0095474C"/>
    <w:rsid w:val="009547B3"/>
    <w:rsid w:val="00954E2C"/>
    <w:rsid w:val="009555E6"/>
    <w:rsid w:val="00955A04"/>
    <w:rsid w:val="00955E2E"/>
    <w:rsid w:val="0095684D"/>
    <w:rsid w:val="0095739D"/>
    <w:rsid w:val="00957C58"/>
    <w:rsid w:val="00957DBC"/>
    <w:rsid w:val="0096072F"/>
    <w:rsid w:val="00961D38"/>
    <w:rsid w:val="009629DB"/>
    <w:rsid w:val="00962CB9"/>
    <w:rsid w:val="00963219"/>
    <w:rsid w:val="00964312"/>
    <w:rsid w:val="0096598B"/>
    <w:rsid w:val="00965B8A"/>
    <w:rsid w:val="00965DE3"/>
    <w:rsid w:val="009679E8"/>
    <w:rsid w:val="0097071F"/>
    <w:rsid w:val="00970F5A"/>
    <w:rsid w:val="009713AF"/>
    <w:rsid w:val="009717AC"/>
    <w:rsid w:val="00974AE6"/>
    <w:rsid w:val="009751C1"/>
    <w:rsid w:val="00975763"/>
    <w:rsid w:val="00975E22"/>
    <w:rsid w:val="00980087"/>
    <w:rsid w:val="00980D8E"/>
    <w:rsid w:val="009811F1"/>
    <w:rsid w:val="00983E57"/>
    <w:rsid w:val="009843DA"/>
    <w:rsid w:val="0098488F"/>
    <w:rsid w:val="00985DE2"/>
    <w:rsid w:val="009862BD"/>
    <w:rsid w:val="009865C4"/>
    <w:rsid w:val="0098675D"/>
    <w:rsid w:val="00987A31"/>
    <w:rsid w:val="0099179F"/>
    <w:rsid w:val="00991EDA"/>
    <w:rsid w:val="009926E0"/>
    <w:rsid w:val="00992BB6"/>
    <w:rsid w:val="0099451E"/>
    <w:rsid w:val="00996A6F"/>
    <w:rsid w:val="00996B1A"/>
    <w:rsid w:val="00997777"/>
    <w:rsid w:val="00997D43"/>
    <w:rsid w:val="009A150F"/>
    <w:rsid w:val="009A2422"/>
    <w:rsid w:val="009A2A05"/>
    <w:rsid w:val="009A2DCC"/>
    <w:rsid w:val="009A3DBF"/>
    <w:rsid w:val="009A5ABC"/>
    <w:rsid w:val="009A5B3E"/>
    <w:rsid w:val="009A7599"/>
    <w:rsid w:val="009A7F10"/>
    <w:rsid w:val="009B1822"/>
    <w:rsid w:val="009B2060"/>
    <w:rsid w:val="009B3463"/>
    <w:rsid w:val="009B3E26"/>
    <w:rsid w:val="009B4541"/>
    <w:rsid w:val="009B4859"/>
    <w:rsid w:val="009B4DFE"/>
    <w:rsid w:val="009B4F0E"/>
    <w:rsid w:val="009B503D"/>
    <w:rsid w:val="009C0D13"/>
    <w:rsid w:val="009C2136"/>
    <w:rsid w:val="009C2FD3"/>
    <w:rsid w:val="009C36C1"/>
    <w:rsid w:val="009C3706"/>
    <w:rsid w:val="009C3A3A"/>
    <w:rsid w:val="009C3C33"/>
    <w:rsid w:val="009C44C4"/>
    <w:rsid w:val="009C4518"/>
    <w:rsid w:val="009C5261"/>
    <w:rsid w:val="009C6CEA"/>
    <w:rsid w:val="009C7B85"/>
    <w:rsid w:val="009D0254"/>
    <w:rsid w:val="009D04F4"/>
    <w:rsid w:val="009D1310"/>
    <w:rsid w:val="009D1867"/>
    <w:rsid w:val="009D1A64"/>
    <w:rsid w:val="009D350D"/>
    <w:rsid w:val="009D4CD1"/>
    <w:rsid w:val="009D5B91"/>
    <w:rsid w:val="009D792E"/>
    <w:rsid w:val="009D7FD3"/>
    <w:rsid w:val="009E0D74"/>
    <w:rsid w:val="009E0DFE"/>
    <w:rsid w:val="009E1D7A"/>
    <w:rsid w:val="009E31F6"/>
    <w:rsid w:val="009E3A4D"/>
    <w:rsid w:val="009E4C07"/>
    <w:rsid w:val="009E6E0E"/>
    <w:rsid w:val="009F09C5"/>
    <w:rsid w:val="009F10E1"/>
    <w:rsid w:val="009F2198"/>
    <w:rsid w:val="009F2E1C"/>
    <w:rsid w:val="009F3131"/>
    <w:rsid w:val="009F43C1"/>
    <w:rsid w:val="009F4FBD"/>
    <w:rsid w:val="009F557D"/>
    <w:rsid w:val="009F68E8"/>
    <w:rsid w:val="009F6D60"/>
    <w:rsid w:val="009F6E03"/>
    <w:rsid w:val="009F7035"/>
    <w:rsid w:val="009F7912"/>
    <w:rsid w:val="009F7989"/>
    <w:rsid w:val="00A00C5E"/>
    <w:rsid w:val="00A01184"/>
    <w:rsid w:val="00A01A41"/>
    <w:rsid w:val="00A02511"/>
    <w:rsid w:val="00A02535"/>
    <w:rsid w:val="00A037C2"/>
    <w:rsid w:val="00A03D43"/>
    <w:rsid w:val="00A04380"/>
    <w:rsid w:val="00A05189"/>
    <w:rsid w:val="00A05472"/>
    <w:rsid w:val="00A05C32"/>
    <w:rsid w:val="00A0653F"/>
    <w:rsid w:val="00A06B5D"/>
    <w:rsid w:val="00A1184E"/>
    <w:rsid w:val="00A11CD0"/>
    <w:rsid w:val="00A132FA"/>
    <w:rsid w:val="00A13489"/>
    <w:rsid w:val="00A13948"/>
    <w:rsid w:val="00A14B9D"/>
    <w:rsid w:val="00A14C22"/>
    <w:rsid w:val="00A15191"/>
    <w:rsid w:val="00A1555B"/>
    <w:rsid w:val="00A155C5"/>
    <w:rsid w:val="00A1674B"/>
    <w:rsid w:val="00A16AD8"/>
    <w:rsid w:val="00A213C1"/>
    <w:rsid w:val="00A21C95"/>
    <w:rsid w:val="00A21CDA"/>
    <w:rsid w:val="00A21CF3"/>
    <w:rsid w:val="00A22917"/>
    <w:rsid w:val="00A22FDA"/>
    <w:rsid w:val="00A23340"/>
    <w:rsid w:val="00A236D5"/>
    <w:rsid w:val="00A23854"/>
    <w:rsid w:val="00A23F58"/>
    <w:rsid w:val="00A24813"/>
    <w:rsid w:val="00A248C6"/>
    <w:rsid w:val="00A2693B"/>
    <w:rsid w:val="00A2778B"/>
    <w:rsid w:val="00A27AEC"/>
    <w:rsid w:val="00A30415"/>
    <w:rsid w:val="00A3105B"/>
    <w:rsid w:val="00A320DB"/>
    <w:rsid w:val="00A327DB"/>
    <w:rsid w:val="00A33B0B"/>
    <w:rsid w:val="00A33F6D"/>
    <w:rsid w:val="00A35D16"/>
    <w:rsid w:val="00A3654F"/>
    <w:rsid w:val="00A37BCD"/>
    <w:rsid w:val="00A405C8"/>
    <w:rsid w:val="00A41689"/>
    <w:rsid w:val="00A42592"/>
    <w:rsid w:val="00A43C59"/>
    <w:rsid w:val="00A44169"/>
    <w:rsid w:val="00A449FF"/>
    <w:rsid w:val="00A45523"/>
    <w:rsid w:val="00A45568"/>
    <w:rsid w:val="00A4657D"/>
    <w:rsid w:val="00A46825"/>
    <w:rsid w:val="00A5046C"/>
    <w:rsid w:val="00A50BF1"/>
    <w:rsid w:val="00A50ECD"/>
    <w:rsid w:val="00A517FC"/>
    <w:rsid w:val="00A51845"/>
    <w:rsid w:val="00A518F3"/>
    <w:rsid w:val="00A51FA5"/>
    <w:rsid w:val="00A52729"/>
    <w:rsid w:val="00A52ACD"/>
    <w:rsid w:val="00A52B17"/>
    <w:rsid w:val="00A53675"/>
    <w:rsid w:val="00A53D22"/>
    <w:rsid w:val="00A54DAF"/>
    <w:rsid w:val="00A564D7"/>
    <w:rsid w:val="00A5658F"/>
    <w:rsid w:val="00A56B6A"/>
    <w:rsid w:val="00A578DC"/>
    <w:rsid w:val="00A57BD8"/>
    <w:rsid w:val="00A602CF"/>
    <w:rsid w:val="00A6033A"/>
    <w:rsid w:val="00A61309"/>
    <w:rsid w:val="00A62075"/>
    <w:rsid w:val="00A625DE"/>
    <w:rsid w:val="00A63ACE"/>
    <w:rsid w:val="00A63B7A"/>
    <w:rsid w:val="00A640E2"/>
    <w:rsid w:val="00A6419A"/>
    <w:rsid w:val="00A64322"/>
    <w:rsid w:val="00A64D65"/>
    <w:rsid w:val="00A64E17"/>
    <w:rsid w:val="00A65371"/>
    <w:rsid w:val="00A65402"/>
    <w:rsid w:val="00A6725B"/>
    <w:rsid w:val="00A677BA"/>
    <w:rsid w:val="00A70605"/>
    <w:rsid w:val="00A73134"/>
    <w:rsid w:val="00A74A13"/>
    <w:rsid w:val="00A7551A"/>
    <w:rsid w:val="00A76001"/>
    <w:rsid w:val="00A777B2"/>
    <w:rsid w:val="00A8084B"/>
    <w:rsid w:val="00A8216C"/>
    <w:rsid w:val="00A825D4"/>
    <w:rsid w:val="00A828F6"/>
    <w:rsid w:val="00A82B73"/>
    <w:rsid w:val="00A83E95"/>
    <w:rsid w:val="00A8543F"/>
    <w:rsid w:val="00A856E5"/>
    <w:rsid w:val="00A859E6"/>
    <w:rsid w:val="00A86E8B"/>
    <w:rsid w:val="00A87164"/>
    <w:rsid w:val="00A87838"/>
    <w:rsid w:val="00A9071C"/>
    <w:rsid w:val="00A90890"/>
    <w:rsid w:val="00A90E0D"/>
    <w:rsid w:val="00A93072"/>
    <w:rsid w:val="00A938BD"/>
    <w:rsid w:val="00A93953"/>
    <w:rsid w:val="00A93FB1"/>
    <w:rsid w:val="00A9458B"/>
    <w:rsid w:val="00A959D8"/>
    <w:rsid w:val="00A9717A"/>
    <w:rsid w:val="00A9743A"/>
    <w:rsid w:val="00A9750C"/>
    <w:rsid w:val="00A9768A"/>
    <w:rsid w:val="00A977C9"/>
    <w:rsid w:val="00AA113D"/>
    <w:rsid w:val="00AA1DD3"/>
    <w:rsid w:val="00AA2041"/>
    <w:rsid w:val="00AA4C4D"/>
    <w:rsid w:val="00AA6346"/>
    <w:rsid w:val="00AA6BD5"/>
    <w:rsid w:val="00AA6BD8"/>
    <w:rsid w:val="00AA6C7D"/>
    <w:rsid w:val="00AA6D45"/>
    <w:rsid w:val="00AA7FD6"/>
    <w:rsid w:val="00AB042A"/>
    <w:rsid w:val="00AB0D53"/>
    <w:rsid w:val="00AB19EF"/>
    <w:rsid w:val="00AB2413"/>
    <w:rsid w:val="00AB2485"/>
    <w:rsid w:val="00AB2D34"/>
    <w:rsid w:val="00AB3430"/>
    <w:rsid w:val="00AB37B9"/>
    <w:rsid w:val="00AB3BAE"/>
    <w:rsid w:val="00AB42BB"/>
    <w:rsid w:val="00AB4AD1"/>
    <w:rsid w:val="00AB5E07"/>
    <w:rsid w:val="00AB6D91"/>
    <w:rsid w:val="00AB7CFA"/>
    <w:rsid w:val="00AC0F51"/>
    <w:rsid w:val="00AC1F31"/>
    <w:rsid w:val="00AC20B2"/>
    <w:rsid w:val="00AC425B"/>
    <w:rsid w:val="00AC5B48"/>
    <w:rsid w:val="00AC6239"/>
    <w:rsid w:val="00AC6D45"/>
    <w:rsid w:val="00AC7AE9"/>
    <w:rsid w:val="00AD0371"/>
    <w:rsid w:val="00AD0C38"/>
    <w:rsid w:val="00AD1450"/>
    <w:rsid w:val="00AD4840"/>
    <w:rsid w:val="00AD6502"/>
    <w:rsid w:val="00AD6DE1"/>
    <w:rsid w:val="00AD6E5E"/>
    <w:rsid w:val="00AE0423"/>
    <w:rsid w:val="00AE0695"/>
    <w:rsid w:val="00AE2BCE"/>
    <w:rsid w:val="00AE3541"/>
    <w:rsid w:val="00AE3E7E"/>
    <w:rsid w:val="00AF0ECE"/>
    <w:rsid w:val="00AF1102"/>
    <w:rsid w:val="00AF1315"/>
    <w:rsid w:val="00AF19BF"/>
    <w:rsid w:val="00AF2DC3"/>
    <w:rsid w:val="00AF3C9F"/>
    <w:rsid w:val="00AF4B3E"/>
    <w:rsid w:val="00AF6CEC"/>
    <w:rsid w:val="00AF7548"/>
    <w:rsid w:val="00AF76AE"/>
    <w:rsid w:val="00B00E1A"/>
    <w:rsid w:val="00B0102E"/>
    <w:rsid w:val="00B01838"/>
    <w:rsid w:val="00B03064"/>
    <w:rsid w:val="00B033E5"/>
    <w:rsid w:val="00B03A63"/>
    <w:rsid w:val="00B04AEC"/>
    <w:rsid w:val="00B0550A"/>
    <w:rsid w:val="00B072E6"/>
    <w:rsid w:val="00B07540"/>
    <w:rsid w:val="00B07A06"/>
    <w:rsid w:val="00B1007F"/>
    <w:rsid w:val="00B10495"/>
    <w:rsid w:val="00B10631"/>
    <w:rsid w:val="00B11241"/>
    <w:rsid w:val="00B11893"/>
    <w:rsid w:val="00B12C9E"/>
    <w:rsid w:val="00B130DB"/>
    <w:rsid w:val="00B14631"/>
    <w:rsid w:val="00B151CD"/>
    <w:rsid w:val="00B15317"/>
    <w:rsid w:val="00B16B8D"/>
    <w:rsid w:val="00B17451"/>
    <w:rsid w:val="00B17A06"/>
    <w:rsid w:val="00B201A4"/>
    <w:rsid w:val="00B201D1"/>
    <w:rsid w:val="00B202EF"/>
    <w:rsid w:val="00B20887"/>
    <w:rsid w:val="00B213A6"/>
    <w:rsid w:val="00B21EF8"/>
    <w:rsid w:val="00B22400"/>
    <w:rsid w:val="00B22416"/>
    <w:rsid w:val="00B235B0"/>
    <w:rsid w:val="00B2415E"/>
    <w:rsid w:val="00B24BB4"/>
    <w:rsid w:val="00B24DF6"/>
    <w:rsid w:val="00B2682B"/>
    <w:rsid w:val="00B26ECC"/>
    <w:rsid w:val="00B27C0D"/>
    <w:rsid w:val="00B3353C"/>
    <w:rsid w:val="00B34FE2"/>
    <w:rsid w:val="00B35166"/>
    <w:rsid w:val="00B357D8"/>
    <w:rsid w:val="00B360F4"/>
    <w:rsid w:val="00B3632F"/>
    <w:rsid w:val="00B36822"/>
    <w:rsid w:val="00B36A00"/>
    <w:rsid w:val="00B37BFC"/>
    <w:rsid w:val="00B40358"/>
    <w:rsid w:val="00B40390"/>
    <w:rsid w:val="00B41614"/>
    <w:rsid w:val="00B42851"/>
    <w:rsid w:val="00B42F80"/>
    <w:rsid w:val="00B435CB"/>
    <w:rsid w:val="00B447D6"/>
    <w:rsid w:val="00B46775"/>
    <w:rsid w:val="00B46D55"/>
    <w:rsid w:val="00B504FB"/>
    <w:rsid w:val="00B505C8"/>
    <w:rsid w:val="00B50DB8"/>
    <w:rsid w:val="00B5325E"/>
    <w:rsid w:val="00B53654"/>
    <w:rsid w:val="00B53905"/>
    <w:rsid w:val="00B542AB"/>
    <w:rsid w:val="00B5456F"/>
    <w:rsid w:val="00B54B5B"/>
    <w:rsid w:val="00B54BF5"/>
    <w:rsid w:val="00B552FE"/>
    <w:rsid w:val="00B5562E"/>
    <w:rsid w:val="00B5573E"/>
    <w:rsid w:val="00B55D65"/>
    <w:rsid w:val="00B57000"/>
    <w:rsid w:val="00B5729A"/>
    <w:rsid w:val="00B576B4"/>
    <w:rsid w:val="00B57C14"/>
    <w:rsid w:val="00B60939"/>
    <w:rsid w:val="00B609ED"/>
    <w:rsid w:val="00B60AFD"/>
    <w:rsid w:val="00B61765"/>
    <w:rsid w:val="00B61957"/>
    <w:rsid w:val="00B62715"/>
    <w:rsid w:val="00B630DA"/>
    <w:rsid w:val="00B6317F"/>
    <w:rsid w:val="00B634AF"/>
    <w:rsid w:val="00B64313"/>
    <w:rsid w:val="00B64E37"/>
    <w:rsid w:val="00B65611"/>
    <w:rsid w:val="00B65941"/>
    <w:rsid w:val="00B67F4C"/>
    <w:rsid w:val="00B70E8E"/>
    <w:rsid w:val="00B72B17"/>
    <w:rsid w:val="00B72EEE"/>
    <w:rsid w:val="00B75206"/>
    <w:rsid w:val="00B75C5D"/>
    <w:rsid w:val="00B75F1E"/>
    <w:rsid w:val="00B76C92"/>
    <w:rsid w:val="00B81542"/>
    <w:rsid w:val="00B818A4"/>
    <w:rsid w:val="00B82B12"/>
    <w:rsid w:val="00B82E83"/>
    <w:rsid w:val="00B84117"/>
    <w:rsid w:val="00B84546"/>
    <w:rsid w:val="00B8541F"/>
    <w:rsid w:val="00B858F0"/>
    <w:rsid w:val="00B8599A"/>
    <w:rsid w:val="00B85AA2"/>
    <w:rsid w:val="00B8649C"/>
    <w:rsid w:val="00B8695D"/>
    <w:rsid w:val="00B87B99"/>
    <w:rsid w:val="00B87F0A"/>
    <w:rsid w:val="00B920AE"/>
    <w:rsid w:val="00B92402"/>
    <w:rsid w:val="00B92949"/>
    <w:rsid w:val="00B92D0B"/>
    <w:rsid w:val="00B92E27"/>
    <w:rsid w:val="00B94945"/>
    <w:rsid w:val="00B94DD6"/>
    <w:rsid w:val="00B95EFA"/>
    <w:rsid w:val="00B96DE0"/>
    <w:rsid w:val="00BA0D88"/>
    <w:rsid w:val="00BA1224"/>
    <w:rsid w:val="00BA1D6C"/>
    <w:rsid w:val="00BA222C"/>
    <w:rsid w:val="00BA2BCE"/>
    <w:rsid w:val="00BA3149"/>
    <w:rsid w:val="00BA322D"/>
    <w:rsid w:val="00BA336A"/>
    <w:rsid w:val="00BA402A"/>
    <w:rsid w:val="00BA63FA"/>
    <w:rsid w:val="00BA6866"/>
    <w:rsid w:val="00BA6C20"/>
    <w:rsid w:val="00BB00B3"/>
    <w:rsid w:val="00BB0819"/>
    <w:rsid w:val="00BB083F"/>
    <w:rsid w:val="00BB0BDD"/>
    <w:rsid w:val="00BB0DDF"/>
    <w:rsid w:val="00BB1402"/>
    <w:rsid w:val="00BB16A5"/>
    <w:rsid w:val="00BB176C"/>
    <w:rsid w:val="00BB1DE0"/>
    <w:rsid w:val="00BB27F9"/>
    <w:rsid w:val="00BB2A73"/>
    <w:rsid w:val="00BB3A45"/>
    <w:rsid w:val="00BB3F04"/>
    <w:rsid w:val="00BB4ACC"/>
    <w:rsid w:val="00BB4DAA"/>
    <w:rsid w:val="00BB594D"/>
    <w:rsid w:val="00BB5CAB"/>
    <w:rsid w:val="00BB703E"/>
    <w:rsid w:val="00BB732D"/>
    <w:rsid w:val="00BB7405"/>
    <w:rsid w:val="00BC0375"/>
    <w:rsid w:val="00BC3631"/>
    <w:rsid w:val="00BC3883"/>
    <w:rsid w:val="00BC53FB"/>
    <w:rsid w:val="00BC591F"/>
    <w:rsid w:val="00BC5A59"/>
    <w:rsid w:val="00BC7D6D"/>
    <w:rsid w:val="00BD0821"/>
    <w:rsid w:val="00BD2108"/>
    <w:rsid w:val="00BD2A9E"/>
    <w:rsid w:val="00BD398D"/>
    <w:rsid w:val="00BD4168"/>
    <w:rsid w:val="00BD68A3"/>
    <w:rsid w:val="00BD6938"/>
    <w:rsid w:val="00BD6BB9"/>
    <w:rsid w:val="00BD6CF3"/>
    <w:rsid w:val="00BD7C0A"/>
    <w:rsid w:val="00BE01D9"/>
    <w:rsid w:val="00BE0732"/>
    <w:rsid w:val="00BE0ECA"/>
    <w:rsid w:val="00BE2180"/>
    <w:rsid w:val="00BE21F2"/>
    <w:rsid w:val="00BE2D7A"/>
    <w:rsid w:val="00BE3556"/>
    <w:rsid w:val="00BE3BA2"/>
    <w:rsid w:val="00BE41CC"/>
    <w:rsid w:val="00BE4275"/>
    <w:rsid w:val="00BE642A"/>
    <w:rsid w:val="00BF06AE"/>
    <w:rsid w:val="00BF0F95"/>
    <w:rsid w:val="00BF2433"/>
    <w:rsid w:val="00BF2719"/>
    <w:rsid w:val="00BF4393"/>
    <w:rsid w:val="00BF61C9"/>
    <w:rsid w:val="00BF6941"/>
    <w:rsid w:val="00BF6C94"/>
    <w:rsid w:val="00C00424"/>
    <w:rsid w:val="00C01063"/>
    <w:rsid w:val="00C01F89"/>
    <w:rsid w:val="00C02331"/>
    <w:rsid w:val="00C034C1"/>
    <w:rsid w:val="00C044F9"/>
    <w:rsid w:val="00C056A9"/>
    <w:rsid w:val="00C05FC1"/>
    <w:rsid w:val="00C07854"/>
    <w:rsid w:val="00C108EA"/>
    <w:rsid w:val="00C1179F"/>
    <w:rsid w:val="00C118E5"/>
    <w:rsid w:val="00C120EF"/>
    <w:rsid w:val="00C12C14"/>
    <w:rsid w:val="00C15F04"/>
    <w:rsid w:val="00C166F7"/>
    <w:rsid w:val="00C179B3"/>
    <w:rsid w:val="00C17E3F"/>
    <w:rsid w:val="00C200AA"/>
    <w:rsid w:val="00C20812"/>
    <w:rsid w:val="00C2144C"/>
    <w:rsid w:val="00C220F9"/>
    <w:rsid w:val="00C237ED"/>
    <w:rsid w:val="00C24632"/>
    <w:rsid w:val="00C25418"/>
    <w:rsid w:val="00C255A0"/>
    <w:rsid w:val="00C25789"/>
    <w:rsid w:val="00C25D9C"/>
    <w:rsid w:val="00C26408"/>
    <w:rsid w:val="00C264EF"/>
    <w:rsid w:val="00C26B00"/>
    <w:rsid w:val="00C26E50"/>
    <w:rsid w:val="00C27411"/>
    <w:rsid w:val="00C2778B"/>
    <w:rsid w:val="00C31649"/>
    <w:rsid w:val="00C3177E"/>
    <w:rsid w:val="00C31820"/>
    <w:rsid w:val="00C3434C"/>
    <w:rsid w:val="00C36108"/>
    <w:rsid w:val="00C367FB"/>
    <w:rsid w:val="00C373DD"/>
    <w:rsid w:val="00C40385"/>
    <w:rsid w:val="00C41768"/>
    <w:rsid w:val="00C42102"/>
    <w:rsid w:val="00C446FC"/>
    <w:rsid w:val="00C45681"/>
    <w:rsid w:val="00C475AA"/>
    <w:rsid w:val="00C47936"/>
    <w:rsid w:val="00C5122E"/>
    <w:rsid w:val="00C515F1"/>
    <w:rsid w:val="00C51AD7"/>
    <w:rsid w:val="00C53104"/>
    <w:rsid w:val="00C53319"/>
    <w:rsid w:val="00C53402"/>
    <w:rsid w:val="00C53C98"/>
    <w:rsid w:val="00C54B70"/>
    <w:rsid w:val="00C55A58"/>
    <w:rsid w:val="00C55EDE"/>
    <w:rsid w:val="00C56095"/>
    <w:rsid w:val="00C56FAA"/>
    <w:rsid w:val="00C56FCF"/>
    <w:rsid w:val="00C574E5"/>
    <w:rsid w:val="00C57A84"/>
    <w:rsid w:val="00C57B6C"/>
    <w:rsid w:val="00C60655"/>
    <w:rsid w:val="00C6148C"/>
    <w:rsid w:val="00C628A6"/>
    <w:rsid w:val="00C62B59"/>
    <w:rsid w:val="00C63C58"/>
    <w:rsid w:val="00C64344"/>
    <w:rsid w:val="00C64EF4"/>
    <w:rsid w:val="00C65049"/>
    <w:rsid w:val="00C65108"/>
    <w:rsid w:val="00C651AD"/>
    <w:rsid w:val="00C65576"/>
    <w:rsid w:val="00C66165"/>
    <w:rsid w:val="00C67300"/>
    <w:rsid w:val="00C7060A"/>
    <w:rsid w:val="00C7151A"/>
    <w:rsid w:val="00C717E3"/>
    <w:rsid w:val="00C71F60"/>
    <w:rsid w:val="00C72241"/>
    <w:rsid w:val="00C723B2"/>
    <w:rsid w:val="00C72958"/>
    <w:rsid w:val="00C750C8"/>
    <w:rsid w:val="00C7560F"/>
    <w:rsid w:val="00C75F65"/>
    <w:rsid w:val="00C7643A"/>
    <w:rsid w:val="00C76908"/>
    <w:rsid w:val="00C76B9A"/>
    <w:rsid w:val="00C807FC"/>
    <w:rsid w:val="00C80A0E"/>
    <w:rsid w:val="00C8213F"/>
    <w:rsid w:val="00C82658"/>
    <w:rsid w:val="00C82AE5"/>
    <w:rsid w:val="00C83662"/>
    <w:rsid w:val="00C83CC5"/>
    <w:rsid w:val="00C849B3"/>
    <w:rsid w:val="00C84BCB"/>
    <w:rsid w:val="00C85009"/>
    <w:rsid w:val="00C85154"/>
    <w:rsid w:val="00C854F5"/>
    <w:rsid w:val="00C869D2"/>
    <w:rsid w:val="00C86E21"/>
    <w:rsid w:val="00C87042"/>
    <w:rsid w:val="00C8714B"/>
    <w:rsid w:val="00C8797A"/>
    <w:rsid w:val="00C87F4E"/>
    <w:rsid w:val="00C900B8"/>
    <w:rsid w:val="00C90C71"/>
    <w:rsid w:val="00C9195F"/>
    <w:rsid w:val="00C91A27"/>
    <w:rsid w:val="00C91FCB"/>
    <w:rsid w:val="00C91FD1"/>
    <w:rsid w:val="00C92ECC"/>
    <w:rsid w:val="00C931CF"/>
    <w:rsid w:val="00C938CF"/>
    <w:rsid w:val="00C94053"/>
    <w:rsid w:val="00C94F31"/>
    <w:rsid w:val="00C955E6"/>
    <w:rsid w:val="00C956E5"/>
    <w:rsid w:val="00C9624D"/>
    <w:rsid w:val="00C9637A"/>
    <w:rsid w:val="00C9645B"/>
    <w:rsid w:val="00C969DA"/>
    <w:rsid w:val="00CA1AB4"/>
    <w:rsid w:val="00CA2983"/>
    <w:rsid w:val="00CA2C77"/>
    <w:rsid w:val="00CA2C86"/>
    <w:rsid w:val="00CA2FB0"/>
    <w:rsid w:val="00CA3818"/>
    <w:rsid w:val="00CA3DE6"/>
    <w:rsid w:val="00CA3EBB"/>
    <w:rsid w:val="00CA444F"/>
    <w:rsid w:val="00CA5245"/>
    <w:rsid w:val="00CA537F"/>
    <w:rsid w:val="00CA5F97"/>
    <w:rsid w:val="00CA62E9"/>
    <w:rsid w:val="00CA6E97"/>
    <w:rsid w:val="00CA71F4"/>
    <w:rsid w:val="00CA7B09"/>
    <w:rsid w:val="00CA7D8D"/>
    <w:rsid w:val="00CB12A5"/>
    <w:rsid w:val="00CB1CAC"/>
    <w:rsid w:val="00CB2F2A"/>
    <w:rsid w:val="00CB3CEF"/>
    <w:rsid w:val="00CB4284"/>
    <w:rsid w:val="00CB51A4"/>
    <w:rsid w:val="00CB5B1A"/>
    <w:rsid w:val="00CB5B59"/>
    <w:rsid w:val="00CB6B22"/>
    <w:rsid w:val="00CB712D"/>
    <w:rsid w:val="00CB7776"/>
    <w:rsid w:val="00CB79BD"/>
    <w:rsid w:val="00CB7F5F"/>
    <w:rsid w:val="00CC1B39"/>
    <w:rsid w:val="00CC1DFC"/>
    <w:rsid w:val="00CC1E9A"/>
    <w:rsid w:val="00CC3222"/>
    <w:rsid w:val="00CC35EA"/>
    <w:rsid w:val="00CC3848"/>
    <w:rsid w:val="00CC3C7D"/>
    <w:rsid w:val="00CC6ECE"/>
    <w:rsid w:val="00CD1928"/>
    <w:rsid w:val="00CD1E98"/>
    <w:rsid w:val="00CD2EFC"/>
    <w:rsid w:val="00CD3F77"/>
    <w:rsid w:val="00CD4649"/>
    <w:rsid w:val="00CD6247"/>
    <w:rsid w:val="00CD6ADC"/>
    <w:rsid w:val="00CD7193"/>
    <w:rsid w:val="00CE0637"/>
    <w:rsid w:val="00CE0F72"/>
    <w:rsid w:val="00CE19C5"/>
    <w:rsid w:val="00CE38C8"/>
    <w:rsid w:val="00CE3A6E"/>
    <w:rsid w:val="00CE3FD1"/>
    <w:rsid w:val="00CE6274"/>
    <w:rsid w:val="00CE6A31"/>
    <w:rsid w:val="00CE77B6"/>
    <w:rsid w:val="00CF0C86"/>
    <w:rsid w:val="00CF2B8D"/>
    <w:rsid w:val="00CF3D0F"/>
    <w:rsid w:val="00CF456B"/>
    <w:rsid w:val="00CF45A9"/>
    <w:rsid w:val="00CF5A22"/>
    <w:rsid w:val="00D0015F"/>
    <w:rsid w:val="00D004FF"/>
    <w:rsid w:val="00D0262E"/>
    <w:rsid w:val="00D04933"/>
    <w:rsid w:val="00D05756"/>
    <w:rsid w:val="00D0599E"/>
    <w:rsid w:val="00D05E3D"/>
    <w:rsid w:val="00D06139"/>
    <w:rsid w:val="00D07434"/>
    <w:rsid w:val="00D07966"/>
    <w:rsid w:val="00D07EC9"/>
    <w:rsid w:val="00D110BD"/>
    <w:rsid w:val="00D110DB"/>
    <w:rsid w:val="00D111EA"/>
    <w:rsid w:val="00D13675"/>
    <w:rsid w:val="00D141E1"/>
    <w:rsid w:val="00D14860"/>
    <w:rsid w:val="00D14DB8"/>
    <w:rsid w:val="00D15314"/>
    <w:rsid w:val="00D164AE"/>
    <w:rsid w:val="00D1683D"/>
    <w:rsid w:val="00D17D6C"/>
    <w:rsid w:val="00D206EE"/>
    <w:rsid w:val="00D20FB8"/>
    <w:rsid w:val="00D2124D"/>
    <w:rsid w:val="00D21252"/>
    <w:rsid w:val="00D21473"/>
    <w:rsid w:val="00D2155B"/>
    <w:rsid w:val="00D21AED"/>
    <w:rsid w:val="00D2214E"/>
    <w:rsid w:val="00D2286C"/>
    <w:rsid w:val="00D23D11"/>
    <w:rsid w:val="00D244B6"/>
    <w:rsid w:val="00D2454C"/>
    <w:rsid w:val="00D24E8B"/>
    <w:rsid w:val="00D25290"/>
    <w:rsid w:val="00D26DD9"/>
    <w:rsid w:val="00D2754D"/>
    <w:rsid w:val="00D277EE"/>
    <w:rsid w:val="00D27B27"/>
    <w:rsid w:val="00D303C6"/>
    <w:rsid w:val="00D30A91"/>
    <w:rsid w:val="00D30F82"/>
    <w:rsid w:val="00D31862"/>
    <w:rsid w:val="00D33BAD"/>
    <w:rsid w:val="00D33BE9"/>
    <w:rsid w:val="00D33F93"/>
    <w:rsid w:val="00D33FDE"/>
    <w:rsid w:val="00D34F57"/>
    <w:rsid w:val="00D3553A"/>
    <w:rsid w:val="00D357FF"/>
    <w:rsid w:val="00D362F8"/>
    <w:rsid w:val="00D368F9"/>
    <w:rsid w:val="00D37736"/>
    <w:rsid w:val="00D37779"/>
    <w:rsid w:val="00D379FE"/>
    <w:rsid w:val="00D424C7"/>
    <w:rsid w:val="00D4289D"/>
    <w:rsid w:val="00D434DD"/>
    <w:rsid w:val="00D43B2A"/>
    <w:rsid w:val="00D43D83"/>
    <w:rsid w:val="00D47575"/>
    <w:rsid w:val="00D4769F"/>
    <w:rsid w:val="00D500F2"/>
    <w:rsid w:val="00D506B5"/>
    <w:rsid w:val="00D5117F"/>
    <w:rsid w:val="00D51362"/>
    <w:rsid w:val="00D518AE"/>
    <w:rsid w:val="00D523D2"/>
    <w:rsid w:val="00D5243B"/>
    <w:rsid w:val="00D53212"/>
    <w:rsid w:val="00D533EC"/>
    <w:rsid w:val="00D540A7"/>
    <w:rsid w:val="00D54557"/>
    <w:rsid w:val="00D5548D"/>
    <w:rsid w:val="00D557BD"/>
    <w:rsid w:val="00D56479"/>
    <w:rsid w:val="00D56A95"/>
    <w:rsid w:val="00D57C4F"/>
    <w:rsid w:val="00D6014E"/>
    <w:rsid w:val="00D63F9D"/>
    <w:rsid w:val="00D642FD"/>
    <w:rsid w:val="00D64AA0"/>
    <w:rsid w:val="00D64C87"/>
    <w:rsid w:val="00D67A0A"/>
    <w:rsid w:val="00D70F16"/>
    <w:rsid w:val="00D70FC8"/>
    <w:rsid w:val="00D71279"/>
    <w:rsid w:val="00D71E12"/>
    <w:rsid w:val="00D71E45"/>
    <w:rsid w:val="00D72F57"/>
    <w:rsid w:val="00D73686"/>
    <w:rsid w:val="00D737B4"/>
    <w:rsid w:val="00D738F8"/>
    <w:rsid w:val="00D73B01"/>
    <w:rsid w:val="00D73B21"/>
    <w:rsid w:val="00D76471"/>
    <w:rsid w:val="00D76A44"/>
    <w:rsid w:val="00D76DF7"/>
    <w:rsid w:val="00D7772F"/>
    <w:rsid w:val="00D77A0C"/>
    <w:rsid w:val="00D800A7"/>
    <w:rsid w:val="00D808E6"/>
    <w:rsid w:val="00D815EF"/>
    <w:rsid w:val="00D81F26"/>
    <w:rsid w:val="00D82015"/>
    <w:rsid w:val="00D8205A"/>
    <w:rsid w:val="00D82B2B"/>
    <w:rsid w:val="00D842BD"/>
    <w:rsid w:val="00D84436"/>
    <w:rsid w:val="00D85E27"/>
    <w:rsid w:val="00D86231"/>
    <w:rsid w:val="00D86781"/>
    <w:rsid w:val="00D87154"/>
    <w:rsid w:val="00D90C33"/>
    <w:rsid w:val="00D91923"/>
    <w:rsid w:val="00D92041"/>
    <w:rsid w:val="00D9251B"/>
    <w:rsid w:val="00D92B16"/>
    <w:rsid w:val="00D92C25"/>
    <w:rsid w:val="00D93753"/>
    <w:rsid w:val="00D94CC6"/>
    <w:rsid w:val="00D9537C"/>
    <w:rsid w:val="00D95D57"/>
    <w:rsid w:val="00DA212E"/>
    <w:rsid w:val="00DA2E03"/>
    <w:rsid w:val="00DA3167"/>
    <w:rsid w:val="00DA36F1"/>
    <w:rsid w:val="00DA37FE"/>
    <w:rsid w:val="00DA3E81"/>
    <w:rsid w:val="00DA3F39"/>
    <w:rsid w:val="00DA40F6"/>
    <w:rsid w:val="00DA476A"/>
    <w:rsid w:val="00DA4DC3"/>
    <w:rsid w:val="00DA7291"/>
    <w:rsid w:val="00DA77A5"/>
    <w:rsid w:val="00DB1490"/>
    <w:rsid w:val="00DB1BD5"/>
    <w:rsid w:val="00DB20F5"/>
    <w:rsid w:val="00DB37DF"/>
    <w:rsid w:val="00DB3DBF"/>
    <w:rsid w:val="00DB484F"/>
    <w:rsid w:val="00DB48ED"/>
    <w:rsid w:val="00DB5356"/>
    <w:rsid w:val="00DB5B06"/>
    <w:rsid w:val="00DC00BC"/>
    <w:rsid w:val="00DC04F6"/>
    <w:rsid w:val="00DC0690"/>
    <w:rsid w:val="00DC15D2"/>
    <w:rsid w:val="00DC1D65"/>
    <w:rsid w:val="00DC1FA8"/>
    <w:rsid w:val="00DC3C57"/>
    <w:rsid w:val="00DC46EB"/>
    <w:rsid w:val="00DC5501"/>
    <w:rsid w:val="00DC62AC"/>
    <w:rsid w:val="00DC6438"/>
    <w:rsid w:val="00DC6F62"/>
    <w:rsid w:val="00DC7154"/>
    <w:rsid w:val="00DC727C"/>
    <w:rsid w:val="00DC77A5"/>
    <w:rsid w:val="00DC7C14"/>
    <w:rsid w:val="00DC7E8A"/>
    <w:rsid w:val="00DD0F78"/>
    <w:rsid w:val="00DD273C"/>
    <w:rsid w:val="00DD2BC7"/>
    <w:rsid w:val="00DD3113"/>
    <w:rsid w:val="00DD3852"/>
    <w:rsid w:val="00DD3F28"/>
    <w:rsid w:val="00DD4537"/>
    <w:rsid w:val="00DD46DC"/>
    <w:rsid w:val="00DD46DD"/>
    <w:rsid w:val="00DD470A"/>
    <w:rsid w:val="00DD4E15"/>
    <w:rsid w:val="00DD4E21"/>
    <w:rsid w:val="00DD5259"/>
    <w:rsid w:val="00DD5ECB"/>
    <w:rsid w:val="00DD781C"/>
    <w:rsid w:val="00DD7CC6"/>
    <w:rsid w:val="00DE0445"/>
    <w:rsid w:val="00DE091B"/>
    <w:rsid w:val="00DE2304"/>
    <w:rsid w:val="00DE2ADF"/>
    <w:rsid w:val="00DE3138"/>
    <w:rsid w:val="00DE37F8"/>
    <w:rsid w:val="00DE4543"/>
    <w:rsid w:val="00DE4FCB"/>
    <w:rsid w:val="00DE5032"/>
    <w:rsid w:val="00DE5D07"/>
    <w:rsid w:val="00DE6080"/>
    <w:rsid w:val="00DE72A7"/>
    <w:rsid w:val="00DE75D2"/>
    <w:rsid w:val="00DE7832"/>
    <w:rsid w:val="00DE79CB"/>
    <w:rsid w:val="00DE7BC4"/>
    <w:rsid w:val="00DF0204"/>
    <w:rsid w:val="00DF18FC"/>
    <w:rsid w:val="00DF1CE7"/>
    <w:rsid w:val="00DF2DEB"/>
    <w:rsid w:val="00DF375A"/>
    <w:rsid w:val="00DF5D2B"/>
    <w:rsid w:val="00DF7BE5"/>
    <w:rsid w:val="00E0020E"/>
    <w:rsid w:val="00E00E8E"/>
    <w:rsid w:val="00E01759"/>
    <w:rsid w:val="00E02921"/>
    <w:rsid w:val="00E0419E"/>
    <w:rsid w:val="00E05630"/>
    <w:rsid w:val="00E05E69"/>
    <w:rsid w:val="00E06DBB"/>
    <w:rsid w:val="00E07B0F"/>
    <w:rsid w:val="00E07D7F"/>
    <w:rsid w:val="00E10149"/>
    <w:rsid w:val="00E1096F"/>
    <w:rsid w:val="00E109D0"/>
    <w:rsid w:val="00E11340"/>
    <w:rsid w:val="00E122A1"/>
    <w:rsid w:val="00E1230A"/>
    <w:rsid w:val="00E13B68"/>
    <w:rsid w:val="00E13DA2"/>
    <w:rsid w:val="00E16372"/>
    <w:rsid w:val="00E17032"/>
    <w:rsid w:val="00E18F49"/>
    <w:rsid w:val="00E20E4D"/>
    <w:rsid w:val="00E20ED6"/>
    <w:rsid w:val="00E21358"/>
    <w:rsid w:val="00E2249B"/>
    <w:rsid w:val="00E22A0D"/>
    <w:rsid w:val="00E244F6"/>
    <w:rsid w:val="00E2473E"/>
    <w:rsid w:val="00E24982"/>
    <w:rsid w:val="00E2771E"/>
    <w:rsid w:val="00E311EF"/>
    <w:rsid w:val="00E311FC"/>
    <w:rsid w:val="00E32180"/>
    <w:rsid w:val="00E34948"/>
    <w:rsid w:val="00E35CEF"/>
    <w:rsid w:val="00E37569"/>
    <w:rsid w:val="00E401B2"/>
    <w:rsid w:val="00E41E30"/>
    <w:rsid w:val="00E422CD"/>
    <w:rsid w:val="00E423FA"/>
    <w:rsid w:val="00E42F73"/>
    <w:rsid w:val="00E43D70"/>
    <w:rsid w:val="00E466F3"/>
    <w:rsid w:val="00E473D3"/>
    <w:rsid w:val="00E47B2C"/>
    <w:rsid w:val="00E47CE5"/>
    <w:rsid w:val="00E51560"/>
    <w:rsid w:val="00E5209B"/>
    <w:rsid w:val="00E52735"/>
    <w:rsid w:val="00E52DAA"/>
    <w:rsid w:val="00E538FB"/>
    <w:rsid w:val="00E53FC8"/>
    <w:rsid w:val="00E54347"/>
    <w:rsid w:val="00E54C0B"/>
    <w:rsid w:val="00E54D4A"/>
    <w:rsid w:val="00E55032"/>
    <w:rsid w:val="00E55424"/>
    <w:rsid w:val="00E55915"/>
    <w:rsid w:val="00E55BB5"/>
    <w:rsid w:val="00E56723"/>
    <w:rsid w:val="00E57133"/>
    <w:rsid w:val="00E57E7B"/>
    <w:rsid w:val="00E6092F"/>
    <w:rsid w:val="00E61924"/>
    <w:rsid w:val="00E61F7B"/>
    <w:rsid w:val="00E622F7"/>
    <w:rsid w:val="00E627A6"/>
    <w:rsid w:val="00E62D4A"/>
    <w:rsid w:val="00E6306E"/>
    <w:rsid w:val="00E6337D"/>
    <w:rsid w:val="00E645B5"/>
    <w:rsid w:val="00E647CB"/>
    <w:rsid w:val="00E64A0E"/>
    <w:rsid w:val="00E64C32"/>
    <w:rsid w:val="00E65062"/>
    <w:rsid w:val="00E65609"/>
    <w:rsid w:val="00E65E79"/>
    <w:rsid w:val="00E66B36"/>
    <w:rsid w:val="00E66BA2"/>
    <w:rsid w:val="00E672C1"/>
    <w:rsid w:val="00E67416"/>
    <w:rsid w:val="00E67861"/>
    <w:rsid w:val="00E67CB6"/>
    <w:rsid w:val="00E67EBF"/>
    <w:rsid w:val="00E702E7"/>
    <w:rsid w:val="00E718B6"/>
    <w:rsid w:val="00E71A58"/>
    <w:rsid w:val="00E723BA"/>
    <w:rsid w:val="00E73581"/>
    <w:rsid w:val="00E736E1"/>
    <w:rsid w:val="00E73C10"/>
    <w:rsid w:val="00E759BD"/>
    <w:rsid w:val="00E77E40"/>
    <w:rsid w:val="00E80B50"/>
    <w:rsid w:val="00E811E7"/>
    <w:rsid w:val="00E81EFB"/>
    <w:rsid w:val="00E827D6"/>
    <w:rsid w:val="00E82F06"/>
    <w:rsid w:val="00E83023"/>
    <w:rsid w:val="00E833F7"/>
    <w:rsid w:val="00E83BDF"/>
    <w:rsid w:val="00E86064"/>
    <w:rsid w:val="00E87A1D"/>
    <w:rsid w:val="00E9094A"/>
    <w:rsid w:val="00E91D35"/>
    <w:rsid w:val="00E91DC0"/>
    <w:rsid w:val="00E9205C"/>
    <w:rsid w:val="00E926A5"/>
    <w:rsid w:val="00E92C67"/>
    <w:rsid w:val="00E93CF5"/>
    <w:rsid w:val="00EA0124"/>
    <w:rsid w:val="00EA17C3"/>
    <w:rsid w:val="00EA2624"/>
    <w:rsid w:val="00EA2AB3"/>
    <w:rsid w:val="00EA2CAA"/>
    <w:rsid w:val="00EA3864"/>
    <w:rsid w:val="00EA68BC"/>
    <w:rsid w:val="00EA7F1C"/>
    <w:rsid w:val="00EB01F0"/>
    <w:rsid w:val="00EB0F9D"/>
    <w:rsid w:val="00EB15B6"/>
    <w:rsid w:val="00EB1AFC"/>
    <w:rsid w:val="00EB2224"/>
    <w:rsid w:val="00EB25AB"/>
    <w:rsid w:val="00EB2A65"/>
    <w:rsid w:val="00EB36D7"/>
    <w:rsid w:val="00EB3D06"/>
    <w:rsid w:val="00EB4916"/>
    <w:rsid w:val="00EB4F81"/>
    <w:rsid w:val="00EB6C73"/>
    <w:rsid w:val="00EC00C9"/>
    <w:rsid w:val="00EC0DD9"/>
    <w:rsid w:val="00EC2649"/>
    <w:rsid w:val="00EC31ED"/>
    <w:rsid w:val="00EC40D8"/>
    <w:rsid w:val="00EC5836"/>
    <w:rsid w:val="00EC5992"/>
    <w:rsid w:val="00EC688C"/>
    <w:rsid w:val="00EC697D"/>
    <w:rsid w:val="00ED17CB"/>
    <w:rsid w:val="00ED3E4F"/>
    <w:rsid w:val="00ED3E56"/>
    <w:rsid w:val="00ED57EA"/>
    <w:rsid w:val="00ED5BD4"/>
    <w:rsid w:val="00EE032D"/>
    <w:rsid w:val="00EE07D3"/>
    <w:rsid w:val="00EE1996"/>
    <w:rsid w:val="00EE19EE"/>
    <w:rsid w:val="00EE1C01"/>
    <w:rsid w:val="00EE22AF"/>
    <w:rsid w:val="00EE2E0F"/>
    <w:rsid w:val="00EF0171"/>
    <w:rsid w:val="00EF0453"/>
    <w:rsid w:val="00EF055D"/>
    <w:rsid w:val="00EF1626"/>
    <w:rsid w:val="00EF1B25"/>
    <w:rsid w:val="00EF1DA0"/>
    <w:rsid w:val="00EF2A68"/>
    <w:rsid w:val="00EF309F"/>
    <w:rsid w:val="00EF45E1"/>
    <w:rsid w:val="00EF4747"/>
    <w:rsid w:val="00EF4BF8"/>
    <w:rsid w:val="00EF4D05"/>
    <w:rsid w:val="00EF5E11"/>
    <w:rsid w:val="00EF7208"/>
    <w:rsid w:val="00EF7660"/>
    <w:rsid w:val="00F01B8F"/>
    <w:rsid w:val="00F02253"/>
    <w:rsid w:val="00F029FE"/>
    <w:rsid w:val="00F02D32"/>
    <w:rsid w:val="00F03C2E"/>
    <w:rsid w:val="00F03F00"/>
    <w:rsid w:val="00F04A66"/>
    <w:rsid w:val="00F04B4B"/>
    <w:rsid w:val="00F0516C"/>
    <w:rsid w:val="00F05220"/>
    <w:rsid w:val="00F067A2"/>
    <w:rsid w:val="00F06AE6"/>
    <w:rsid w:val="00F070B1"/>
    <w:rsid w:val="00F07B9E"/>
    <w:rsid w:val="00F100B8"/>
    <w:rsid w:val="00F106DC"/>
    <w:rsid w:val="00F1116F"/>
    <w:rsid w:val="00F1263A"/>
    <w:rsid w:val="00F12C40"/>
    <w:rsid w:val="00F12CB8"/>
    <w:rsid w:val="00F13396"/>
    <w:rsid w:val="00F13410"/>
    <w:rsid w:val="00F13D3A"/>
    <w:rsid w:val="00F13DEB"/>
    <w:rsid w:val="00F14294"/>
    <w:rsid w:val="00F1514E"/>
    <w:rsid w:val="00F15294"/>
    <w:rsid w:val="00F15B77"/>
    <w:rsid w:val="00F16725"/>
    <w:rsid w:val="00F226F8"/>
    <w:rsid w:val="00F24837"/>
    <w:rsid w:val="00F24870"/>
    <w:rsid w:val="00F2575F"/>
    <w:rsid w:val="00F25789"/>
    <w:rsid w:val="00F27565"/>
    <w:rsid w:val="00F27EEB"/>
    <w:rsid w:val="00F310D4"/>
    <w:rsid w:val="00F31D5A"/>
    <w:rsid w:val="00F31F8D"/>
    <w:rsid w:val="00F33975"/>
    <w:rsid w:val="00F33DE9"/>
    <w:rsid w:val="00F33F5E"/>
    <w:rsid w:val="00F34518"/>
    <w:rsid w:val="00F34B4C"/>
    <w:rsid w:val="00F35E6D"/>
    <w:rsid w:val="00F3619A"/>
    <w:rsid w:val="00F36D10"/>
    <w:rsid w:val="00F3790A"/>
    <w:rsid w:val="00F4083A"/>
    <w:rsid w:val="00F40AAA"/>
    <w:rsid w:val="00F40BA7"/>
    <w:rsid w:val="00F40F9D"/>
    <w:rsid w:val="00F41ACD"/>
    <w:rsid w:val="00F41BE4"/>
    <w:rsid w:val="00F4232E"/>
    <w:rsid w:val="00F42C76"/>
    <w:rsid w:val="00F4424B"/>
    <w:rsid w:val="00F443D9"/>
    <w:rsid w:val="00F44A6E"/>
    <w:rsid w:val="00F45C1D"/>
    <w:rsid w:val="00F45E9C"/>
    <w:rsid w:val="00F4638E"/>
    <w:rsid w:val="00F469FA"/>
    <w:rsid w:val="00F46CB6"/>
    <w:rsid w:val="00F47443"/>
    <w:rsid w:val="00F4756D"/>
    <w:rsid w:val="00F47DE8"/>
    <w:rsid w:val="00F50D74"/>
    <w:rsid w:val="00F53A2F"/>
    <w:rsid w:val="00F542C1"/>
    <w:rsid w:val="00F542D6"/>
    <w:rsid w:val="00F544C4"/>
    <w:rsid w:val="00F54990"/>
    <w:rsid w:val="00F55C9E"/>
    <w:rsid w:val="00F55E73"/>
    <w:rsid w:val="00F55EDA"/>
    <w:rsid w:val="00F5600D"/>
    <w:rsid w:val="00F563C2"/>
    <w:rsid w:val="00F56C80"/>
    <w:rsid w:val="00F57B3B"/>
    <w:rsid w:val="00F60092"/>
    <w:rsid w:val="00F61204"/>
    <w:rsid w:val="00F61C18"/>
    <w:rsid w:val="00F61EAB"/>
    <w:rsid w:val="00F626A0"/>
    <w:rsid w:val="00F63ADE"/>
    <w:rsid w:val="00F63C8B"/>
    <w:rsid w:val="00F63D63"/>
    <w:rsid w:val="00F648D5"/>
    <w:rsid w:val="00F65B9B"/>
    <w:rsid w:val="00F65F4B"/>
    <w:rsid w:val="00F6694A"/>
    <w:rsid w:val="00F669CA"/>
    <w:rsid w:val="00F66D4A"/>
    <w:rsid w:val="00F671B9"/>
    <w:rsid w:val="00F67A69"/>
    <w:rsid w:val="00F703CC"/>
    <w:rsid w:val="00F70BFF"/>
    <w:rsid w:val="00F70C9D"/>
    <w:rsid w:val="00F71917"/>
    <w:rsid w:val="00F7421B"/>
    <w:rsid w:val="00F7439D"/>
    <w:rsid w:val="00F74CD9"/>
    <w:rsid w:val="00F779BB"/>
    <w:rsid w:val="00F80A7B"/>
    <w:rsid w:val="00F80DDF"/>
    <w:rsid w:val="00F80E5D"/>
    <w:rsid w:val="00F8148C"/>
    <w:rsid w:val="00F81E78"/>
    <w:rsid w:val="00F832D3"/>
    <w:rsid w:val="00F8480C"/>
    <w:rsid w:val="00F851CE"/>
    <w:rsid w:val="00F859C9"/>
    <w:rsid w:val="00F866EC"/>
    <w:rsid w:val="00F86CAB"/>
    <w:rsid w:val="00F90A23"/>
    <w:rsid w:val="00F91219"/>
    <w:rsid w:val="00F91B07"/>
    <w:rsid w:val="00F92005"/>
    <w:rsid w:val="00F92444"/>
    <w:rsid w:val="00F92B6A"/>
    <w:rsid w:val="00F936F0"/>
    <w:rsid w:val="00F9391D"/>
    <w:rsid w:val="00F9393E"/>
    <w:rsid w:val="00F94721"/>
    <w:rsid w:val="00F95315"/>
    <w:rsid w:val="00F95366"/>
    <w:rsid w:val="00F95524"/>
    <w:rsid w:val="00F9558D"/>
    <w:rsid w:val="00F956B4"/>
    <w:rsid w:val="00F96FD0"/>
    <w:rsid w:val="00F97A5B"/>
    <w:rsid w:val="00F97A78"/>
    <w:rsid w:val="00FA064E"/>
    <w:rsid w:val="00FA07AD"/>
    <w:rsid w:val="00FA0B20"/>
    <w:rsid w:val="00FA24E7"/>
    <w:rsid w:val="00FA258C"/>
    <w:rsid w:val="00FA3649"/>
    <w:rsid w:val="00FA40C3"/>
    <w:rsid w:val="00FA57A6"/>
    <w:rsid w:val="00FA5EE6"/>
    <w:rsid w:val="00FA6207"/>
    <w:rsid w:val="00FA6989"/>
    <w:rsid w:val="00FA7602"/>
    <w:rsid w:val="00FA7956"/>
    <w:rsid w:val="00FA7AB7"/>
    <w:rsid w:val="00FA7B36"/>
    <w:rsid w:val="00FA7F3D"/>
    <w:rsid w:val="00FB0B63"/>
    <w:rsid w:val="00FB24C8"/>
    <w:rsid w:val="00FB2FCB"/>
    <w:rsid w:val="00FB3E9F"/>
    <w:rsid w:val="00FB48F1"/>
    <w:rsid w:val="00FB4D6E"/>
    <w:rsid w:val="00FB4E25"/>
    <w:rsid w:val="00FB56AF"/>
    <w:rsid w:val="00FB67D9"/>
    <w:rsid w:val="00FB6E67"/>
    <w:rsid w:val="00FB7C55"/>
    <w:rsid w:val="00FC02EF"/>
    <w:rsid w:val="00FC1074"/>
    <w:rsid w:val="00FC153D"/>
    <w:rsid w:val="00FC1803"/>
    <w:rsid w:val="00FC1884"/>
    <w:rsid w:val="00FC2B60"/>
    <w:rsid w:val="00FC2CF7"/>
    <w:rsid w:val="00FC35CB"/>
    <w:rsid w:val="00FC371D"/>
    <w:rsid w:val="00FC4230"/>
    <w:rsid w:val="00FC5F0B"/>
    <w:rsid w:val="00FC7538"/>
    <w:rsid w:val="00FD1140"/>
    <w:rsid w:val="00FD2100"/>
    <w:rsid w:val="00FD2F25"/>
    <w:rsid w:val="00FD327B"/>
    <w:rsid w:val="00FD436C"/>
    <w:rsid w:val="00FD4373"/>
    <w:rsid w:val="00FD446D"/>
    <w:rsid w:val="00FD4F2C"/>
    <w:rsid w:val="00FD51B4"/>
    <w:rsid w:val="00FD5C3B"/>
    <w:rsid w:val="00FD6394"/>
    <w:rsid w:val="00FD6AA1"/>
    <w:rsid w:val="00FE0E6C"/>
    <w:rsid w:val="00FE109B"/>
    <w:rsid w:val="00FE1CDC"/>
    <w:rsid w:val="00FE1E9A"/>
    <w:rsid w:val="00FE361E"/>
    <w:rsid w:val="00FE3F7F"/>
    <w:rsid w:val="00FE6057"/>
    <w:rsid w:val="00FE61EB"/>
    <w:rsid w:val="00FE70C3"/>
    <w:rsid w:val="00FE79A7"/>
    <w:rsid w:val="00FF0EAB"/>
    <w:rsid w:val="00FF2AD9"/>
    <w:rsid w:val="00FF352B"/>
    <w:rsid w:val="00FF359F"/>
    <w:rsid w:val="00FF3CE1"/>
    <w:rsid w:val="00FF3DCF"/>
    <w:rsid w:val="00FF492C"/>
    <w:rsid w:val="00FF4A21"/>
    <w:rsid w:val="00FF56F8"/>
    <w:rsid w:val="00FF5AA3"/>
    <w:rsid w:val="00FF5AD8"/>
    <w:rsid w:val="00FF68A7"/>
    <w:rsid w:val="00FF7014"/>
    <w:rsid w:val="0192AB96"/>
    <w:rsid w:val="01B54669"/>
    <w:rsid w:val="01E310CC"/>
    <w:rsid w:val="03500CBA"/>
    <w:rsid w:val="03EFE718"/>
    <w:rsid w:val="045A6095"/>
    <w:rsid w:val="04685205"/>
    <w:rsid w:val="05475802"/>
    <w:rsid w:val="074A7508"/>
    <w:rsid w:val="07A7304C"/>
    <w:rsid w:val="08A6B23D"/>
    <w:rsid w:val="08BC10D3"/>
    <w:rsid w:val="095AD07E"/>
    <w:rsid w:val="097E7A35"/>
    <w:rsid w:val="09E8F445"/>
    <w:rsid w:val="0AA72557"/>
    <w:rsid w:val="0AFF299E"/>
    <w:rsid w:val="0B39FB02"/>
    <w:rsid w:val="0B5EFC62"/>
    <w:rsid w:val="0CC5BE0D"/>
    <w:rsid w:val="0DE251E1"/>
    <w:rsid w:val="0E1709AF"/>
    <w:rsid w:val="0E6EF8F7"/>
    <w:rsid w:val="0E8C51CA"/>
    <w:rsid w:val="0EB95B16"/>
    <w:rsid w:val="0F037D36"/>
    <w:rsid w:val="0FBDEFA7"/>
    <w:rsid w:val="1051901F"/>
    <w:rsid w:val="1127095D"/>
    <w:rsid w:val="116269DA"/>
    <w:rsid w:val="1299C92A"/>
    <w:rsid w:val="12C4762E"/>
    <w:rsid w:val="1484CD2A"/>
    <w:rsid w:val="165D96E9"/>
    <w:rsid w:val="182D4770"/>
    <w:rsid w:val="1AA16D10"/>
    <w:rsid w:val="1AB005B4"/>
    <w:rsid w:val="1B099109"/>
    <w:rsid w:val="1C801CC2"/>
    <w:rsid w:val="1CA25F03"/>
    <w:rsid w:val="1CCF3AFB"/>
    <w:rsid w:val="1E01CE4B"/>
    <w:rsid w:val="1FF9822A"/>
    <w:rsid w:val="21A0C159"/>
    <w:rsid w:val="24671CCF"/>
    <w:rsid w:val="2599ACAC"/>
    <w:rsid w:val="28112F58"/>
    <w:rsid w:val="2ACADF8A"/>
    <w:rsid w:val="2D7AA958"/>
    <w:rsid w:val="2E04ECE6"/>
    <w:rsid w:val="2F44746C"/>
    <w:rsid w:val="30C4CB88"/>
    <w:rsid w:val="31E3F3A6"/>
    <w:rsid w:val="32D08527"/>
    <w:rsid w:val="3364CE98"/>
    <w:rsid w:val="34A66745"/>
    <w:rsid w:val="38B51062"/>
    <w:rsid w:val="38E56315"/>
    <w:rsid w:val="396A98B9"/>
    <w:rsid w:val="3990B401"/>
    <w:rsid w:val="39E8975D"/>
    <w:rsid w:val="3A7846A3"/>
    <w:rsid w:val="3A8F67DF"/>
    <w:rsid w:val="3B602290"/>
    <w:rsid w:val="3BE4CAFF"/>
    <w:rsid w:val="3DC7790B"/>
    <w:rsid w:val="3E633DC4"/>
    <w:rsid w:val="3EC115D3"/>
    <w:rsid w:val="40238546"/>
    <w:rsid w:val="4194D75E"/>
    <w:rsid w:val="41D0D2D6"/>
    <w:rsid w:val="41FCC9CD"/>
    <w:rsid w:val="440F1253"/>
    <w:rsid w:val="440FB844"/>
    <w:rsid w:val="46AF9430"/>
    <w:rsid w:val="485BB514"/>
    <w:rsid w:val="48AA47AB"/>
    <w:rsid w:val="48DBC825"/>
    <w:rsid w:val="4B1F9378"/>
    <w:rsid w:val="4E47F2C4"/>
    <w:rsid w:val="4E75159B"/>
    <w:rsid w:val="4EFA842C"/>
    <w:rsid w:val="5086A2B5"/>
    <w:rsid w:val="50C3546D"/>
    <w:rsid w:val="510C7A1B"/>
    <w:rsid w:val="52E9D37C"/>
    <w:rsid w:val="533659C4"/>
    <w:rsid w:val="53491391"/>
    <w:rsid w:val="53F2AB64"/>
    <w:rsid w:val="54550DE1"/>
    <w:rsid w:val="567721D2"/>
    <w:rsid w:val="56774B57"/>
    <w:rsid w:val="58904424"/>
    <w:rsid w:val="5B8A75DB"/>
    <w:rsid w:val="5CEF3F95"/>
    <w:rsid w:val="5DC1B1CA"/>
    <w:rsid w:val="5E021D8E"/>
    <w:rsid w:val="5FFCDC47"/>
    <w:rsid w:val="607BE842"/>
    <w:rsid w:val="61009E8C"/>
    <w:rsid w:val="61B89BBC"/>
    <w:rsid w:val="62815AE7"/>
    <w:rsid w:val="64F7C5DE"/>
    <w:rsid w:val="656E655C"/>
    <w:rsid w:val="65A617AA"/>
    <w:rsid w:val="668C3B7A"/>
    <w:rsid w:val="6827889E"/>
    <w:rsid w:val="69733B73"/>
    <w:rsid w:val="6AD001FA"/>
    <w:rsid w:val="6B8EF92C"/>
    <w:rsid w:val="6D392F01"/>
    <w:rsid w:val="6E1AAC0E"/>
    <w:rsid w:val="6E40AD37"/>
    <w:rsid w:val="6F43F6A7"/>
    <w:rsid w:val="70B8D39C"/>
    <w:rsid w:val="70E1EF76"/>
    <w:rsid w:val="71D31720"/>
    <w:rsid w:val="73328AE5"/>
    <w:rsid w:val="7367B0C4"/>
    <w:rsid w:val="73EC3CA1"/>
    <w:rsid w:val="748DDF09"/>
    <w:rsid w:val="75E7F0E5"/>
    <w:rsid w:val="77C86826"/>
    <w:rsid w:val="77D2C710"/>
    <w:rsid w:val="7A9E0888"/>
    <w:rsid w:val="7B09EFE4"/>
    <w:rsid w:val="7B9F111B"/>
    <w:rsid w:val="7C0257B1"/>
    <w:rsid w:val="7E28A1F3"/>
    <w:rsid w:val="7F8BD163"/>
    <w:rsid w:val="7FDDE6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DA"/>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1"/>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96598B"/>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96598B"/>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61F7B"/>
    <w:pPr>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E61F7B"/>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uiPriority w:val="99"/>
    <w:unhideWhenUsed/>
    <w:rsid w:val="00AF0ECE"/>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AF0ECE"/>
    <w:rPr>
      <w:rFonts w:ascii="Calibri" w:eastAsiaTheme="minorHAnsi" w:hAnsi="Calibri" w:cstheme="minorBidi"/>
      <w:lang w:eastAsia="en-US"/>
    </w:rPr>
  </w:style>
  <w:style w:type="character" w:styleId="FootnoteReference">
    <w:name w:val="footnote reference"/>
    <w:basedOn w:val="DefaultParagraphFont"/>
    <w:uiPriority w:val="99"/>
    <w:unhideWhenUsed/>
    <w:rsid w:val="00AF0ECE"/>
    <w:rPr>
      <w:vertAlign w:val="superscript"/>
    </w:rPr>
  </w:style>
  <w:style w:type="character" w:customStyle="1" w:styleId="UnresolvedMention1">
    <w:name w:val="Unresolved Mention1"/>
    <w:basedOn w:val="DefaultParagraphFont"/>
    <w:uiPriority w:val="99"/>
    <w:semiHidden/>
    <w:unhideWhenUsed/>
    <w:rsid w:val="00EB0F9D"/>
    <w:rPr>
      <w:color w:val="605E5C"/>
      <w:shd w:val="clear" w:color="auto" w:fill="E1DFDD"/>
    </w:rPr>
  </w:style>
  <w:style w:type="table" w:customStyle="1" w:styleId="Summarybox1">
    <w:name w:val="Summary box1"/>
    <w:basedOn w:val="TableNormal"/>
    <w:next w:val="TableGrid"/>
    <w:uiPriority w:val="59"/>
    <w:rsid w:val="00A33F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
    <w:name w:val="Section Bi"/>
    <w:uiPriority w:val="99"/>
    <w:rsid w:val="001765F3"/>
    <w:pPr>
      <w:numPr>
        <w:numId w:val="6"/>
      </w:numPr>
    </w:pPr>
  </w:style>
  <w:style w:type="paragraph" w:customStyle="1" w:styleId="paragraph">
    <w:name w:val="paragraph"/>
    <w:basedOn w:val="Normal"/>
    <w:rsid w:val="00E811E7"/>
    <w:pPr>
      <w:spacing w:before="100" w:beforeAutospacing="1" w:after="100" w:afterAutospacing="1"/>
      <w:jc w:val="left"/>
    </w:pPr>
    <w:rPr>
      <w:rFonts w:ascii="Times New Roman" w:hAnsi="Times New Roman" w:cs="Times New Roman"/>
      <w:lang w:eastAsia="en-GB"/>
    </w:rPr>
  </w:style>
  <w:style w:type="character" w:customStyle="1" w:styleId="normaltextrun">
    <w:name w:val="normaltextrun"/>
    <w:basedOn w:val="DefaultParagraphFont"/>
    <w:rsid w:val="00E811E7"/>
  </w:style>
  <w:style w:type="character" w:customStyle="1" w:styleId="eop">
    <w:name w:val="eop"/>
    <w:basedOn w:val="DefaultParagraphFont"/>
    <w:rsid w:val="00E811E7"/>
  </w:style>
  <w:style w:type="character" w:customStyle="1" w:styleId="apple-converted-space">
    <w:name w:val="apple-converted-space"/>
    <w:basedOn w:val="DefaultParagraphFont"/>
    <w:rsid w:val="00E811E7"/>
  </w:style>
  <w:style w:type="character" w:customStyle="1" w:styleId="spellingerror">
    <w:name w:val="spellingerror"/>
    <w:basedOn w:val="DefaultParagraphFont"/>
    <w:rsid w:val="00E811E7"/>
  </w:style>
  <w:style w:type="character" w:customStyle="1" w:styleId="contextualspellingandgrammarerror">
    <w:name w:val="contextualspellingandgrammarerror"/>
    <w:basedOn w:val="DefaultParagraphFont"/>
    <w:rsid w:val="00897C15"/>
  </w:style>
  <w:style w:type="paragraph" w:customStyle="1" w:styleId="Source">
    <w:name w:val="Source"/>
    <w:basedOn w:val="Normal"/>
    <w:qFormat/>
    <w:rsid w:val="008B1F26"/>
    <w:pPr>
      <w:spacing w:before="240"/>
    </w:pPr>
    <w:rPr>
      <w:rFonts w:asciiTheme="minorHAnsi" w:eastAsiaTheme="minorHAnsi" w:hAnsiTheme="minorHAnsi" w:cstheme="minorBidi"/>
      <w:sz w:val="18"/>
      <w:szCs w:val="22"/>
      <w:lang w:eastAsia="en-US"/>
    </w:rPr>
  </w:style>
  <w:style w:type="paragraph" w:customStyle="1" w:styleId="TableBullet">
    <w:name w:val="TableBullet"/>
    <w:basedOn w:val="ListParagraph"/>
    <w:qFormat/>
    <w:rsid w:val="00B81542"/>
    <w:pPr>
      <w:keepNext/>
      <w:numPr>
        <w:numId w:val="9"/>
      </w:numPr>
      <w:spacing w:after="0"/>
      <w:ind w:left="173" w:hanging="165"/>
      <w:jc w:val="left"/>
    </w:pPr>
    <w:rPr>
      <w:rFonts w:ascii="Arial Narrow" w:eastAsiaTheme="majorEastAsia" w:hAnsi="Arial Narrow" w:cstheme="majorBidi"/>
      <w:bCs/>
      <w:sz w:val="20"/>
    </w:rPr>
  </w:style>
  <w:style w:type="paragraph" w:customStyle="1" w:styleId="TableTitle2">
    <w:name w:val="Table Title 2"/>
    <w:basedOn w:val="TableFigureHeading"/>
    <w:qFormat/>
    <w:rsid w:val="00C869D2"/>
    <w:pPr>
      <w:spacing w:before="240"/>
    </w:pPr>
  </w:style>
  <w:style w:type="paragraph" w:customStyle="1" w:styleId="EndNoteBibliographyTitle">
    <w:name w:val="EndNote Bibliography Title"/>
    <w:basedOn w:val="Normal"/>
    <w:link w:val="EndNoteBibliographyTitleChar"/>
    <w:rsid w:val="00461CBD"/>
    <w:pPr>
      <w:jc w:val="center"/>
    </w:pPr>
    <w:rPr>
      <w:rFonts w:ascii="Arial Narrow" w:hAnsi="Arial Narrow"/>
      <w:noProof/>
      <w:sz w:val="18"/>
    </w:rPr>
  </w:style>
  <w:style w:type="character" w:customStyle="1" w:styleId="EndNoteBibliographyTitleChar">
    <w:name w:val="EndNote Bibliography Title Char"/>
    <w:basedOn w:val="ListParagraphChar"/>
    <w:link w:val="EndNoteBibliographyTitle"/>
    <w:rsid w:val="00461CBD"/>
    <w:rPr>
      <w:rFonts w:ascii="Arial Narrow" w:hAnsi="Arial Narrow" w:cs="Arial"/>
      <w:noProof/>
      <w:snapToGrid/>
      <w:sz w:val="18"/>
      <w:szCs w:val="24"/>
    </w:rPr>
  </w:style>
  <w:style w:type="paragraph" w:customStyle="1" w:styleId="EndNoteBibliography">
    <w:name w:val="EndNote Bibliography"/>
    <w:basedOn w:val="Normal"/>
    <w:link w:val="EndNoteBibliographyChar"/>
    <w:rsid w:val="00461CBD"/>
    <w:rPr>
      <w:rFonts w:ascii="Arial Narrow" w:hAnsi="Arial Narrow"/>
      <w:noProof/>
      <w:sz w:val="18"/>
    </w:rPr>
  </w:style>
  <w:style w:type="character" w:customStyle="1" w:styleId="EndNoteBibliographyChar">
    <w:name w:val="EndNote Bibliography Char"/>
    <w:basedOn w:val="ListParagraphChar"/>
    <w:link w:val="EndNoteBibliography"/>
    <w:rsid w:val="00461CBD"/>
    <w:rPr>
      <w:rFonts w:ascii="Arial Narrow" w:hAnsi="Arial Narrow" w:cs="Arial"/>
      <w:noProof/>
      <w:snapToGrid/>
      <w:sz w:val="18"/>
      <w:szCs w:val="24"/>
    </w:rPr>
  </w:style>
  <w:style w:type="paragraph" w:styleId="EndnoteText">
    <w:name w:val="endnote text"/>
    <w:basedOn w:val="Normal"/>
    <w:link w:val="EndnoteTextChar"/>
    <w:semiHidden/>
    <w:unhideWhenUsed/>
    <w:rsid w:val="00AD6E5E"/>
    <w:rPr>
      <w:sz w:val="20"/>
      <w:szCs w:val="20"/>
    </w:rPr>
  </w:style>
  <w:style w:type="character" w:customStyle="1" w:styleId="EndnoteTextChar">
    <w:name w:val="Endnote Text Char"/>
    <w:basedOn w:val="DefaultParagraphFont"/>
    <w:link w:val="EndnoteText"/>
    <w:semiHidden/>
    <w:rsid w:val="00AD6E5E"/>
    <w:rPr>
      <w:rFonts w:ascii="Calibri" w:hAnsi="Calibri" w:cs="Arial"/>
    </w:rPr>
  </w:style>
  <w:style w:type="character" w:styleId="EndnoteReference">
    <w:name w:val="endnote reference"/>
    <w:basedOn w:val="DefaultParagraphFont"/>
    <w:semiHidden/>
    <w:unhideWhenUsed/>
    <w:rsid w:val="00AD6E5E"/>
    <w:rPr>
      <w:vertAlign w:val="superscript"/>
    </w:rPr>
  </w:style>
  <w:style w:type="character" w:customStyle="1" w:styleId="UnresolvedMention2">
    <w:name w:val="Unresolved Mention2"/>
    <w:basedOn w:val="DefaultParagraphFont"/>
    <w:uiPriority w:val="99"/>
    <w:semiHidden/>
    <w:unhideWhenUsed/>
    <w:rsid w:val="00B11893"/>
    <w:rPr>
      <w:color w:val="605E5C"/>
      <w:shd w:val="clear" w:color="auto" w:fill="E1DFD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E26D0"/>
    <w:pPr>
      <w:spacing w:after="160" w:line="240" w:lineRule="exact"/>
      <w:jc w:val="left"/>
    </w:pPr>
    <w:rPr>
      <w:rFonts w:ascii="Verdana" w:eastAsia="MS Mincho" w:hAnsi="Verdana" w:cs="Verdana"/>
      <w:sz w:val="20"/>
      <w:szCs w:val="20"/>
      <w:lang w:val="en-US" w:eastAsia="en-US"/>
    </w:rPr>
  </w:style>
  <w:style w:type="character" w:customStyle="1" w:styleId="Heading1Char">
    <w:name w:val="Heading 1 Char"/>
    <w:basedOn w:val="DefaultParagraphFont"/>
    <w:link w:val="Heading1"/>
    <w:uiPriority w:val="1"/>
    <w:rsid w:val="001E26D0"/>
    <w:rPr>
      <w:rFonts w:ascii="Calibri" w:hAnsi="Calibri" w:cs="Arial"/>
      <w:b/>
      <w:caps/>
      <w:sz w:val="32"/>
      <w:szCs w:val="24"/>
    </w:rPr>
  </w:style>
  <w:style w:type="character" w:customStyle="1" w:styleId="text-widget">
    <w:name w:val="text-widget"/>
    <w:basedOn w:val="DefaultParagraphFont"/>
    <w:rsid w:val="001E26D0"/>
  </w:style>
  <w:style w:type="paragraph" w:customStyle="1" w:styleId="MinorOVRHeader">
    <w:name w:val="Minor OVR Header"/>
    <w:basedOn w:val="Header"/>
    <w:link w:val="MinorOVRHeaderChar"/>
    <w:rsid w:val="0008772F"/>
    <w:pPr>
      <w:jc w:val="right"/>
    </w:pPr>
    <w:rPr>
      <w:rFonts w:asciiTheme="minorHAnsi" w:hAnsiTheme="minorHAnsi"/>
    </w:rPr>
  </w:style>
  <w:style w:type="character" w:customStyle="1" w:styleId="MinorOVRHeaderChar">
    <w:name w:val="Minor OVR Header Char"/>
    <w:basedOn w:val="HeaderChar"/>
    <w:link w:val="MinorOVRHeader"/>
    <w:rsid w:val="0008772F"/>
    <w:rPr>
      <w:rFonts w:asciiTheme="minorHAnsi" w:hAnsiTheme="minorHAnsi" w:cs="Arial"/>
      <w:sz w:val="24"/>
      <w:szCs w:val="24"/>
    </w:rPr>
  </w:style>
  <w:style w:type="paragraph" w:customStyle="1" w:styleId="2Sections">
    <w:name w:val="2. Sections"/>
    <w:qFormat/>
    <w:rsid w:val="0008772F"/>
    <w:pPr>
      <w:spacing w:before="240" w:after="1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rsid w:val="0008772F"/>
    <w:pPr>
      <w:numPr>
        <w:numId w:val="0"/>
      </w:num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08">
      <w:bodyDiv w:val="1"/>
      <w:marLeft w:val="0"/>
      <w:marRight w:val="0"/>
      <w:marTop w:val="0"/>
      <w:marBottom w:val="0"/>
      <w:divBdr>
        <w:top w:val="none" w:sz="0" w:space="0" w:color="auto"/>
        <w:left w:val="none" w:sz="0" w:space="0" w:color="auto"/>
        <w:bottom w:val="none" w:sz="0" w:space="0" w:color="auto"/>
        <w:right w:val="none" w:sz="0" w:space="0" w:color="auto"/>
      </w:divBdr>
    </w:div>
    <w:div w:id="37245439">
      <w:bodyDiv w:val="1"/>
      <w:marLeft w:val="0"/>
      <w:marRight w:val="0"/>
      <w:marTop w:val="0"/>
      <w:marBottom w:val="0"/>
      <w:divBdr>
        <w:top w:val="none" w:sz="0" w:space="0" w:color="auto"/>
        <w:left w:val="none" w:sz="0" w:space="0" w:color="auto"/>
        <w:bottom w:val="none" w:sz="0" w:space="0" w:color="auto"/>
        <w:right w:val="none" w:sz="0" w:space="0" w:color="auto"/>
      </w:divBdr>
      <w:divsChild>
        <w:div w:id="1524904123">
          <w:marLeft w:val="0"/>
          <w:marRight w:val="0"/>
          <w:marTop w:val="0"/>
          <w:marBottom w:val="0"/>
          <w:divBdr>
            <w:top w:val="none" w:sz="0" w:space="0" w:color="auto"/>
            <w:left w:val="none" w:sz="0" w:space="0" w:color="auto"/>
            <w:bottom w:val="none" w:sz="0" w:space="0" w:color="auto"/>
            <w:right w:val="none" w:sz="0" w:space="0" w:color="auto"/>
          </w:divBdr>
        </w:div>
      </w:divsChild>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984589">
      <w:bodyDiv w:val="1"/>
      <w:marLeft w:val="0"/>
      <w:marRight w:val="0"/>
      <w:marTop w:val="0"/>
      <w:marBottom w:val="0"/>
      <w:divBdr>
        <w:top w:val="none" w:sz="0" w:space="0" w:color="auto"/>
        <w:left w:val="none" w:sz="0" w:space="0" w:color="auto"/>
        <w:bottom w:val="none" w:sz="0" w:space="0" w:color="auto"/>
        <w:right w:val="none" w:sz="0" w:space="0" w:color="auto"/>
      </w:divBdr>
      <w:divsChild>
        <w:div w:id="827677049">
          <w:marLeft w:val="0"/>
          <w:marRight w:val="0"/>
          <w:marTop w:val="0"/>
          <w:marBottom w:val="0"/>
          <w:divBdr>
            <w:top w:val="none" w:sz="0" w:space="0" w:color="auto"/>
            <w:left w:val="none" w:sz="0" w:space="0" w:color="auto"/>
            <w:bottom w:val="none" w:sz="0" w:space="0" w:color="auto"/>
            <w:right w:val="none" w:sz="0" w:space="0" w:color="auto"/>
          </w:divBdr>
          <w:divsChild>
            <w:div w:id="1673141114">
              <w:marLeft w:val="0"/>
              <w:marRight w:val="0"/>
              <w:marTop w:val="0"/>
              <w:marBottom w:val="0"/>
              <w:divBdr>
                <w:top w:val="none" w:sz="0" w:space="0" w:color="auto"/>
                <w:left w:val="none" w:sz="0" w:space="0" w:color="auto"/>
                <w:bottom w:val="none" w:sz="0" w:space="0" w:color="auto"/>
                <w:right w:val="none" w:sz="0" w:space="0" w:color="auto"/>
              </w:divBdr>
              <w:divsChild>
                <w:div w:id="7730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6675">
      <w:bodyDiv w:val="1"/>
      <w:marLeft w:val="0"/>
      <w:marRight w:val="0"/>
      <w:marTop w:val="0"/>
      <w:marBottom w:val="0"/>
      <w:divBdr>
        <w:top w:val="none" w:sz="0" w:space="0" w:color="auto"/>
        <w:left w:val="none" w:sz="0" w:space="0" w:color="auto"/>
        <w:bottom w:val="none" w:sz="0" w:space="0" w:color="auto"/>
        <w:right w:val="none" w:sz="0" w:space="0" w:color="auto"/>
      </w:divBdr>
      <w:divsChild>
        <w:div w:id="2030526588">
          <w:marLeft w:val="0"/>
          <w:marRight w:val="0"/>
          <w:marTop w:val="0"/>
          <w:marBottom w:val="0"/>
          <w:divBdr>
            <w:top w:val="none" w:sz="0" w:space="0" w:color="auto"/>
            <w:left w:val="none" w:sz="0" w:space="0" w:color="auto"/>
            <w:bottom w:val="none" w:sz="0" w:space="0" w:color="auto"/>
            <w:right w:val="none" w:sz="0" w:space="0" w:color="auto"/>
          </w:divBdr>
          <w:divsChild>
            <w:div w:id="837037743">
              <w:marLeft w:val="0"/>
              <w:marRight w:val="0"/>
              <w:marTop w:val="0"/>
              <w:marBottom w:val="0"/>
              <w:divBdr>
                <w:top w:val="none" w:sz="0" w:space="0" w:color="auto"/>
                <w:left w:val="none" w:sz="0" w:space="0" w:color="auto"/>
                <w:bottom w:val="none" w:sz="0" w:space="0" w:color="auto"/>
                <w:right w:val="none" w:sz="0" w:space="0" w:color="auto"/>
              </w:divBdr>
              <w:divsChild>
                <w:div w:id="15272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5804">
      <w:bodyDiv w:val="1"/>
      <w:marLeft w:val="0"/>
      <w:marRight w:val="0"/>
      <w:marTop w:val="0"/>
      <w:marBottom w:val="0"/>
      <w:divBdr>
        <w:top w:val="none" w:sz="0" w:space="0" w:color="auto"/>
        <w:left w:val="none" w:sz="0" w:space="0" w:color="auto"/>
        <w:bottom w:val="none" w:sz="0" w:space="0" w:color="auto"/>
        <w:right w:val="none" w:sz="0" w:space="0" w:color="auto"/>
      </w:divBdr>
    </w:div>
    <w:div w:id="149059600">
      <w:bodyDiv w:val="1"/>
      <w:marLeft w:val="0"/>
      <w:marRight w:val="0"/>
      <w:marTop w:val="0"/>
      <w:marBottom w:val="0"/>
      <w:divBdr>
        <w:top w:val="none" w:sz="0" w:space="0" w:color="auto"/>
        <w:left w:val="none" w:sz="0" w:space="0" w:color="auto"/>
        <w:bottom w:val="none" w:sz="0" w:space="0" w:color="auto"/>
        <w:right w:val="none" w:sz="0" w:space="0" w:color="auto"/>
      </w:divBdr>
    </w:div>
    <w:div w:id="175965605">
      <w:bodyDiv w:val="1"/>
      <w:marLeft w:val="0"/>
      <w:marRight w:val="0"/>
      <w:marTop w:val="0"/>
      <w:marBottom w:val="0"/>
      <w:divBdr>
        <w:top w:val="none" w:sz="0" w:space="0" w:color="auto"/>
        <w:left w:val="none" w:sz="0" w:space="0" w:color="auto"/>
        <w:bottom w:val="none" w:sz="0" w:space="0" w:color="auto"/>
        <w:right w:val="none" w:sz="0" w:space="0" w:color="auto"/>
      </w:divBdr>
    </w:div>
    <w:div w:id="187763402">
      <w:bodyDiv w:val="1"/>
      <w:marLeft w:val="0"/>
      <w:marRight w:val="0"/>
      <w:marTop w:val="0"/>
      <w:marBottom w:val="0"/>
      <w:divBdr>
        <w:top w:val="none" w:sz="0" w:space="0" w:color="auto"/>
        <w:left w:val="none" w:sz="0" w:space="0" w:color="auto"/>
        <w:bottom w:val="none" w:sz="0" w:space="0" w:color="auto"/>
        <w:right w:val="none" w:sz="0" w:space="0" w:color="auto"/>
      </w:divBdr>
    </w:div>
    <w:div w:id="223570547">
      <w:bodyDiv w:val="1"/>
      <w:marLeft w:val="0"/>
      <w:marRight w:val="0"/>
      <w:marTop w:val="0"/>
      <w:marBottom w:val="0"/>
      <w:divBdr>
        <w:top w:val="none" w:sz="0" w:space="0" w:color="auto"/>
        <w:left w:val="none" w:sz="0" w:space="0" w:color="auto"/>
        <w:bottom w:val="none" w:sz="0" w:space="0" w:color="auto"/>
        <w:right w:val="none" w:sz="0" w:space="0" w:color="auto"/>
      </w:divBdr>
      <w:divsChild>
        <w:div w:id="1505511436">
          <w:marLeft w:val="0"/>
          <w:marRight w:val="0"/>
          <w:marTop w:val="0"/>
          <w:marBottom w:val="0"/>
          <w:divBdr>
            <w:top w:val="none" w:sz="0" w:space="0" w:color="auto"/>
            <w:left w:val="none" w:sz="0" w:space="0" w:color="auto"/>
            <w:bottom w:val="none" w:sz="0" w:space="0" w:color="auto"/>
            <w:right w:val="none" w:sz="0" w:space="0" w:color="auto"/>
          </w:divBdr>
          <w:divsChild>
            <w:div w:id="1046443445">
              <w:marLeft w:val="0"/>
              <w:marRight w:val="0"/>
              <w:marTop w:val="0"/>
              <w:marBottom w:val="0"/>
              <w:divBdr>
                <w:top w:val="none" w:sz="0" w:space="0" w:color="auto"/>
                <w:left w:val="none" w:sz="0" w:space="0" w:color="auto"/>
                <w:bottom w:val="none" w:sz="0" w:space="0" w:color="auto"/>
                <w:right w:val="none" w:sz="0" w:space="0" w:color="auto"/>
              </w:divBdr>
              <w:divsChild>
                <w:div w:id="11518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2257">
      <w:bodyDiv w:val="1"/>
      <w:marLeft w:val="0"/>
      <w:marRight w:val="0"/>
      <w:marTop w:val="0"/>
      <w:marBottom w:val="0"/>
      <w:divBdr>
        <w:top w:val="none" w:sz="0" w:space="0" w:color="auto"/>
        <w:left w:val="none" w:sz="0" w:space="0" w:color="auto"/>
        <w:bottom w:val="none" w:sz="0" w:space="0" w:color="auto"/>
        <w:right w:val="none" w:sz="0" w:space="0" w:color="auto"/>
      </w:divBdr>
      <w:divsChild>
        <w:div w:id="131488328">
          <w:marLeft w:val="0"/>
          <w:marRight w:val="0"/>
          <w:marTop w:val="0"/>
          <w:marBottom w:val="0"/>
          <w:divBdr>
            <w:top w:val="none" w:sz="0" w:space="0" w:color="auto"/>
            <w:left w:val="none" w:sz="0" w:space="0" w:color="auto"/>
            <w:bottom w:val="none" w:sz="0" w:space="0" w:color="auto"/>
            <w:right w:val="none" w:sz="0" w:space="0" w:color="auto"/>
          </w:divBdr>
          <w:divsChild>
            <w:div w:id="2044554461">
              <w:marLeft w:val="0"/>
              <w:marRight w:val="0"/>
              <w:marTop w:val="0"/>
              <w:marBottom w:val="0"/>
              <w:divBdr>
                <w:top w:val="none" w:sz="0" w:space="0" w:color="auto"/>
                <w:left w:val="none" w:sz="0" w:space="0" w:color="auto"/>
                <w:bottom w:val="none" w:sz="0" w:space="0" w:color="auto"/>
                <w:right w:val="none" w:sz="0" w:space="0" w:color="auto"/>
              </w:divBdr>
              <w:divsChild>
                <w:div w:id="18155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28012">
      <w:bodyDiv w:val="1"/>
      <w:marLeft w:val="0"/>
      <w:marRight w:val="0"/>
      <w:marTop w:val="0"/>
      <w:marBottom w:val="0"/>
      <w:divBdr>
        <w:top w:val="none" w:sz="0" w:space="0" w:color="auto"/>
        <w:left w:val="none" w:sz="0" w:space="0" w:color="auto"/>
        <w:bottom w:val="none" w:sz="0" w:space="0" w:color="auto"/>
        <w:right w:val="none" w:sz="0" w:space="0" w:color="auto"/>
      </w:divBdr>
    </w:div>
    <w:div w:id="278489588">
      <w:bodyDiv w:val="1"/>
      <w:marLeft w:val="0"/>
      <w:marRight w:val="0"/>
      <w:marTop w:val="0"/>
      <w:marBottom w:val="0"/>
      <w:divBdr>
        <w:top w:val="none" w:sz="0" w:space="0" w:color="auto"/>
        <w:left w:val="none" w:sz="0" w:space="0" w:color="auto"/>
        <w:bottom w:val="none" w:sz="0" w:space="0" w:color="auto"/>
        <w:right w:val="none" w:sz="0" w:space="0" w:color="auto"/>
      </w:divBdr>
      <w:divsChild>
        <w:div w:id="1226450433">
          <w:marLeft w:val="0"/>
          <w:marRight w:val="0"/>
          <w:marTop w:val="0"/>
          <w:marBottom w:val="0"/>
          <w:divBdr>
            <w:top w:val="none" w:sz="0" w:space="0" w:color="C4DEEE"/>
            <w:left w:val="none" w:sz="0" w:space="0" w:color="C4DEEE"/>
            <w:bottom w:val="none" w:sz="0" w:space="0" w:color="C4DEEE"/>
            <w:right w:val="none" w:sz="0" w:space="0" w:color="C4DEEE"/>
          </w:divBdr>
          <w:divsChild>
            <w:div w:id="1850676244">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6374168">
      <w:bodyDiv w:val="1"/>
      <w:marLeft w:val="0"/>
      <w:marRight w:val="0"/>
      <w:marTop w:val="0"/>
      <w:marBottom w:val="0"/>
      <w:divBdr>
        <w:top w:val="none" w:sz="0" w:space="0" w:color="auto"/>
        <w:left w:val="none" w:sz="0" w:space="0" w:color="auto"/>
        <w:bottom w:val="none" w:sz="0" w:space="0" w:color="auto"/>
        <w:right w:val="none" w:sz="0" w:space="0" w:color="auto"/>
      </w:divBdr>
      <w:divsChild>
        <w:div w:id="1324747861">
          <w:marLeft w:val="0"/>
          <w:marRight w:val="0"/>
          <w:marTop w:val="0"/>
          <w:marBottom w:val="0"/>
          <w:divBdr>
            <w:top w:val="none" w:sz="0" w:space="0" w:color="auto"/>
            <w:left w:val="none" w:sz="0" w:space="0" w:color="auto"/>
            <w:bottom w:val="none" w:sz="0" w:space="0" w:color="auto"/>
            <w:right w:val="none" w:sz="0" w:space="0" w:color="auto"/>
          </w:divBdr>
          <w:divsChild>
            <w:div w:id="2044481350">
              <w:marLeft w:val="0"/>
              <w:marRight w:val="0"/>
              <w:marTop w:val="0"/>
              <w:marBottom w:val="0"/>
              <w:divBdr>
                <w:top w:val="none" w:sz="0" w:space="0" w:color="auto"/>
                <w:left w:val="none" w:sz="0" w:space="0" w:color="auto"/>
                <w:bottom w:val="none" w:sz="0" w:space="0" w:color="auto"/>
                <w:right w:val="none" w:sz="0" w:space="0" w:color="auto"/>
              </w:divBdr>
              <w:divsChild>
                <w:div w:id="155007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5120">
      <w:bodyDiv w:val="1"/>
      <w:marLeft w:val="0"/>
      <w:marRight w:val="0"/>
      <w:marTop w:val="0"/>
      <w:marBottom w:val="0"/>
      <w:divBdr>
        <w:top w:val="none" w:sz="0" w:space="0" w:color="auto"/>
        <w:left w:val="none" w:sz="0" w:space="0" w:color="auto"/>
        <w:bottom w:val="none" w:sz="0" w:space="0" w:color="auto"/>
        <w:right w:val="none" w:sz="0" w:space="0" w:color="auto"/>
      </w:divBdr>
    </w:div>
    <w:div w:id="415247164">
      <w:bodyDiv w:val="1"/>
      <w:marLeft w:val="0"/>
      <w:marRight w:val="0"/>
      <w:marTop w:val="0"/>
      <w:marBottom w:val="0"/>
      <w:divBdr>
        <w:top w:val="none" w:sz="0" w:space="0" w:color="auto"/>
        <w:left w:val="none" w:sz="0" w:space="0" w:color="auto"/>
        <w:bottom w:val="none" w:sz="0" w:space="0" w:color="auto"/>
        <w:right w:val="none" w:sz="0" w:space="0" w:color="auto"/>
      </w:divBdr>
    </w:div>
    <w:div w:id="471756620">
      <w:bodyDiv w:val="1"/>
      <w:marLeft w:val="0"/>
      <w:marRight w:val="0"/>
      <w:marTop w:val="0"/>
      <w:marBottom w:val="0"/>
      <w:divBdr>
        <w:top w:val="none" w:sz="0" w:space="0" w:color="auto"/>
        <w:left w:val="none" w:sz="0" w:space="0" w:color="auto"/>
        <w:bottom w:val="none" w:sz="0" w:space="0" w:color="auto"/>
        <w:right w:val="none" w:sz="0" w:space="0" w:color="auto"/>
      </w:divBdr>
      <w:divsChild>
        <w:div w:id="1252082753">
          <w:marLeft w:val="0"/>
          <w:marRight w:val="0"/>
          <w:marTop w:val="0"/>
          <w:marBottom w:val="0"/>
          <w:divBdr>
            <w:top w:val="none" w:sz="0" w:space="0" w:color="auto"/>
            <w:left w:val="none" w:sz="0" w:space="0" w:color="auto"/>
            <w:bottom w:val="none" w:sz="0" w:space="0" w:color="auto"/>
            <w:right w:val="none" w:sz="0" w:space="0" w:color="auto"/>
          </w:divBdr>
          <w:divsChild>
            <w:div w:id="1201480732">
              <w:marLeft w:val="0"/>
              <w:marRight w:val="0"/>
              <w:marTop w:val="0"/>
              <w:marBottom w:val="0"/>
              <w:divBdr>
                <w:top w:val="none" w:sz="0" w:space="0" w:color="auto"/>
                <w:left w:val="none" w:sz="0" w:space="0" w:color="auto"/>
                <w:bottom w:val="none" w:sz="0" w:space="0" w:color="auto"/>
                <w:right w:val="none" w:sz="0" w:space="0" w:color="auto"/>
              </w:divBdr>
              <w:divsChild>
                <w:div w:id="13056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576">
      <w:bodyDiv w:val="1"/>
      <w:marLeft w:val="0"/>
      <w:marRight w:val="0"/>
      <w:marTop w:val="0"/>
      <w:marBottom w:val="0"/>
      <w:divBdr>
        <w:top w:val="none" w:sz="0" w:space="0" w:color="auto"/>
        <w:left w:val="none" w:sz="0" w:space="0" w:color="auto"/>
        <w:bottom w:val="none" w:sz="0" w:space="0" w:color="auto"/>
        <w:right w:val="none" w:sz="0" w:space="0" w:color="auto"/>
      </w:divBdr>
    </w:div>
    <w:div w:id="480195093">
      <w:bodyDiv w:val="1"/>
      <w:marLeft w:val="0"/>
      <w:marRight w:val="0"/>
      <w:marTop w:val="0"/>
      <w:marBottom w:val="0"/>
      <w:divBdr>
        <w:top w:val="none" w:sz="0" w:space="0" w:color="auto"/>
        <w:left w:val="none" w:sz="0" w:space="0" w:color="auto"/>
        <w:bottom w:val="none" w:sz="0" w:space="0" w:color="auto"/>
        <w:right w:val="none" w:sz="0" w:space="0" w:color="auto"/>
      </w:divBdr>
    </w:div>
    <w:div w:id="546183430">
      <w:bodyDiv w:val="1"/>
      <w:marLeft w:val="0"/>
      <w:marRight w:val="0"/>
      <w:marTop w:val="0"/>
      <w:marBottom w:val="0"/>
      <w:divBdr>
        <w:top w:val="none" w:sz="0" w:space="0" w:color="auto"/>
        <w:left w:val="none" w:sz="0" w:space="0" w:color="auto"/>
        <w:bottom w:val="none" w:sz="0" w:space="0" w:color="auto"/>
        <w:right w:val="none" w:sz="0" w:space="0" w:color="auto"/>
      </w:divBdr>
      <w:divsChild>
        <w:div w:id="858856064">
          <w:marLeft w:val="0"/>
          <w:marRight w:val="0"/>
          <w:marTop w:val="0"/>
          <w:marBottom w:val="0"/>
          <w:divBdr>
            <w:top w:val="none" w:sz="0" w:space="0" w:color="auto"/>
            <w:left w:val="none" w:sz="0" w:space="0" w:color="auto"/>
            <w:bottom w:val="none" w:sz="0" w:space="0" w:color="auto"/>
            <w:right w:val="none" w:sz="0" w:space="0" w:color="auto"/>
          </w:divBdr>
        </w:div>
      </w:divsChild>
    </w:div>
    <w:div w:id="558907942">
      <w:bodyDiv w:val="1"/>
      <w:marLeft w:val="0"/>
      <w:marRight w:val="0"/>
      <w:marTop w:val="0"/>
      <w:marBottom w:val="0"/>
      <w:divBdr>
        <w:top w:val="none" w:sz="0" w:space="0" w:color="auto"/>
        <w:left w:val="none" w:sz="0" w:space="0" w:color="auto"/>
        <w:bottom w:val="none" w:sz="0" w:space="0" w:color="auto"/>
        <w:right w:val="none" w:sz="0" w:space="0" w:color="auto"/>
      </w:divBdr>
      <w:divsChild>
        <w:div w:id="353770789">
          <w:marLeft w:val="0"/>
          <w:marRight w:val="0"/>
          <w:marTop w:val="0"/>
          <w:marBottom w:val="0"/>
          <w:divBdr>
            <w:top w:val="none" w:sz="0" w:space="0" w:color="C4DEEE"/>
            <w:left w:val="none" w:sz="0" w:space="0" w:color="C4DEEE"/>
            <w:bottom w:val="none" w:sz="0" w:space="0" w:color="C4DEEE"/>
            <w:right w:val="none" w:sz="0" w:space="0" w:color="C4DEEE"/>
          </w:divBdr>
          <w:divsChild>
            <w:div w:id="883907988">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613295527">
      <w:bodyDiv w:val="1"/>
      <w:marLeft w:val="0"/>
      <w:marRight w:val="0"/>
      <w:marTop w:val="0"/>
      <w:marBottom w:val="0"/>
      <w:divBdr>
        <w:top w:val="none" w:sz="0" w:space="0" w:color="auto"/>
        <w:left w:val="none" w:sz="0" w:space="0" w:color="auto"/>
        <w:bottom w:val="none" w:sz="0" w:space="0" w:color="auto"/>
        <w:right w:val="none" w:sz="0" w:space="0" w:color="auto"/>
      </w:divBdr>
    </w:div>
    <w:div w:id="623195742">
      <w:bodyDiv w:val="1"/>
      <w:marLeft w:val="0"/>
      <w:marRight w:val="0"/>
      <w:marTop w:val="0"/>
      <w:marBottom w:val="0"/>
      <w:divBdr>
        <w:top w:val="none" w:sz="0" w:space="0" w:color="auto"/>
        <w:left w:val="none" w:sz="0" w:space="0" w:color="auto"/>
        <w:bottom w:val="none" w:sz="0" w:space="0" w:color="auto"/>
        <w:right w:val="none" w:sz="0" w:space="0" w:color="auto"/>
      </w:divBdr>
      <w:divsChild>
        <w:div w:id="829178822">
          <w:marLeft w:val="0"/>
          <w:marRight w:val="0"/>
          <w:marTop w:val="0"/>
          <w:marBottom w:val="0"/>
          <w:divBdr>
            <w:top w:val="none" w:sz="0" w:space="0" w:color="auto"/>
            <w:left w:val="none" w:sz="0" w:space="0" w:color="auto"/>
            <w:bottom w:val="none" w:sz="0" w:space="0" w:color="auto"/>
            <w:right w:val="none" w:sz="0" w:space="0" w:color="auto"/>
          </w:divBdr>
          <w:divsChild>
            <w:div w:id="701630646">
              <w:marLeft w:val="0"/>
              <w:marRight w:val="0"/>
              <w:marTop w:val="0"/>
              <w:marBottom w:val="0"/>
              <w:divBdr>
                <w:top w:val="none" w:sz="0" w:space="0" w:color="auto"/>
                <w:left w:val="none" w:sz="0" w:space="0" w:color="auto"/>
                <w:bottom w:val="none" w:sz="0" w:space="0" w:color="auto"/>
                <w:right w:val="none" w:sz="0" w:space="0" w:color="auto"/>
              </w:divBdr>
              <w:divsChild>
                <w:div w:id="6926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79639">
      <w:bodyDiv w:val="1"/>
      <w:marLeft w:val="0"/>
      <w:marRight w:val="0"/>
      <w:marTop w:val="0"/>
      <w:marBottom w:val="0"/>
      <w:divBdr>
        <w:top w:val="none" w:sz="0" w:space="0" w:color="auto"/>
        <w:left w:val="none" w:sz="0" w:space="0" w:color="auto"/>
        <w:bottom w:val="none" w:sz="0" w:space="0" w:color="auto"/>
        <w:right w:val="none" w:sz="0" w:space="0" w:color="auto"/>
      </w:divBdr>
    </w:div>
    <w:div w:id="706216757">
      <w:bodyDiv w:val="1"/>
      <w:marLeft w:val="0"/>
      <w:marRight w:val="0"/>
      <w:marTop w:val="0"/>
      <w:marBottom w:val="0"/>
      <w:divBdr>
        <w:top w:val="none" w:sz="0" w:space="0" w:color="auto"/>
        <w:left w:val="none" w:sz="0" w:space="0" w:color="auto"/>
        <w:bottom w:val="none" w:sz="0" w:space="0" w:color="auto"/>
        <w:right w:val="none" w:sz="0" w:space="0" w:color="auto"/>
      </w:divBdr>
    </w:div>
    <w:div w:id="709181890">
      <w:bodyDiv w:val="1"/>
      <w:marLeft w:val="0"/>
      <w:marRight w:val="0"/>
      <w:marTop w:val="0"/>
      <w:marBottom w:val="0"/>
      <w:divBdr>
        <w:top w:val="none" w:sz="0" w:space="0" w:color="auto"/>
        <w:left w:val="none" w:sz="0" w:space="0" w:color="auto"/>
        <w:bottom w:val="none" w:sz="0" w:space="0" w:color="auto"/>
        <w:right w:val="none" w:sz="0" w:space="0" w:color="auto"/>
      </w:divBdr>
    </w:div>
    <w:div w:id="713768934">
      <w:bodyDiv w:val="1"/>
      <w:marLeft w:val="0"/>
      <w:marRight w:val="0"/>
      <w:marTop w:val="0"/>
      <w:marBottom w:val="0"/>
      <w:divBdr>
        <w:top w:val="none" w:sz="0" w:space="0" w:color="auto"/>
        <w:left w:val="none" w:sz="0" w:space="0" w:color="auto"/>
        <w:bottom w:val="none" w:sz="0" w:space="0" w:color="auto"/>
        <w:right w:val="none" w:sz="0" w:space="0" w:color="auto"/>
      </w:divBdr>
    </w:div>
    <w:div w:id="721363961">
      <w:bodyDiv w:val="1"/>
      <w:marLeft w:val="0"/>
      <w:marRight w:val="0"/>
      <w:marTop w:val="0"/>
      <w:marBottom w:val="0"/>
      <w:divBdr>
        <w:top w:val="none" w:sz="0" w:space="0" w:color="auto"/>
        <w:left w:val="none" w:sz="0" w:space="0" w:color="auto"/>
        <w:bottom w:val="none" w:sz="0" w:space="0" w:color="auto"/>
        <w:right w:val="none" w:sz="0" w:space="0" w:color="auto"/>
      </w:divBdr>
      <w:divsChild>
        <w:div w:id="16591539">
          <w:marLeft w:val="0"/>
          <w:marRight w:val="0"/>
          <w:marTop w:val="0"/>
          <w:marBottom w:val="0"/>
          <w:divBdr>
            <w:top w:val="none" w:sz="0" w:space="0" w:color="auto"/>
            <w:left w:val="none" w:sz="0" w:space="0" w:color="auto"/>
            <w:bottom w:val="none" w:sz="0" w:space="0" w:color="auto"/>
            <w:right w:val="none" w:sz="0" w:space="0" w:color="auto"/>
          </w:divBdr>
          <w:divsChild>
            <w:div w:id="1700356006">
              <w:marLeft w:val="0"/>
              <w:marRight w:val="0"/>
              <w:marTop w:val="0"/>
              <w:marBottom w:val="0"/>
              <w:divBdr>
                <w:top w:val="none" w:sz="0" w:space="0" w:color="auto"/>
                <w:left w:val="none" w:sz="0" w:space="0" w:color="auto"/>
                <w:bottom w:val="none" w:sz="0" w:space="0" w:color="auto"/>
                <w:right w:val="none" w:sz="0" w:space="0" w:color="auto"/>
              </w:divBdr>
            </w:div>
          </w:divsChild>
        </w:div>
        <w:div w:id="72093152">
          <w:marLeft w:val="0"/>
          <w:marRight w:val="0"/>
          <w:marTop w:val="0"/>
          <w:marBottom w:val="0"/>
          <w:divBdr>
            <w:top w:val="none" w:sz="0" w:space="0" w:color="auto"/>
            <w:left w:val="none" w:sz="0" w:space="0" w:color="auto"/>
            <w:bottom w:val="none" w:sz="0" w:space="0" w:color="auto"/>
            <w:right w:val="none" w:sz="0" w:space="0" w:color="auto"/>
          </w:divBdr>
          <w:divsChild>
            <w:div w:id="173231316">
              <w:marLeft w:val="0"/>
              <w:marRight w:val="0"/>
              <w:marTop w:val="0"/>
              <w:marBottom w:val="0"/>
              <w:divBdr>
                <w:top w:val="none" w:sz="0" w:space="0" w:color="auto"/>
                <w:left w:val="none" w:sz="0" w:space="0" w:color="auto"/>
                <w:bottom w:val="none" w:sz="0" w:space="0" w:color="auto"/>
                <w:right w:val="none" w:sz="0" w:space="0" w:color="auto"/>
              </w:divBdr>
            </w:div>
          </w:divsChild>
        </w:div>
        <w:div w:id="109521982">
          <w:marLeft w:val="0"/>
          <w:marRight w:val="0"/>
          <w:marTop w:val="0"/>
          <w:marBottom w:val="0"/>
          <w:divBdr>
            <w:top w:val="none" w:sz="0" w:space="0" w:color="auto"/>
            <w:left w:val="none" w:sz="0" w:space="0" w:color="auto"/>
            <w:bottom w:val="none" w:sz="0" w:space="0" w:color="auto"/>
            <w:right w:val="none" w:sz="0" w:space="0" w:color="auto"/>
          </w:divBdr>
          <w:divsChild>
            <w:div w:id="417794783">
              <w:marLeft w:val="0"/>
              <w:marRight w:val="0"/>
              <w:marTop w:val="0"/>
              <w:marBottom w:val="0"/>
              <w:divBdr>
                <w:top w:val="none" w:sz="0" w:space="0" w:color="auto"/>
                <w:left w:val="none" w:sz="0" w:space="0" w:color="auto"/>
                <w:bottom w:val="none" w:sz="0" w:space="0" w:color="auto"/>
                <w:right w:val="none" w:sz="0" w:space="0" w:color="auto"/>
              </w:divBdr>
            </w:div>
          </w:divsChild>
        </w:div>
        <w:div w:id="309097508">
          <w:marLeft w:val="0"/>
          <w:marRight w:val="0"/>
          <w:marTop w:val="0"/>
          <w:marBottom w:val="0"/>
          <w:divBdr>
            <w:top w:val="none" w:sz="0" w:space="0" w:color="auto"/>
            <w:left w:val="none" w:sz="0" w:space="0" w:color="auto"/>
            <w:bottom w:val="none" w:sz="0" w:space="0" w:color="auto"/>
            <w:right w:val="none" w:sz="0" w:space="0" w:color="auto"/>
          </w:divBdr>
          <w:divsChild>
            <w:div w:id="947588511">
              <w:marLeft w:val="0"/>
              <w:marRight w:val="0"/>
              <w:marTop w:val="0"/>
              <w:marBottom w:val="0"/>
              <w:divBdr>
                <w:top w:val="none" w:sz="0" w:space="0" w:color="auto"/>
                <w:left w:val="none" w:sz="0" w:space="0" w:color="auto"/>
                <w:bottom w:val="none" w:sz="0" w:space="0" w:color="auto"/>
                <w:right w:val="none" w:sz="0" w:space="0" w:color="auto"/>
              </w:divBdr>
            </w:div>
          </w:divsChild>
        </w:div>
        <w:div w:id="440498319">
          <w:marLeft w:val="0"/>
          <w:marRight w:val="0"/>
          <w:marTop w:val="0"/>
          <w:marBottom w:val="0"/>
          <w:divBdr>
            <w:top w:val="none" w:sz="0" w:space="0" w:color="auto"/>
            <w:left w:val="none" w:sz="0" w:space="0" w:color="auto"/>
            <w:bottom w:val="none" w:sz="0" w:space="0" w:color="auto"/>
            <w:right w:val="none" w:sz="0" w:space="0" w:color="auto"/>
          </w:divBdr>
          <w:divsChild>
            <w:div w:id="1482582341">
              <w:marLeft w:val="0"/>
              <w:marRight w:val="0"/>
              <w:marTop w:val="0"/>
              <w:marBottom w:val="0"/>
              <w:divBdr>
                <w:top w:val="none" w:sz="0" w:space="0" w:color="auto"/>
                <w:left w:val="none" w:sz="0" w:space="0" w:color="auto"/>
                <w:bottom w:val="none" w:sz="0" w:space="0" w:color="auto"/>
                <w:right w:val="none" w:sz="0" w:space="0" w:color="auto"/>
              </w:divBdr>
            </w:div>
          </w:divsChild>
        </w:div>
        <w:div w:id="489566605">
          <w:marLeft w:val="0"/>
          <w:marRight w:val="0"/>
          <w:marTop w:val="0"/>
          <w:marBottom w:val="0"/>
          <w:divBdr>
            <w:top w:val="none" w:sz="0" w:space="0" w:color="auto"/>
            <w:left w:val="none" w:sz="0" w:space="0" w:color="auto"/>
            <w:bottom w:val="none" w:sz="0" w:space="0" w:color="auto"/>
            <w:right w:val="none" w:sz="0" w:space="0" w:color="auto"/>
          </w:divBdr>
          <w:divsChild>
            <w:div w:id="1003316866">
              <w:marLeft w:val="0"/>
              <w:marRight w:val="0"/>
              <w:marTop w:val="0"/>
              <w:marBottom w:val="0"/>
              <w:divBdr>
                <w:top w:val="none" w:sz="0" w:space="0" w:color="auto"/>
                <w:left w:val="none" w:sz="0" w:space="0" w:color="auto"/>
                <w:bottom w:val="none" w:sz="0" w:space="0" w:color="auto"/>
                <w:right w:val="none" w:sz="0" w:space="0" w:color="auto"/>
              </w:divBdr>
            </w:div>
          </w:divsChild>
        </w:div>
        <w:div w:id="628635902">
          <w:marLeft w:val="0"/>
          <w:marRight w:val="0"/>
          <w:marTop w:val="0"/>
          <w:marBottom w:val="0"/>
          <w:divBdr>
            <w:top w:val="none" w:sz="0" w:space="0" w:color="auto"/>
            <w:left w:val="none" w:sz="0" w:space="0" w:color="auto"/>
            <w:bottom w:val="none" w:sz="0" w:space="0" w:color="auto"/>
            <w:right w:val="none" w:sz="0" w:space="0" w:color="auto"/>
          </w:divBdr>
          <w:divsChild>
            <w:div w:id="971522457">
              <w:marLeft w:val="0"/>
              <w:marRight w:val="0"/>
              <w:marTop w:val="0"/>
              <w:marBottom w:val="0"/>
              <w:divBdr>
                <w:top w:val="none" w:sz="0" w:space="0" w:color="auto"/>
                <w:left w:val="none" w:sz="0" w:space="0" w:color="auto"/>
                <w:bottom w:val="none" w:sz="0" w:space="0" w:color="auto"/>
                <w:right w:val="none" w:sz="0" w:space="0" w:color="auto"/>
              </w:divBdr>
            </w:div>
          </w:divsChild>
        </w:div>
        <w:div w:id="679965105">
          <w:marLeft w:val="0"/>
          <w:marRight w:val="0"/>
          <w:marTop w:val="0"/>
          <w:marBottom w:val="0"/>
          <w:divBdr>
            <w:top w:val="none" w:sz="0" w:space="0" w:color="auto"/>
            <w:left w:val="none" w:sz="0" w:space="0" w:color="auto"/>
            <w:bottom w:val="none" w:sz="0" w:space="0" w:color="auto"/>
            <w:right w:val="none" w:sz="0" w:space="0" w:color="auto"/>
          </w:divBdr>
          <w:divsChild>
            <w:div w:id="35550991">
              <w:marLeft w:val="0"/>
              <w:marRight w:val="0"/>
              <w:marTop w:val="0"/>
              <w:marBottom w:val="0"/>
              <w:divBdr>
                <w:top w:val="none" w:sz="0" w:space="0" w:color="auto"/>
                <w:left w:val="none" w:sz="0" w:space="0" w:color="auto"/>
                <w:bottom w:val="none" w:sz="0" w:space="0" w:color="auto"/>
                <w:right w:val="none" w:sz="0" w:space="0" w:color="auto"/>
              </w:divBdr>
            </w:div>
            <w:div w:id="618147642">
              <w:marLeft w:val="0"/>
              <w:marRight w:val="0"/>
              <w:marTop w:val="0"/>
              <w:marBottom w:val="0"/>
              <w:divBdr>
                <w:top w:val="none" w:sz="0" w:space="0" w:color="auto"/>
                <w:left w:val="none" w:sz="0" w:space="0" w:color="auto"/>
                <w:bottom w:val="none" w:sz="0" w:space="0" w:color="auto"/>
                <w:right w:val="none" w:sz="0" w:space="0" w:color="auto"/>
              </w:divBdr>
            </w:div>
            <w:div w:id="1130585779">
              <w:marLeft w:val="0"/>
              <w:marRight w:val="0"/>
              <w:marTop w:val="0"/>
              <w:marBottom w:val="0"/>
              <w:divBdr>
                <w:top w:val="none" w:sz="0" w:space="0" w:color="auto"/>
                <w:left w:val="none" w:sz="0" w:space="0" w:color="auto"/>
                <w:bottom w:val="none" w:sz="0" w:space="0" w:color="auto"/>
                <w:right w:val="none" w:sz="0" w:space="0" w:color="auto"/>
              </w:divBdr>
            </w:div>
            <w:div w:id="1414233696">
              <w:marLeft w:val="0"/>
              <w:marRight w:val="0"/>
              <w:marTop w:val="0"/>
              <w:marBottom w:val="0"/>
              <w:divBdr>
                <w:top w:val="none" w:sz="0" w:space="0" w:color="auto"/>
                <w:left w:val="none" w:sz="0" w:space="0" w:color="auto"/>
                <w:bottom w:val="none" w:sz="0" w:space="0" w:color="auto"/>
                <w:right w:val="none" w:sz="0" w:space="0" w:color="auto"/>
              </w:divBdr>
            </w:div>
            <w:div w:id="1488283235">
              <w:marLeft w:val="0"/>
              <w:marRight w:val="0"/>
              <w:marTop w:val="0"/>
              <w:marBottom w:val="0"/>
              <w:divBdr>
                <w:top w:val="none" w:sz="0" w:space="0" w:color="auto"/>
                <w:left w:val="none" w:sz="0" w:space="0" w:color="auto"/>
                <w:bottom w:val="none" w:sz="0" w:space="0" w:color="auto"/>
                <w:right w:val="none" w:sz="0" w:space="0" w:color="auto"/>
              </w:divBdr>
            </w:div>
            <w:div w:id="1675916019">
              <w:marLeft w:val="0"/>
              <w:marRight w:val="0"/>
              <w:marTop w:val="0"/>
              <w:marBottom w:val="0"/>
              <w:divBdr>
                <w:top w:val="none" w:sz="0" w:space="0" w:color="auto"/>
                <w:left w:val="none" w:sz="0" w:space="0" w:color="auto"/>
                <w:bottom w:val="none" w:sz="0" w:space="0" w:color="auto"/>
                <w:right w:val="none" w:sz="0" w:space="0" w:color="auto"/>
              </w:divBdr>
            </w:div>
            <w:div w:id="2048598460">
              <w:marLeft w:val="0"/>
              <w:marRight w:val="0"/>
              <w:marTop w:val="0"/>
              <w:marBottom w:val="0"/>
              <w:divBdr>
                <w:top w:val="none" w:sz="0" w:space="0" w:color="auto"/>
                <w:left w:val="none" w:sz="0" w:space="0" w:color="auto"/>
                <w:bottom w:val="none" w:sz="0" w:space="0" w:color="auto"/>
                <w:right w:val="none" w:sz="0" w:space="0" w:color="auto"/>
              </w:divBdr>
            </w:div>
          </w:divsChild>
        </w:div>
        <w:div w:id="745499030">
          <w:marLeft w:val="0"/>
          <w:marRight w:val="0"/>
          <w:marTop w:val="0"/>
          <w:marBottom w:val="0"/>
          <w:divBdr>
            <w:top w:val="none" w:sz="0" w:space="0" w:color="auto"/>
            <w:left w:val="none" w:sz="0" w:space="0" w:color="auto"/>
            <w:bottom w:val="none" w:sz="0" w:space="0" w:color="auto"/>
            <w:right w:val="none" w:sz="0" w:space="0" w:color="auto"/>
          </w:divBdr>
          <w:divsChild>
            <w:div w:id="69546510">
              <w:marLeft w:val="0"/>
              <w:marRight w:val="0"/>
              <w:marTop w:val="0"/>
              <w:marBottom w:val="0"/>
              <w:divBdr>
                <w:top w:val="none" w:sz="0" w:space="0" w:color="auto"/>
                <w:left w:val="none" w:sz="0" w:space="0" w:color="auto"/>
                <w:bottom w:val="none" w:sz="0" w:space="0" w:color="auto"/>
                <w:right w:val="none" w:sz="0" w:space="0" w:color="auto"/>
              </w:divBdr>
            </w:div>
            <w:div w:id="216669766">
              <w:marLeft w:val="0"/>
              <w:marRight w:val="0"/>
              <w:marTop w:val="0"/>
              <w:marBottom w:val="0"/>
              <w:divBdr>
                <w:top w:val="none" w:sz="0" w:space="0" w:color="auto"/>
                <w:left w:val="none" w:sz="0" w:space="0" w:color="auto"/>
                <w:bottom w:val="none" w:sz="0" w:space="0" w:color="auto"/>
                <w:right w:val="none" w:sz="0" w:space="0" w:color="auto"/>
              </w:divBdr>
            </w:div>
            <w:div w:id="247036066">
              <w:marLeft w:val="0"/>
              <w:marRight w:val="0"/>
              <w:marTop w:val="0"/>
              <w:marBottom w:val="0"/>
              <w:divBdr>
                <w:top w:val="none" w:sz="0" w:space="0" w:color="auto"/>
                <w:left w:val="none" w:sz="0" w:space="0" w:color="auto"/>
                <w:bottom w:val="none" w:sz="0" w:space="0" w:color="auto"/>
                <w:right w:val="none" w:sz="0" w:space="0" w:color="auto"/>
              </w:divBdr>
            </w:div>
            <w:div w:id="291135095">
              <w:marLeft w:val="0"/>
              <w:marRight w:val="0"/>
              <w:marTop w:val="0"/>
              <w:marBottom w:val="0"/>
              <w:divBdr>
                <w:top w:val="none" w:sz="0" w:space="0" w:color="auto"/>
                <w:left w:val="none" w:sz="0" w:space="0" w:color="auto"/>
                <w:bottom w:val="none" w:sz="0" w:space="0" w:color="auto"/>
                <w:right w:val="none" w:sz="0" w:space="0" w:color="auto"/>
              </w:divBdr>
            </w:div>
            <w:div w:id="313533971">
              <w:marLeft w:val="0"/>
              <w:marRight w:val="0"/>
              <w:marTop w:val="0"/>
              <w:marBottom w:val="0"/>
              <w:divBdr>
                <w:top w:val="none" w:sz="0" w:space="0" w:color="auto"/>
                <w:left w:val="none" w:sz="0" w:space="0" w:color="auto"/>
                <w:bottom w:val="none" w:sz="0" w:space="0" w:color="auto"/>
                <w:right w:val="none" w:sz="0" w:space="0" w:color="auto"/>
              </w:divBdr>
            </w:div>
            <w:div w:id="331762275">
              <w:marLeft w:val="0"/>
              <w:marRight w:val="0"/>
              <w:marTop w:val="0"/>
              <w:marBottom w:val="0"/>
              <w:divBdr>
                <w:top w:val="none" w:sz="0" w:space="0" w:color="auto"/>
                <w:left w:val="none" w:sz="0" w:space="0" w:color="auto"/>
                <w:bottom w:val="none" w:sz="0" w:space="0" w:color="auto"/>
                <w:right w:val="none" w:sz="0" w:space="0" w:color="auto"/>
              </w:divBdr>
            </w:div>
            <w:div w:id="716246452">
              <w:marLeft w:val="0"/>
              <w:marRight w:val="0"/>
              <w:marTop w:val="0"/>
              <w:marBottom w:val="0"/>
              <w:divBdr>
                <w:top w:val="none" w:sz="0" w:space="0" w:color="auto"/>
                <w:left w:val="none" w:sz="0" w:space="0" w:color="auto"/>
                <w:bottom w:val="none" w:sz="0" w:space="0" w:color="auto"/>
                <w:right w:val="none" w:sz="0" w:space="0" w:color="auto"/>
              </w:divBdr>
            </w:div>
            <w:div w:id="841625445">
              <w:marLeft w:val="0"/>
              <w:marRight w:val="0"/>
              <w:marTop w:val="0"/>
              <w:marBottom w:val="0"/>
              <w:divBdr>
                <w:top w:val="none" w:sz="0" w:space="0" w:color="auto"/>
                <w:left w:val="none" w:sz="0" w:space="0" w:color="auto"/>
                <w:bottom w:val="none" w:sz="0" w:space="0" w:color="auto"/>
                <w:right w:val="none" w:sz="0" w:space="0" w:color="auto"/>
              </w:divBdr>
            </w:div>
            <w:div w:id="940455348">
              <w:marLeft w:val="0"/>
              <w:marRight w:val="0"/>
              <w:marTop w:val="0"/>
              <w:marBottom w:val="0"/>
              <w:divBdr>
                <w:top w:val="none" w:sz="0" w:space="0" w:color="auto"/>
                <w:left w:val="none" w:sz="0" w:space="0" w:color="auto"/>
                <w:bottom w:val="none" w:sz="0" w:space="0" w:color="auto"/>
                <w:right w:val="none" w:sz="0" w:space="0" w:color="auto"/>
              </w:divBdr>
            </w:div>
            <w:div w:id="1078409232">
              <w:marLeft w:val="0"/>
              <w:marRight w:val="0"/>
              <w:marTop w:val="0"/>
              <w:marBottom w:val="0"/>
              <w:divBdr>
                <w:top w:val="none" w:sz="0" w:space="0" w:color="auto"/>
                <w:left w:val="none" w:sz="0" w:space="0" w:color="auto"/>
                <w:bottom w:val="none" w:sz="0" w:space="0" w:color="auto"/>
                <w:right w:val="none" w:sz="0" w:space="0" w:color="auto"/>
              </w:divBdr>
            </w:div>
            <w:div w:id="1144469912">
              <w:marLeft w:val="0"/>
              <w:marRight w:val="0"/>
              <w:marTop w:val="0"/>
              <w:marBottom w:val="0"/>
              <w:divBdr>
                <w:top w:val="none" w:sz="0" w:space="0" w:color="auto"/>
                <w:left w:val="none" w:sz="0" w:space="0" w:color="auto"/>
                <w:bottom w:val="none" w:sz="0" w:space="0" w:color="auto"/>
                <w:right w:val="none" w:sz="0" w:space="0" w:color="auto"/>
              </w:divBdr>
            </w:div>
            <w:div w:id="1349520614">
              <w:marLeft w:val="0"/>
              <w:marRight w:val="0"/>
              <w:marTop w:val="0"/>
              <w:marBottom w:val="0"/>
              <w:divBdr>
                <w:top w:val="none" w:sz="0" w:space="0" w:color="auto"/>
                <w:left w:val="none" w:sz="0" w:space="0" w:color="auto"/>
                <w:bottom w:val="none" w:sz="0" w:space="0" w:color="auto"/>
                <w:right w:val="none" w:sz="0" w:space="0" w:color="auto"/>
              </w:divBdr>
            </w:div>
            <w:div w:id="1362393910">
              <w:marLeft w:val="0"/>
              <w:marRight w:val="0"/>
              <w:marTop w:val="0"/>
              <w:marBottom w:val="0"/>
              <w:divBdr>
                <w:top w:val="none" w:sz="0" w:space="0" w:color="auto"/>
                <w:left w:val="none" w:sz="0" w:space="0" w:color="auto"/>
                <w:bottom w:val="none" w:sz="0" w:space="0" w:color="auto"/>
                <w:right w:val="none" w:sz="0" w:space="0" w:color="auto"/>
              </w:divBdr>
            </w:div>
            <w:div w:id="1402871732">
              <w:marLeft w:val="0"/>
              <w:marRight w:val="0"/>
              <w:marTop w:val="0"/>
              <w:marBottom w:val="0"/>
              <w:divBdr>
                <w:top w:val="none" w:sz="0" w:space="0" w:color="auto"/>
                <w:left w:val="none" w:sz="0" w:space="0" w:color="auto"/>
                <w:bottom w:val="none" w:sz="0" w:space="0" w:color="auto"/>
                <w:right w:val="none" w:sz="0" w:space="0" w:color="auto"/>
              </w:divBdr>
            </w:div>
            <w:div w:id="1501116415">
              <w:marLeft w:val="0"/>
              <w:marRight w:val="0"/>
              <w:marTop w:val="0"/>
              <w:marBottom w:val="0"/>
              <w:divBdr>
                <w:top w:val="none" w:sz="0" w:space="0" w:color="auto"/>
                <w:left w:val="none" w:sz="0" w:space="0" w:color="auto"/>
                <w:bottom w:val="none" w:sz="0" w:space="0" w:color="auto"/>
                <w:right w:val="none" w:sz="0" w:space="0" w:color="auto"/>
              </w:divBdr>
            </w:div>
            <w:div w:id="1518084263">
              <w:marLeft w:val="0"/>
              <w:marRight w:val="0"/>
              <w:marTop w:val="0"/>
              <w:marBottom w:val="0"/>
              <w:divBdr>
                <w:top w:val="none" w:sz="0" w:space="0" w:color="auto"/>
                <w:left w:val="none" w:sz="0" w:space="0" w:color="auto"/>
                <w:bottom w:val="none" w:sz="0" w:space="0" w:color="auto"/>
                <w:right w:val="none" w:sz="0" w:space="0" w:color="auto"/>
              </w:divBdr>
            </w:div>
            <w:div w:id="1618370904">
              <w:marLeft w:val="0"/>
              <w:marRight w:val="0"/>
              <w:marTop w:val="0"/>
              <w:marBottom w:val="0"/>
              <w:divBdr>
                <w:top w:val="none" w:sz="0" w:space="0" w:color="auto"/>
                <w:left w:val="none" w:sz="0" w:space="0" w:color="auto"/>
                <w:bottom w:val="none" w:sz="0" w:space="0" w:color="auto"/>
                <w:right w:val="none" w:sz="0" w:space="0" w:color="auto"/>
              </w:divBdr>
            </w:div>
            <w:div w:id="1668243412">
              <w:marLeft w:val="0"/>
              <w:marRight w:val="0"/>
              <w:marTop w:val="0"/>
              <w:marBottom w:val="0"/>
              <w:divBdr>
                <w:top w:val="none" w:sz="0" w:space="0" w:color="auto"/>
                <w:left w:val="none" w:sz="0" w:space="0" w:color="auto"/>
                <w:bottom w:val="none" w:sz="0" w:space="0" w:color="auto"/>
                <w:right w:val="none" w:sz="0" w:space="0" w:color="auto"/>
              </w:divBdr>
            </w:div>
            <w:div w:id="1679891453">
              <w:marLeft w:val="0"/>
              <w:marRight w:val="0"/>
              <w:marTop w:val="0"/>
              <w:marBottom w:val="0"/>
              <w:divBdr>
                <w:top w:val="none" w:sz="0" w:space="0" w:color="auto"/>
                <w:left w:val="none" w:sz="0" w:space="0" w:color="auto"/>
                <w:bottom w:val="none" w:sz="0" w:space="0" w:color="auto"/>
                <w:right w:val="none" w:sz="0" w:space="0" w:color="auto"/>
              </w:divBdr>
            </w:div>
            <w:div w:id="1735859713">
              <w:marLeft w:val="0"/>
              <w:marRight w:val="0"/>
              <w:marTop w:val="0"/>
              <w:marBottom w:val="0"/>
              <w:divBdr>
                <w:top w:val="none" w:sz="0" w:space="0" w:color="auto"/>
                <w:left w:val="none" w:sz="0" w:space="0" w:color="auto"/>
                <w:bottom w:val="none" w:sz="0" w:space="0" w:color="auto"/>
                <w:right w:val="none" w:sz="0" w:space="0" w:color="auto"/>
              </w:divBdr>
            </w:div>
            <w:div w:id="1794858258">
              <w:marLeft w:val="0"/>
              <w:marRight w:val="0"/>
              <w:marTop w:val="0"/>
              <w:marBottom w:val="0"/>
              <w:divBdr>
                <w:top w:val="none" w:sz="0" w:space="0" w:color="auto"/>
                <w:left w:val="none" w:sz="0" w:space="0" w:color="auto"/>
                <w:bottom w:val="none" w:sz="0" w:space="0" w:color="auto"/>
                <w:right w:val="none" w:sz="0" w:space="0" w:color="auto"/>
              </w:divBdr>
            </w:div>
            <w:div w:id="2051566003">
              <w:marLeft w:val="0"/>
              <w:marRight w:val="0"/>
              <w:marTop w:val="0"/>
              <w:marBottom w:val="0"/>
              <w:divBdr>
                <w:top w:val="none" w:sz="0" w:space="0" w:color="auto"/>
                <w:left w:val="none" w:sz="0" w:space="0" w:color="auto"/>
                <w:bottom w:val="none" w:sz="0" w:space="0" w:color="auto"/>
                <w:right w:val="none" w:sz="0" w:space="0" w:color="auto"/>
              </w:divBdr>
            </w:div>
            <w:div w:id="2057467220">
              <w:marLeft w:val="0"/>
              <w:marRight w:val="0"/>
              <w:marTop w:val="0"/>
              <w:marBottom w:val="0"/>
              <w:divBdr>
                <w:top w:val="none" w:sz="0" w:space="0" w:color="auto"/>
                <w:left w:val="none" w:sz="0" w:space="0" w:color="auto"/>
                <w:bottom w:val="none" w:sz="0" w:space="0" w:color="auto"/>
                <w:right w:val="none" w:sz="0" w:space="0" w:color="auto"/>
              </w:divBdr>
            </w:div>
          </w:divsChild>
        </w:div>
        <w:div w:id="870803886">
          <w:marLeft w:val="0"/>
          <w:marRight w:val="0"/>
          <w:marTop w:val="0"/>
          <w:marBottom w:val="0"/>
          <w:divBdr>
            <w:top w:val="none" w:sz="0" w:space="0" w:color="auto"/>
            <w:left w:val="none" w:sz="0" w:space="0" w:color="auto"/>
            <w:bottom w:val="none" w:sz="0" w:space="0" w:color="auto"/>
            <w:right w:val="none" w:sz="0" w:space="0" w:color="auto"/>
          </w:divBdr>
          <w:divsChild>
            <w:div w:id="1472290897">
              <w:marLeft w:val="0"/>
              <w:marRight w:val="0"/>
              <w:marTop w:val="0"/>
              <w:marBottom w:val="0"/>
              <w:divBdr>
                <w:top w:val="none" w:sz="0" w:space="0" w:color="auto"/>
                <w:left w:val="none" w:sz="0" w:space="0" w:color="auto"/>
                <w:bottom w:val="none" w:sz="0" w:space="0" w:color="auto"/>
                <w:right w:val="none" w:sz="0" w:space="0" w:color="auto"/>
              </w:divBdr>
            </w:div>
          </w:divsChild>
        </w:div>
        <w:div w:id="949163884">
          <w:marLeft w:val="0"/>
          <w:marRight w:val="0"/>
          <w:marTop w:val="0"/>
          <w:marBottom w:val="0"/>
          <w:divBdr>
            <w:top w:val="none" w:sz="0" w:space="0" w:color="auto"/>
            <w:left w:val="none" w:sz="0" w:space="0" w:color="auto"/>
            <w:bottom w:val="none" w:sz="0" w:space="0" w:color="auto"/>
            <w:right w:val="none" w:sz="0" w:space="0" w:color="auto"/>
          </w:divBdr>
          <w:divsChild>
            <w:div w:id="697857884">
              <w:marLeft w:val="0"/>
              <w:marRight w:val="0"/>
              <w:marTop w:val="0"/>
              <w:marBottom w:val="0"/>
              <w:divBdr>
                <w:top w:val="none" w:sz="0" w:space="0" w:color="auto"/>
                <w:left w:val="none" w:sz="0" w:space="0" w:color="auto"/>
                <w:bottom w:val="none" w:sz="0" w:space="0" w:color="auto"/>
                <w:right w:val="none" w:sz="0" w:space="0" w:color="auto"/>
              </w:divBdr>
            </w:div>
          </w:divsChild>
        </w:div>
        <w:div w:id="1095714547">
          <w:marLeft w:val="0"/>
          <w:marRight w:val="0"/>
          <w:marTop w:val="0"/>
          <w:marBottom w:val="0"/>
          <w:divBdr>
            <w:top w:val="none" w:sz="0" w:space="0" w:color="auto"/>
            <w:left w:val="none" w:sz="0" w:space="0" w:color="auto"/>
            <w:bottom w:val="none" w:sz="0" w:space="0" w:color="auto"/>
            <w:right w:val="none" w:sz="0" w:space="0" w:color="auto"/>
          </w:divBdr>
          <w:divsChild>
            <w:div w:id="1702169235">
              <w:marLeft w:val="0"/>
              <w:marRight w:val="0"/>
              <w:marTop w:val="0"/>
              <w:marBottom w:val="0"/>
              <w:divBdr>
                <w:top w:val="none" w:sz="0" w:space="0" w:color="auto"/>
                <w:left w:val="none" w:sz="0" w:space="0" w:color="auto"/>
                <w:bottom w:val="none" w:sz="0" w:space="0" w:color="auto"/>
                <w:right w:val="none" w:sz="0" w:space="0" w:color="auto"/>
              </w:divBdr>
            </w:div>
          </w:divsChild>
        </w:div>
        <w:div w:id="1213426566">
          <w:marLeft w:val="0"/>
          <w:marRight w:val="0"/>
          <w:marTop w:val="0"/>
          <w:marBottom w:val="0"/>
          <w:divBdr>
            <w:top w:val="none" w:sz="0" w:space="0" w:color="auto"/>
            <w:left w:val="none" w:sz="0" w:space="0" w:color="auto"/>
            <w:bottom w:val="none" w:sz="0" w:space="0" w:color="auto"/>
            <w:right w:val="none" w:sz="0" w:space="0" w:color="auto"/>
          </w:divBdr>
          <w:divsChild>
            <w:div w:id="1352802712">
              <w:marLeft w:val="0"/>
              <w:marRight w:val="0"/>
              <w:marTop w:val="0"/>
              <w:marBottom w:val="0"/>
              <w:divBdr>
                <w:top w:val="none" w:sz="0" w:space="0" w:color="auto"/>
                <w:left w:val="none" w:sz="0" w:space="0" w:color="auto"/>
                <w:bottom w:val="none" w:sz="0" w:space="0" w:color="auto"/>
                <w:right w:val="none" w:sz="0" w:space="0" w:color="auto"/>
              </w:divBdr>
            </w:div>
            <w:div w:id="2004580192">
              <w:marLeft w:val="0"/>
              <w:marRight w:val="0"/>
              <w:marTop w:val="0"/>
              <w:marBottom w:val="0"/>
              <w:divBdr>
                <w:top w:val="none" w:sz="0" w:space="0" w:color="auto"/>
                <w:left w:val="none" w:sz="0" w:space="0" w:color="auto"/>
                <w:bottom w:val="none" w:sz="0" w:space="0" w:color="auto"/>
                <w:right w:val="none" w:sz="0" w:space="0" w:color="auto"/>
              </w:divBdr>
            </w:div>
          </w:divsChild>
        </w:div>
        <w:div w:id="1345979408">
          <w:marLeft w:val="0"/>
          <w:marRight w:val="0"/>
          <w:marTop w:val="0"/>
          <w:marBottom w:val="0"/>
          <w:divBdr>
            <w:top w:val="none" w:sz="0" w:space="0" w:color="auto"/>
            <w:left w:val="none" w:sz="0" w:space="0" w:color="auto"/>
            <w:bottom w:val="none" w:sz="0" w:space="0" w:color="auto"/>
            <w:right w:val="none" w:sz="0" w:space="0" w:color="auto"/>
          </w:divBdr>
          <w:divsChild>
            <w:div w:id="834539866">
              <w:marLeft w:val="0"/>
              <w:marRight w:val="0"/>
              <w:marTop w:val="0"/>
              <w:marBottom w:val="0"/>
              <w:divBdr>
                <w:top w:val="none" w:sz="0" w:space="0" w:color="auto"/>
                <w:left w:val="none" w:sz="0" w:space="0" w:color="auto"/>
                <w:bottom w:val="none" w:sz="0" w:space="0" w:color="auto"/>
                <w:right w:val="none" w:sz="0" w:space="0" w:color="auto"/>
              </w:divBdr>
            </w:div>
            <w:div w:id="974528519">
              <w:marLeft w:val="0"/>
              <w:marRight w:val="0"/>
              <w:marTop w:val="0"/>
              <w:marBottom w:val="0"/>
              <w:divBdr>
                <w:top w:val="none" w:sz="0" w:space="0" w:color="auto"/>
                <w:left w:val="none" w:sz="0" w:space="0" w:color="auto"/>
                <w:bottom w:val="none" w:sz="0" w:space="0" w:color="auto"/>
                <w:right w:val="none" w:sz="0" w:space="0" w:color="auto"/>
              </w:divBdr>
            </w:div>
          </w:divsChild>
        </w:div>
        <w:div w:id="1450124283">
          <w:marLeft w:val="0"/>
          <w:marRight w:val="0"/>
          <w:marTop w:val="0"/>
          <w:marBottom w:val="0"/>
          <w:divBdr>
            <w:top w:val="none" w:sz="0" w:space="0" w:color="auto"/>
            <w:left w:val="none" w:sz="0" w:space="0" w:color="auto"/>
            <w:bottom w:val="none" w:sz="0" w:space="0" w:color="auto"/>
            <w:right w:val="none" w:sz="0" w:space="0" w:color="auto"/>
          </w:divBdr>
          <w:divsChild>
            <w:div w:id="1507207276">
              <w:marLeft w:val="0"/>
              <w:marRight w:val="0"/>
              <w:marTop w:val="0"/>
              <w:marBottom w:val="0"/>
              <w:divBdr>
                <w:top w:val="none" w:sz="0" w:space="0" w:color="auto"/>
                <w:left w:val="none" w:sz="0" w:space="0" w:color="auto"/>
                <w:bottom w:val="none" w:sz="0" w:space="0" w:color="auto"/>
                <w:right w:val="none" w:sz="0" w:space="0" w:color="auto"/>
              </w:divBdr>
            </w:div>
          </w:divsChild>
        </w:div>
        <w:div w:id="1550265643">
          <w:marLeft w:val="0"/>
          <w:marRight w:val="0"/>
          <w:marTop w:val="0"/>
          <w:marBottom w:val="0"/>
          <w:divBdr>
            <w:top w:val="none" w:sz="0" w:space="0" w:color="auto"/>
            <w:left w:val="none" w:sz="0" w:space="0" w:color="auto"/>
            <w:bottom w:val="none" w:sz="0" w:space="0" w:color="auto"/>
            <w:right w:val="none" w:sz="0" w:space="0" w:color="auto"/>
          </w:divBdr>
          <w:divsChild>
            <w:div w:id="61874004">
              <w:marLeft w:val="0"/>
              <w:marRight w:val="0"/>
              <w:marTop w:val="0"/>
              <w:marBottom w:val="0"/>
              <w:divBdr>
                <w:top w:val="none" w:sz="0" w:space="0" w:color="auto"/>
                <w:left w:val="none" w:sz="0" w:space="0" w:color="auto"/>
                <w:bottom w:val="none" w:sz="0" w:space="0" w:color="auto"/>
                <w:right w:val="none" w:sz="0" w:space="0" w:color="auto"/>
              </w:divBdr>
            </w:div>
          </w:divsChild>
        </w:div>
        <w:div w:id="1603760664">
          <w:marLeft w:val="0"/>
          <w:marRight w:val="0"/>
          <w:marTop w:val="0"/>
          <w:marBottom w:val="0"/>
          <w:divBdr>
            <w:top w:val="none" w:sz="0" w:space="0" w:color="auto"/>
            <w:left w:val="none" w:sz="0" w:space="0" w:color="auto"/>
            <w:bottom w:val="none" w:sz="0" w:space="0" w:color="auto"/>
            <w:right w:val="none" w:sz="0" w:space="0" w:color="auto"/>
          </w:divBdr>
          <w:divsChild>
            <w:div w:id="348914438">
              <w:marLeft w:val="0"/>
              <w:marRight w:val="0"/>
              <w:marTop w:val="0"/>
              <w:marBottom w:val="0"/>
              <w:divBdr>
                <w:top w:val="none" w:sz="0" w:space="0" w:color="auto"/>
                <w:left w:val="none" w:sz="0" w:space="0" w:color="auto"/>
                <w:bottom w:val="none" w:sz="0" w:space="0" w:color="auto"/>
                <w:right w:val="none" w:sz="0" w:space="0" w:color="auto"/>
              </w:divBdr>
            </w:div>
            <w:div w:id="909734102">
              <w:marLeft w:val="0"/>
              <w:marRight w:val="0"/>
              <w:marTop w:val="0"/>
              <w:marBottom w:val="0"/>
              <w:divBdr>
                <w:top w:val="none" w:sz="0" w:space="0" w:color="auto"/>
                <w:left w:val="none" w:sz="0" w:space="0" w:color="auto"/>
                <w:bottom w:val="none" w:sz="0" w:space="0" w:color="auto"/>
                <w:right w:val="none" w:sz="0" w:space="0" w:color="auto"/>
              </w:divBdr>
            </w:div>
            <w:div w:id="1616787010">
              <w:marLeft w:val="0"/>
              <w:marRight w:val="0"/>
              <w:marTop w:val="0"/>
              <w:marBottom w:val="0"/>
              <w:divBdr>
                <w:top w:val="none" w:sz="0" w:space="0" w:color="auto"/>
                <w:left w:val="none" w:sz="0" w:space="0" w:color="auto"/>
                <w:bottom w:val="none" w:sz="0" w:space="0" w:color="auto"/>
                <w:right w:val="none" w:sz="0" w:space="0" w:color="auto"/>
              </w:divBdr>
            </w:div>
            <w:div w:id="1978870259">
              <w:marLeft w:val="0"/>
              <w:marRight w:val="0"/>
              <w:marTop w:val="0"/>
              <w:marBottom w:val="0"/>
              <w:divBdr>
                <w:top w:val="none" w:sz="0" w:space="0" w:color="auto"/>
                <w:left w:val="none" w:sz="0" w:space="0" w:color="auto"/>
                <w:bottom w:val="none" w:sz="0" w:space="0" w:color="auto"/>
                <w:right w:val="none" w:sz="0" w:space="0" w:color="auto"/>
              </w:divBdr>
            </w:div>
          </w:divsChild>
        </w:div>
        <w:div w:id="1619799701">
          <w:marLeft w:val="0"/>
          <w:marRight w:val="0"/>
          <w:marTop w:val="0"/>
          <w:marBottom w:val="0"/>
          <w:divBdr>
            <w:top w:val="none" w:sz="0" w:space="0" w:color="auto"/>
            <w:left w:val="none" w:sz="0" w:space="0" w:color="auto"/>
            <w:bottom w:val="none" w:sz="0" w:space="0" w:color="auto"/>
            <w:right w:val="none" w:sz="0" w:space="0" w:color="auto"/>
          </w:divBdr>
          <w:divsChild>
            <w:div w:id="1566649233">
              <w:marLeft w:val="0"/>
              <w:marRight w:val="0"/>
              <w:marTop w:val="0"/>
              <w:marBottom w:val="0"/>
              <w:divBdr>
                <w:top w:val="none" w:sz="0" w:space="0" w:color="auto"/>
                <w:left w:val="none" w:sz="0" w:space="0" w:color="auto"/>
                <w:bottom w:val="none" w:sz="0" w:space="0" w:color="auto"/>
                <w:right w:val="none" w:sz="0" w:space="0" w:color="auto"/>
              </w:divBdr>
            </w:div>
          </w:divsChild>
        </w:div>
        <w:div w:id="1649242100">
          <w:marLeft w:val="0"/>
          <w:marRight w:val="0"/>
          <w:marTop w:val="0"/>
          <w:marBottom w:val="0"/>
          <w:divBdr>
            <w:top w:val="none" w:sz="0" w:space="0" w:color="auto"/>
            <w:left w:val="none" w:sz="0" w:space="0" w:color="auto"/>
            <w:bottom w:val="none" w:sz="0" w:space="0" w:color="auto"/>
            <w:right w:val="none" w:sz="0" w:space="0" w:color="auto"/>
          </w:divBdr>
          <w:divsChild>
            <w:div w:id="1027756881">
              <w:marLeft w:val="0"/>
              <w:marRight w:val="0"/>
              <w:marTop w:val="0"/>
              <w:marBottom w:val="0"/>
              <w:divBdr>
                <w:top w:val="none" w:sz="0" w:space="0" w:color="auto"/>
                <w:left w:val="none" w:sz="0" w:space="0" w:color="auto"/>
                <w:bottom w:val="none" w:sz="0" w:space="0" w:color="auto"/>
                <w:right w:val="none" w:sz="0" w:space="0" w:color="auto"/>
              </w:divBdr>
            </w:div>
          </w:divsChild>
        </w:div>
        <w:div w:id="1693415811">
          <w:marLeft w:val="0"/>
          <w:marRight w:val="0"/>
          <w:marTop w:val="0"/>
          <w:marBottom w:val="0"/>
          <w:divBdr>
            <w:top w:val="none" w:sz="0" w:space="0" w:color="auto"/>
            <w:left w:val="none" w:sz="0" w:space="0" w:color="auto"/>
            <w:bottom w:val="none" w:sz="0" w:space="0" w:color="auto"/>
            <w:right w:val="none" w:sz="0" w:space="0" w:color="auto"/>
          </w:divBdr>
          <w:divsChild>
            <w:div w:id="425539957">
              <w:marLeft w:val="0"/>
              <w:marRight w:val="0"/>
              <w:marTop w:val="0"/>
              <w:marBottom w:val="0"/>
              <w:divBdr>
                <w:top w:val="none" w:sz="0" w:space="0" w:color="auto"/>
                <w:left w:val="none" w:sz="0" w:space="0" w:color="auto"/>
                <w:bottom w:val="none" w:sz="0" w:space="0" w:color="auto"/>
                <w:right w:val="none" w:sz="0" w:space="0" w:color="auto"/>
              </w:divBdr>
            </w:div>
          </w:divsChild>
        </w:div>
        <w:div w:id="1724479708">
          <w:marLeft w:val="0"/>
          <w:marRight w:val="0"/>
          <w:marTop w:val="0"/>
          <w:marBottom w:val="0"/>
          <w:divBdr>
            <w:top w:val="none" w:sz="0" w:space="0" w:color="auto"/>
            <w:left w:val="none" w:sz="0" w:space="0" w:color="auto"/>
            <w:bottom w:val="none" w:sz="0" w:space="0" w:color="auto"/>
            <w:right w:val="none" w:sz="0" w:space="0" w:color="auto"/>
          </w:divBdr>
          <w:divsChild>
            <w:div w:id="856819632">
              <w:marLeft w:val="0"/>
              <w:marRight w:val="0"/>
              <w:marTop w:val="0"/>
              <w:marBottom w:val="0"/>
              <w:divBdr>
                <w:top w:val="none" w:sz="0" w:space="0" w:color="auto"/>
                <w:left w:val="none" w:sz="0" w:space="0" w:color="auto"/>
                <w:bottom w:val="none" w:sz="0" w:space="0" w:color="auto"/>
                <w:right w:val="none" w:sz="0" w:space="0" w:color="auto"/>
              </w:divBdr>
            </w:div>
          </w:divsChild>
        </w:div>
        <w:div w:id="1914120152">
          <w:marLeft w:val="0"/>
          <w:marRight w:val="0"/>
          <w:marTop w:val="0"/>
          <w:marBottom w:val="0"/>
          <w:divBdr>
            <w:top w:val="none" w:sz="0" w:space="0" w:color="auto"/>
            <w:left w:val="none" w:sz="0" w:space="0" w:color="auto"/>
            <w:bottom w:val="none" w:sz="0" w:space="0" w:color="auto"/>
            <w:right w:val="none" w:sz="0" w:space="0" w:color="auto"/>
          </w:divBdr>
          <w:divsChild>
            <w:div w:id="152255478">
              <w:marLeft w:val="0"/>
              <w:marRight w:val="0"/>
              <w:marTop w:val="0"/>
              <w:marBottom w:val="0"/>
              <w:divBdr>
                <w:top w:val="none" w:sz="0" w:space="0" w:color="auto"/>
                <w:left w:val="none" w:sz="0" w:space="0" w:color="auto"/>
                <w:bottom w:val="none" w:sz="0" w:space="0" w:color="auto"/>
                <w:right w:val="none" w:sz="0" w:space="0" w:color="auto"/>
              </w:divBdr>
            </w:div>
            <w:div w:id="18359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0880">
      <w:bodyDiv w:val="1"/>
      <w:marLeft w:val="0"/>
      <w:marRight w:val="0"/>
      <w:marTop w:val="0"/>
      <w:marBottom w:val="0"/>
      <w:divBdr>
        <w:top w:val="none" w:sz="0" w:space="0" w:color="auto"/>
        <w:left w:val="none" w:sz="0" w:space="0" w:color="auto"/>
        <w:bottom w:val="none" w:sz="0" w:space="0" w:color="auto"/>
        <w:right w:val="none" w:sz="0" w:space="0" w:color="auto"/>
      </w:divBdr>
    </w:div>
    <w:div w:id="800225057">
      <w:bodyDiv w:val="1"/>
      <w:marLeft w:val="0"/>
      <w:marRight w:val="0"/>
      <w:marTop w:val="0"/>
      <w:marBottom w:val="0"/>
      <w:divBdr>
        <w:top w:val="none" w:sz="0" w:space="0" w:color="auto"/>
        <w:left w:val="none" w:sz="0" w:space="0" w:color="auto"/>
        <w:bottom w:val="none" w:sz="0" w:space="0" w:color="auto"/>
        <w:right w:val="none" w:sz="0" w:space="0" w:color="auto"/>
      </w:divBdr>
    </w:div>
    <w:div w:id="841969063">
      <w:bodyDiv w:val="1"/>
      <w:marLeft w:val="0"/>
      <w:marRight w:val="0"/>
      <w:marTop w:val="0"/>
      <w:marBottom w:val="0"/>
      <w:divBdr>
        <w:top w:val="none" w:sz="0" w:space="0" w:color="auto"/>
        <w:left w:val="none" w:sz="0" w:space="0" w:color="auto"/>
        <w:bottom w:val="none" w:sz="0" w:space="0" w:color="auto"/>
        <w:right w:val="none" w:sz="0" w:space="0" w:color="auto"/>
      </w:divBdr>
    </w:div>
    <w:div w:id="869413601">
      <w:bodyDiv w:val="1"/>
      <w:marLeft w:val="0"/>
      <w:marRight w:val="0"/>
      <w:marTop w:val="0"/>
      <w:marBottom w:val="0"/>
      <w:divBdr>
        <w:top w:val="none" w:sz="0" w:space="0" w:color="auto"/>
        <w:left w:val="none" w:sz="0" w:space="0" w:color="auto"/>
        <w:bottom w:val="none" w:sz="0" w:space="0" w:color="auto"/>
        <w:right w:val="none" w:sz="0" w:space="0" w:color="auto"/>
      </w:divBdr>
    </w:div>
    <w:div w:id="881136285">
      <w:bodyDiv w:val="1"/>
      <w:marLeft w:val="0"/>
      <w:marRight w:val="0"/>
      <w:marTop w:val="0"/>
      <w:marBottom w:val="0"/>
      <w:divBdr>
        <w:top w:val="none" w:sz="0" w:space="0" w:color="auto"/>
        <w:left w:val="none" w:sz="0" w:space="0" w:color="auto"/>
        <w:bottom w:val="none" w:sz="0" w:space="0" w:color="auto"/>
        <w:right w:val="none" w:sz="0" w:space="0" w:color="auto"/>
      </w:divBdr>
    </w:div>
    <w:div w:id="888348552">
      <w:bodyDiv w:val="1"/>
      <w:marLeft w:val="0"/>
      <w:marRight w:val="0"/>
      <w:marTop w:val="0"/>
      <w:marBottom w:val="0"/>
      <w:divBdr>
        <w:top w:val="none" w:sz="0" w:space="0" w:color="auto"/>
        <w:left w:val="none" w:sz="0" w:space="0" w:color="auto"/>
        <w:bottom w:val="none" w:sz="0" w:space="0" w:color="auto"/>
        <w:right w:val="none" w:sz="0" w:space="0" w:color="auto"/>
      </w:divBdr>
    </w:div>
    <w:div w:id="949893284">
      <w:bodyDiv w:val="1"/>
      <w:marLeft w:val="0"/>
      <w:marRight w:val="0"/>
      <w:marTop w:val="0"/>
      <w:marBottom w:val="0"/>
      <w:divBdr>
        <w:top w:val="none" w:sz="0" w:space="0" w:color="auto"/>
        <w:left w:val="none" w:sz="0" w:space="0" w:color="auto"/>
        <w:bottom w:val="none" w:sz="0" w:space="0" w:color="auto"/>
        <w:right w:val="none" w:sz="0" w:space="0" w:color="auto"/>
      </w:divBdr>
      <w:divsChild>
        <w:div w:id="32385966">
          <w:marLeft w:val="0"/>
          <w:marRight w:val="0"/>
          <w:marTop w:val="0"/>
          <w:marBottom w:val="0"/>
          <w:divBdr>
            <w:top w:val="none" w:sz="0" w:space="0" w:color="auto"/>
            <w:left w:val="none" w:sz="0" w:space="0" w:color="auto"/>
            <w:bottom w:val="none" w:sz="0" w:space="0" w:color="auto"/>
            <w:right w:val="none" w:sz="0" w:space="0" w:color="auto"/>
          </w:divBdr>
          <w:divsChild>
            <w:div w:id="1222792722">
              <w:marLeft w:val="0"/>
              <w:marRight w:val="0"/>
              <w:marTop w:val="0"/>
              <w:marBottom w:val="0"/>
              <w:divBdr>
                <w:top w:val="none" w:sz="0" w:space="0" w:color="auto"/>
                <w:left w:val="none" w:sz="0" w:space="0" w:color="auto"/>
                <w:bottom w:val="none" w:sz="0" w:space="0" w:color="auto"/>
                <w:right w:val="none" w:sz="0" w:space="0" w:color="auto"/>
              </w:divBdr>
              <w:divsChild>
                <w:div w:id="584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91418">
      <w:bodyDiv w:val="1"/>
      <w:marLeft w:val="0"/>
      <w:marRight w:val="0"/>
      <w:marTop w:val="0"/>
      <w:marBottom w:val="0"/>
      <w:divBdr>
        <w:top w:val="none" w:sz="0" w:space="0" w:color="auto"/>
        <w:left w:val="none" w:sz="0" w:space="0" w:color="auto"/>
        <w:bottom w:val="none" w:sz="0" w:space="0" w:color="auto"/>
        <w:right w:val="none" w:sz="0" w:space="0" w:color="auto"/>
      </w:divBdr>
    </w:div>
    <w:div w:id="1018963348">
      <w:bodyDiv w:val="1"/>
      <w:marLeft w:val="0"/>
      <w:marRight w:val="0"/>
      <w:marTop w:val="0"/>
      <w:marBottom w:val="0"/>
      <w:divBdr>
        <w:top w:val="none" w:sz="0" w:space="0" w:color="auto"/>
        <w:left w:val="none" w:sz="0" w:space="0" w:color="auto"/>
        <w:bottom w:val="none" w:sz="0" w:space="0" w:color="auto"/>
        <w:right w:val="none" w:sz="0" w:space="0" w:color="auto"/>
      </w:divBdr>
      <w:divsChild>
        <w:div w:id="1783987354">
          <w:marLeft w:val="0"/>
          <w:marRight w:val="0"/>
          <w:marTop w:val="0"/>
          <w:marBottom w:val="0"/>
          <w:divBdr>
            <w:top w:val="none" w:sz="0" w:space="0" w:color="auto"/>
            <w:left w:val="none" w:sz="0" w:space="0" w:color="auto"/>
            <w:bottom w:val="none" w:sz="0" w:space="0" w:color="auto"/>
            <w:right w:val="none" w:sz="0" w:space="0" w:color="auto"/>
          </w:divBdr>
          <w:divsChild>
            <w:div w:id="738408558">
              <w:marLeft w:val="0"/>
              <w:marRight w:val="0"/>
              <w:marTop w:val="0"/>
              <w:marBottom w:val="0"/>
              <w:divBdr>
                <w:top w:val="none" w:sz="0" w:space="0" w:color="auto"/>
                <w:left w:val="none" w:sz="0" w:space="0" w:color="auto"/>
                <w:bottom w:val="none" w:sz="0" w:space="0" w:color="auto"/>
                <w:right w:val="none" w:sz="0" w:space="0" w:color="auto"/>
              </w:divBdr>
              <w:divsChild>
                <w:div w:id="4573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241780">
      <w:bodyDiv w:val="1"/>
      <w:marLeft w:val="0"/>
      <w:marRight w:val="0"/>
      <w:marTop w:val="0"/>
      <w:marBottom w:val="0"/>
      <w:divBdr>
        <w:top w:val="none" w:sz="0" w:space="0" w:color="auto"/>
        <w:left w:val="none" w:sz="0" w:space="0" w:color="auto"/>
        <w:bottom w:val="none" w:sz="0" w:space="0" w:color="auto"/>
        <w:right w:val="none" w:sz="0" w:space="0" w:color="auto"/>
      </w:divBdr>
    </w:div>
    <w:div w:id="1093168798">
      <w:bodyDiv w:val="1"/>
      <w:marLeft w:val="0"/>
      <w:marRight w:val="0"/>
      <w:marTop w:val="0"/>
      <w:marBottom w:val="0"/>
      <w:divBdr>
        <w:top w:val="none" w:sz="0" w:space="0" w:color="auto"/>
        <w:left w:val="none" w:sz="0" w:space="0" w:color="auto"/>
        <w:bottom w:val="none" w:sz="0" w:space="0" w:color="auto"/>
        <w:right w:val="none" w:sz="0" w:space="0" w:color="auto"/>
      </w:divBdr>
    </w:div>
    <w:div w:id="116616905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9554">
      <w:bodyDiv w:val="1"/>
      <w:marLeft w:val="0"/>
      <w:marRight w:val="0"/>
      <w:marTop w:val="0"/>
      <w:marBottom w:val="0"/>
      <w:divBdr>
        <w:top w:val="none" w:sz="0" w:space="0" w:color="auto"/>
        <w:left w:val="none" w:sz="0" w:space="0" w:color="auto"/>
        <w:bottom w:val="none" w:sz="0" w:space="0" w:color="auto"/>
        <w:right w:val="none" w:sz="0" w:space="0" w:color="auto"/>
      </w:divBdr>
    </w:div>
    <w:div w:id="1192112308">
      <w:bodyDiv w:val="1"/>
      <w:marLeft w:val="0"/>
      <w:marRight w:val="0"/>
      <w:marTop w:val="0"/>
      <w:marBottom w:val="0"/>
      <w:divBdr>
        <w:top w:val="none" w:sz="0" w:space="0" w:color="auto"/>
        <w:left w:val="none" w:sz="0" w:space="0" w:color="auto"/>
        <w:bottom w:val="none" w:sz="0" w:space="0" w:color="auto"/>
        <w:right w:val="none" w:sz="0" w:space="0" w:color="auto"/>
      </w:divBdr>
    </w:div>
    <w:div w:id="1200776231">
      <w:bodyDiv w:val="1"/>
      <w:marLeft w:val="0"/>
      <w:marRight w:val="0"/>
      <w:marTop w:val="0"/>
      <w:marBottom w:val="0"/>
      <w:divBdr>
        <w:top w:val="none" w:sz="0" w:space="0" w:color="auto"/>
        <w:left w:val="none" w:sz="0" w:space="0" w:color="auto"/>
        <w:bottom w:val="none" w:sz="0" w:space="0" w:color="auto"/>
        <w:right w:val="none" w:sz="0" w:space="0" w:color="auto"/>
      </w:divBdr>
      <w:divsChild>
        <w:div w:id="71701644">
          <w:marLeft w:val="0"/>
          <w:marRight w:val="0"/>
          <w:marTop w:val="0"/>
          <w:marBottom w:val="0"/>
          <w:divBdr>
            <w:top w:val="none" w:sz="0" w:space="0" w:color="auto"/>
            <w:left w:val="none" w:sz="0" w:space="0" w:color="auto"/>
            <w:bottom w:val="none" w:sz="0" w:space="0" w:color="auto"/>
            <w:right w:val="none" w:sz="0" w:space="0" w:color="auto"/>
          </w:divBdr>
        </w:div>
      </w:divsChild>
    </w:div>
    <w:div w:id="1249533130">
      <w:bodyDiv w:val="1"/>
      <w:marLeft w:val="0"/>
      <w:marRight w:val="0"/>
      <w:marTop w:val="0"/>
      <w:marBottom w:val="0"/>
      <w:divBdr>
        <w:top w:val="none" w:sz="0" w:space="0" w:color="auto"/>
        <w:left w:val="none" w:sz="0" w:space="0" w:color="auto"/>
        <w:bottom w:val="none" w:sz="0" w:space="0" w:color="auto"/>
        <w:right w:val="none" w:sz="0" w:space="0" w:color="auto"/>
      </w:divBdr>
    </w:div>
    <w:div w:id="1288776927">
      <w:bodyDiv w:val="1"/>
      <w:marLeft w:val="0"/>
      <w:marRight w:val="0"/>
      <w:marTop w:val="0"/>
      <w:marBottom w:val="0"/>
      <w:divBdr>
        <w:top w:val="none" w:sz="0" w:space="0" w:color="auto"/>
        <w:left w:val="none" w:sz="0" w:space="0" w:color="auto"/>
        <w:bottom w:val="none" w:sz="0" w:space="0" w:color="auto"/>
        <w:right w:val="none" w:sz="0" w:space="0" w:color="auto"/>
      </w:divBdr>
    </w:div>
    <w:div w:id="1400245815">
      <w:bodyDiv w:val="1"/>
      <w:marLeft w:val="0"/>
      <w:marRight w:val="0"/>
      <w:marTop w:val="0"/>
      <w:marBottom w:val="0"/>
      <w:divBdr>
        <w:top w:val="none" w:sz="0" w:space="0" w:color="auto"/>
        <w:left w:val="none" w:sz="0" w:space="0" w:color="auto"/>
        <w:bottom w:val="none" w:sz="0" w:space="0" w:color="auto"/>
        <w:right w:val="none" w:sz="0" w:space="0" w:color="auto"/>
      </w:divBdr>
      <w:divsChild>
        <w:div w:id="370737174">
          <w:marLeft w:val="0"/>
          <w:marRight w:val="0"/>
          <w:marTop w:val="0"/>
          <w:marBottom w:val="0"/>
          <w:divBdr>
            <w:top w:val="none" w:sz="0" w:space="0" w:color="auto"/>
            <w:left w:val="none" w:sz="0" w:space="0" w:color="auto"/>
            <w:bottom w:val="none" w:sz="0" w:space="0" w:color="auto"/>
            <w:right w:val="none" w:sz="0" w:space="0" w:color="auto"/>
          </w:divBdr>
          <w:divsChild>
            <w:div w:id="541092265">
              <w:marLeft w:val="0"/>
              <w:marRight w:val="0"/>
              <w:marTop w:val="0"/>
              <w:marBottom w:val="0"/>
              <w:divBdr>
                <w:top w:val="none" w:sz="0" w:space="0" w:color="auto"/>
                <w:left w:val="none" w:sz="0" w:space="0" w:color="auto"/>
                <w:bottom w:val="none" w:sz="0" w:space="0" w:color="auto"/>
                <w:right w:val="none" w:sz="0" w:space="0" w:color="auto"/>
              </w:divBdr>
              <w:divsChild>
                <w:div w:id="1533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10758">
      <w:bodyDiv w:val="1"/>
      <w:marLeft w:val="0"/>
      <w:marRight w:val="0"/>
      <w:marTop w:val="0"/>
      <w:marBottom w:val="0"/>
      <w:divBdr>
        <w:top w:val="none" w:sz="0" w:space="0" w:color="auto"/>
        <w:left w:val="none" w:sz="0" w:space="0" w:color="auto"/>
        <w:bottom w:val="none" w:sz="0" w:space="0" w:color="auto"/>
        <w:right w:val="none" w:sz="0" w:space="0" w:color="auto"/>
      </w:divBdr>
    </w:div>
    <w:div w:id="1431782771">
      <w:bodyDiv w:val="1"/>
      <w:marLeft w:val="0"/>
      <w:marRight w:val="0"/>
      <w:marTop w:val="0"/>
      <w:marBottom w:val="0"/>
      <w:divBdr>
        <w:top w:val="none" w:sz="0" w:space="0" w:color="auto"/>
        <w:left w:val="none" w:sz="0" w:space="0" w:color="auto"/>
        <w:bottom w:val="none" w:sz="0" w:space="0" w:color="auto"/>
        <w:right w:val="none" w:sz="0" w:space="0" w:color="auto"/>
      </w:divBdr>
    </w:div>
    <w:div w:id="1441953094">
      <w:bodyDiv w:val="1"/>
      <w:marLeft w:val="0"/>
      <w:marRight w:val="0"/>
      <w:marTop w:val="0"/>
      <w:marBottom w:val="0"/>
      <w:divBdr>
        <w:top w:val="none" w:sz="0" w:space="0" w:color="auto"/>
        <w:left w:val="none" w:sz="0" w:space="0" w:color="auto"/>
        <w:bottom w:val="none" w:sz="0" w:space="0" w:color="auto"/>
        <w:right w:val="none" w:sz="0" w:space="0" w:color="auto"/>
      </w:divBdr>
      <w:divsChild>
        <w:div w:id="297535015">
          <w:marLeft w:val="0"/>
          <w:marRight w:val="0"/>
          <w:marTop w:val="0"/>
          <w:marBottom w:val="0"/>
          <w:divBdr>
            <w:top w:val="none" w:sz="0" w:space="0" w:color="auto"/>
            <w:left w:val="none" w:sz="0" w:space="0" w:color="auto"/>
            <w:bottom w:val="none" w:sz="0" w:space="0" w:color="auto"/>
            <w:right w:val="none" w:sz="0" w:space="0" w:color="auto"/>
          </w:divBdr>
        </w:div>
        <w:div w:id="524250372">
          <w:marLeft w:val="0"/>
          <w:marRight w:val="0"/>
          <w:marTop w:val="0"/>
          <w:marBottom w:val="0"/>
          <w:divBdr>
            <w:top w:val="none" w:sz="0" w:space="0" w:color="auto"/>
            <w:left w:val="none" w:sz="0" w:space="0" w:color="auto"/>
            <w:bottom w:val="none" w:sz="0" w:space="0" w:color="auto"/>
            <w:right w:val="none" w:sz="0" w:space="0" w:color="auto"/>
          </w:divBdr>
        </w:div>
        <w:div w:id="568619692">
          <w:marLeft w:val="0"/>
          <w:marRight w:val="0"/>
          <w:marTop w:val="0"/>
          <w:marBottom w:val="0"/>
          <w:divBdr>
            <w:top w:val="none" w:sz="0" w:space="0" w:color="auto"/>
            <w:left w:val="none" w:sz="0" w:space="0" w:color="auto"/>
            <w:bottom w:val="none" w:sz="0" w:space="0" w:color="auto"/>
            <w:right w:val="none" w:sz="0" w:space="0" w:color="auto"/>
          </w:divBdr>
        </w:div>
        <w:div w:id="913010312">
          <w:marLeft w:val="0"/>
          <w:marRight w:val="0"/>
          <w:marTop w:val="0"/>
          <w:marBottom w:val="0"/>
          <w:divBdr>
            <w:top w:val="none" w:sz="0" w:space="0" w:color="auto"/>
            <w:left w:val="none" w:sz="0" w:space="0" w:color="auto"/>
            <w:bottom w:val="none" w:sz="0" w:space="0" w:color="auto"/>
            <w:right w:val="none" w:sz="0" w:space="0" w:color="auto"/>
          </w:divBdr>
        </w:div>
        <w:div w:id="1245644199">
          <w:marLeft w:val="0"/>
          <w:marRight w:val="0"/>
          <w:marTop w:val="0"/>
          <w:marBottom w:val="0"/>
          <w:divBdr>
            <w:top w:val="none" w:sz="0" w:space="0" w:color="auto"/>
            <w:left w:val="none" w:sz="0" w:space="0" w:color="auto"/>
            <w:bottom w:val="none" w:sz="0" w:space="0" w:color="auto"/>
            <w:right w:val="none" w:sz="0" w:space="0" w:color="auto"/>
          </w:divBdr>
        </w:div>
        <w:div w:id="1542671091">
          <w:marLeft w:val="0"/>
          <w:marRight w:val="0"/>
          <w:marTop w:val="0"/>
          <w:marBottom w:val="0"/>
          <w:divBdr>
            <w:top w:val="none" w:sz="0" w:space="0" w:color="auto"/>
            <w:left w:val="none" w:sz="0" w:space="0" w:color="auto"/>
            <w:bottom w:val="none" w:sz="0" w:space="0" w:color="auto"/>
            <w:right w:val="none" w:sz="0" w:space="0" w:color="auto"/>
          </w:divBdr>
        </w:div>
        <w:div w:id="1846162901">
          <w:marLeft w:val="0"/>
          <w:marRight w:val="0"/>
          <w:marTop w:val="0"/>
          <w:marBottom w:val="0"/>
          <w:divBdr>
            <w:top w:val="none" w:sz="0" w:space="0" w:color="auto"/>
            <w:left w:val="none" w:sz="0" w:space="0" w:color="auto"/>
            <w:bottom w:val="none" w:sz="0" w:space="0" w:color="auto"/>
            <w:right w:val="none" w:sz="0" w:space="0" w:color="auto"/>
          </w:divBdr>
        </w:div>
      </w:divsChild>
    </w:div>
    <w:div w:id="1487089085">
      <w:bodyDiv w:val="1"/>
      <w:marLeft w:val="0"/>
      <w:marRight w:val="0"/>
      <w:marTop w:val="0"/>
      <w:marBottom w:val="0"/>
      <w:divBdr>
        <w:top w:val="none" w:sz="0" w:space="0" w:color="auto"/>
        <w:left w:val="none" w:sz="0" w:space="0" w:color="auto"/>
        <w:bottom w:val="none" w:sz="0" w:space="0" w:color="auto"/>
        <w:right w:val="none" w:sz="0" w:space="0" w:color="auto"/>
      </w:divBdr>
    </w:div>
    <w:div w:id="1519923364">
      <w:bodyDiv w:val="1"/>
      <w:marLeft w:val="0"/>
      <w:marRight w:val="0"/>
      <w:marTop w:val="0"/>
      <w:marBottom w:val="0"/>
      <w:divBdr>
        <w:top w:val="none" w:sz="0" w:space="0" w:color="auto"/>
        <w:left w:val="none" w:sz="0" w:space="0" w:color="auto"/>
        <w:bottom w:val="none" w:sz="0" w:space="0" w:color="auto"/>
        <w:right w:val="none" w:sz="0" w:space="0" w:color="auto"/>
      </w:divBdr>
    </w:div>
    <w:div w:id="1537351904">
      <w:bodyDiv w:val="1"/>
      <w:marLeft w:val="0"/>
      <w:marRight w:val="0"/>
      <w:marTop w:val="0"/>
      <w:marBottom w:val="0"/>
      <w:divBdr>
        <w:top w:val="none" w:sz="0" w:space="0" w:color="auto"/>
        <w:left w:val="none" w:sz="0" w:space="0" w:color="auto"/>
        <w:bottom w:val="none" w:sz="0" w:space="0" w:color="auto"/>
        <w:right w:val="none" w:sz="0" w:space="0" w:color="auto"/>
      </w:divBdr>
      <w:divsChild>
        <w:div w:id="368917574">
          <w:marLeft w:val="0"/>
          <w:marRight w:val="0"/>
          <w:marTop w:val="0"/>
          <w:marBottom w:val="0"/>
          <w:divBdr>
            <w:top w:val="none" w:sz="0" w:space="0" w:color="auto"/>
            <w:left w:val="none" w:sz="0" w:space="0" w:color="auto"/>
            <w:bottom w:val="none" w:sz="0" w:space="0" w:color="auto"/>
            <w:right w:val="none" w:sz="0" w:space="0" w:color="auto"/>
          </w:divBdr>
        </w:div>
      </w:divsChild>
    </w:div>
    <w:div w:id="1618557747">
      <w:bodyDiv w:val="1"/>
      <w:marLeft w:val="0"/>
      <w:marRight w:val="0"/>
      <w:marTop w:val="0"/>
      <w:marBottom w:val="0"/>
      <w:divBdr>
        <w:top w:val="none" w:sz="0" w:space="0" w:color="auto"/>
        <w:left w:val="none" w:sz="0" w:space="0" w:color="auto"/>
        <w:bottom w:val="none" w:sz="0" w:space="0" w:color="auto"/>
        <w:right w:val="none" w:sz="0" w:space="0" w:color="auto"/>
      </w:divBdr>
    </w:div>
    <w:div w:id="1713573530">
      <w:bodyDiv w:val="1"/>
      <w:marLeft w:val="0"/>
      <w:marRight w:val="0"/>
      <w:marTop w:val="0"/>
      <w:marBottom w:val="0"/>
      <w:divBdr>
        <w:top w:val="none" w:sz="0" w:space="0" w:color="auto"/>
        <w:left w:val="none" w:sz="0" w:space="0" w:color="auto"/>
        <w:bottom w:val="none" w:sz="0" w:space="0" w:color="auto"/>
        <w:right w:val="none" w:sz="0" w:space="0" w:color="auto"/>
      </w:divBdr>
    </w:div>
    <w:div w:id="1754626398">
      <w:bodyDiv w:val="1"/>
      <w:marLeft w:val="0"/>
      <w:marRight w:val="0"/>
      <w:marTop w:val="0"/>
      <w:marBottom w:val="0"/>
      <w:divBdr>
        <w:top w:val="none" w:sz="0" w:space="0" w:color="auto"/>
        <w:left w:val="none" w:sz="0" w:space="0" w:color="auto"/>
        <w:bottom w:val="none" w:sz="0" w:space="0" w:color="auto"/>
        <w:right w:val="none" w:sz="0" w:space="0" w:color="auto"/>
      </w:divBdr>
    </w:div>
    <w:div w:id="1852137262">
      <w:bodyDiv w:val="1"/>
      <w:marLeft w:val="0"/>
      <w:marRight w:val="0"/>
      <w:marTop w:val="0"/>
      <w:marBottom w:val="0"/>
      <w:divBdr>
        <w:top w:val="none" w:sz="0" w:space="0" w:color="auto"/>
        <w:left w:val="none" w:sz="0" w:space="0" w:color="auto"/>
        <w:bottom w:val="none" w:sz="0" w:space="0" w:color="auto"/>
        <w:right w:val="none" w:sz="0" w:space="0" w:color="auto"/>
      </w:divBdr>
    </w:div>
    <w:div w:id="190324702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26439138">
      <w:bodyDiv w:val="1"/>
      <w:marLeft w:val="0"/>
      <w:marRight w:val="0"/>
      <w:marTop w:val="0"/>
      <w:marBottom w:val="0"/>
      <w:divBdr>
        <w:top w:val="none" w:sz="0" w:space="0" w:color="auto"/>
        <w:left w:val="none" w:sz="0" w:space="0" w:color="auto"/>
        <w:bottom w:val="none" w:sz="0" w:space="0" w:color="auto"/>
        <w:right w:val="none" w:sz="0" w:space="0" w:color="auto"/>
      </w:divBdr>
    </w:div>
    <w:div w:id="2043818064">
      <w:bodyDiv w:val="1"/>
      <w:marLeft w:val="0"/>
      <w:marRight w:val="0"/>
      <w:marTop w:val="0"/>
      <w:marBottom w:val="0"/>
      <w:divBdr>
        <w:top w:val="none" w:sz="0" w:space="0" w:color="auto"/>
        <w:left w:val="none" w:sz="0" w:space="0" w:color="auto"/>
        <w:bottom w:val="none" w:sz="0" w:space="0" w:color="auto"/>
        <w:right w:val="none" w:sz="0" w:space="0" w:color="auto"/>
      </w:divBdr>
    </w:div>
    <w:div w:id="2093817697">
      <w:bodyDiv w:val="1"/>
      <w:marLeft w:val="0"/>
      <w:marRight w:val="0"/>
      <w:marTop w:val="0"/>
      <w:marBottom w:val="0"/>
      <w:divBdr>
        <w:top w:val="none" w:sz="0" w:space="0" w:color="auto"/>
        <w:left w:val="none" w:sz="0" w:space="0" w:color="auto"/>
        <w:bottom w:val="none" w:sz="0" w:space="0" w:color="auto"/>
        <w:right w:val="none" w:sz="0" w:space="0" w:color="auto"/>
      </w:divBdr>
    </w:div>
    <w:div w:id="21263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E45CB-50F5-4035-939B-185620E6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11976</Words>
  <Characters>67199</Characters>
  <Application>Microsoft Office Word</Application>
  <DocSecurity>0</DocSecurity>
  <Lines>559</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2020-10-27T08:05:00Z</dcterms:created>
  <dcterms:modified xsi:type="dcterms:W3CDTF">2020-10-27T08:05:00Z</dcterms:modified>
  <cp:category/>
</cp:coreProperties>
</file>