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F16CCD" w:rsidRDefault="005A531E" w:rsidP="004249D0">
      <w:pPr>
        <w:pStyle w:val="Title"/>
      </w:pPr>
      <w:r>
        <w:t>7.14</w:t>
      </w:r>
      <w:r w:rsidR="007C0F57" w:rsidRPr="006D6EC7">
        <w:tab/>
      </w:r>
      <w:r w:rsidRPr="005A531E">
        <w:t>BEVACIZUMAB</w:t>
      </w:r>
      <w:r w:rsidR="004249D0">
        <w:t xml:space="preserve"> </w:t>
      </w:r>
      <w:r w:rsidR="004249D0">
        <w:br/>
      </w:r>
      <w:r w:rsidR="00356B12">
        <w:t>solution for I</w:t>
      </w:r>
      <w:r w:rsidRPr="005A531E">
        <w:t xml:space="preserve">V use, 100mg in 4ml and 400mg in 16ml </w:t>
      </w:r>
      <w:r w:rsidR="004249D0">
        <w:br/>
      </w:r>
      <w:r w:rsidRPr="005A531E">
        <w:t>A</w:t>
      </w:r>
      <w:r>
        <w:t>vastin®, Roche Products Pty Ltd</w:t>
      </w:r>
    </w:p>
    <w:p w:rsidR="00CE10C4" w:rsidRDefault="00CE10C4" w:rsidP="00F57FCB">
      <w:pPr>
        <w:pStyle w:val="NoSpacing"/>
      </w:pPr>
    </w:p>
    <w:p w:rsidR="004B19D3" w:rsidRDefault="004B19D3" w:rsidP="00F57FCB">
      <w:pPr>
        <w:pStyle w:val="NoSpacing"/>
      </w:pPr>
    </w:p>
    <w:p w:rsidR="00CE10C4" w:rsidRPr="00F16CCD" w:rsidRDefault="00CE10C4" w:rsidP="00F16CCD">
      <w:pPr>
        <w:pStyle w:val="Heading1"/>
      </w:pPr>
      <w:r w:rsidRPr="00F16CCD">
        <w:t xml:space="preserve">Purpose of </w:t>
      </w:r>
      <w:r w:rsidR="0004240E" w:rsidRPr="00F16CCD">
        <w:t>Application</w:t>
      </w:r>
    </w:p>
    <w:p w:rsidR="006A12A5" w:rsidRPr="00CE3B29" w:rsidRDefault="006A12A5" w:rsidP="00F57FCB">
      <w:pPr>
        <w:jc w:val="both"/>
        <w:rPr>
          <w:rFonts w:ascii="Arial" w:hAnsi="Arial"/>
          <w:sz w:val="22"/>
          <w:szCs w:val="22"/>
        </w:rPr>
      </w:pPr>
    </w:p>
    <w:p w:rsidR="009D4511" w:rsidRPr="00CE3B29" w:rsidRDefault="00EF44A0" w:rsidP="00F57FCB">
      <w:pPr>
        <w:pStyle w:val="ListParagraph"/>
        <w:numPr>
          <w:ilvl w:val="1"/>
          <w:numId w:val="25"/>
        </w:numPr>
        <w:jc w:val="both"/>
        <w:rPr>
          <w:rFonts w:ascii="Arial" w:hAnsi="Arial"/>
          <w:sz w:val="22"/>
          <w:szCs w:val="22"/>
        </w:rPr>
      </w:pPr>
      <w:r w:rsidRPr="00CE3B29">
        <w:rPr>
          <w:rFonts w:ascii="Arial" w:hAnsi="Arial"/>
          <w:sz w:val="22"/>
          <w:szCs w:val="22"/>
        </w:rPr>
        <w:t>The mi</w:t>
      </w:r>
      <w:r w:rsidR="00FF2801" w:rsidRPr="00CE3B29">
        <w:rPr>
          <w:rFonts w:ascii="Arial" w:hAnsi="Arial"/>
          <w:sz w:val="22"/>
          <w:szCs w:val="22"/>
        </w:rPr>
        <w:t xml:space="preserve">nor </w:t>
      </w:r>
      <w:r w:rsidR="003A2D09" w:rsidRPr="00CE3B29">
        <w:rPr>
          <w:rFonts w:ascii="Arial" w:hAnsi="Arial"/>
          <w:sz w:val="22"/>
          <w:szCs w:val="22"/>
        </w:rPr>
        <w:t>re-</w:t>
      </w:r>
      <w:r w:rsidR="00FF2801" w:rsidRPr="00CE3B29">
        <w:rPr>
          <w:rFonts w:ascii="Arial" w:hAnsi="Arial"/>
          <w:sz w:val="22"/>
          <w:szCs w:val="22"/>
        </w:rPr>
        <w:t xml:space="preserve">submission </w:t>
      </w:r>
      <w:r w:rsidR="003A2D09" w:rsidRPr="00CE3B29">
        <w:rPr>
          <w:rFonts w:ascii="Arial" w:hAnsi="Arial"/>
          <w:sz w:val="22"/>
          <w:szCs w:val="22"/>
        </w:rPr>
        <w:t>requested a Section 100, Authority Required (STREAMLINED) listing for bevacizumab in combination with platinum-based chemotherapy or topotecan plus paclitaxel for the treatment of persistent, recurrent or metastatic cervical cancer not amenable to curative treatment with surgery and/or radiation.</w:t>
      </w:r>
    </w:p>
    <w:p w:rsidR="00EF44A0" w:rsidRPr="00CE3B29" w:rsidRDefault="00EF44A0" w:rsidP="00F57FCB">
      <w:pPr>
        <w:pStyle w:val="NoSpacing"/>
      </w:pPr>
    </w:p>
    <w:p w:rsidR="00FD629A" w:rsidRPr="00CE3B29" w:rsidRDefault="00FD629A" w:rsidP="00F57FCB">
      <w:pPr>
        <w:pStyle w:val="NoSpacing"/>
      </w:pPr>
    </w:p>
    <w:p w:rsidR="00614159" w:rsidRPr="00CE3B29" w:rsidRDefault="006A12A5" w:rsidP="00F16CCD">
      <w:pPr>
        <w:pStyle w:val="Heading1"/>
      </w:pPr>
      <w:r w:rsidRPr="00CE3B29">
        <w:t>Requested listing</w:t>
      </w:r>
    </w:p>
    <w:p w:rsidR="006A12A5" w:rsidRPr="00CE3B29" w:rsidRDefault="006A12A5" w:rsidP="00F57FCB">
      <w:pPr>
        <w:jc w:val="both"/>
        <w:rPr>
          <w:rFonts w:ascii="Arial" w:hAnsi="Arial"/>
          <w:b/>
          <w:sz w:val="22"/>
          <w:szCs w:val="22"/>
        </w:rPr>
      </w:pPr>
    </w:p>
    <w:p w:rsidR="00826F6D" w:rsidRPr="00CE3B29" w:rsidRDefault="00EF44A0" w:rsidP="00F57FCB">
      <w:pPr>
        <w:pStyle w:val="ListParagraph"/>
        <w:numPr>
          <w:ilvl w:val="1"/>
          <w:numId w:val="25"/>
        </w:numPr>
        <w:jc w:val="both"/>
        <w:rPr>
          <w:rFonts w:ascii="Arial" w:hAnsi="Arial"/>
          <w:sz w:val="22"/>
          <w:szCs w:val="22"/>
        </w:rPr>
      </w:pPr>
      <w:r w:rsidRPr="00CE3B29">
        <w:rPr>
          <w:rFonts w:ascii="Arial" w:hAnsi="Arial"/>
          <w:sz w:val="22"/>
          <w:szCs w:val="22"/>
        </w:rPr>
        <w:t>The submission</w:t>
      </w:r>
      <w:r w:rsidR="00441C32" w:rsidRPr="00CE3B29">
        <w:rPr>
          <w:rFonts w:ascii="Arial" w:hAnsi="Arial"/>
          <w:sz w:val="22"/>
          <w:szCs w:val="22"/>
        </w:rPr>
        <w:t xml:space="preserve"> did not explicitly request</w:t>
      </w:r>
      <w:r w:rsidRPr="00CE3B29">
        <w:rPr>
          <w:rFonts w:ascii="Arial" w:hAnsi="Arial"/>
          <w:sz w:val="22"/>
          <w:szCs w:val="22"/>
        </w:rPr>
        <w:t xml:space="preserve"> the </w:t>
      </w:r>
      <w:r w:rsidR="00356B12" w:rsidRPr="00CE3B29">
        <w:rPr>
          <w:rFonts w:ascii="Arial" w:hAnsi="Arial"/>
          <w:sz w:val="22"/>
          <w:szCs w:val="22"/>
        </w:rPr>
        <w:t>same restriction</w:t>
      </w:r>
      <w:r w:rsidR="009D4511" w:rsidRPr="00CE3B29">
        <w:rPr>
          <w:rFonts w:ascii="Arial" w:hAnsi="Arial"/>
          <w:sz w:val="22"/>
          <w:szCs w:val="22"/>
        </w:rPr>
        <w:t xml:space="preserve"> </w:t>
      </w:r>
      <w:r w:rsidR="00441C32" w:rsidRPr="00CE3B29">
        <w:rPr>
          <w:rFonts w:ascii="Arial" w:hAnsi="Arial"/>
          <w:sz w:val="22"/>
          <w:szCs w:val="22"/>
        </w:rPr>
        <w:t>as</w:t>
      </w:r>
      <w:r w:rsidR="00356B12" w:rsidRPr="00CE3B29">
        <w:rPr>
          <w:rFonts w:ascii="Arial" w:hAnsi="Arial"/>
          <w:sz w:val="22"/>
          <w:szCs w:val="22"/>
        </w:rPr>
        <w:t xml:space="preserve"> the</w:t>
      </w:r>
      <w:r w:rsidR="009D4511" w:rsidRPr="00CE3B29">
        <w:rPr>
          <w:rFonts w:ascii="Arial" w:hAnsi="Arial"/>
          <w:sz w:val="22"/>
          <w:szCs w:val="22"/>
        </w:rPr>
        <w:t xml:space="preserve"> November 2015</w:t>
      </w:r>
      <w:r w:rsidR="00441C32" w:rsidRPr="00CE3B29">
        <w:rPr>
          <w:rFonts w:ascii="Arial" w:hAnsi="Arial"/>
          <w:sz w:val="22"/>
          <w:szCs w:val="22"/>
        </w:rPr>
        <w:t xml:space="preserve"> submission. At the November meeting, the PBAC further considered that the resubmission should define a patient population who would be eligible</w:t>
      </w:r>
      <w:r w:rsidR="009726A7" w:rsidRPr="00CE3B29">
        <w:rPr>
          <w:rFonts w:ascii="Arial" w:hAnsi="Arial"/>
          <w:sz w:val="22"/>
          <w:szCs w:val="22"/>
        </w:rPr>
        <w:t xml:space="preserve"> [for bevacizumab]</w:t>
      </w:r>
      <w:r w:rsidR="00441C32" w:rsidRPr="00CE3B29">
        <w:rPr>
          <w:rFonts w:ascii="Arial" w:hAnsi="Arial"/>
          <w:sz w:val="22"/>
          <w:szCs w:val="22"/>
        </w:rPr>
        <w:t xml:space="preserve"> [November PBAC </w:t>
      </w:r>
      <w:r w:rsidR="00055494">
        <w:rPr>
          <w:rFonts w:ascii="Arial" w:hAnsi="Arial"/>
          <w:sz w:val="22"/>
          <w:szCs w:val="22"/>
        </w:rPr>
        <w:t>Public Summary Document</w:t>
      </w:r>
      <w:r w:rsidR="00441C32" w:rsidRPr="00CE3B29">
        <w:rPr>
          <w:rFonts w:ascii="Arial" w:hAnsi="Arial"/>
          <w:sz w:val="22"/>
          <w:szCs w:val="22"/>
        </w:rPr>
        <w:t xml:space="preserve">, 7.12]. </w:t>
      </w:r>
      <w:r w:rsidR="009726A7" w:rsidRPr="00CE3B29">
        <w:rPr>
          <w:rFonts w:ascii="Arial" w:hAnsi="Arial"/>
          <w:sz w:val="22"/>
          <w:szCs w:val="22"/>
        </w:rPr>
        <w:t>As t</w:t>
      </w:r>
      <w:r w:rsidR="00441C32" w:rsidRPr="00CE3B29">
        <w:rPr>
          <w:rFonts w:ascii="Arial" w:hAnsi="Arial"/>
          <w:sz w:val="22"/>
          <w:szCs w:val="22"/>
        </w:rPr>
        <w:t xml:space="preserve">he minor re-submission </w:t>
      </w:r>
      <w:r w:rsidR="009726A7" w:rsidRPr="00CE3B29">
        <w:rPr>
          <w:rFonts w:ascii="Arial" w:hAnsi="Arial"/>
          <w:sz w:val="22"/>
          <w:szCs w:val="22"/>
        </w:rPr>
        <w:t>did not discuss the patient pop</w:t>
      </w:r>
      <w:r w:rsidR="004A2474">
        <w:rPr>
          <w:rFonts w:ascii="Arial" w:hAnsi="Arial"/>
          <w:sz w:val="22"/>
          <w:szCs w:val="22"/>
        </w:rPr>
        <w:t>ulation, the requested listing was</w:t>
      </w:r>
      <w:r w:rsidR="009726A7" w:rsidRPr="00CE3B29">
        <w:rPr>
          <w:rFonts w:ascii="Arial" w:hAnsi="Arial"/>
          <w:sz w:val="22"/>
          <w:szCs w:val="22"/>
        </w:rPr>
        <w:t xml:space="preserve"> assumed to be </w:t>
      </w:r>
      <w:r w:rsidR="004F0FA4" w:rsidRPr="00CE3B29">
        <w:rPr>
          <w:rFonts w:ascii="Arial" w:hAnsi="Arial"/>
          <w:sz w:val="22"/>
          <w:szCs w:val="22"/>
        </w:rPr>
        <w:t xml:space="preserve">that </w:t>
      </w:r>
      <w:r w:rsidR="009726A7" w:rsidRPr="00CE3B29">
        <w:rPr>
          <w:rFonts w:ascii="Arial" w:hAnsi="Arial"/>
          <w:sz w:val="22"/>
          <w:szCs w:val="22"/>
        </w:rPr>
        <w:t>considered at the November 2015 meeting.</w:t>
      </w:r>
      <w:r w:rsidR="00A3178A" w:rsidRPr="00CE3B29">
        <w:rPr>
          <w:rFonts w:ascii="Arial" w:hAnsi="Arial"/>
          <w:sz w:val="22"/>
          <w:szCs w:val="22"/>
        </w:rPr>
        <w:t xml:space="preserve"> </w:t>
      </w:r>
    </w:p>
    <w:p w:rsidR="00BB7EC3" w:rsidRPr="00CE3B29" w:rsidRDefault="00BB7EC3" w:rsidP="00F57FCB">
      <w:pPr>
        <w:jc w:val="both"/>
        <w:rPr>
          <w:rFonts w:ascii="Arial" w:hAnsi="Arial"/>
          <w:b/>
          <w:sz w:val="22"/>
          <w:szCs w:val="22"/>
        </w:rPr>
      </w:pPr>
    </w:p>
    <w:p w:rsidR="00CE10C4" w:rsidRPr="00CE3B29" w:rsidRDefault="00CE10C4" w:rsidP="00F16CCD">
      <w:pPr>
        <w:pStyle w:val="Heading1"/>
      </w:pPr>
      <w:r w:rsidRPr="00CE3B29">
        <w:t>Background</w:t>
      </w:r>
    </w:p>
    <w:p w:rsidR="006A12A5" w:rsidRPr="00CE3B29" w:rsidRDefault="006A12A5" w:rsidP="00F57FCB">
      <w:pPr>
        <w:jc w:val="both"/>
        <w:rPr>
          <w:rFonts w:ascii="Arial" w:hAnsi="Arial"/>
          <w:sz w:val="22"/>
          <w:szCs w:val="22"/>
        </w:rPr>
      </w:pPr>
    </w:p>
    <w:p w:rsidR="00206688" w:rsidRPr="00CE3B29" w:rsidRDefault="00206688" w:rsidP="00F57FCB">
      <w:pPr>
        <w:pStyle w:val="ListParagraph"/>
        <w:numPr>
          <w:ilvl w:val="1"/>
          <w:numId w:val="25"/>
        </w:numPr>
        <w:jc w:val="both"/>
        <w:rPr>
          <w:rFonts w:ascii="Arial" w:hAnsi="Arial"/>
          <w:sz w:val="22"/>
          <w:szCs w:val="22"/>
        </w:rPr>
      </w:pPr>
      <w:r w:rsidRPr="00CE3B29">
        <w:rPr>
          <w:rFonts w:ascii="Arial" w:hAnsi="Arial"/>
          <w:sz w:val="22"/>
          <w:szCs w:val="22"/>
        </w:rPr>
        <w:t xml:space="preserve">Bevacizumab received orphan drug designation from the TGA for the treatment of persistent, recurrent or stage IV carcinoma of the cervix in April 2014. The indication recommended at the Advisory Committee on Prescription Medicines (ACPM) meeting on 5 June 2015 is: </w:t>
      </w:r>
    </w:p>
    <w:p w:rsidR="00206688" w:rsidRPr="00CE3B29" w:rsidRDefault="00206688" w:rsidP="00F57FCB">
      <w:pPr>
        <w:pStyle w:val="ListParagraph"/>
        <w:numPr>
          <w:ilvl w:val="0"/>
          <w:numId w:val="51"/>
        </w:numPr>
        <w:jc w:val="both"/>
        <w:rPr>
          <w:rFonts w:ascii="Arial" w:hAnsi="Arial"/>
          <w:sz w:val="22"/>
          <w:szCs w:val="22"/>
        </w:rPr>
      </w:pPr>
      <w:r w:rsidRPr="00CE3B29">
        <w:rPr>
          <w:rFonts w:ascii="Arial" w:hAnsi="Arial"/>
          <w:sz w:val="22"/>
          <w:szCs w:val="22"/>
        </w:rPr>
        <w:t>Bevacizumab in combination with paclitaxel and cisplatin is indicated for the treatment of persistent, recurrent or metastatic carcinoma of the cervix.</w:t>
      </w:r>
    </w:p>
    <w:p w:rsidR="00206688" w:rsidRPr="00CE3B29" w:rsidRDefault="00206688" w:rsidP="00F57FCB">
      <w:pPr>
        <w:pStyle w:val="ListParagraph"/>
        <w:numPr>
          <w:ilvl w:val="0"/>
          <w:numId w:val="51"/>
        </w:numPr>
        <w:jc w:val="both"/>
        <w:rPr>
          <w:rFonts w:ascii="Arial" w:hAnsi="Arial"/>
          <w:sz w:val="22"/>
          <w:szCs w:val="22"/>
        </w:rPr>
      </w:pPr>
      <w:r w:rsidRPr="00CE3B29">
        <w:rPr>
          <w:rFonts w:ascii="Arial" w:hAnsi="Arial"/>
          <w:sz w:val="22"/>
          <w:szCs w:val="22"/>
        </w:rPr>
        <w:t xml:space="preserve">Bevacizumab in combination with paclitaxel and topotecan is an acceptable alternative where cisplatin is not tolerated or not indicated. </w:t>
      </w:r>
    </w:p>
    <w:p w:rsidR="00206688" w:rsidRPr="00CE3B29" w:rsidRDefault="00206688" w:rsidP="00F57FCB">
      <w:pPr>
        <w:pStyle w:val="ListParagraph"/>
        <w:jc w:val="both"/>
        <w:rPr>
          <w:rFonts w:ascii="Arial" w:hAnsi="Arial"/>
          <w:sz w:val="22"/>
          <w:szCs w:val="22"/>
        </w:rPr>
      </w:pPr>
    </w:p>
    <w:p w:rsidR="002B1AE6" w:rsidRPr="00CE3B29" w:rsidRDefault="00206688" w:rsidP="00F57FCB">
      <w:pPr>
        <w:pStyle w:val="ListParagraph"/>
        <w:numPr>
          <w:ilvl w:val="0"/>
          <w:numId w:val="51"/>
        </w:numPr>
        <w:jc w:val="both"/>
        <w:rPr>
          <w:rFonts w:ascii="Arial" w:hAnsi="Arial"/>
          <w:sz w:val="22"/>
          <w:szCs w:val="22"/>
        </w:rPr>
      </w:pPr>
      <w:r w:rsidRPr="00CE3B29">
        <w:rPr>
          <w:rFonts w:ascii="Arial" w:hAnsi="Arial"/>
          <w:sz w:val="22"/>
          <w:szCs w:val="22"/>
        </w:rPr>
        <w:t>ARTG registration was granted in October 2015.</w:t>
      </w:r>
      <w:r w:rsidR="002B1AE6" w:rsidRPr="00CE3B29">
        <w:rPr>
          <w:rFonts w:ascii="Arial" w:hAnsi="Arial"/>
          <w:sz w:val="22"/>
          <w:szCs w:val="22"/>
        </w:rPr>
        <w:t xml:space="preserve"> </w:t>
      </w:r>
    </w:p>
    <w:p w:rsidR="006B0D94" w:rsidRPr="00CE3B29" w:rsidRDefault="006B0D94" w:rsidP="00F57FCB">
      <w:pPr>
        <w:pStyle w:val="ListParagraph"/>
        <w:jc w:val="both"/>
        <w:rPr>
          <w:rFonts w:ascii="Arial" w:hAnsi="Arial"/>
          <w:sz w:val="22"/>
          <w:szCs w:val="22"/>
        </w:rPr>
      </w:pPr>
    </w:p>
    <w:p w:rsidR="006113DD" w:rsidRPr="00CE3B29" w:rsidRDefault="005E1FA2" w:rsidP="00F57FCB">
      <w:pPr>
        <w:pStyle w:val="ListParagraph"/>
        <w:numPr>
          <w:ilvl w:val="1"/>
          <w:numId w:val="25"/>
        </w:numPr>
        <w:jc w:val="both"/>
        <w:rPr>
          <w:rFonts w:ascii="Arial" w:hAnsi="Arial"/>
          <w:sz w:val="22"/>
          <w:szCs w:val="22"/>
        </w:rPr>
      </w:pPr>
      <w:r w:rsidRPr="00CE3B29">
        <w:rPr>
          <w:rFonts w:ascii="Arial" w:hAnsi="Arial" w:cs="Arial"/>
          <w:sz w:val="22"/>
          <w:szCs w:val="22"/>
        </w:rPr>
        <w:t>This is the second submission for b</w:t>
      </w:r>
      <w:r w:rsidR="00206688" w:rsidRPr="00CE3B29">
        <w:rPr>
          <w:rFonts w:ascii="Arial" w:hAnsi="Arial" w:cs="Arial"/>
          <w:sz w:val="22"/>
          <w:szCs w:val="22"/>
        </w:rPr>
        <w:t xml:space="preserve">evacizumab </w:t>
      </w:r>
      <w:r w:rsidR="006113DD" w:rsidRPr="00CE3B29">
        <w:rPr>
          <w:rFonts w:ascii="Arial" w:hAnsi="Arial" w:cs="Arial"/>
          <w:sz w:val="22"/>
          <w:szCs w:val="22"/>
        </w:rPr>
        <w:t>for this indication</w:t>
      </w:r>
      <w:r w:rsidRPr="00CE3B29">
        <w:rPr>
          <w:rFonts w:ascii="Arial" w:hAnsi="Arial" w:cs="Arial"/>
          <w:sz w:val="22"/>
          <w:szCs w:val="22"/>
        </w:rPr>
        <w:t>.</w:t>
      </w:r>
      <w:r w:rsidR="006113DD" w:rsidRPr="00CE3B29">
        <w:rPr>
          <w:rFonts w:ascii="Arial" w:hAnsi="Arial" w:cs="Arial"/>
          <w:sz w:val="22"/>
          <w:szCs w:val="22"/>
        </w:rPr>
        <w:t xml:space="preserve"> </w:t>
      </w:r>
      <w:r w:rsidR="006113DD" w:rsidRPr="00CE3B29">
        <w:rPr>
          <w:rFonts w:ascii="Arial" w:hAnsi="Arial"/>
          <w:sz w:val="22"/>
          <w:szCs w:val="22"/>
        </w:rPr>
        <w:t>The PBAC rejected the request at the November 2015 PBAC to list bevacizumab for the treatment of patients with advanced cervical cancer on the basis of high and unacceptable cost-effectiveness.</w:t>
      </w:r>
    </w:p>
    <w:p w:rsidR="003B4FDA" w:rsidRPr="00CE3B29" w:rsidRDefault="003B4FDA" w:rsidP="00F57FCB">
      <w:pPr>
        <w:jc w:val="both"/>
        <w:rPr>
          <w:rFonts w:ascii="Arial" w:hAnsi="Arial" w:cs="Arial"/>
          <w:sz w:val="22"/>
          <w:szCs w:val="22"/>
        </w:rPr>
      </w:pPr>
    </w:p>
    <w:p w:rsidR="00E95860" w:rsidRPr="00CE3B29" w:rsidRDefault="00E95860" w:rsidP="00F57FCB">
      <w:pPr>
        <w:pStyle w:val="ListParagraph"/>
        <w:numPr>
          <w:ilvl w:val="1"/>
          <w:numId w:val="25"/>
        </w:numPr>
        <w:jc w:val="both"/>
        <w:rPr>
          <w:rFonts w:ascii="Arial" w:hAnsi="Arial" w:cs="Arial"/>
          <w:sz w:val="22"/>
          <w:szCs w:val="22"/>
        </w:rPr>
      </w:pPr>
      <w:r w:rsidRPr="00CE3B29">
        <w:rPr>
          <w:rFonts w:ascii="Arial" w:hAnsi="Arial" w:cs="Arial"/>
          <w:sz w:val="22"/>
          <w:szCs w:val="22"/>
        </w:rPr>
        <w:t>The following table provides a summary of the previous submission</w:t>
      </w:r>
      <w:r w:rsidR="00F57FCB">
        <w:rPr>
          <w:rFonts w:ascii="Arial" w:hAnsi="Arial" w:cs="Arial"/>
          <w:sz w:val="22"/>
          <w:szCs w:val="22"/>
        </w:rPr>
        <w:t xml:space="preserve"> and the current re-submission.</w:t>
      </w:r>
    </w:p>
    <w:p w:rsidR="00E95860" w:rsidRPr="00CE3B29" w:rsidRDefault="00E95860" w:rsidP="00F57FCB">
      <w:pPr>
        <w:pStyle w:val="ListParagraph"/>
        <w:rPr>
          <w:rFonts w:ascii="Arial" w:hAnsi="Arial" w:cs="Arial"/>
          <w:szCs w:val="22"/>
        </w:rPr>
      </w:pPr>
    </w:p>
    <w:p w:rsidR="00E95860" w:rsidRPr="00CE3B29" w:rsidRDefault="003B4FDA" w:rsidP="00F57FCB">
      <w:pPr>
        <w:ind w:firstLine="720"/>
        <w:rPr>
          <w:rStyle w:val="CommentReference"/>
          <w:rFonts w:ascii="Arial Narrow" w:hAnsi="Arial Narrow" w:cs="Arial"/>
          <w:b/>
          <w:sz w:val="20"/>
          <w:szCs w:val="20"/>
        </w:rPr>
      </w:pPr>
      <w:r w:rsidRPr="00CE3B29">
        <w:rPr>
          <w:rStyle w:val="CommentReference"/>
          <w:rFonts w:ascii="Arial Narrow" w:hAnsi="Arial Narrow" w:cs="Arial"/>
          <w:b/>
          <w:sz w:val="20"/>
          <w:szCs w:val="20"/>
        </w:rPr>
        <w:t xml:space="preserve">Table 1: </w:t>
      </w:r>
      <w:r w:rsidR="00E95860" w:rsidRPr="00CE3B29">
        <w:rPr>
          <w:rStyle w:val="CommentReference"/>
          <w:rFonts w:ascii="Arial Narrow" w:hAnsi="Arial Narrow" w:cs="Arial"/>
          <w:b/>
          <w:sz w:val="20"/>
          <w:szCs w:val="20"/>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3827"/>
        <w:gridCol w:w="2915"/>
      </w:tblGrid>
      <w:tr w:rsidR="00E95860" w:rsidRPr="00CE3B29" w:rsidTr="00E95860">
        <w:trPr>
          <w:trHeight w:val="220"/>
          <w:tblHeader/>
        </w:trPr>
        <w:tc>
          <w:tcPr>
            <w:tcW w:w="1701" w:type="dxa"/>
          </w:tcPr>
          <w:p w:rsidR="00E95860" w:rsidRPr="00F57FCB" w:rsidRDefault="00F57FCB" w:rsidP="00F57FCB">
            <w:pPr>
              <w:rPr>
                <w:rFonts w:ascii="Arial Narrow" w:hAnsi="Arial Narrow" w:cs="Arial"/>
                <w:b/>
                <w:sz w:val="20"/>
                <w:szCs w:val="20"/>
              </w:rPr>
            </w:pPr>
            <w:r w:rsidRPr="00F57FCB">
              <w:rPr>
                <w:rFonts w:ascii="Arial Narrow" w:hAnsi="Arial Narrow" w:cs="Arial"/>
                <w:b/>
                <w:sz w:val="20"/>
                <w:szCs w:val="20"/>
              </w:rPr>
              <w:t>Component</w:t>
            </w:r>
          </w:p>
        </w:tc>
        <w:tc>
          <w:tcPr>
            <w:tcW w:w="3827" w:type="dxa"/>
            <w:vAlign w:val="center"/>
          </w:tcPr>
          <w:p w:rsidR="00E95860" w:rsidRPr="00CE3B29" w:rsidRDefault="0071007D" w:rsidP="00F57FCB">
            <w:pPr>
              <w:jc w:val="center"/>
              <w:rPr>
                <w:rFonts w:ascii="Arial Narrow" w:hAnsi="Arial Narrow" w:cs="Arial"/>
                <w:b/>
                <w:sz w:val="20"/>
                <w:szCs w:val="20"/>
              </w:rPr>
            </w:pPr>
            <w:r w:rsidRPr="00CE3B29">
              <w:rPr>
                <w:rFonts w:ascii="Arial Narrow" w:hAnsi="Arial Narrow" w:cs="Arial"/>
                <w:b/>
                <w:sz w:val="20"/>
                <w:szCs w:val="20"/>
              </w:rPr>
              <w:t>Bevacizumab</w:t>
            </w:r>
            <w:r w:rsidR="00E95860" w:rsidRPr="00CE3B29">
              <w:rPr>
                <w:rFonts w:ascii="Arial Narrow" w:hAnsi="Arial Narrow" w:cs="Arial"/>
                <w:b/>
                <w:sz w:val="20"/>
                <w:szCs w:val="20"/>
              </w:rPr>
              <w:t xml:space="preserve"> November 2015 submission </w:t>
            </w:r>
          </w:p>
        </w:tc>
        <w:tc>
          <w:tcPr>
            <w:tcW w:w="2915" w:type="dxa"/>
            <w:vAlign w:val="center"/>
          </w:tcPr>
          <w:p w:rsidR="00E95860" w:rsidRPr="00CE3B29" w:rsidRDefault="00E95860" w:rsidP="00F57FCB">
            <w:pPr>
              <w:jc w:val="center"/>
              <w:rPr>
                <w:rFonts w:ascii="Arial Narrow" w:hAnsi="Arial Narrow" w:cs="Arial"/>
                <w:b/>
                <w:sz w:val="20"/>
                <w:szCs w:val="20"/>
              </w:rPr>
            </w:pPr>
            <w:r w:rsidRPr="00CE3B29">
              <w:rPr>
                <w:rFonts w:ascii="Arial Narrow" w:hAnsi="Arial Narrow" w:cs="Arial"/>
                <w:b/>
                <w:sz w:val="20"/>
                <w:szCs w:val="20"/>
              </w:rPr>
              <w:t>Current re-submission</w:t>
            </w:r>
          </w:p>
        </w:tc>
      </w:tr>
      <w:tr w:rsidR="00E95860" w:rsidRPr="00CE3B29" w:rsidTr="00370228">
        <w:trPr>
          <w:trHeight w:val="214"/>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Requested PBS listing</w:t>
            </w:r>
          </w:p>
        </w:tc>
        <w:tc>
          <w:tcPr>
            <w:tcW w:w="3827" w:type="dxa"/>
          </w:tcPr>
          <w:p w:rsidR="00370228" w:rsidRPr="00CE3B29" w:rsidRDefault="00370228" w:rsidP="00F57FCB">
            <w:pPr>
              <w:rPr>
                <w:rFonts w:ascii="Arial Narrow" w:hAnsi="Arial Narrow" w:cs="Arial"/>
                <w:sz w:val="20"/>
                <w:szCs w:val="20"/>
              </w:rPr>
            </w:pPr>
            <w:r w:rsidRPr="00CE3B29">
              <w:rPr>
                <w:rFonts w:ascii="Arial Narrow" w:hAnsi="Arial Narrow" w:cs="Arial"/>
                <w:sz w:val="20"/>
                <w:szCs w:val="20"/>
              </w:rPr>
              <w:t xml:space="preserve">The submission proposed that bevacizumab in combination with platinum-based chemotherapy plus paclitaxel or with topotecan plus paclitaxel for the treatment of persistent, recurrent or metastatic </w:t>
            </w:r>
            <w:r w:rsidRPr="00CE3B29">
              <w:rPr>
                <w:rFonts w:ascii="Arial Narrow" w:hAnsi="Arial Narrow" w:cs="Arial"/>
                <w:sz w:val="20"/>
                <w:szCs w:val="20"/>
              </w:rPr>
              <w:lastRenderedPageBreak/>
              <w:t>cervical cancer patients who are not amenable to curative treatment with surgery and/or radiation therapy.</w:t>
            </w:r>
          </w:p>
          <w:p w:rsidR="00E95860" w:rsidRPr="00CE3B29" w:rsidRDefault="00E95860" w:rsidP="00F57FCB">
            <w:pPr>
              <w:rPr>
                <w:rFonts w:ascii="Arial Narrow" w:hAnsi="Arial Narrow" w:cs="Arial"/>
                <w:b/>
                <w:sz w:val="20"/>
                <w:szCs w:val="20"/>
              </w:rPr>
            </w:pPr>
          </w:p>
          <w:p w:rsidR="00E95860" w:rsidRPr="00CE3B29" w:rsidRDefault="003A16EA" w:rsidP="00B51E86">
            <w:pPr>
              <w:rPr>
                <w:rFonts w:ascii="Arial Narrow" w:hAnsi="Arial Narrow" w:cs="Arial"/>
                <w:sz w:val="20"/>
                <w:szCs w:val="20"/>
              </w:rPr>
            </w:pPr>
            <w:r w:rsidRPr="00CE3B29">
              <w:rPr>
                <w:rFonts w:ascii="Arial Narrow" w:hAnsi="Arial Narrow" w:cs="Arial"/>
                <w:b/>
                <w:sz w:val="20"/>
                <w:szCs w:val="20"/>
              </w:rPr>
              <w:t>PBAC Comment (</w:t>
            </w:r>
            <w:r w:rsidR="00E95860" w:rsidRPr="00CE3B29">
              <w:rPr>
                <w:rFonts w:ascii="Arial Narrow" w:hAnsi="Arial Narrow" w:cs="Arial"/>
                <w:b/>
                <w:sz w:val="20"/>
                <w:szCs w:val="20"/>
              </w:rPr>
              <w:t>November 2015</w:t>
            </w:r>
            <w:r w:rsidR="00B51E86">
              <w:rPr>
                <w:rFonts w:ascii="Arial Narrow" w:hAnsi="Arial Narrow" w:cs="Arial"/>
                <w:b/>
                <w:sz w:val="20"/>
                <w:szCs w:val="20"/>
              </w:rPr>
              <w:t xml:space="preserve"> PSD</w:t>
            </w:r>
            <w:r w:rsidR="00E95860" w:rsidRPr="00CE3B29">
              <w:rPr>
                <w:rFonts w:ascii="Arial Narrow" w:hAnsi="Arial Narrow" w:cs="Arial"/>
                <w:b/>
                <w:sz w:val="20"/>
                <w:szCs w:val="20"/>
              </w:rPr>
              <w:t xml:space="preserve">, </w:t>
            </w:r>
            <w:r w:rsidR="00370228" w:rsidRPr="00CE3B29">
              <w:rPr>
                <w:rFonts w:ascii="Arial Narrow" w:hAnsi="Arial Narrow" w:cs="Arial"/>
                <w:b/>
                <w:sz w:val="20"/>
                <w:szCs w:val="20"/>
              </w:rPr>
              <w:t>bevacizumab</w:t>
            </w:r>
            <w:r w:rsidR="00E95860" w:rsidRPr="00CE3B29">
              <w:rPr>
                <w:rFonts w:ascii="Arial Narrow" w:hAnsi="Arial Narrow" w:cs="Arial"/>
                <w:b/>
                <w:sz w:val="20"/>
                <w:szCs w:val="20"/>
              </w:rPr>
              <w:t>, paragraph 7.</w:t>
            </w:r>
            <w:r w:rsidR="00370228" w:rsidRPr="00CE3B29">
              <w:rPr>
                <w:rFonts w:ascii="Arial Narrow" w:hAnsi="Arial Narrow" w:cs="Arial"/>
                <w:b/>
                <w:sz w:val="20"/>
                <w:szCs w:val="20"/>
              </w:rPr>
              <w:t>2</w:t>
            </w:r>
            <w:r w:rsidR="00E95860" w:rsidRPr="00CE3B29">
              <w:rPr>
                <w:rFonts w:ascii="Arial Narrow" w:hAnsi="Arial Narrow" w:cs="Arial"/>
                <w:b/>
                <w:sz w:val="20"/>
                <w:szCs w:val="20"/>
              </w:rPr>
              <w:t xml:space="preserve">): </w:t>
            </w:r>
            <w:r w:rsidR="00E95860" w:rsidRPr="00CE3B29">
              <w:rPr>
                <w:rFonts w:ascii="Arial Narrow" w:hAnsi="Arial Narrow" w:cs="Arial"/>
                <w:sz w:val="20"/>
                <w:szCs w:val="20"/>
              </w:rPr>
              <w:t>“</w:t>
            </w:r>
            <w:r w:rsidR="00370228" w:rsidRPr="00CE3B29">
              <w:rPr>
                <w:rFonts w:ascii="Arial Narrow" w:hAnsi="Arial Narrow" w:cs="Arial"/>
                <w:sz w:val="20"/>
                <w:szCs w:val="20"/>
              </w:rPr>
              <w:t>The PBAC accepted the proposed restriction for recurrent, metastatic and persistent disease. The PBAC considered that use with standard platinum-based chemotherapy, either cisplatin (as per TGA approved indication) or carboplatin (current standard of care in Australia) was reasonable.  The PBAC noted that topotecan, which was proposed as alternative to platinum-based chemotherapy is only PBS-subsidised for advanced metastatic ovarian cancer.</w:t>
            </w:r>
            <w:r w:rsidR="00E95860" w:rsidRPr="00CE3B29">
              <w:rPr>
                <w:rFonts w:ascii="Arial Narrow" w:hAnsi="Arial Narrow" w:cs="Arial"/>
                <w:sz w:val="20"/>
                <w:szCs w:val="20"/>
              </w:rPr>
              <w:t>”</w:t>
            </w:r>
          </w:p>
        </w:tc>
        <w:tc>
          <w:tcPr>
            <w:tcW w:w="2915" w:type="dxa"/>
          </w:tcPr>
          <w:p w:rsidR="00E95860" w:rsidRPr="00CE3B29" w:rsidRDefault="00E95860" w:rsidP="00F57FCB">
            <w:pPr>
              <w:rPr>
                <w:rFonts w:ascii="Arial Narrow" w:hAnsi="Arial Narrow" w:cs="Arial"/>
                <w:color w:val="0000FF"/>
                <w:sz w:val="20"/>
                <w:szCs w:val="20"/>
              </w:rPr>
            </w:pPr>
            <w:r w:rsidRPr="00CE3B29">
              <w:rPr>
                <w:rFonts w:ascii="Arial Narrow" w:hAnsi="Arial Narrow" w:cs="Arial"/>
                <w:sz w:val="20"/>
                <w:szCs w:val="20"/>
              </w:rPr>
              <w:lastRenderedPageBreak/>
              <w:t>Although not explicitly stated, the Secretariat assumes this to be unchanged from the November 2015 submission</w:t>
            </w:r>
            <w:r w:rsidRPr="00CE3B29">
              <w:rPr>
                <w:rFonts w:ascii="Arial Narrow" w:hAnsi="Arial Narrow" w:cs="Arial"/>
                <w:color w:val="0000FF"/>
                <w:sz w:val="20"/>
                <w:szCs w:val="20"/>
              </w:rPr>
              <w:t xml:space="preserve">. </w:t>
            </w:r>
          </w:p>
          <w:p w:rsidR="00E95860" w:rsidRPr="00CE3B29" w:rsidRDefault="005E1FA2" w:rsidP="00F57FCB">
            <w:pPr>
              <w:rPr>
                <w:rFonts w:ascii="Arial Narrow" w:hAnsi="Arial Narrow" w:cs="Arial"/>
                <w:color w:val="0000FF"/>
                <w:sz w:val="20"/>
                <w:szCs w:val="20"/>
              </w:rPr>
            </w:pPr>
            <w:r w:rsidRPr="00CE3B29">
              <w:rPr>
                <w:rFonts w:ascii="Arial Narrow" w:hAnsi="Arial Narrow" w:cs="Arial"/>
                <w:sz w:val="20"/>
                <w:szCs w:val="20"/>
              </w:rPr>
              <w:lastRenderedPageBreak/>
              <w:t xml:space="preserve">The submission does not comment on the use of topotecan for this indication.  The TGA indication </w:t>
            </w:r>
            <w:r w:rsidR="003C6F6A" w:rsidRPr="00CE3B29">
              <w:rPr>
                <w:rFonts w:ascii="Arial Narrow" w:hAnsi="Arial Narrow" w:cs="Arial"/>
                <w:sz w:val="20"/>
                <w:szCs w:val="20"/>
              </w:rPr>
              <w:t xml:space="preserve">of some brands included in combination with cisplatin for the treatment of patients with histologically confirmed Stage IV-B, recurrent, or persistent carcinoma of the cervix, which is not amenable to curative treatment with surgery and/or radiation therapy. </w:t>
            </w:r>
          </w:p>
        </w:tc>
      </w:tr>
      <w:tr w:rsidR="00E95860" w:rsidRPr="00CE3B29" w:rsidTr="00E95860">
        <w:trPr>
          <w:trHeight w:val="422"/>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lastRenderedPageBreak/>
              <w:t>Requested price</w:t>
            </w:r>
          </w:p>
        </w:tc>
        <w:tc>
          <w:tcPr>
            <w:tcW w:w="3827" w:type="dxa"/>
          </w:tcPr>
          <w:p w:rsidR="00AB6238"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Ex-manufacturer(ex-man) price: </w:t>
            </w:r>
          </w:p>
          <w:p w:rsidR="00E95860" w:rsidRPr="00CE3B29" w:rsidRDefault="00AB6238" w:rsidP="00F57FCB">
            <w:pPr>
              <w:rPr>
                <w:rFonts w:ascii="Arial Narrow" w:hAnsi="Arial Narrow" w:cs="Arial"/>
                <w:sz w:val="20"/>
                <w:szCs w:val="20"/>
              </w:rPr>
            </w:pPr>
            <w:r w:rsidRPr="00CE3B29">
              <w:rPr>
                <w:rFonts w:ascii="Arial Narrow" w:hAnsi="Arial Narrow" w:cs="Arial"/>
                <w:sz w:val="20"/>
                <w:szCs w:val="20"/>
              </w:rPr>
              <w:t xml:space="preserve">100 mg </w:t>
            </w:r>
            <w:r w:rsidR="00E95860"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p w:rsidR="00AB6238" w:rsidRPr="00CE3B29" w:rsidRDefault="00AB6238" w:rsidP="00F57FCB">
            <w:pPr>
              <w:rPr>
                <w:rFonts w:ascii="Arial Narrow" w:hAnsi="Arial Narrow" w:cs="Arial"/>
                <w:sz w:val="20"/>
                <w:szCs w:val="20"/>
              </w:rPr>
            </w:pPr>
            <w:r w:rsidRPr="00CE3B29">
              <w:rPr>
                <w:rFonts w:ascii="Arial Narrow" w:hAnsi="Arial Narrow" w:cs="Arial"/>
                <w:sz w:val="20"/>
                <w:szCs w:val="20"/>
              </w:rPr>
              <w:t>400 mg $</w:t>
            </w:r>
            <w:r w:rsidR="00630F18">
              <w:rPr>
                <w:rFonts w:ascii="Arial Narrow" w:hAnsi="Arial Narrow" w:cs="Arial"/>
                <w:noProof/>
                <w:color w:val="000000"/>
                <w:sz w:val="20"/>
                <w:szCs w:val="20"/>
                <w:highlight w:val="black"/>
              </w:rPr>
              <w:t>''''''''''''''''''''</w:t>
            </w:r>
          </w:p>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Proposed rebate on ex-man price: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w:t>
            </w:r>
          </w:p>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Effective manufacturer price: </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100 mg $</w:t>
            </w:r>
            <w:r w:rsidR="00630F18">
              <w:rPr>
                <w:rFonts w:ascii="Arial Narrow" w:hAnsi="Arial Narrow" w:cs="Arial"/>
                <w:noProof/>
                <w:color w:val="000000"/>
                <w:sz w:val="20"/>
                <w:szCs w:val="20"/>
                <w:highlight w:val="black"/>
              </w:rPr>
              <w:t>'''''''''''''''''</w:t>
            </w:r>
          </w:p>
          <w:p w:rsidR="00E95860" w:rsidRPr="00CE3B29" w:rsidRDefault="006C53FC" w:rsidP="00F57FCB">
            <w:pPr>
              <w:rPr>
                <w:rFonts w:ascii="Arial Narrow" w:hAnsi="Arial Narrow" w:cs="Arial"/>
                <w:sz w:val="20"/>
                <w:szCs w:val="20"/>
              </w:rPr>
            </w:pPr>
            <w:r w:rsidRPr="00CE3B29">
              <w:rPr>
                <w:rFonts w:ascii="Arial Narrow" w:hAnsi="Arial Narrow" w:cs="Arial"/>
                <w:sz w:val="20"/>
                <w:szCs w:val="20"/>
              </w:rPr>
              <w:t>400 mg $</w:t>
            </w:r>
            <w:r w:rsidR="00630F18">
              <w:rPr>
                <w:rFonts w:ascii="Arial Narrow" w:hAnsi="Arial Narrow" w:cs="Arial"/>
                <w:noProof/>
                <w:color w:val="000000"/>
                <w:sz w:val="20"/>
                <w:szCs w:val="20"/>
                <w:highlight w:val="black"/>
              </w:rPr>
              <w:t>''''''''''''''''</w:t>
            </w:r>
          </w:p>
          <w:p w:rsidR="00FA3804" w:rsidRPr="00CE3B29" w:rsidRDefault="00FA3804" w:rsidP="00F57FCB">
            <w:pPr>
              <w:rPr>
                <w:rFonts w:ascii="Arial Narrow" w:hAnsi="Arial Narrow" w:cs="Arial"/>
                <w:sz w:val="20"/>
                <w:szCs w:val="20"/>
              </w:rPr>
            </w:pPr>
            <w:r w:rsidRPr="00CE3B29">
              <w:rPr>
                <w:rFonts w:ascii="Arial Narrow" w:hAnsi="Arial Narrow" w:cs="Arial"/>
                <w:sz w:val="20"/>
                <w:szCs w:val="20"/>
              </w:rPr>
              <w:t xml:space="preserve">Includes a one-off statutory </w:t>
            </w:r>
            <w:r w:rsidRPr="00E46051">
              <w:rPr>
                <w:rFonts w:ascii="Arial Narrow" w:hAnsi="Arial Narrow" w:cs="Arial"/>
                <w:sz w:val="20"/>
                <w:szCs w:val="20"/>
              </w:rPr>
              <w:t>5</w:t>
            </w:r>
            <w:r w:rsidRPr="00CE3B29">
              <w:rPr>
                <w:rFonts w:ascii="Arial Narrow" w:hAnsi="Arial Narrow" w:cs="Arial"/>
                <w:sz w:val="20"/>
                <w:szCs w:val="20"/>
              </w:rPr>
              <w:t>% price reduction assumed to be applied from 1 April 2016</w:t>
            </w:r>
          </w:p>
        </w:tc>
        <w:tc>
          <w:tcPr>
            <w:tcW w:w="2915" w:type="dxa"/>
          </w:tcPr>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 xml:space="preserve">Ex-manufacturer(ex-man) price: </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100 mg $</w:t>
            </w:r>
            <w:r w:rsidR="00630F18">
              <w:rPr>
                <w:rFonts w:ascii="Arial Narrow" w:hAnsi="Arial Narrow" w:cs="Arial"/>
                <w:noProof/>
                <w:color w:val="000000"/>
                <w:sz w:val="20"/>
                <w:szCs w:val="20"/>
                <w:highlight w:val="black"/>
              </w:rPr>
              <w:t>'''''''''''''''''</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400 mg $</w:t>
            </w:r>
            <w:r w:rsidR="00630F18">
              <w:rPr>
                <w:rFonts w:ascii="Arial Narrow" w:hAnsi="Arial Narrow" w:cs="Arial"/>
                <w:noProof/>
                <w:color w:val="000000"/>
                <w:sz w:val="20"/>
                <w:szCs w:val="20"/>
                <w:highlight w:val="black"/>
              </w:rPr>
              <w:t>''''''''''''''''''</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 xml:space="preserve">Proposed rebate on ex-man price: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 xml:space="preserve">Effective manufacturer price: </w:t>
            </w:r>
          </w:p>
          <w:p w:rsidR="006C53FC" w:rsidRPr="00CE3B29" w:rsidRDefault="006C53FC" w:rsidP="00F57FCB">
            <w:pPr>
              <w:rPr>
                <w:rFonts w:ascii="Arial Narrow" w:hAnsi="Arial Narrow" w:cs="Arial"/>
                <w:sz w:val="20"/>
                <w:szCs w:val="20"/>
              </w:rPr>
            </w:pPr>
            <w:r w:rsidRPr="00CE3B29">
              <w:rPr>
                <w:rFonts w:ascii="Arial Narrow" w:hAnsi="Arial Narrow" w:cs="Arial"/>
                <w:sz w:val="20"/>
                <w:szCs w:val="20"/>
              </w:rPr>
              <w:t>100 mg $</w:t>
            </w:r>
            <w:r w:rsidR="00630F18">
              <w:rPr>
                <w:rFonts w:ascii="Arial Narrow" w:hAnsi="Arial Narrow" w:cs="Arial"/>
                <w:noProof/>
                <w:color w:val="000000"/>
                <w:sz w:val="20"/>
                <w:szCs w:val="20"/>
                <w:highlight w:val="black"/>
              </w:rPr>
              <w:t>'''''''''''''''</w:t>
            </w:r>
          </w:p>
          <w:p w:rsidR="00E95860" w:rsidRPr="00CE3B29" w:rsidRDefault="006C53FC" w:rsidP="00F57FCB">
            <w:pPr>
              <w:rPr>
                <w:rFonts w:ascii="Arial Narrow" w:hAnsi="Arial Narrow" w:cs="Arial"/>
                <w:sz w:val="20"/>
                <w:szCs w:val="20"/>
              </w:rPr>
            </w:pPr>
            <w:r w:rsidRPr="00CE3B29">
              <w:rPr>
                <w:rFonts w:ascii="Arial Narrow" w:hAnsi="Arial Narrow" w:cs="Arial"/>
                <w:sz w:val="20"/>
                <w:szCs w:val="20"/>
              </w:rPr>
              <w:t>400 mg $</w:t>
            </w:r>
            <w:r w:rsidR="00630F18">
              <w:rPr>
                <w:rFonts w:ascii="Arial Narrow" w:hAnsi="Arial Narrow" w:cs="Arial"/>
                <w:noProof/>
                <w:color w:val="000000"/>
                <w:sz w:val="20"/>
                <w:szCs w:val="20"/>
                <w:highlight w:val="black"/>
              </w:rPr>
              <w:t>''''''''''''''''</w:t>
            </w:r>
          </w:p>
          <w:p w:rsidR="00FA3804" w:rsidRPr="00CE3B29" w:rsidRDefault="00FA3804" w:rsidP="00F57FCB">
            <w:pPr>
              <w:rPr>
                <w:rFonts w:ascii="Arial Narrow" w:hAnsi="Arial Narrow" w:cs="Arial"/>
                <w:sz w:val="20"/>
                <w:szCs w:val="20"/>
              </w:rPr>
            </w:pPr>
            <w:r w:rsidRPr="00CE3B29">
              <w:rPr>
                <w:rFonts w:ascii="Arial Narrow" w:hAnsi="Arial Narrow" w:cs="Arial"/>
                <w:sz w:val="20"/>
                <w:szCs w:val="20"/>
              </w:rPr>
              <w:t xml:space="preserve">Includes a one-off statutory </w:t>
            </w:r>
            <w:r w:rsidRPr="00E46051">
              <w:rPr>
                <w:rFonts w:ascii="Arial Narrow" w:hAnsi="Arial Narrow" w:cs="Arial"/>
                <w:sz w:val="20"/>
                <w:szCs w:val="20"/>
              </w:rPr>
              <w:t>5</w:t>
            </w:r>
            <w:r w:rsidRPr="00CE3B29">
              <w:rPr>
                <w:rFonts w:ascii="Arial Narrow" w:hAnsi="Arial Narrow" w:cs="Arial"/>
                <w:sz w:val="20"/>
                <w:szCs w:val="20"/>
              </w:rPr>
              <w:t>% price reduction assumed to be applied from 1 April 2016</w:t>
            </w:r>
          </w:p>
        </w:tc>
      </w:tr>
      <w:tr w:rsidR="00E95860" w:rsidRPr="00CE3B29" w:rsidTr="00E95860">
        <w:trPr>
          <w:trHeight w:val="642"/>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Main comparator</w:t>
            </w:r>
          </w:p>
        </w:tc>
        <w:tc>
          <w:tcPr>
            <w:tcW w:w="3827" w:type="dxa"/>
          </w:tcPr>
          <w:p w:rsidR="00E95860" w:rsidRPr="00CE3B29" w:rsidRDefault="00F6720B" w:rsidP="00F57FCB">
            <w:pPr>
              <w:rPr>
                <w:rFonts w:ascii="Arial Narrow" w:hAnsi="Arial Narrow" w:cs="Arial"/>
                <w:sz w:val="20"/>
                <w:szCs w:val="20"/>
              </w:rPr>
            </w:pPr>
            <w:r w:rsidRPr="00CE3B29">
              <w:rPr>
                <w:rFonts w:ascii="Arial Narrow" w:hAnsi="Arial Narrow" w:cs="Arial"/>
                <w:sz w:val="20"/>
                <w:szCs w:val="20"/>
              </w:rPr>
              <w:t>Chemotherapy alone</w:t>
            </w:r>
            <w:r w:rsidR="00E95860" w:rsidRPr="00CE3B29">
              <w:rPr>
                <w:rFonts w:ascii="Arial Narrow" w:hAnsi="Arial Narrow" w:cs="Arial"/>
                <w:sz w:val="20"/>
                <w:szCs w:val="20"/>
              </w:rPr>
              <w:t xml:space="preserve">. </w:t>
            </w:r>
          </w:p>
          <w:p w:rsidR="00E95860" w:rsidRPr="00CE3B29" w:rsidRDefault="00E95860" w:rsidP="00F57FCB">
            <w:pPr>
              <w:rPr>
                <w:rFonts w:ascii="Arial Narrow" w:hAnsi="Arial Narrow" w:cs="Arial"/>
                <w:sz w:val="20"/>
                <w:szCs w:val="20"/>
              </w:rPr>
            </w:pPr>
          </w:p>
          <w:p w:rsidR="00E95860" w:rsidRPr="00CE3B29" w:rsidRDefault="00E95860" w:rsidP="00B51E86">
            <w:pPr>
              <w:rPr>
                <w:rFonts w:ascii="Arial Narrow" w:hAnsi="Arial Narrow" w:cs="Arial"/>
                <w:sz w:val="20"/>
                <w:szCs w:val="20"/>
              </w:rPr>
            </w:pPr>
            <w:r w:rsidRPr="00CE3B29">
              <w:rPr>
                <w:rFonts w:ascii="Arial Narrow" w:hAnsi="Arial Narrow" w:cs="Arial"/>
                <w:b/>
                <w:sz w:val="20"/>
                <w:szCs w:val="20"/>
              </w:rPr>
              <w:t>PBAC Comment (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w:t>
            </w:r>
            <w:r w:rsidR="00F6720B" w:rsidRPr="00CE3B29">
              <w:rPr>
                <w:rFonts w:ascii="Arial Narrow" w:hAnsi="Arial Narrow" w:cs="Arial"/>
                <w:b/>
                <w:sz w:val="20"/>
                <w:szCs w:val="20"/>
              </w:rPr>
              <w:t>bevacizumab</w:t>
            </w:r>
            <w:r w:rsidRPr="00CE3B29">
              <w:rPr>
                <w:rFonts w:ascii="Arial Narrow" w:hAnsi="Arial Narrow" w:cs="Arial"/>
                <w:b/>
                <w:sz w:val="20"/>
                <w:szCs w:val="20"/>
              </w:rPr>
              <w:t>, paragraph 7.</w:t>
            </w:r>
            <w:r w:rsidR="00F6720B" w:rsidRPr="00CE3B29">
              <w:rPr>
                <w:rFonts w:ascii="Arial Narrow" w:hAnsi="Arial Narrow" w:cs="Arial"/>
                <w:b/>
                <w:sz w:val="20"/>
                <w:szCs w:val="20"/>
              </w:rPr>
              <w:t>4</w:t>
            </w:r>
            <w:r w:rsidRPr="00CE3B29">
              <w:rPr>
                <w:rFonts w:ascii="Arial Narrow" w:hAnsi="Arial Narrow" w:cs="Arial"/>
                <w:b/>
                <w:sz w:val="20"/>
                <w:szCs w:val="20"/>
              </w:rPr>
              <w:t>):</w:t>
            </w:r>
            <w:r w:rsidRPr="00CE3B29">
              <w:rPr>
                <w:rFonts w:ascii="Arial Narrow" w:hAnsi="Arial Narrow" w:cs="Arial"/>
                <w:sz w:val="20"/>
                <w:szCs w:val="20"/>
              </w:rPr>
              <w:t xml:space="preserve"> “</w:t>
            </w:r>
            <w:r w:rsidR="00F6720B" w:rsidRPr="00CE3B29">
              <w:rPr>
                <w:rFonts w:ascii="Arial Narrow" w:hAnsi="Arial Narrow" w:cs="Arial"/>
                <w:sz w:val="20"/>
                <w:szCs w:val="20"/>
              </w:rPr>
              <w:t>7.4</w:t>
            </w:r>
            <w:r w:rsidR="00F6720B" w:rsidRPr="00CE3B29">
              <w:rPr>
                <w:rFonts w:ascii="Arial Narrow" w:hAnsi="Arial Narrow" w:cs="Arial"/>
                <w:sz w:val="20"/>
                <w:szCs w:val="20"/>
              </w:rPr>
              <w:tab/>
              <w:t>The PBAC agreed that chemotherapy alone (platinum-based chemotherapy plus paclitaxel or topotecan plus paclitaxel for those who are unable to tolerate carboplatin or cisplatin) was the appropriate comparator for bevacizumab in combination with chemotherapy</w:t>
            </w:r>
            <w:r w:rsidRPr="00CE3B29">
              <w:rPr>
                <w:rFonts w:ascii="Arial Narrow" w:hAnsi="Arial Narrow" w:cs="Arial"/>
                <w:sz w:val="20"/>
                <w:szCs w:val="20"/>
              </w:rPr>
              <w:t>.”</w:t>
            </w:r>
          </w:p>
        </w:tc>
        <w:tc>
          <w:tcPr>
            <w:tcW w:w="2915"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Unchanged from November 2015 submission. </w:t>
            </w:r>
          </w:p>
        </w:tc>
      </w:tr>
      <w:tr w:rsidR="00E95860" w:rsidRPr="00CE3B29" w:rsidTr="00E95860">
        <w:trPr>
          <w:trHeight w:val="860"/>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Clinical evidence</w:t>
            </w:r>
          </w:p>
        </w:tc>
        <w:tc>
          <w:tcPr>
            <w:tcW w:w="3827" w:type="dxa"/>
          </w:tcPr>
          <w:p w:rsidR="00E95860" w:rsidRPr="00CE3B29" w:rsidRDefault="00F6720B" w:rsidP="00F57FCB">
            <w:pPr>
              <w:rPr>
                <w:rFonts w:ascii="Arial Narrow" w:hAnsi="Arial Narrow" w:cs="Arial"/>
                <w:sz w:val="20"/>
                <w:szCs w:val="20"/>
              </w:rPr>
            </w:pPr>
            <w:r w:rsidRPr="00CE3B29">
              <w:rPr>
                <w:rFonts w:ascii="Arial Narrow" w:hAnsi="Arial Narrow" w:cs="Arial"/>
                <w:sz w:val="20"/>
                <w:szCs w:val="20"/>
              </w:rPr>
              <w:t>Primary clinical study report (GOG 0240) - A randomized phase III trial of cisplatin plus paclitaxel with and without NCI supplied bevacizumab (NSC #704865, IND #113912) versus the non-platinum doublet, topotecan plus paclitaxel, with and without NCI supplied bevacizumab, in Stage IVB, recurrent or persistent carcinoma of the cervix. (n=452).</w:t>
            </w:r>
            <w:r w:rsidR="00E95860" w:rsidRPr="00CE3B29">
              <w:rPr>
                <w:rFonts w:ascii="Arial Narrow" w:hAnsi="Arial Narrow" w:cs="Arial"/>
                <w:sz w:val="20"/>
                <w:szCs w:val="20"/>
              </w:rPr>
              <w:t xml:space="preserve"> </w:t>
            </w:r>
          </w:p>
          <w:p w:rsidR="00E95860" w:rsidRPr="00CE3B29" w:rsidRDefault="00E95860" w:rsidP="00F57FCB">
            <w:pPr>
              <w:rPr>
                <w:rFonts w:ascii="Arial Narrow" w:hAnsi="Arial Narrow" w:cs="Arial"/>
                <w:sz w:val="20"/>
                <w:szCs w:val="20"/>
              </w:rPr>
            </w:pPr>
          </w:p>
          <w:p w:rsidR="00E95860" w:rsidRPr="00CE3B29" w:rsidRDefault="00E95860" w:rsidP="00B51E86">
            <w:pPr>
              <w:rPr>
                <w:rFonts w:ascii="Arial Narrow" w:hAnsi="Arial Narrow" w:cs="Arial"/>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w:t>
            </w:r>
            <w:r w:rsidR="00F6720B" w:rsidRPr="00CE3B29">
              <w:rPr>
                <w:rFonts w:ascii="Arial Narrow" w:hAnsi="Arial Narrow" w:cs="Arial"/>
                <w:b/>
                <w:sz w:val="20"/>
                <w:szCs w:val="20"/>
              </w:rPr>
              <w:t>bevacizumab</w:t>
            </w:r>
            <w:r w:rsidRPr="00CE3B29">
              <w:rPr>
                <w:rFonts w:ascii="Arial Narrow" w:hAnsi="Arial Narrow" w:cs="Arial"/>
                <w:b/>
                <w:sz w:val="20"/>
                <w:szCs w:val="20"/>
              </w:rPr>
              <w:t>, paragraph 7.</w:t>
            </w:r>
            <w:r w:rsidR="00F6720B" w:rsidRPr="00CE3B29">
              <w:rPr>
                <w:rFonts w:ascii="Arial Narrow" w:hAnsi="Arial Narrow" w:cs="Arial"/>
                <w:b/>
                <w:sz w:val="20"/>
                <w:szCs w:val="20"/>
              </w:rPr>
              <w:t>5</w:t>
            </w:r>
            <w:r w:rsidRPr="00CE3B29">
              <w:rPr>
                <w:rFonts w:ascii="Arial Narrow" w:hAnsi="Arial Narrow" w:cs="Arial"/>
                <w:b/>
                <w:sz w:val="20"/>
                <w:szCs w:val="20"/>
              </w:rPr>
              <w:t>):</w:t>
            </w:r>
            <w:r w:rsidRPr="00CE3B29">
              <w:rPr>
                <w:rFonts w:ascii="Arial Narrow" w:hAnsi="Arial Narrow" w:cs="Arial"/>
                <w:sz w:val="20"/>
                <w:szCs w:val="20"/>
              </w:rPr>
              <w:t xml:space="preserve"> “</w:t>
            </w:r>
            <w:r w:rsidR="00F6720B" w:rsidRPr="00CE3B29">
              <w:rPr>
                <w:rFonts w:ascii="Arial Narrow" w:hAnsi="Arial Narrow" w:cs="Arial"/>
                <w:sz w:val="20"/>
                <w:szCs w:val="20"/>
              </w:rPr>
              <w:t>The PBAC noted the submission presented the results of a head-to-head trial (GOG 0240) comparing bevacizumab in combination with chemotherapy (cisplatin plus paclitaxel or topotecan plus paclitaxel) to chemotherapy alone (n=452).</w:t>
            </w:r>
            <w:r w:rsidRPr="00CE3B29">
              <w:rPr>
                <w:rFonts w:ascii="Arial Narrow" w:hAnsi="Arial Narrow" w:cs="Arial"/>
                <w:sz w:val="20"/>
                <w:szCs w:val="20"/>
              </w:rPr>
              <w:t>”</w:t>
            </w:r>
          </w:p>
        </w:tc>
        <w:tc>
          <w:tcPr>
            <w:tcW w:w="2915" w:type="dxa"/>
          </w:tcPr>
          <w:p w:rsidR="00E95860" w:rsidRPr="00CE3B29" w:rsidRDefault="00F6720B" w:rsidP="00F57FCB">
            <w:pPr>
              <w:rPr>
                <w:rFonts w:ascii="Arial Narrow" w:hAnsi="Arial Narrow" w:cs="Arial"/>
                <w:sz w:val="20"/>
                <w:szCs w:val="20"/>
              </w:rPr>
            </w:pPr>
            <w:r w:rsidRPr="00CE3B29">
              <w:rPr>
                <w:rFonts w:ascii="Arial Narrow" w:hAnsi="Arial Narrow" w:cs="Arial"/>
                <w:sz w:val="20"/>
                <w:szCs w:val="20"/>
              </w:rPr>
              <w:t>Unchanged from November 2015 submission.</w:t>
            </w:r>
          </w:p>
        </w:tc>
      </w:tr>
      <w:tr w:rsidR="00E95860" w:rsidRPr="00CE3B29" w:rsidTr="00E95860">
        <w:trPr>
          <w:trHeight w:val="1064"/>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lastRenderedPageBreak/>
              <w:t>Key effectiveness data</w:t>
            </w:r>
          </w:p>
        </w:tc>
        <w:tc>
          <w:tcPr>
            <w:tcW w:w="3827" w:type="dxa"/>
          </w:tcPr>
          <w:p w:rsidR="00E95860" w:rsidRPr="00CE3B29" w:rsidRDefault="003A16EA" w:rsidP="00F57FCB">
            <w:pPr>
              <w:rPr>
                <w:rFonts w:ascii="Arial Narrow" w:hAnsi="Arial Narrow" w:cs="Arial"/>
                <w:sz w:val="20"/>
                <w:szCs w:val="20"/>
              </w:rPr>
            </w:pPr>
            <w:r w:rsidRPr="00CE3B29">
              <w:rPr>
                <w:rFonts w:ascii="Arial Narrow" w:hAnsi="Arial Narrow" w:cs="Arial"/>
                <w:sz w:val="20"/>
                <w:szCs w:val="20"/>
              </w:rPr>
              <w:t>The addition of Bev + Chemo resulted in a clinically meaningful and statistically significant prolongation of OS</w:t>
            </w:r>
            <w:r w:rsidR="00066E90" w:rsidRPr="00CE3B29">
              <w:rPr>
                <w:rFonts w:ascii="Arial Narrow" w:hAnsi="Arial Narrow" w:cs="Arial"/>
                <w:sz w:val="20"/>
                <w:szCs w:val="20"/>
              </w:rPr>
              <w:t xml:space="preserve"> (overall survival)</w:t>
            </w:r>
            <w:r w:rsidRPr="00CE3B29">
              <w:rPr>
                <w:rFonts w:ascii="Arial Narrow" w:hAnsi="Arial Narrow" w:cs="Arial"/>
                <w:sz w:val="20"/>
                <w:szCs w:val="20"/>
              </w:rPr>
              <w:t xml:space="preserve"> compared with Chemo alone (median OS: 12.9 months Chemo alone versus 16.8 months Bev + Chemo; stratified HR=0.74, 95% CI: 0.58, 0.94; p=0.0132). </w:t>
            </w:r>
          </w:p>
          <w:p w:rsidR="003A16EA" w:rsidRPr="00CE3B29" w:rsidRDefault="003A16EA" w:rsidP="00F57FCB">
            <w:pPr>
              <w:rPr>
                <w:rFonts w:ascii="Arial Narrow" w:hAnsi="Arial Narrow" w:cs="Arial"/>
                <w:sz w:val="20"/>
                <w:szCs w:val="20"/>
              </w:rPr>
            </w:pPr>
          </w:p>
          <w:p w:rsidR="00E95860" w:rsidRPr="00CE3B29" w:rsidRDefault="00E95860" w:rsidP="00B51E86">
            <w:pPr>
              <w:rPr>
                <w:rFonts w:ascii="Arial Narrow" w:hAnsi="Arial Narrow" w:cs="Arial"/>
                <w:sz w:val="20"/>
                <w:szCs w:val="20"/>
              </w:rPr>
            </w:pPr>
            <w:r w:rsidRPr="00CE3B29">
              <w:rPr>
                <w:rFonts w:ascii="Arial Narrow" w:hAnsi="Arial Narrow" w:cs="Arial"/>
                <w:b/>
                <w:sz w:val="20"/>
                <w:szCs w:val="20"/>
              </w:rPr>
              <w:t>PBAC Comment</w:t>
            </w:r>
            <w:r w:rsidR="003A16EA" w:rsidRPr="00CE3B29">
              <w:rPr>
                <w:rFonts w:ascii="Arial Narrow" w:hAnsi="Arial Narrow" w:cs="Arial"/>
                <w:b/>
                <w:sz w:val="20"/>
                <w:szCs w:val="20"/>
              </w:rPr>
              <w:t xml:space="preserve"> (November 2015</w:t>
            </w:r>
            <w:r w:rsidR="00B51E86">
              <w:rPr>
                <w:rFonts w:ascii="Arial Narrow" w:hAnsi="Arial Narrow" w:cs="Arial"/>
                <w:b/>
                <w:sz w:val="20"/>
                <w:szCs w:val="20"/>
              </w:rPr>
              <w:t xml:space="preserve"> PSD</w:t>
            </w:r>
            <w:r w:rsidR="003A16EA" w:rsidRPr="00CE3B29">
              <w:rPr>
                <w:rFonts w:ascii="Arial Narrow" w:hAnsi="Arial Narrow" w:cs="Arial"/>
                <w:b/>
                <w:sz w:val="20"/>
                <w:szCs w:val="20"/>
              </w:rPr>
              <w:t>, bevacizumab, paragraph 7.5)</w:t>
            </w:r>
            <w:r w:rsidRPr="00CE3B29">
              <w:rPr>
                <w:rFonts w:ascii="Arial Narrow" w:hAnsi="Arial Narrow" w:cs="Arial"/>
                <w:b/>
                <w:sz w:val="20"/>
                <w:szCs w:val="20"/>
              </w:rPr>
              <w:t>:</w:t>
            </w:r>
            <w:r w:rsidRPr="00CE3B29">
              <w:rPr>
                <w:rFonts w:ascii="Arial Narrow" w:hAnsi="Arial Narrow" w:cs="Arial"/>
                <w:sz w:val="20"/>
                <w:szCs w:val="20"/>
              </w:rPr>
              <w:t xml:space="preserve"> </w:t>
            </w:r>
            <w:r w:rsidR="003A16EA" w:rsidRPr="00CE3B29">
              <w:rPr>
                <w:rFonts w:ascii="Arial Narrow" w:hAnsi="Arial Narrow" w:cs="Arial"/>
                <w:sz w:val="20"/>
                <w:szCs w:val="20"/>
              </w:rPr>
              <w:t xml:space="preserve">The PBAC noted the primary outcome was overall survival (OS) and progression free survival (PFS) was a secondary outcome.  With regards to OS, the results were statistically significant in the ITT analyses, with a HR of 0.74 (95% CI: 0.58, 0.94) at the December 2012 data cut-off and </w:t>
            </w:r>
            <w:r w:rsidR="00630F18">
              <w:rPr>
                <w:rFonts w:ascii="Arial Narrow" w:hAnsi="Arial Narrow" w:cs="Arial"/>
                <w:noProof/>
                <w:color w:val="000000"/>
                <w:sz w:val="20"/>
                <w:szCs w:val="20"/>
                <w:highlight w:val="black"/>
              </w:rPr>
              <w:t>''''''''''' ''''''''''''' '''''' '''''''''' '''''''''''''</w:t>
            </w:r>
            <w:r w:rsidR="003A16EA" w:rsidRPr="00CE3B29">
              <w:rPr>
                <w:rFonts w:ascii="Arial Narrow" w:hAnsi="Arial Narrow" w:cs="Arial"/>
                <w:sz w:val="20"/>
                <w:szCs w:val="20"/>
              </w:rPr>
              <w:t xml:space="preserve"> at the March 2014 data cut-off.  With regards to PFS, the results were also statistically significant in the ITT analyses, with a HR of 0.66 (95% CI: </w:t>
            </w:r>
            <w:r w:rsidR="00630F18">
              <w:rPr>
                <w:rFonts w:ascii="Arial Narrow" w:hAnsi="Arial Narrow" w:cs="Arial"/>
                <w:noProof/>
                <w:color w:val="000000"/>
                <w:sz w:val="20"/>
                <w:szCs w:val="20"/>
                <w:highlight w:val="black"/>
              </w:rPr>
              <w:t>'''''''''''' ''''''''''''''</w:t>
            </w:r>
            <w:r w:rsidRPr="00CE3B29">
              <w:rPr>
                <w:rFonts w:ascii="Arial Narrow" w:hAnsi="Arial Narrow" w:cs="Arial"/>
                <w:sz w:val="20"/>
                <w:szCs w:val="20"/>
              </w:rPr>
              <w:t>].</w:t>
            </w:r>
          </w:p>
        </w:tc>
        <w:tc>
          <w:tcPr>
            <w:tcW w:w="2915" w:type="dxa"/>
          </w:tcPr>
          <w:p w:rsidR="00E95860" w:rsidRPr="00CE3B29" w:rsidRDefault="00E95860" w:rsidP="00F57FCB">
            <w:pPr>
              <w:rPr>
                <w:rFonts w:ascii="Arial Narrow" w:hAnsi="Arial Narrow" w:cs="Arial"/>
                <w:sz w:val="20"/>
                <w:szCs w:val="20"/>
                <w:highlight w:val="yellow"/>
              </w:rPr>
            </w:pPr>
            <w:r w:rsidRPr="00CE3B29">
              <w:rPr>
                <w:rFonts w:ascii="Arial Narrow" w:hAnsi="Arial Narrow" w:cs="Arial"/>
                <w:sz w:val="20"/>
                <w:szCs w:val="20"/>
              </w:rPr>
              <w:t xml:space="preserve">Unchanged from November 2015 submission. </w:t>
            </w:r>
          </w:p>
        </w:tc>
      </w:tr>
      <w:tr w:rsidR="00E95860" w:rsidRPr="00CE3B29" w:rsidTr="00E95860">
        <w:trPr>
          <w:trHeight w:val="860"/>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Key safety data</w:t>
            </w:r>
          </w:p>
        </w:tc>
        <w:tc>
          <w:tcPr>
            <w:tcW w:w="3827" w:type="dxa"/>
          </w:tcPr>
          <w:p w:rsidR="003A16EA" w:rsidRPr="00CE3B29" w:rsidRDefault="003A16EA" w:rsidP="00F57FCB">
            <w:pPr>
              <w:rPr>
                <w:rFonts w:ascii="Arial Narrow" w:hAnsi="Arial Narrow" w:cs="Arial"/>
                <w:sz w:val="20"/>
                <w:szCs w:val="20"/>
              </w:rPr>
            </w:pPr>
            <w:r w:rsidRPr="00CE3B29">
              <w:rPr>
                <w:rFonts w:ascii="Arial Narrow" w:hAnsi="Arial Narrow" w:cs="Arial"/>
                <w:sz w:val="20"/>
                <w:szCs w:val="20"/>
              </w:rPr>
              <w:t xml:space="preserve">Approximately 15 additional patients would experience a serious adverse event, for every 100 patients treated with bevacizumab plus chemotherapy, over a median duration of exposure of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xml:space="preserve"> weeks.</w:t>
            </w:r>
          </w:p>
          <w:p w:rsidR="00E95860" w:rsidRPr="00CE3B29" w:rsidRDefault="003A16EA" w:rsidP="00F57FCB">
            <w:pPr>
              <w:rPr>
                <w:rFonts w:ascii="Arial Narrow" w:hAnsi="Arial Narrow" w:cs="Arial"/>
                <w:sz w:val="20"/>
                <w:szCs w:val="20"/>
              </w:rPr>
            </w:pPr>
            <w:r w:rsidRPr="00CE3B29">
              <w:rPr>
                <w:rFonts w:ascii="Arial Narrow" w:hAnsi="Arial Narrow" w:cs="Arial"/>
                <w:sz w:val="20"/>
                <w:szCs w:val="20"/>
              </w:rPr>
              <w:t>Approximately 21 additional patients would experience serious adverse events of special interest, for every 100 patients treated with bevacizumab plus chemotherapy, over a median duration of exposure of 20.7 weeks.</w:t>
            </w:r>
          </w:p>
          <w:p w:rsidR="003A16EA" w:rsidRPr="00CE3B29" w:rsidRDefault="003A16EA" w:rsidP="00F57FCB">
            <w:pPr>
              <w:rPr>
                <w:rFonts w:ascii="Arial Narrow" w:hAnsi="Arial Narrow" w:cs="Arial"/>
                <w:sz w:val="20"/>
                <w:szCs w:val="20"/>
              </w:rPr>
            </w:pPr>
          </w:p>
          <w:p w:rsidR="00E95860" w:rsidRPr="00CE3B29" w:rsidRDefault="0071007D" w:rsidP="00B51E86">
            <w:pPr>
              <w:rPr>
                <w:rFonts w:ascii="Arial Narrow" w:hAnsi="Arial Narrow" w:cs="Arial"/>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bevacizumab, paragraph 7.6): </w:t>
            </w:r>
            <w:r w:rsidRPr="00CE3B29">
              <w:rPr>
                <w:rFonts w:ascii="Arial Narrow" w:hAnsi="Arial Narrow" w:cs="Arial"/>
                <w:sz w:val="20"/>
                <w:szCs w:val="20"/>
              </w:rPr>
              <w:t xml:space="preserve">“The PBAC noted the results of the comparative harms in the evaluation. The PBAC also noted that 15 additional patients would experience a serious adverse event, for every 100 patients treated with bevacizumab plus chemotherapy, over a mean duration of exposure of </w:t>
            </w:r>
            <w:r w:rsidR="00630F18">
              <w:rPr>
                <w:rFonts w:ascii="Arial Narrow" w:hAnsi="Arial Narrow" w:cs="Arial"/>
                <w:noProof/>
                <w:color w:val="000000"/>
                <w:sz w:val="20"/>
                <w:szCs w:val="20"/>
                <w:highlight w:val="black"/>
              </w:rPr>
              <w:t xml:space="preserve">'''''''''' </w:t>
            </w:r>
            <w:r w:rsidRPr="00CE3B29">
              <w:rPr>
                <w:rFonts w:ascii="Arial Narrow" w:hAnsi="Arial Narrow" w:cs="Arial"/>
                <w:sz w:val="20"/>
                <w:szCs w:val="20"/>
              </w:rPr>
              <w:t>weeks.  Further, the PBAC were concerned that the rate of non-gastrointestinal (any grade) fistula/abscess were higher in bevacizumab plus chemotherapy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than chemotherapy alone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while the rate of gastrointestinal perforation (any grade) was substantially higher in bevacizumab plus chemotherapy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than chemotherapy alone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as reported in the TGA Clinical Evaluation Report (p40).”</w:t>
            </w:r>
          </w:p>
        </w:tc>
        <w:tc>
          <w:tcPr>
            <w:tcW w:w="2915"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Unchanged from November 2015 submission. </w:t>
            </w:r>
          </w:p>
          <w:p w:rsidR="005E1FA2" w:rsidRPr="00CE3B29" w:rsidRDefault="005E1FA2" w:rsidP="00F57FCB">
            <w:pPr>
              <w:rPr>
                <w:rFonts w:ascii="Arial Narrow" w:hAnsi="Arial Narrow" w:cs="Arial"/>
                <w:sz w:val="20"/>
                <w:szCs w:val="20"/>
              </w:rPr>
            </w:pPr>
            <w:r w:rsidRPr="00CE3B29">
              <w:rPr>
                <w:rFonts w:ascii="Arial Narrow" w:hAnsi="Arial Narrow" w:cs="Arial"/>
                <w:sz w:val="20"/>
                <w:szCs w:val="20"/>
              </w:rPr>
              <w:t xml:space="preserve">The submission does include an additional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xml:space="preserve">% decrement in utility to the PFS values applicable to patients in the bevacizumab treatment arm applied in a sensitivity analysis in the updated economic evaluation. </w:t>
            </w:r>
          </w:p>
        </w:tc>
      </w:tr>
      <w:tr w:rsidR="00E95860" w:rsidRPr="00CE3B29" w:rsidTr="00E95860">
        <w:trPr>
          <w:trHeight w:val="860"/>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Clinical claim</w:t>
            </w:r>
          </w:p>
        </w:tc>
        <w:tc>
          <w:tcPr>
            <w:tcW w:w="3827" w:type="dxa"/>
          </w:tcPr>
          <w:p w:rsidR="00E95860" w:rsidRPr="00CE3B29" w:rsidRDefault="00E95860" w:rsidP="00F57FCB">
            <w:pPr>
              <w:rPr>
                <w:rFonts w:ascii="Arial Narrow" w:hAnsi="Arial Narrow" w:cs="Arial"/>
                <w:b/>
                <w:sz w:val="20"/>
                <w:szCs w:val="20"/>
              </w:rPr>
            </w:pPr>
            <w:r w:rsidRPr="00CE3B29">
              <w:rPr>
                <w:rFonts w:ascii="Arial Narrow" w:hAnsi="Arial Narrow" w:cs="Arial"/>
                <w:sz w:val="20"/>
                <w:szCs w:val="20"/>
              </w:rPr>
              <w:t xml:space="preserve">Superior efficacy and </w:t>
            </w:r>
            <w:r w:rsidR="003A16EA" w:rsidRPr="00CE3B29">
              <w:rPr>
                <w:rFonts w:ascii="Arial Narrow" w:hAnsi="Arial Narrow" w:cs="Arial"/>
                <w:sz w:val="20"/>
                <w:szCs w:val="20"/>
              </w:rPr>
              <w:t xml:space="preserve">a manageable and </w:t>
            </w:r>
            <w:r w:rsidRPr="00CE3B29">
              <w:rPr>
                <w:rFonts w:ascii="Arial Narrow" w:hAnsi="Arial Narrow" w:cs="Arial"/>
                <w:sz w:val="20"/>
                <w:szCs w:val="20"/>
              </w:rPr>
              <w:t xml:space="preserve">acceptable safety profile compared with </w:t>
            </w:r>
            <w:r w:rsidR="003A16EA" w:rsidRPr="00CE3B29">
              <w:rPr>
                <w:rFonts w:ascii="Arial Narrow" w:hAnsi="Arial Narrow" w:cs="Arial"/>
                <w:sz w:val="20"/>
                <w:szCs w:val="20"/>
              </w:rPr>
              <w:t>chemotherapy alone</w:t>
            </w:r>
            <w:r w:rsidRPr="00CE3B29">
              <w:rPr>
                <w:rFonts w:ascii="Arial Narrow" w:hAnsi="Arial Narrow" w:cs="Arial"/>
                <w:sz w:val="20"/>
                <w:szCs w:val="20"/>
              </w:rPr>
              <w:t>.</w:t>
            </w:r>
          </w:p>
          <w:p w:rsidR="003A16EA" w:rsidRPr="00CE3B29" w:rsidRDefault="003A16EA" w:rsidP="00F57FCB">
            <w:pPr>
              <w:rPr>
                <w:rFonts w:ascii="Arial Narrow" w:hAnsi="Arial Narrow" w:cs="Arial"/>
                <w:b/>
                <w:sz w:val="20"/>
                <w:szCs w:val="20"/>
              </w:rPr>
            </w:pPr>
          </w:p>
          <w:p w:rsidR="006B2827" w:rsidRPr="00CE3B29" w:rsidRDefault="003A16EA" w:rsidP="00F57FCB">
            <w:pPr>
              <w:rPr>
                <w:rFonts w:ascii="Arial Narrow" w:hAnsi="Arial Narrow" w:cs="Arial"/>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bevacizumab, paragraph </w:t>
            </w:r>
            <w:r w:rsidR="006B2827" w:rsidRPr="00CE3B29">
              <w:rPr>
                <w:rFonts w:ascii="Arial Narrow" w:hAnsi="Arial Narrow" w:cs="Arial"/>
                <w:b/>
                <w:sz w:val="20"/>
                <w:szCs w:val="20"/>
              </w:rPr>
              <w:t>7.7 &amp; 7.8</w:t>
            </w:r>
            <w:r w:rsidRPr="00CE3B29">
              <w:rPr>
                <w:rFonts w:ascii="Arial Narrow" w:hAnsi="Arial Narrow" w:cs="Arial"/>
                <w:b/>
                <w:sz w:val="20"/>
                <w:szCs w:val="20"/>
              </w:rPr>
              <w:t xml:space="preserve">): </w:t>
            </w:r>
            <w:r w:rsidR="00E95860" w:rsidRPr="00CE3B29">
              <w:rPr>
                <w:rFonts w:ascii="Arial Narrow" w:hAnsi="Arial Narrow" w:cs="Arial"/>
                <w:sz w:val="20"/>
                <w:szCs w:val="20"/>
              </w:rPr>
              <w:t>“</w:t>
            </w:r>
            <w:r w:rsidR="006B2827" w:rsidRPr="00CE3B29">
              <w:rPr>
                <w:rFonts w:ascii="Arial Narrow" w:hAnsi="Arial Narrow" w:cs="Arial"/>
                <w:sz w:val="20"/>
                <w:szCs w:val="20"/>
              </w:rPr>
              <w:t xml:space="preserve">7.7 The PBAC considered the gain in median OS of 3.5 months and the gain in median PFS of 2.3 months associated with bevacizumab were clinically </w:t>
            </w:r>
            <w:r w:rsidR="006B2827" w:rsidRPr="00CE3B29">
              <w:rPr>
                <w:rFonts w:ascii="Arial Narrow" w:hAnsi="Arial Narrow" w:cs="Arial"/>
                <w:sz w:val="20"/>
                <w:szCs w:val="20"/>
              </w:rPr>
              <w:lastRenderedPageBreak/>
              <w:t>modest,especially in view of significant adverse events including the clinically significant higher incidence of fistula.</w:t>
            </w:r>
          </w:p>
          <w:p w:rsidR="00E95860" w:rsidRPr="00CE3B29" w:rsidRDefault="006B2827" w:rsidP="00F57FCB">
            <w:pPr>
              <w:rPr>
                <w:rFonts w:ascii="Arial Narrow" w:hAnsi="Arial Narrow" w:cs="Arial"/>
                <w:sz w:val="20"/>
                <w:szCs w:val="20"/>
              </w:rPr>
            </w:pPr>
            <w:r w:rsidRPr="00CE3B29">
              <w:rPr>
                <w:rFonts w:ascii="Arial Narrow" w:hAnsi="Arial Narrow" w:cs="Arial"/>
                <w:sz w:val="20"/>
                <w:szCs w:val="20"/>
              </w:rPr>
              <w:t xml:space="preserve">7.8 </w:t>
            </w:r>
            <w:r w:rsidR="003A16EA" w:rsidRPr="00CE3B29">
              <w:rPr>
                <w:rFonts w:ascii="Arial Narrow" w:hAnsi="Arial Narrow" w:cs="Arial"/>
                <w:sz w:val="20"/>
                <w:szCs w:val="20"/>
              </w:rPr>
              <w:t>The PBAC considered this claim was adequately supported for superior comparative effectiveness in terms of OS and PFS compared with chemotherapy alone.  However, the claim of manageable and acceptable safety profile was not adequately supported.  While bevacizumab has some clinical benefits to patients, these may be counter-balanced by clinical harms.</w:t>
            </w:r>
            <w:r w:rsidR="00E95860" w:rsidRPr="00CE3B29">
              <w:rPr>
                <w:rFonts w:ascii="Arial Narrow" w:hAnsi="Arial Narrow" w:cs="Arial"/>
                <w:sz w:val="20"/>
                <w:szCs w:val="20"/>
              </w:rPr>
              <w:t>”</w:t>
            </w:r>
          </w:p>
        </w:tc>
        <w:tc>
          <w:tcPr>
            <w:tcW w:w="2915" w:type="dxa"/>
          </w:tcPr>
          <w:p w:rsidR="00E95860" w:rsidRPr="00CE3B29" w:rsidRDefault="0071007D" w:rsidP="00F57FCB">
            <w:pPr>
              <w:rPr>
                <w:rFonts w:ascii="Arial Narrow" w:hAnsi="Arial Narrow" w:cs="Arial"/>
                <w:sz w:val="20"/>
                <w:szCs w:val="20"/>
              </w:rPr>
            </w:pPr>
            <w:r w:rsidRPr="00CE3B29">
              <w:rPr>
                <w:rFonts w:ascii="Arial Narrow" w:hAnsi="Arial Narrow" w:cs="Arial"/>
                <w:sz w:val="20"/>
                <w:szCs w:val="20"/>
              </w:rPr>
              <w:lastRenderedPageBreak/>
              <w:t>U</w:t>
            </w:r>
            <w:r w:rsidR="00E95860" w:rsidRPr="00CE3B29">
              <w:rPr>
                <w:rFonts w:ascii="Arial Narrow" w:hAnsi="Arial Narrow" w:cs="Arial"/>
                <w:sz w:val="20"/>
                <w:szCs w:val="20"/>
              </w:rPr>
              <w:t xml:space="preserve">nchanged from November 2015 submission. </w:t>
            </w:r>
          </w:p>
        </w:tc>
      </w:tr>
      <w:tr w:rsidR="00E95860" w:rsidRPr="00CE3B29" w:rsidTr="00E95860">
        <w:trPr>
          <w:trHeight w:val="1298"/>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lastRenderedPageBreak/>
              <w:t>Economic evaluation</w:t>
            </w:r>
          </w:p>
        </w:tc>
        <w:tc>
          <w:tcPr>
            <w:tcW w:w="3827" w:type="dxa"/>
          </w:tcPr>
          <w:p w:rsidR="00E95860" w:rsidRPr="00CE3B29" w:rsidRDefault="00E95860" w:rsidP="00F57FCB">
            <w:pPr>
              <w:rPr>
                <w:rFonts w:ascii="Arial Narrow" w:hAnsi="Arial Narrow" w:cs="Arial"/>
                <w:b/>
                <w:sz w:val="20"/>
                <w:szCs w:val="20"/>
              </w:rPr>
            </w:pPr>
            <w:r w:rsidRPr="00CE3B29">
              <w:rPr>
                <w:rFonts w:ascii="Arial Narrow" w:hAnsi="Arial Narrow" w:cs="Arial"/>
                <w:sz w:val="20"/>
                <w:szCs w:val="20"/>
              </w:rPr>
              <w:t>•Cost-utility model with cost/QALY $</w:t>
            </w:r>
            <w:r w:rsidR="00954195">
              <w:rPr>
                <w:rFonts w:ascii="Arial Narrow" w:hAnsi="Arial Narrow" w:cs="Arial"/>
                <w:sz w:val="20"/>
                <w:szCs w:val="20"/>
              </w:rPr>
              <w:t>75,000</w:t>
            </w:r>
            <w:r w:rsidR="007836FF">
              <w:rPr>
                <w:rFonts w:ascii="Arial Narrow" w:hAnsi="Arial Narrow" w:cs="Arial"/>
                <w:sz w:val="20"/>
                <w:szCs w:val="20"/>
              </w:rPr>
              <w:t>/QALY</w:t>
            </w:r>
            <w:r w:rsidR="00954195">
              <w:rPr>
                <w:rFonts w:ascii="Arial Narrow" w:hAnsi="Arial Narrow" w:cs="Arial"/>
                <w:sz w:val="20"/>
                <w:szCs w:val="20"/>
              </w:rPr>
              <w:t xml:space="preserve"> - $105,000</w:t>
            </w:r>
            <w:r w:rsidR="007836FF">
              <w:rPr>
                <w:rFonts w:ascii="Arial Narrow" w:hAnsi="Arial Narrow" w:cs="Arial"/>
                <w:sz w:val="20"/>
                <w:szCs w:val="20"/>
              </w:rPr>
              <w:t>/QALY</w:t>
            </w:r>
            <w:r w:rsidR="006B2827" w:rsidRPr="00CE3B29">
              <w:rPr>
                <w:rFonts w:ascii="Arial Narrow" w:hAnsi="Arial Narrow" w:cs="Arial"/>
                <w:sz w:val="20"/>
                <w:szCs w:val="20"/>
              </w:rPr>
              <w:t xml:space="preserve"> </w:t>
            </w:r>
            <w:r w:rsidRPr="00CE3B29">
              <w:rPr>
                <w:rFonts w:ascii="Arial Narrow" w:hAnsi="Arial Narrow" w:cs="Arial"/>
                <w:sz w:val="20"/>
                <w:szCs w:val="20"/>
              </w:rPr>
              <w:t xml:space="preserve">(this included the submission’s </w:t>
            </w:r>
            <w:r w:rsidR="006B2827" w:rsidRPr="00CE3B29">
              <w:rPr>
                <w:rFonts w:ascii="Arial Narrow" w:hAnsi="Arial Narrow" w:cs="Arial"/>
                <w:sz w:val="20"/>
                <w:szCs w:val="20"/>
              </w:rPr>
              <w:t xml:space="preserve">proposed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xml:space="preserve">% </w:t>
            </w:r>
            <w:r w:rsidR="006B2827" w:rsidRPr="00CE3B29">
              <w:rPr>
                <w:rFonts w:ascii="Arial Narrow" w:hAnsi="Arial Narrow" w:cs="Arial"/>
                <w:sz w:val="20"/>
                <w:szCs w:val="20"/>
              </w:rPr>
              <w:t>rebate on ex manufacturer price</w:t>
            </w:r>
            <w:r w:rsidRPr="00CE3B29">
              <w:rPr>
                <w:rFonts w:ascii="Arial Narrow" w:hAnsi="Arial Narrow" w:cs="Arial"/>
                <w:sz w:val="20"/>
                <w:szCs w:val="20"/>
              </w:rPr>
              <w:t>).</w:t>
            </w:r>
          </w:p>
          <w:p w:rsidR="00E95860" w:rsidRPr="00CE3B29" w:rsidRDefault="00E95860" w:rsidP="00F57FCB">
            <w:pPr>
              <w:rPr>
                <w:rFonts w:ascii="Arial Narrow" w:hAnsi="Arial Narrow" w:cs="Arial"/>
                <w:sz w:val="20"/>
                <w:szCs w:val="20"/>
              </w:rPr>
            </w:pPr>
          </w:p>
          <w:p w:rsidR="00E95860" w:rsidRPr="00CE3B29" w:rsidRDefault="00E95860" w:rsidP="00F57FCB">
            <w:pPr>
              <w:rPr>
                <w:rFonts w:ascii="Arial Narrow" w:hAnsi="Arial Narrow" w:cs="Arial"/>
                <w:b/>
                <w:sz w:val="20"/>
                <w:szCs w:val="20"/>
              </w:rPr>
            </w:pPr>
          </w:p>
          <w:p w:rsidR="00E95860" w:rsidRPr="00CE3B29" w:rsidRDefault="006B2827" w:rsidP="00F57FCB">
            <w:pPr>
              <w:rPr>
                <w:rFonts w:ascii="Arial Narrow" w:hAnsi="Arial Narrow" w:cs="Arial"/>
                <w:b/>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bevacizumab, paragraph 7.9): </w:t>
            </w:r>
            <w:r w:rsidR="00E95860" w:rsidRPr="00CE3B29">
              <w:rPr>
                <w:rFonts w:ascii="Arial Narrow" w:hAnsi="Arial Narrow" w:cs="Arial"/>
                <w:sz w:val="20"/>
                <w:szCs w:val="20"/>
              </w:rPr>
              <w:t>“</w:t>
            </w:r>
            <w:r w:rsidRPr="00CE3B29">
              <w:rPr>
                <w:rFonts w:ascii="Arial Narrow" w:hAnsi="Arial Narrow" w:cs="Arial"/>
                <w:sz w:val="20"/>
                <w:szCs w:val="20"/>
              </w:rPr>
              <w:t>The PBAC noted the cost utility analysis presented in the submission resulted in an ICER of greater than $</w:t>
            </w:r>
            <w:r w:rsidR="00954195">
              <w:rPr>
                <w:rFonts w:ascii="Arial Narrow" w:hAnsi="Arial Narrow" w:cs="Arial"/>
                <w:sz w:val="20"/>
                <w:szCs w:val="20"/>
              </w:rPr>
              <w:t>75,000/QALY - $105,000/QALY</w:t>
            </w:r>
            <w:r w:rsidRPr="00CE3B29">
              <w:rPr>
                <w:rFonts w:ascii="Arial Narrow" w:hAnsi="Arial Narrow" w:cs="Arial"/>
                <w:sz w:val="20"/>
                <w:szCs w:val="20"/>
              </w:rPr>
              <w:t>.  The PBAC, noting the clinical outcomes, considered that this base case ICER/QALY was unacceptably high and was based on QALYs gained resulting from parametric extrapolation of OS and PFS that could not be relied upon. The PBAC noted that base-case ICER/QALY value was much higher than the range of ICER that the Committee has considered cost-effective for treatments of cancer. Further, the PBAC agreed with the ESC that the base case ICER/QALY likely represents a lower boundary of a plausible range of cost-effectiveness.  The PBAC noted that the ICER was sensitive to the extrapolation from a median follow-up of 14.1 months to a time horizon of 7 years.  The PBAC questioned that trial data was available to 55.9 months however, the submission chose not to incorporate data beyond 14.1 months.  The PBAC noted the results of the sensitivity analyses and that the ICER increases to $</w:t>
            </w:r>
            <w:r w:rsidR="00954195">
              <w:rPr>
                <w:rFonts w:ascii="Arial Narrow" w:hAnsi="Arial Narrow" w:cs="Arial"/>
                <w:sz w:val="20"/>
                <w:szCs w:val="20"/>
              </w:rPr>
              <w:t>105,000/QALY - $200,000/QALY</w:t>
            </w:r>
            <w:r w:rsidRPr="00CE3B29">
              <w:rPr>
                <w:rFonts w:ascii="Arial Narrow" w:hAnsi="Arial Narrow" w:cs="Arial"/>
                <w:sz w:val="20"/>
                <w:szCs w:val="20"/>
              </w:rPr>
              <w:t xml:space="preserve"> using the trial OS data up to 55.9 months.”</w:t>
            </w:r>
          </w:p>
          <w:p w:rsidR="00E95860" w:rsidRPr="00CE3B29" w:rsidRDefault="00E95860" w:rsidP="00F57FCB">
            <w:pPr>
              <w:rPr>
                <w:rFonts w:ascii="Arial Narrow" w:hAnsi="Arial Narrow" w:cs="Arial"/>
                <w:sz w:val="20"/>
                <w:szCs w:val="20"/>
              </w:rPr>
            </w:pPr>
          </w:p>
        </w:tc>
        <w:tc>
          <w:tcPr>
            <w:tcW w:w="2915"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•Cost-utility model with cost/QALY $</w:t>
            </w:r>
            <w:r w:rsidR="00954195">
              <w:rPr>
                <w:rFonts w:ascii="Arial Narrow" w:hAnsi="Arial Narrow" w:cs="Arial"/>
                <w:sz w:val="20"/>
                <w:szCs w:val="20"/>
              </w:rPr>
              <w:t>45,000 - $75,000.</w:t>
            </w:r>
          </w:p>
          <w:p w:rsidR="00E95860" w:rsidRPr="00CE3B29" w:rsidRDefault="00E95860" w:rsidP="00F57FCB">
            <w:pPr>
              <w:rPr>
                <w:rFonts w:ascii="Arial Narrow" w:hAnsi="Arial Narrow" w:cs="Arial"/>
                <w:sz w:val="20"/>
                <w:szCs w:val="20"/>
              </w:rPr>
            </w:pPr>
          </w:p>
          <w:p w:rsidR="003C6F6A"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The base case was updated to incorporate a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xml:space="preserve">% rebate, rather than the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rebate proposed in the November 2015 submissio</w:t>
            </w:r>
            <w:r w:rsidR="006B2827" w:rsidRPr="00CE3B29">
              <w:rPr>
                <w:rFonts w:ascii="Arial Narrow" w:hAnsi="Arial Narrow" w:cs="Arial"/>
                <w:sz w:val="20"/>
                <w:szCs w:val="20"/>
              </w:rPr>
              <w:t>n</w:t>
            </w:r>
            <w:r w:rsidR="00C11F4D" w:rsidRPr="00CE3B29">
              <w:rPr>
                <w:rFonts w:ascii="Arial Narrow" w:hAnsi="Arial Narrow" w:cs="Arial"/>
                <w:sz w:val="20"/>
                <w:szCs w:val="20"/>
              </w:rPr>
              <w:t xml:space="preserve"> and </w:t>
            </w:r>
            <w:r w:rsidR="006B2827" w:rsidRPr="00CE3B29">
              <w:rPr>
                <w:rFonts w:ascii="Arial Narrow" w:hAnsi="Arial Narrow" w:cs="Arial"/>
                <w:sz w:val="20"/>
                <w:szCs w:val="20"/>
              </w:rPr>
              <w:t>the truncation point was extended to 55.9 months</w:t>
            </w:r>
            <w:r w:rsidR="00C11F4D" w:rsidRPr="00CE3B29">
              <w:rPr>
                <w:rFonts w:ascii="Arial Narrow" w:hAnsi="Arial Narrow" w:cs="Arial"/>
                <w:sz w:val="20"/>
                <w:szCs w:val="20"/>
              </w:rPr>
              <w:t xml:space="preserve">. In sensitivity </w:t>
            </w:r>
            <w:r w:rsidR="00623A0E" w:rsidRPr="00CE3B29">
              <w:rPr>
                <w:rFonts w:ascii="Arial Narrow" w:hAnsi="Arial Narrow" w:cs="Arial"/>
                <w:sz w:val="20"/>
                <w:szCs w:val="20"/>
              </w:rPr>
              <w:t>analysis, a</w:t>
            </w:r>
            <w:r w:rsidR="006B2827" w:rsidRPr="00CE3B29">
              <w:rPr>
                <w:rFonts w:ascii="Arial Narrow" w:hAnsi="Arial Narrow" w:cs="Arial"/>
                <w:sz w:val="20"/>
                <w:szCs w:val="20"/>
              </w:rPr>
              <w:t xml:space="preserve"> </w:t>
            </w:r>
            <w:r w:rsidR="00630F18">
              <w:rPr>
                <w:rFonts w:ascii="Arial Narrow" w:hAnsi="Arial Narrow" w:cs="Arial"/>
                <w:noProof/>
                <w:color w:val="000000"/>
                <w:sz w:val="20"/>
                <w:szCs w:val="20"/>
                <w:highlight w:val="black"/>
              </w:rPr>
              <w:t>'''</w:t>
            </w:r>
            <w:r w:rsidR="00D8154B" w:rsidRPr="00CE3B29">
              <w:rPr>
                <w:rFonts w:ascii="Arial Narrow" w:hAnsi="Arial Narrow" w:cs="Arial"/>
                <w:sz w:val="20"/>
                <w:szCs w:val="20"/>
              </w:rPr>
              <w:t>% decrement in utility to the PFS values applied to patients in the bevacizumab treatment arm</w:t>
            </w:r>
            <w:r w:rsidR="00C11F4D" w:rsidRPr="00CE3B29">
              <w:rPr>
                <w:rFonts w:ascii="Arial Narrow" w:hAnsi="Arial Narrow" w:cs="Arial"/>
                <w:sz w:val="20"/>
                <w:szCs w:val="20"/>
              </w:rPr>
              <w:t xml:space="preserve"> </w:t>
            </w:r>
            <w:r w:rsidR="004B66E8" w:rsidRPr="00CE3B29">
              <w:rPr>
                <w:rFonts w:ascii="Arial Narrow" w:hAnsi="Arial Narrow" w:cs="Arial"/>
                <w:sz w:val="20"/>
                <w:szCs w:val="20"/>
              </w:rPr>
              <w:t xml:space="preserve">was applied </w:t>
            </w:r>
            <w:r w:rsidR="00C11F4D" w:rsidRPr="00CE3B29">
              <w:rPr>
                <w:rFonts w:ascii="Arial Narrow" w:hAnsi="Arial Narrow" w:cs="Arial"/>
                <w:sz w:val="20"/>
                <w:szCs w:val="20"/>
              </w:rPr>
              <w:t>results in ICER of $</w:t>
            </w:r>
            <w:r w:rsidR="00954195">
              <w:rPr>
                <w:rFonts w:ascii="Arial Narrow" w:hAnsi="Arial Narrow" w:cs="Arial"/>
                <w:sz w:val="20"/>
                <w:szCs w:val="20"/>
              </w:rPr>
              <w:t>45,000</w:t>
            </w:r>
            <w:r w:rsidR="00E434C7">
              <w:rPr>
                <w:rFonts w:ascii="Arial Narrow" w:hAnsi="Arial Narrow" w:cs="Arial"/>
                <w:sz w:val="20"/>
                <w:szCs w:val="20"/>
              </w:rPr>
              <w:t>/QALY</w:t>
            </w:r>
            <w:r w:rsidR="00954195">
              <w:rPr>
                <w:rFonts w:ascii="Arial Narrow" w:hAnsi="Arial Narrow" w:cs="Arial"/>
                <w:sz w:val="20"/>
                <w:szCs w:val="20"/>
              </w:rPr>
              <w:t xml:space="preserve"> - $75,000/QALY</w:t>
            </w:r>
          </w:p>
          <w:p w:rsidR="003C6F6A" w:rsidRPr="00CE3B29" w:rsidRDefault="003C6F6A" w:rsidP="00F57FCB">
            <w:pPr>
              <w:rPr>
                <w:rFonts w:ascii="Arial Narrow" w:hAnsi="Arial Narrow" w:cs="Arial"/>
                <w:sz w:val="20"/>
                <w:szCs w:val="20"/>
              </w:rPr>
            </w:pPr>
          </w:p>
          <w:p w:rsidR="00E95860" w:rsidRPr="00CE3B29" w:rsidRDefault="00CB5BA0" w:rsidP="00F57FCB">
            <w:pPr>
              <w:rPr>
                <w:rFonts w:ascii="Arial Narrow" w:hAnsi="Arial Narrow" w:cs="Arial"/>
                <w:color w:val="0000FF"/>
                <w:sz w:val="20"/>
                <w:szCs w:val="20"/>
              </w:rPr>
            </w:pPr>
            <w:r w:rsidRPr="00CE3B29">
              <w:rPr>
                <w:rFonts w:ascii="Arial Narrow" w:hAnsi="Arial Narrow" w:cs="Arial"/>
                <w:sz w:val="20"/>
                <w:szCs w:val="20"/>
              </w:rPr>
              <w:t xml:space="preserve">The ICERs </w:t>
            </w:r>
            <w:r w:rsidR="00E434C7">
              <w:rPr>
                <w:rFonts w:ascii="Arial Narrow" w:hAnsi="Arial Narrow" w:cs="Arial"/>
                <w:sz w:val="20"/>
                <w:szCs w:val="20"/>
              </w:rPr>
              <w:t xml:space="preserve">increased </w:t>
            </w:r>
            <w:r w:rsidRPr="00CE3B29">
              <w:rPr>
                <w:rFonts w:ascii="Arial Narrow" w:hAnsi="Arial Narrow" w:cs="Arial"/>
                <w:sz w:val="20"/>
                <w:szCs w:val="20"/>
              </w:rPr>
              <w:t xml:space="preserve">when </w:t>
            </w:r>
            <w:r w:rsidR="003C6F6A" w:rsidRPr="00CE3B29">
              <w:rPr>
                <w:rFonts w:ascii="Arial Narrow" w:hAnsi="Arial Narrow" w:cs="Arial"/>
                <w:sz w:val="20"/>
                <w:szCs w:val="20"/>
              </w:rPr>
              <w:t xml:space="preserve">the </w:t>
            </w:r>
            <w:r w:rsidRPr="00CE3B29">
              <w:rPr>
                <w:rFonts w:ascii="Arial Narrow" w:hAnsi="Arial Narrow" w:cs="Arial"/>
                <w:sz w:val="20"/>
                <w:szCs w:val="20"/>
              </w:rPr>
              <w:t>preparation fee includes TGA licensed compounders fee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rather than the non-TGA licensed compounders fee ($</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see below for more information</w:t>
            </w:r>
            <w:r w:rsidRPr="00CE3B29">
              <w:rPr>
                <w:rFonts w:ascii="Arial Narrow" w:hAnsi="Arial Narrow" w:cs="Arial"/>
                <w:color w:val="0000FF"/>
                <w:sz w:val="20"/>
                <w:szCs w:val="20"/>
              </w:rPr>
              <w:t xml:space="preserve">. </w:t>
            </w:r>
          </w:p>
        </w:tc>
      </w:tr>
      <w:tr w:rsidR="00E95860" w:rsidRPr="00CE3B29" w:rsidTr="00E95860">
        <w:trPr>
          <w:trHeight w:val="845"/>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Number of patients</w:t>
            </w:r>
          </w:p>
        </w:tc>
        <w:tc>
          <w:tcPr>
            <w:tcW w:w="3827"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r w:rsidRPr="00CE3B29">
              <w:rPr>
                <w:rFonts w:ascii="Arial Narrow" w:hAnsi="Arial Narrow" w:cs="Arial"/>
                <w:sz w:val="20"/>
                <w:szCs w:val="20"/>
              </w:rPr>
              <w:t xml:space="preserve"> in Year 1 </w:t>
            </w:r>
            <w:r w:rsidR="00D8154B" w:rsidRPr="00CE3B29">
              <w:rPr>
                <w:rFonts w:ascii="Arial Narrow" w:hAnsi="Arial Narrow" w:cs="Arial"/>
                <w:sz w:val="20"/>
                <w:szCs w:val="20"/>
              </w:rPr>
              <w:t>de</w:t>
            </w:r>
            <w:r w:rsidRPr="00CE3B29">
              <w:rPr>
                <w:rFonts w:ascii="Arial Narrow" w:hAnsi="Arial Narrow" w:cs="Arial"/>
                <w:sz w:val="20"/>
                <w:szCs w:val="20"/>
              </w:rPr>
              <w:t>creasing to</w:t>
            </w:r>
            <w:r w:rsidR="00630F18">
              <w:rPr>
                <w:rFonts w:ascii="Arial Narrow" w:hAnsi="Arial Narrow" w:cs="Arial"/>
                <w:noProof/>
                <w:color w:val="000000"/>
                <w:sz w:val="20"/>
                <w:szCs w:val="20"/>
                <w:highlight w:val="black"/>
              </w:rPr>
              <w:t xml:space="preserve"> '''''''''</w:t>
            </w:r>
            <w:r w:rsidRPr="00CE3B29">
              <w:rPr>
                <w:rFonts w:ascii="Arial Narrow" w:hAnsi="Arial Narrow" w:cs="Arial"/>
                <w:sz w:val="20"/>
                <w:szCs w:val="20"/>
              </w:rPr>
              <w:t xml:space="preserve"> in Year 5.</w:t>
            </w:r>
          </w:p>
          <w:p w:rsidR="00E95860" w:rsidRPr="00CE3B29" w:rsidRDefault="00E95860" w:rsidP="00F57FCB">
            <w:pPr>
              <w:rPr>
                <w:rFonts w:ascii="Arial Narrow" w:hAnsi="Arial Narrow" w:cs="Arial"/>
                <w:b/>
                <w:sz w:val="20"/>
                <w:szCs w:val="20"/>
              </w:rPr>
            </w:pPr>
          </w:p>
          <w:p w:rsidR="00E95860" w:rsidRPr="00CE3B29" w:rsidRDefault="00D8154B" w:rsidP="00B51E86">
            <w:pPr>
              <w:rPr>
                <w:rFonts w:ascii="Arial Narrow" w:hAnsi="Arial Narrow" w:cs="Arial"/>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bevacizumab, paragraph 7.</w:t>
            </w:r>
            <w:r w:rsidR="0079459D">
              <w:rPr>
                <w:rFonts w:ascii="Arial Narrow" w:hAnsi="Arial Narrow" w:cs="Arial"/>
                <w:b/>
                <w:sz w:val="20"/>
                <w:szCs w:val="20"/>
              </w:rPr>
              <w:t>11</w:t>
            </w:r>
            <w:r w:rsidRPr="00CE3B29">
              <w:rPr>
                <w:rFonts w:ascii="Arial Narrow" w:hAnsi="Arial Narrow" w:cs="Arial"/>
                <w:b/>
                <w:sz w:val="20"/>
                <w:szCs w:val="20"/>
              </w:rPr>
              <w:t xml:space="preserve">): </w:t>
            </w:r>
            <w:r w:rsidRPr="00CE3B29">
              <w:rPr>
                <w:rFonts w:ascii="Arial Narrow" w:hAnsi="Arial Narrow" w:cs="Arial"/>
                <w:sz w:val="20"/>
                <w:szCs w:val="20"/>
              </w:rPr>
              <w:t xml:space="preserve">“The PBAC noted that the estimates of utilisation of bevacizumab were uncertain and the financial estimates were likely overestimated. The PBAC recommended that the sponsor consider obtaining estimates of the cumulative number of cervical cancer deaths in the next 5-10 years taking into account the change in Human papillomavirus (HPV) testing in 2017 and the impact of the HPV vaccine on the National </w:t>
            </w:r>
            <w:r w:rsidRPr="00CE3B29">
              <w:rPr>
                <w:rFonts w:ascii="Arial Narrow" w:hAnsi="Arial Narrow" w:cs="Arial"/>
                <w:sz w:val="20"/>
                <w:szCs w:val="20"/>
              </w:rPr>
              <w:lastRenderedPageBreak/>
              <w:t>Immunisation Program. Also some justification should be provided in relation to the uptake rates of bevacizumab.”</w:t>
            </w:r>
          </w:p>
        </w:tc>
        <w:tc>
          <w:tcPr>
            <w:tcW w:w="2915"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lastRenderedPageBreak/>
              <w:t xml:space="preserve">Unchanged from November 2015 submission. </w:t>
            </w:r>
          </w:p>
        </w:tc>
      </w:tr>
      <w:tr w:rsidR="00E95860" w:rsidRPr="00CE3B29" w:rsidTr="00E95860">
        <w:trPr>
          <w:trHeight w:val="1080"/>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lastRenderedPageBreak/>
              <w:t>Estimated cost to PBS</w:t>
            </w:r>
          </w:p>
        </w:tc>
        <w:tc>
          <w:tcPr>
            <w:tcW w:w="3827" w:type="dxa"/>
          </w:tcPr>
          <w:p w:rsidR="00E95860" w:rsidRPr="00CE3B29" w:rsidRDefault="0079459D" w:rsidP="00F57FCB">
            <w:pPr>
              <w:rPr>
                <w:rFonts w:ascii="Arial Narrow" w:hAnsi="Arial Narrow" w:cs="Arial"/>
                <w:sz w:val="20"/>
                <w:szCs w:val="20"/>
              </w:rPr>
            </w:pPr>
            <w:r>
              <w:rPr>
                <w:rFonts w:ascii="Arial Narrow" w:hAnsi="Arial Narrow" w:cs="Arial"/>
                <w:sz w:val="20"/>
                <w:szCs w:val="20"/>
              </w:rPr>
              <w:t xml:space="preserve"> </w:t>
            </w:r>
            <w:r w:rsidR="00F10D51">
              <w:rPr>
                <w:rFonts w:ascii="Arial Narrow" w:hAnsi="Arial Narrow" w:cs="Arial"/>
                <w:sz w:val="20"/>
                <w:szCs w:val="20"/>
              </w:rPr>
              <w:t>L</w:t>
            </w:r>
            <w:r>
              <w:rPr>
                <w:rFonts w:ascii="Arial Narrow" w:hAnsi="Arial Narrow" w:cs="Arial"/>
                <w:sz w:val="20"/>
                <w:szCs w:val="20"/>
              </w:rPr>
              <w:t xml:space="preserve">ess than $10 million </w:t>
            </w:r>
            <w:r w:rsidR="00E95860" w:rsidRPr="00CE3B29">
              <w:rPr>
                <w:rFonts w:ascii="Arial Narrow" w:hAnsi="Arial Narrow" w:cs="Arial"/>
                <w:sz w:val="20"/>
                <w:szCs w:val="20"/>
              </w:rPr>
              <w:t xml:space="preserve">in Year 1 </w:t>
            </w:r>
            <w:r w:rsidR="00D8154B" w:rsidRPr="00CE3B29">
              <w:rPr>
                <w:rFonts w:ascii="Arial Narrow" w:hAnsi="Arial Narrow" w:cs="Arial"/>
                <w:sz w:val="20"/>
                <w:szCs w:val="20"/>
              </w:rPr>
              <w:t>de</w:t>
            </w:r>
            <w:r w:rsidR="00E95860" w:rsidRPr="00CE3B29">
              <w:rPr>
                <w:rFonts w:ascii="Arial Narrow" w:hAnsi="Arial Narrow" w:cs="Arial"/>
                <w:sz w:val="20"/>
                <w:szCs w:val="20"/>
              </w:rPr>
              <w:t xml:space="preserve">creasing to </w:t>
            </w:r>
            <w:r>
              <w:rPr>
                <w:rFonts w:ascii="Arial Narrow" w:hAnsi="Arial Narrow" w:cs="Arial"/>
                <w:sz w:val="20"/>
                <w:szCs w:val="20"/>
              </w:rPr>
              <w:t xml:space="preserve">less than $10 million </w:t>
            </w:r>
            <w:r w:rsidR="00E95860" w:rsidRPr="00CE3B29">
              <w:rPr>
                <w:rFonts w:ascii="Arial Narrow" w:hAnsi="Arial Narrow" w:cs="Arial"/>
                <w:sz w:val="20"/>
                <w:szCs w:val="20"/>
              </w:rPr>
              <w:t xml:space="preserve">in Year 5 for a total of </w:t>
            </w:r>
            <w:r w:rsidR="00D8154B" w:rsidRPr="00CE3B29">
              <w:rPr>
                <w:rFonts w:ascii="Arial Narrow" w:hAnsi="Arial Narrow" w:cs="Arial"/>
                <w:sz w:val="20"/>
                <w:szCs w:val="20"/>
              </w:rPr>
              <w:t>$</w:t>
            </w:r>
            <w:r>
              <w:rPr>
                <w:rFonts w:ascii="Arial Narrow" w:hAnsi="Arial Narrow" w:cs="Arial"/>
                <w:sz w:val="20"/>
                <w:szCs w:val="20"/>
              </w:rPr>
              <w:t>20 - $30 million</w:t>
            </w:r>
            <w:r w:rsidR="00D8154B" w:rsidRPr="00CE3B29">
              <w:rPr>
                <w:rFonts w:ascii="Arial Narrow" w:hAnsi="Arial Narrow" w:cs="Arial"/>
                <w:sz w:val="20"/>
                <w:szCs w:val="20"/>
              </w:rPr>
              <w:t xml:space="preserve"> </w:t>
            </w:r>
            <w:r w:rsidR="00E95860" w:rsidRPr="00CE3B29">
              <w:rPr>
                <w:rFonts w:ascii="Arial Narrow" w:hAnsi="Arial Narrow" w:cs="Arial"/>
                <w:sz w:val="20"/>
                <w:szCs w:val="20"/>
              </w:rPr>
              <w:t>over the first 5 years of listing.</w:t>
            </w:r>
          </w:p>
          <w:p w:rsidR="00E95860" w:rsidRPr="00CE3B29" w:rsidRDefault="00E95860" w:rsidP="00F57FCB">
            <w:pPr>
              <w:rPr>
                <w:rFonts w:ascii="Arial Narrow" w:hAnsi="Arial Narrow" w:cs="Arial"/>
                <w:sz w:val="20"/>
                <w:szCs w:val="20"/>
              </w:rPr>
            </w:pPr>
          </w:p>
          <w:p w:rsidR="00E95860" w:rsidRPr="00CE3B29" w:rsidRDefault="00E95860" w:rsidP="00F57FCB">
            <w:pPr>
              <w:rPr>
                <w:rFonts w:ascii="Arial Narrow" w:hAnsi="Arial Narrow" w:cs="Arial"/>
                <w:sz w:val="20"/>
                <w:szCs w:val="20"/>
              </w:rPr>
            </w:pPr>
            <w:r w:rsidRPr="00CE3B29">
              <w:rPr>
                <w:rFonts w:ascii="Arial Narrow" w:hAnsi="Arial Narrow" w:cs="Arial"/>
                <w:b/>
                <w:sz w:val="20"/>
                <w:szCs w:val="20"/>
              </w:rPr>
              <w:t>PBAC Comment:</w:t>
            </w:r>
            <w:r w:rsidRPr="00CE3B29">
              <w:rPr>
                <w:rFonts w:ascii="Arial Narrow" w:hAnsi="Arial Narrow" w:cs="Arial"/>
                <w:sz w:val="20"/>
                <w:szCs w:val="20"/>
              </w:rPr>
              <w:t xml:space="preserve"> As above.</w:t>
            </w:r>
          </w:p>
        </w:tc>
        <w:tc>
          <w:tcPr>
            <w:tcW w:w="2915" w:type="dxa"/>
          </w:tcPr>
          <w:p w:rsidR="00E95860" w:rsidRPr="00CE3B29" w:rsidRDefault="00A50695" w:rsidP="00F57FCB">
            <w:pPr>
              <w:rPr>
                <w:rFonts w:ascii="Arial Narrow" w:hAnsi="Arial Narrow" w:cs="Arial"/>
                <w:sz w:val="20"/>
                <w:szCs w:val="20"/>
              </w:rPr>
            </w:pPr>
            <w:r>
              <w:rPr>
                <w:rFonts w:ascii="Arial Narrow" w:hAnsi="Arial Narrow" w:cs="Arial"/>
                <w:sz w:val="20"/>
                <w:szCs w:val="20"/>
              </w:rPr>
              <w:t>L</w:t>
            </w:r>
            <w:r w:rsidR="0079459D">
              <w:rPr>
                <w:rFonts w:ascii="Arial Narrow" w:hAnsi="Arial Narrow" w:cs="Arial"/>
                <w:sz w:val="20"/>
                <w:szCs w:val="20"/>
              </w:rPr>
              <w:t xml:space="preserve">ess than $10 million </w:t>
            </w:r>
            <w:r w:rsidR="00E95860" w:rsidRPr="00CE3B29">
              <w:rPr>
                <w:rFonts w:ascii="Arial Narrow" w:hAnsi="Arial Narrow" w:cs="Arial"/>
                <w:sz w:val="20"/>
                <w:szCs w:val="20"/>
              </w:rPr>
              <w:t xml:space="preserve">Year 1 </w:t>
            </w:r>
            <w:r w:rsidR="0071007D" w:rsidRPr="00CE3B29">
              <w:rPr>
                <w:rFonts w:ascii="Arial Narrow" w:hAnsi="Arial Narrow" w:cs="Arial"/>
                <w:sz w:val="20"/>
                <w:szCs w:val="20"/>
              </w:rPr>
              <w:t>de</w:t>
            </w:r>
            <w:r w:rsidR="00E95860" w:rsidRPr="00CE3B29">
              <w:rPr>
                <w:rFonts w:ascii="Arial Narrow" w:hAnsi="Arial Narrow" w:cs="Arial"/>
                <w:sz w:val="20"/>
                <w:szCs w:val="20"/>
              </w:rPr>
              <w:t xml:space="preserve">creasing to </w:t>
            </w:r>
            <w:r w:rsidR="0079459D">
              <w:rPr>
                <w:rFonts w:ascii="Arial Narrow" w:hAnsi="Arial Narrow" w:cs="Arial"/>
                <w:sz w:val="20"/>
                <w:szCs w:val="20"/>
              </w:rPr>
              <w:t xml:space="preserve">less than $10 million </w:t>
            </w:r>
            <w:r w:rsidR="00E95860" w:rsidRPr="00CE3B29">
              <w:rPr>
                <w:rFonts w:ascii="Arial Narrow" w:hAnsi="Arial Narrow" w:cs="Arial"/>
                <w:sz w:val="20"/>
                <w:szCs w:val="20"/>
              </w:rPr>
              <w:t>in Year 5 for a total of $</w:t>
            </w:r>
            <w:r w:rsidR="0079459D">
              <w:rPr>
                <w:rFonts w:ascii="Arial Narrow" w:hAnsi="Arial Narrow" w:cs="Arial"/>
                <w:sz w:val="20"/>
                <w:szCs w:val="20"/>
              </w:rPr>
              <w:t>20 - $30 million</w:t>
            </w:r>
            <w:r w:rsidR="0079459D" w:rsidRPr="00CE3B29">
              <w:rPr>
                <w:rFonts w:ascii="Arial Narrow" w:hAnsi="Arial Narrow" w:cs="Arial"/>
                <w:sz w:val="20"/>
                <w:szCs w:val="20"/>
              </w:rPr>
              <w:t xml:space="preserve"> </w:t>
            </w:r>
            <w:r w:rsidR="003C6F6A" w:rsidRPr="00CE3B29">
              <w:rPr>
                <w:rFonts w:ascii="Arial Narrow" w:hAnsi="Arial Narrow" w:cs="Arial"/>
                <w:sz w:val="20"/>
                <w:szCs w:val="20"/>
              </w:rPr>
              <w:t xml:space="preserve">over </w:t>
            </w:r>
            <w:r w:rsidR="00E95860" w:rsidRPr="00CE3B29">
              <w:rPr>
                <w:rFonts w:ascii="Arial Narrow" w:hAnsi="Arial Narrow" w:cs="Arial"/>
                <w:sz w:val="20"/>
                <w:szCs w:val="20"/>
              </w:rPr>
              <w:t>the first 5 years of listing.</w:t>
            </w:r>
          </w:p>
        </w:tc>
      </w:tr>
      <w:tr w:rsidR="00E95860" w:rsidRPr="00CE3B29" w:rsidTr="00E95860">
        <w:trPr>
          <w:trHeight w:val="438"/>
        </w:trPr>
        <w:tc>
          <w:tcPr>
            <w:tcW w:w="1701"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br w:type="page"/>
              <w:t>PBAC decision</w:t>
            </w:r>
          </w:p>
        </w:tc>
        <w:tc>
          <w:tcPr>
            <w:tcW w:w="3827"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 xml:space="preserve">Reject </w:t>
            </w:r>
          </w:p>
          <w:p w:rsidR="00E95860" w:rsidRPr="00CE3B29" w:rsidRDefault="00E95860" w:rsidP="00F57FCB">
            <w:pPr>
              <w:rPr>
                <w:rFonts w:ascii="Arial Narrow" w:hAnsi="Arial Narrow" w:cs="Arial"/>
                <w:sz w:val="20"/>
                <w:szCs w:val="20"/>
              </w:rPr>
            </w:pPr>
          </w:p>
          <w:p w:rsidR="00E95860" w:rsidRPr="00CE3B29" w:rsidRDefault="0071007D" w:rsidP="00B51E86">
            <w:pPr>
              <w:rPr>
                <w:rFonts w:ascii="Arial Narrow" w:hAnsi="Arial Narrow" w:cs="Arial"/>
                <w:sz w:val="20"/>
                <w:szCs w:val="20"/>
              </w:rPr>
            </w:pPr>
            <w:r w:rsidRPr="00CE3B29">
              <w:rPr>
                <w:rFonts w:ascii="Arial Narrow" w:hAnsi="Arial Narrow" w:cs="Arial"/>
                <w:b/>
                <w:sz w:val="20"/>
                <w:szCs w:val="20"/>
              </w:rPr>
              <w:t>PBAC Comment (November 2015</w:t>
            </w:r>
            <w:r w:rsidR="00B51E86">
              <w:rPr>
                <w:rFonts w:ascii="Arial Narrow" w:hAnsi="Arial Narrow" w:cs="Arial"/>
                <w:b/>
                <w:sz w:val="20"/>
                <w:szCs w:val="20"/>
              </w:rPr>
              <w:t xml:space="preserve"> PSD</w:t>
            </w:r>
            <w:r w:rsidRPr="00CE3B29">
              <w:rPr>
                <w:rFonts w:ascii="Arial Narrow" w:hAnsi="Arial Narrow" w:cs="Arial"/>
                <w:b/>
                <w:sz w:val="20"/>
                <w:szCs w:val="20"/>
              </w:rPr>
              <w:t xml:space="preserve">, bevacizumab, paragraph 7.1): </w:t>
            </w:r>
            <w:r w:rsidR="00E95860" w:rsidRPr="00CE3B29">
              <w:rPr>
                <w:rFonts w:ascii="Arial Narrow" w:hAnsi="Arial Narrow" w:cs="Arial"/>
                <w:sz w:val="20"/>
                <w:szCs w:val="20"/>
              </w:rPr>
              <w:t>“</w:t>
            </w:r>
            <w:r w:rsidRPr="00CE3B29">
              <w:rPr>
                <w:rFonts w:ascii="Arial Narrow" w:hAnsi="Arial Narrow" w:cs="Arial"/>
                <w:sz w:val="20"/>
                <w:szCs w:val="20"/>
              </w:rPr>
              <w:t>The PBAC rejected the request to list bevacizumab for the treatment of patients with advanced cervical cancer on the basis of high and unacceptable cost-effectiveness.</w:t>
            </w:r>
            <w:r w:rsidR="00E95860" w:rsidRPr="00CE3B29">
              <w:rPr>
                <w:rFonts w:ascii="Arial Narrow" w:hAnsi="Arial Narrow" w:cs="Arial"/>
                <w:sz w:val="20"/>
                <w:szCs w:val="20"/>
              </w:rPr>
              <w:t>”</w:t>
            </w:r>
          </w:p>
        </w:tc>
        <w:tc>
          <w:tcPr>
            <w:tcW w:w="2915" w:type="dxa"/>
          </w:tcPr>
          <w:p w:rsidR="00E95860" w:rsidRPr="00CE3B29" w:rsidRDefault="00E95860" w:rsidP="00F57FCB">
            <w:pPr>
              <w:rPr>
                <w:rFonts w:ascii="Arial Narrow" w:hAnsi="Arial Narrow" w:cs="Arial"/>
                <w:sz w:val="20"/>
                <w:szCs w:val="20"/>
              </w:rPr>
            </w:pPr>
            <w:r w:rsidRPr="00CE3B29">
              <w:rPr>
                <w:rFonts w:ascii="Arial Narrow" w:hAnsi="Arial Narrow" w:cs="Arial"/>
                <w:sz w:val="20"/>
                <w:szCs w:val="20"/>
              </w:rPr>
              <w:t>-</w:t>
            </w:r>
          </w:p>
        </w:tc>
      </w:tr>
    </w:tbl>
    <w:p w:rsidR="00E95860" w:rsidRPr="00CE3B29" w:rsidRDefault="00E95860" w:rsidP="00F57FCB">
      <w:pPr>
        <w:pStyle w:val="TableFooter"/>
        <w:widowControl/>
        <w:ind w:firstLine="720"/>
        <w:rPr>
          <w:sz w:val="20"/>
        </w:rPr>
      </w:pPr>
      <w:r w:rsidRPr="00CE3B29">
        <w:rPr>
          <w:sz w:val="20"/>
        </w:rPr>
        <w:t>Source: Compiled during the minor overview</w:t>
      </w:r>
    </w:p>
    <w:p w:rsidR="006A12A5" w:rsidRPr="00CE3B29" w:rsidRDefault="006A12A5" w:rsidP="00F57FCB">
      <w:pPr>
        <w:pStyle w:val="ListParagraph"/>
        <w:jc w:val="both"/>
        <w:rPr>
          <w:rFonts w:ascii="Arial" w:hAnsi="Arial"/>
          <w:sz w:val="22"/>
          <w:szCs w:val="22"/>
        </w:rPr>
      </w:pPr>
    </w:p>
    <w:p w:rsidR="008A1956" w:rsidRPr="00CE3B29" w:rsidRDefault="008A1956" w:rsidP="00F57FCB">
      <w:pPr>
        <w:jc w:val="both"/>
        <w:rPr>
          <w:rFonts w:ascii="Arial" w:hAnsi="Arial"/>
          <w:b/>
          <w:sz w:val="22"/>
          <w:szCs w:val="22"/>
        </w:rPr>
      </w:pPr>
    </w:p>
    <w:p w:rsidR="00CE10C4" w:rsidRPr="00CE3B29" w:rsidRDefault="00CE10C4" w:rsidP="00F16CCD">
      <w:pPr>
        <w:pStyle w:val="Heading1"/>
      </w:pPr>
      <w:r w:rsidRPr="00CE3B29">
        <w:t>Clinical place for the proposed ther</w:t>
      </w:r>
      <w:r w:rsidR="006A12A5" w:rsidRPr="00CE3B29">
        <w:t>apy</w:t>
      </w:r>
    </w:p>
    <w:p w:rsidR="00CE10C4" w:rsidRPr="00CE3B29" w:rsidRDefault="00CE10C4" w:rsidP="00F57FCB">
      <w:pPr>
        <w:jc w:val="both"/>
        <w:rPr>
          <w:rFonts w:ascii="Arial" w:hAnsi="Arial"/>
          <w:sz w:val="22"/>
          <w:szCs w:val="22"/>
        </w:rPr>
      </w:pPr>
    </w:p>
    <w:p w:rsidR="005E6D46" w:rsidRPr="00CE3B29" w:rsidRDefault="005E6D46" w:rsidP="00F57FCB">
      <w:pPr>
        <w:pStyle w:val="ListParagraph"/>
        <w:numPr>
          <w:ilvl w:val="1"/>
          <w:numId w:val="25"/>
        </w:numPr>
        <w:jc w:val="both"/>
        <w:rPr>
          <w:rFonts w:ascii="Arial" w:hAnsi="Arial"/>
          <w:sz w:val="22"/>
          <w:szCs w:val="22"/>
        </w:rPr>
      </w:pPr>
      <w:r w:rsidRPr="00CE3B29">
        <w:rPr>
          <w:rFonts w:ascii="Arial" w:hAnsi="Arial"/>
          <w:sz w:val="22"/>
          <w:szCs w:val="22"/>
        </w:rPr>
        <w:t>The PBAC accepted the proposed restriction for recurrent, metastatic and persistent disease. The PBAC considered that use with standard platinum-based chemotherapy, either cisplatin (as per TGA approved indication) or carboplatin (current standard of car</w:t>
      </w:r>
      <w:r w:rsidR="00D726AA" w:rsidRPr="00CE3B29">
        <w:rPr>
          <w:rFonts w:ascii="Arial" w:hAnsi="Arial"/>
          <w:sz w:val="22"/>
          <w:szCs w:val="22"/>
        </w:rPr>
        <w:t>e in Australia) was reasonable.</w:t>
      </w:r>
      <w:r w:rsidRPr="00CE3B29">
        <w:rPr>
          <w:rFonts w:ascii="Arial" w:hAnsi="Arial"/>
          <w:sz w:val="22"/>
          <w:szCs w:val="22"/>
        </w:rPr>
        <w:t xml:space="preserve"> The PBAC noted that topotecan, which was proposed as alternative to platinum-based chemotherapy is only PBS-subsidised for advanced metastatic ovarian cancer.</w:t>
      </w:r>
    </w:p>
    <w:p w:rsidR="005E6D46" w:rsidRPr="00CE3B29" w:rsidRDefault="005E6D46" w:rsidP="00F57FCB">
      <w:pPr>
        <w:pStyle w:val="ListParagraph"/>
        <w:jc w:val="both"/>
        <w:rPr>
          <w:rFonts w:ascii="Arial" w:hAnsi="Arial"/>
          <w:sz w:val="22"/>
          <w:szCs w:val="22"/>
        </w:rPr>
      </w:pPr>
    </w:p>
    <w:p w:rsidR="005E6D46" w:rsidRPr="00CE3B29" w:rsidRDefault="005E6D46" w:rsidP="00F57FCB">
      <w:pPr>
        <w:pStyle w:val="ListParagraph"/>
        <w:numPr>
          <w:ilvl w:val="1"/>
          <w:numId w:val="25"/>
        </w:numPr>
        <w:jc w:val="both"/>
        <w:rPr>
          <w:rFonts w:ascii="Arial" w:hAnsi="Arial"/>
          <w:sz w:val="22"/>
          <w:szCs w:val="22"/>
        </w:rPr>
      </w:pPr>
      <w:r w:rsidRPr="00CE3B29">
        <w:rPr>
          <w:rFonts w:ascii="Arial" w:hAnsi="Arial"/>
          <w:sz w:val="22"/>
          <w:szCs w:val="22"/>
        </w:rPr>
        <w:t>The PBAC accepted the clinical place for bevacizumab for advanced cervical cancer.</w:t>
      </w:r>
    </w:p>
    <w:p w:rsidR="00EA0081" w:rsidRPr="00CE3B29" w:rsidRDefault="00EA0081" w:rsidP="00F57FCB">
      <w:pPr>
        <w:pStyle w:val="Header"/>
        <w:tabs>
          <w:tab w:val="clear" w:pos="4153"/>
          <w:tab w:val="clear" w:pos="8306"/>
        </w:tabs>
        <w:jc w:val="both"/>
        <w:rPr>
          <w:rFonts w:ascii="Arial" w:hAnsi="Arial"/>
          <w:sz w:val="22"/>
          <w:szCs w:val="22"/>
        </w:rPr>
      </w:pPr>
    </w:p>
    <w:p w:rsidR="00D726AA" w:rsidRPr="00CE3B29" w:rsidRDefault="00D726AA" w:rsidP="00F57FCB">
      <w:pPr>
        <w:pStyle w:val="Header"/>
        <w:tabs>
          <w:tab w:val="clear" w:pos="4153"/>
          <w:tab w:val="clear" w:pos="8306"/>
        </w:tabs>
        <w:jc w:val="both"/>
        <w:rPr>
          <w:rFonts w:ascii="Arial" w:hAnsi="Arial"/>
          <w:sz w:val="22"/>
          <w:szCs w:val="22"/>
        </w:rPr>
      </w:pPr>
    </w:p>
    <w:p w:rsidR="005A3173" w:rsidRPr="00CE3B29" w:rsidRDefault="005A3173" w:rsidP="00F16CCD">
      <w:pPr>
        <w:pStyle w:val="Heading1"/>
      </w:pPr>
      <w:r w:rsidRPr="00CE3B29">
        <w:t>Comparator</w:t>
      </w:r>
    </w:p>
    <w:p w:rsidR="005A3173" w:rsidRPr="00CE3B29" w:rsidRDefault="005A3173" w:rsidP="00F57FCB">
      <w:pPr>
        <w:pStyle w:val="Header"/>
        <w:keepNext/>
        <w:tabs>
          <w:tab w:val="clear" w:pos="4153"/>
          <w:tab w:val="clear" w:pos="8306"/>
        </w:tabs>
        <w:jc w:val="both"/>
        <w:rPr>
          <w:rFonts w:ascii="Arial" w:hAnsi="Arial"/>
          <w:b/>
          <w:sz w:val="22"/>
          <w:szCs w:val="22"/>
        </w:rPr>
      </w:pPr>
    </w:p>
    <w:p w:rsidR="00476245" w:rsidRPr="00CE3B29" w:rsidRDefault="00476245" w:rsidP="00F57FCB">
      <w:pPr>
        <w:pStyle w:val="ListParagraph"/>
        <w:numPr>
          <w:ilvl w:val="1"/>
          <w:numId w:val="25"/>
        </w:numPr>
        <w:jc w:val="both"/>
        <w:rPr>
          <w:rFonts w:ascii="Arial" w:hAnsi="Arial"/>
          <w:sz w:val="22"/>
          <w:szCs w:val="22"/>
        </w:rPr>
      </w:pPr>
      <w:r w:rsidRPr="00CE3B29">
        <w:rPr>
          <w:rFonts w:ascii="Arial" w:hAnsi="Arial"/>
          <w:sz w:val="22"/>
          <w:szCs w:val="22"/>
        </w:rPr>
        <w:t xml:space="preserve">The previous major submission considered by the PBAC in </w:t>
      </w:r>
      <w:r w:rsidR="005E6D46" w:rsidRPr="00CE3B29">
        <w:rPr>
          <w:rFonts w:ascii="Arial" w:hAnsi="Arial"/>
          <w:sz w:val="22"/>
          <w:szCs w:val="22"/>
        </w:rPr>
        <w:t>November</w:t>
      </w:r>
      <w:r w:rsidR="00FF2801" w:rsidRPr="00CE3B29">
        <w:rPr>
          <w:rFonts w:ascii="Arial" w:hAnsi="Arial"/>
          <w:sz w:val="22"/>
          <w:szCs w:val="22"/>
        </w:rPr>
        <w:t xml:space="preserve"> 20</w:t>
      </w:r>
      <w:r w:rsidR="005E6D46" w:rsidRPr="00CE3B29">
        <w:rPr>
          <w:rFonts w:ascii="Arial" w:hAnsi="Arial"/>
          <w:sz w:val="22"/>
          <w:szCs w:val="22"/>
        </w:rPr>
        <w:t>15</w:t>
      </w:r>
      <w:r w:rsidR="00FF2801" w:rsidRPr="00CE3B29">
        <w:rPr>
          <w:rFonts w:ascii="Arial" w:hAnsi="Arial"/>
          <w:sz w:val="22"/>
          <w:szCs w:val="22"/>
        </w:rPr>
        <w:t xml:space="preserve"> nominated </w:t>
      </w:r>
      <w:r w:rsidR="005E6D46" w:rsidRPr="00CE3B29">
        <w:rPr>
          <w:rFonts w:ascii="Arial" w:hAnsi="Arial"/>
          <w:sz w:val="22"/>
          <w:szCs w:val="22"/>
        </w:rPr>
        <w:t>chemotherapy alone</w:t>
      </w:r>
      <w:r w:rsidR="00FF2801" w:rsidRPr="00CE3B29">
        <w:rPr>
          <w:rFonts w:ascii="Arial" w:hAnsi="Arial"/>
          <w:sz w:val="22"/>
          <w:szCs w:val="22"/>
        </w:rPr>
        <w:t>.  This wa</w:t>
      </w:r>
      <w:r w:rsidRPr="00CE3B29">
        <w:rPr>
          <w:rFonts w:ascii="Arial" w:hAnsi="Arial"/>
          <w:sz w:val="22"/>
          <w:szCs w:val="22"/>
        </w:rPr>
        <w:t>s unchanged.</w:t>
      </w:r>
    </w:p>
    <w:p w:rsidR="005E6D46" w:rsidRPr="00CE3B29" w:rsidRDefault="005E6D46" w:rsidP="00F57FCB">
      <w:pPr>
        <w:pStyle w:val="ListParagraph"/>
        <w:jc w:val="both"/>
        <w:rPr>
          <w:rFonts w:ascii="Arial" w:hAnsi="Arial"/>
          <w:sz w:val="22"/>
          <w:szCs w:val="22"/>
        </w:rPr>
      </w:pPr>
    </w:p>
    <w:p w:rsidR="005E6D46" w:rsidRPr="00CE3B29" w:rsidRDefault="005E6D46" w:rsidP="00F57FCB">
      <w:pPr>
        <w:pStyle w:val="ListParagraph"/>
        <w:numPr>
          <w:ilvl w:val="1"/>
          <w:numId w:val="25"/>
        </w:numPr>
        <w:jc w:val="both"/>
        <w:rPr>
          <w:rFonts w:ascii="Arial" w:hAnsi="Arial"/>
          <w:sz w:val="22"/>
          <w:szCs w:val="22"/>
        </w:rPr>
      </w:pPr>
      <w:r w:rsidRPr="00CE3B29">
        <w:rPr>
          <w:rFonts w:ascii="Arial" w:hAnsi="Arial"/>
          <w:sz w:val="22"/>
          <w:szCs w:val="22"/>
        </w:rPr>
        <w:t>The PBAC agreed that chemotherapy alone (platinum-based chemotherapy plus paclitaxel or topotecan plus paclitaxel for those who are unable to tolerate carboplatin or cisplatin) was the appropriate comparator for bevacizumab in combination with chemotherapy.</w:t>
      </w:r>
    </w:p>
    <w:p w:rsidR="00DF26A7" w:rsidRPr="00CE3B29" w:rsidRDefault="00DF26A7" w:rsidP="00F57FCB">
      <w:pPr>
        <w:jc w:val="both"/>
        <w:rPr>
          <w:rFonts w:ascii="Arial" w:hAnsi="Arial"/>
          <w:sz w:val="22"/>
          <w:szCs w:val="22"/>
        </w:rPr>
      </w:pPr>
    </w:p>
    <w:p w:rsidR="008A1956" w:rsidRPr="00CE3B29" w:rsidRDefault="008A1956" w:rsidP="00F57FCB">
      <w:pPr>
        <w:jc w:val="both"/>
        <w:rPr>
          <w:rFonts w:ascii="Arial" w:hAnsi="Arial"/>
          <w:sz w:val="22"/>
          <w:szCs w:val="22"/>
        </w:rPr>
      </w:pPr>
    </w:p>
    <w:p w:rsidR="000B558D" w:rsidRPr="00CE3B29" w:rsidRDefault="008D7A41" w:rsidP="00F16CCD">
      <w:pPr>
        <w:pStyle w:val="Heading1"/>
      </w:pPr>
      <w:r w:rsidRPr="00CE3B29">
        <w:t>C</w:t>
      </w:r>
      <w:r w:rsidR="00D84934" w:rsidRPr="00CE3B29">
        <w:t>onsideration of the evidence</w:t>
      </w:r>
    </w:p>
    <w:p w:rsidR="00BB7EC3" w:rsidRPr="00CE3B29" w:rsidRDefault="00BB7EC3" w:rsidP="00F57FCB">
      <w:pPr>
        <w:jc w:val="both"/>
        <w:rPr>
          <w:rFonts w:ascii="Arial" w:hAnsi="Arial"/>
          <w:sz w:val="22"/>
          <w:szCs w:val="22"/>
        </w:rPr>
      </w:pPr>
    </w:p>
    <w:p w:rsidR="004B19D3" w:rsidRDefault="004B19D3" w:rsidP="00F16CCD">
      <w:pPr>
        <w:pStyle w:val="Heading2"/>
        <w:rPr>
          <w:snapToGrid w:val="0"/>
        </w:rPr>
      </w:pPr>
      <w:r w:rsidRPr="00CE3B29">
        <w:rPr>
          <w:snapToGrid w:val="0"/>
        </w:rPr>
        <w:t>Sponsor hearing</w:t>
      </w:r>
    </w:p>
    <w:p w:rsidR="00F16CCD" w:rsidRPr="00F16CCD" w:rsidRDefault="00F16CCD" w:rsidP="00F16CCD"/>
    <w:p w:rsidR="004B19D3" w:rsidRPr="00CE3B29" w:rsidRDefault="004B19D3" w:rsidP="00F57FCB">
      <w:pPr>
        <w:numPr>
          <w:ilvl w:val="1"/>
          <w:numId w:val="25"/>
        </w:numPr>
        <w:contextualSpacing/>
        <w:jc w:val="both"/>
        <w:rPr>
          <w:rFonts w:ascii="Arial" w:hAnsi="Arial" w:cs="Arial"/>
          <w:bCs/>
          <w:snapToGrid w:val="0"/>
          <w:sz w:val="22"/>
          <w:szCs w:val="22"/>
        </w:rPr>
      </w:pPr>
      <w:r w:rsidRPr="00CE3B29">
        <w:rPr>
          <w:rFonts w:ascii="Arial" w:hAnsi="Arial" w:cs="Arial"/>
          <w:bCs/>
          <w:snapToGrid w:val="0"/>
          <w:sz w:val="22"/>
          <w:szCs w:val="22"/>
        </w:rPr>
        <w:t xml:space="preserve"> There was no hearing for this item as it was a minor submission.</w:t>
      </w:r>
    </w:p>
    <w:p w:rsidR="004B19D3" w:rsidRPr="00CE3B29" w:rsidRDefault="004B19D3" w:rsidP="00F57FCB">
      <w:pPr>
        <w:jc w:val="both"/>
        <w:rPr>
          <w:rFonts w:ascii="Arial" w:hAnsi="Arial" w:cs="Arial"/>
          <w:bCs/>
          <w:snapToGrid w:val="0"/>
          <w:sz w:val="22"/>
          <w:szCs w:val="22"/>
        </w:rPr>
      </w:pPr>
    </w:p>
    <w:p w:rsidR="004B19D3" w:rsidRDefault="004B19D3" w:rsidP="00F16CCD">
      <w:pPr>
        <w:pStyle w:val="Heading2"/>
        <w:rPr>
          <w:snapToGrid w:val="0"/>
        </w:rPr>
      </w:pPr>
      <w:r w:rsidRPr="00CE3B29">
        <w:rPr>
          <w:snapToGrid w:val="0"/>
        </w:rPr>
        <w:t>Consumer comments</w:t>
      </w:r>
    </w:p>
    <w:p w:rsidR="00F16CCD" w:rsidRPr="00F16CCD" w:rsidRDefault="00F16CCD" w:rsidP="00F16CCD"/>
    <w:p w:rsidR="004B19D3" w:rsidRPr="00CE3B29" w:rsidRDefault="004B19D3" w:rsidP="00F57FCB">
      <w:pPr>
        <w:numPr>
          <w:ilvl w:val="1"/>
          <w:numId w:val="25"/>
        </w:numPr>
        <w:contextualSpacing/>
        <w:jc w:val="both"/>
        <w:rPr>
          <w:rFonts w:ascii="Arial" w:hAnsi="Arial" w:cs="Arial"/>
          <w:bCs/>
          <w:snapToGrid w:val="0"/>
          <w:sz w:val="22"/>
          <w:szCs w:val="22"/>
        </w:rPr>
      </w:pPr>
      <w:r w:rsidRPr="00CE3B29">
        <w:rPr>
          <w:rFonts w:ascii="Arial" w:hAnsi="Arial" w:cs="Arial"/>
          <w:bCs/>
          <w:snapToGrid w:val="0"/>
          <w:sz w:val="22"/>
          <w:szCs w:val="22"/>
        </w:rPr>
        <w:lastRenderedPageBreak/>
        <w:t>The PBAC noted and welcomed the input from two organisations</w:t>
      </w:r>
      <w:r w:rsidR="00E434C7">
        <w:rPr>
          <w:rFonts w:ascii="Arial" w:hAnsi="Arial" w:cs="Arial"/>
          <w:bCs/>
          <w:snapToGrid w:val="0"/>
          <w:sz w:val="22"/>
          <w:szCs w:val="22"/>
        </w:rPr>
        <w:t xml:space="preserve"> (Medical Oncology Group of Australia and Rare Cancers Australia)</w:t>
      </w:r>
      <w:r w:rsidRPr="00CE3B29">
        <w:rPr>
          <w:rFonts w:ascii="Arial" w:hAnsi="Arial" w:cs="Arial"/>
          <w:bCs/>
          <w:snapToGrid w:val="0"/>
          <w:sz w:val="22"/>
          <w:szCs w:val="22"/>
        </w:rPr>
        <w:t xml:space="preserve"> via the Consumer Commen</w:t>
      </w:r>
      <w:r w:rsidR="00E434C7">
        <w:rPr>
          <w:rFonts w:ascii="Arial" w:hAnsi="Arial" w:cs="Arial"/>
          <w:bCs/>
          <w:snapToGrid w:val="0"/>
          <w:sz w:val="22"/>
          <w:szCs w:val="22"/>
        </w:rPr>
        <w:t>ts facility on the PBS website.</w:t>
      </w:r>
      <w:r w:rsidRPr="00CE3B29">
        <w:rPr>
          <w:rFonts w:ascii="Arial" w:hAnsi="Arial" w:cs="Arial"/>
          <w:bCs/>
          <w:snapToGrid w:val="0"/>
          <w:sz w:val="22"/>
          <w:szCs w:val="22"/>
        </w:rPr>
        <w:t xml:space="preserve"> The comments described the survival benefits of treatment with bevacizumab.</w:t>
      </w:r>
    </w:p>
    <w:p w:rsidR="004B19D3" w:rsidRPr="00CE3B29" w:rsidRDefault="004B19D3" w:rsidP="00F57FCB">
      <w:pPr>
        <w:contextualSpacing/>
        <w:jc w:val="both"/>
        <w:rPr>
          <w:rFonts w:ascii="Arial" w:hAnsi="Arial" w:cs="Arial"/>
          <w:bCs/>
          <w:snapToGrid w:val="0"/>
          <w:sz w:val="22"/>
          <w:szCs w:val="22"/>
          <w:highlight w:val="yellow"/>
        </w:rPr>
      </w:pPr>
    </w:p>
    <w:p w:rsidR="00D84934" w:rsidRPr="00CE3B29" w:rsidRDefault="00D84934" w:rsidP="00F16CCD">
      <w:pPr>
        <w:pStyle w:val="Heading2"/>
      </w:pPr>
      <w:r w:rsidRPr="00CE3B29">
        <w:t>Clinical trials</w:t>
      </w:r>
    </w:p>
    <w:p w:rsidR="00D84934" w:rsidRPr="00CE3B29" w:rsidRDefault="00D84934" w:rsidP="00F57FCB">
      <w:pPr>
        <w:jc w:val="both"/>
        <w:rPr>
          <w:rFonts w:ascii="Arial" w:hAnsi="Arial"/>
          <w:sz w:val="22"/>
          <w:szCs w:val="22"/>
        </w:rPr>
      </w:pPr>
    </w:p>
    <w:p w:rsidR="0076420C" w:rsidRPr="00CE3B29" w:rsidRDefault="00FC5FFA" w:rsidP="00F57FCB">
      <w:pPr>
        <w:pStyle w:val="ListParagraph"/>
        <w:numPr>
          <w:ilvl w:val="1"/>
          <w:numId w:val="25"/>
        </w:numPr>
        <w:jc w:val="both"/>
        <w:rPr>
          <w:rFonts w:ascii="Arial" w:hAnsi="Arial"/>
          <w:sz w:val="22"/>
          <w:szCs w:val="22"/>
        </w:rPr>
      </w:pPr>
      <w:r w:rsidRPr="00CE3B29">
        <w:rPr>
          <w:rFonts w:ascii="Arial" w:hAnsi="Arial"/>
          <w:sz w:val="22"/>
          <w:szCs w:val="22"/>
        </w:rPr>
        <w:t xml:space="preserve">No additional </w:t>
      </w:r>
      <w:r w:rsidR="0076420C" w:rsidRPr="00CE3B29">
        <w:rPr>
          <w:rFonts w:ascii="Arial" w:hAnsi="Arial"/>
          <w:sz w:val="22"/>
          <w:szCs w:val="22"/>
        </w:rPr>
        <w:t xml:space="preserve">clinical trials </w:t>
      </w:r>
      <w:r w:rsidRPr="00CE3B29">
        <w:rPr>
          <w:rFonts w:ascii="Arial" w:hAnsi="Arial"/>
          <w:sz w:val="22"/>
          <w:szCs w:val="22"/>
        </w:rPr>
        <w:t xml:space="preserve">or clinical evidence </w:t>
      </w:r>
      <w:r w:rsidR="00FF2801" w:rsidRPr="00CE3B29">
        <w:rPr>
          <w:rFonts w:ascii="Arial" w:hAnsi="Arial"/>
          <w:sz w:val="22"/>
          <w:szCs w:val="22"/>
        </w:rPr>
        <w:t>were</w:t>
      </w:r>
      <w:r w:rsidR="005E6D46" w:rsidRPr="00CE3B29">
        <w:rPr>
          <w:rFonts w:ascii="Arial" w:hAnsi="Arial"/>
          <w:sz w:val="22"/>
          <w:szCs w:val="22"/>
        </w:rPr>
        <w:t xml:space="preserve"> presented in the </w:t>
      </w:r>
      <w:r w:rsidRPr="00CE3B29">
        <w:rPr>
          <w:rFonts w:ascii="Arial" w:hAnsi="Arial"/>
          <w:sz w:val="22"/>
          <w:szCs w:val="22"/>
        </w:rPr>
        <w:t xml:space="preserve">minor </w:t>
      </w:r>
      <w:r w:rsidR="005E6D46" w:rsidRPr="00CE3B29">
        <w:rPr>
          <w:rFonts w:ascii="Arial" w:hAnsi="Arial"/>
          <w:sz w:val="22"/>
          <w:szCs w:val="22"/>
        </w:rPr>
        <w:t>re</w:t>
      </w:r>
      <w:r w:rsidR="00F57FCB">
        <w:rPr>
          <w:rFonts w:ascii="Arial" w:hAnsi="Arial"/>
          <w:sz w:val="22"/>
          <w:szCs w:val="22"/>
        </w:rPr>
        <w:noBreakHyphen/>
      </w:r>
      <w:r w:rsidR="0076420C" w:rsidRPr="00CE3B29">
        <w:rPr>
          <w:rFonts w:ascii="Arial" w:hAnsi="Arial"/>
          <w:sz w:val="22"/>
          <w:szCs w:val="22"/>
        </w:rPr>
        <w:t>submission.</w:t>
      </w:r>
    </w:p>
    <w:p w:rsidR="00FA6055" w:rsidRPr="00CE3B29" w:rsidRDefault="00FA6055" w:rsidP="00F57FCB">
      <w:pPr>
        <w:jc w:val="both"/>
        <w:rPr>
          <w:rFonts w:ascii="Arial" w:hAnsi="Arial"/>
          <w:sz w:val="22"/>
          <w:szCs w:val="22"/>
        </w:rPr>
      </w:pPr>
    </w:p>
    <w:p w:rsidR="005A3173" w:rsidRPr="00CE3B29" w:rsidRDefault="005A3173" w:rsidP="00F16CCD">
      <w:pPr>
        <w:pStyle w:val="Heading2"/>
      </w:pPr>
      <w:r w:rsidRPr="00CE3B29">
        <w:t>Clinical claim</w:t>
      </w:r>
    </w:p>
    <w:p w:rsidR="005A3173" w:rsidRPr="00CE3B29" w:rsidRDefault="005A3173" w:rsidP="00F57FCB">
      <w:pPr>
        <w:ind w:left="720" w:hanging="720"/>
        <w:jc w:val="both"/>
        <w:rPr>
          <w:rFonts w:ascii="Arial" w:hAnsi="Arial"/>
          <w:sz w:val="22"/>
          <w:szCs w:val="22"/>
        </w:rPr>
      </w:pPr>
    </w:p>
    <w:p w:rsidR="00BB7EC3" w:rsidRPr="00CE3B29" w:rsidRDefault="00FF2801" w:rsidP="00F57FCB">
      <w:pPr>
        <w:pStyle w:val="ListParagraph"/>
        <w:numPr>
          <w:ilvl w:val="1"/>
          <w:numId w:val="25"/>
        </w:numPr>
        <w:jc w:val="both"/>
        <w:rPr>
          <w:rFonts w:ascii="Arial" w:hAnsi="Arial"/>
          <w:sz w:val="22"/>
          <w:szCs w:val="22"/>
        </w:rPr>
      </w:pPr>
      <w:r w:rsidRPr="00CE3B29">
        <w:rPr>
          <w:rFonts w:ascii="Arial" w:hAnsi="Arial"/>
          <w:sz w:val="22"/>
          <w:szCs w:val="22"/>
        </w:rPr>
        <w:t xml:space="preserve">The </w:t>
      </w:r>
      <w:r w:rsidR="00F16A07" w:rsidRPr="00CE3B29">
        <w:rPr>
          <w:rFonts w:ascii="Arial" w:hAnsi="Arial"/>
          <w:sz w:val="22"/>
          <w:szCs w:val="22"/>
        </w:rPr>
        <w:t xml:space="preserve">original </w:t>
      </w:r>
      <w:r w:rsidRPr="00CE3B29">
        <w:rPr>
          <w:rFonts w:ascii="Arial" w:hAnsi="Arial"/>
          <w:sz w:val="22"/>
          <w:szCs w:val="22"/>
        </w:rPr>
        <w:t>submission claimed</w:t>
      </w:r>
      <w:r w:rsidR="00BB7EC3" w:rsidRPr="00CE3B29">
        <w:rPr>
          <w:rFonts w:ascii="Arial" w:hAnsi="Arial"/>
          <w:sz w:val="22"/>
          <w:szCs w:val="22"/>
        </w:rPr>
        <w:t xml:space="preserve"> </w:t>
      </w:r>
      <w:r w:rsidR="00F16A07" w:rsidRPr="00CE3B29">
        <w:rPr>
          <w:rFonts w:ascii="Arial" w:hAnsi="Arial"/>
          <w:sz w:val="22"/>
          <w:szCs w:val="22"/>
        </w:rPr>
        <w:t xml:space="preserve">that the addition of bevacizumab to chemotherapy alone as superior in terms of comparative effectiveness over chemotherapy alone and with a “manageable and acceptable safety profile”, in patients with advanced cervical cancer.  The PBAC considered this claim was adequately supported for superior comparative effectiveness in terms of OS and PFS compared with chemotherapy alone.  However, the claim of manageable and acceptable safety profile was not adequately supported.  While bevacizumab has some clinical benefits to patients, these may be counter-balanced by clinical harms. [November PBAC </w:t>
      </w:r>
      <w:r w:rsidR="001043A0">
        <w:rPr>
          <w:rFonts w:ascii="Arial" w:hAnsi="Arial"/>
          <w:sz w:val="22"/>
          <w:szCs w:val="22"/>
        </w:rPr>
        <w:t>PSD</w:t>
      </w:r>
      <w:r w:rsidR="00F16A07" w:rsidRPr="00CE3B29">
        <w:rPr>
          <w:rFonts w:ascii="Arial" w:hAnsi="Arial"/>
          <w:sz w:val="22"/>
          <w:szCs w:val="22"/>
        </w:rPr>
        <w:t>, 7.8]</w:t>
      </w:r>
    </w:p>
    <w:p w:rsidR="00F57A6D" w:rsidRPr="00CE3B29" w:rsidRDefault="00F57A6D" w:rsidP="00F57FCB">
      <w:pPr>
        <w:ind w:left="720" w:hanging="720"/>
        <w:jc w:val="both"/>
        <w:rPr>
          <w:rFonts w:ascii="Arial" w:hAnsi="Arial"/>
          <w:sz w:val="22"/>
          <w:szCs w:val="22"/>
        </w:rPr>
      </w:pPr>
    </w:p>
    <w:p w:rsidR="005A3173" w:rsidRPr="00CE3B29" w:rsidRDefault="005A3173" w:rsidP="00F16CCD">
      <w:pPr>
        <w:pStyle w:val="Heading2"/>
      </w:pPr>
      <w:r w:rsidRPr="00CE3B29">
        <w:t>Economic analysis</w:t>
      </w:r>
    </w:p>
    <w:p w:rsidR="005A3173" w:rsidRPr="00CE3B29" w:rsidRDefault="005A3173" w:rsidP="00F57FCB">
      <w:pPr>
        <w:pStyle w:val="NoSpacing"/>
      </w:pPr>
    </w:p>
    <w:p w:rsidR="00A431C3" w:rsidRPr="00CE3B29" w:rsidRDefault="00F16A07" w:rsidP="00F57FCB">
      <w:pPr>
        <w:pStyle w:val="ListParagraph"/>
        <w:numPr>
          <w:ilvl w:val="1"/>
          <w:numId w:val="25"/>
        </w:numPr>
        <w:jc w:val="both"/>
        <w:rPr>
          <w:rFonts w:ascii="Arial" w:hAnsi="Arial"/>
          <w:sz w:val="22"/>
          <w:szCs w:val="22"/>
        </w:rPr>
      </w:pPr>
      <w:r w:rsidRPr="00CE3B29">
        <w:rPr>
          <w:rFonts w:ascii="Arial" w:hAnsi="Arial"/>
          <w:sz w:val="22"/>
          <w:szCs w:val="22"/>
        </w:rPr>
        <w:t>In the previous major submission considered by PBAC in November 2015, the submission presented a cost utility analysis against chemotherapy alone.</w:t>
      </w:r>
    </w:p>
    <w:p w:rsidR="00A431C3" w:rsidRPr="00CE3B29" w:rsidRDefault="00A431C3" w:rsidP="00F57FCB">
      <w:pPr>
        <w:jc w:val="both"/>
        <w:rPr>
          <w:rFonts w:ascii="Arial" w:hAnsi="Arial"/>
          <w:sz w:val="22"/>
          <w:szCs w:val="22"/>
        </w:rPr>
      </w:pPr>
    </w:p>
    <w:p w:rsidR="003B4FDA" w:rsidRDefault="00F16A07" w:rsidP="00F57FCB">
      <w:pPr>
        <w:pStyle w:val="ListParagraph"/>
        <w:numPr>
          <w:ilvl w:val="1"/>
          <w:numId w:val="25"/>
        </w:numPr>
        <w:jc w:val="both"/>
        <w:rPr>
          <w:rFonts w:ascii="Arial" w:hAnsi="Arial"/>
          <w:sz w:val="22"/>
          <w:szCs w:val="22"/>
        </w:rPr>
      </w:pPr>
      <w:r w:rsidRPr="00663E91">
        <w:rPr>
          <w:rFonts w:ascii="Arial" w:hAnsi="Arial"/>
          <w:sz w:val="22"/>
          <w:szCs w:val="22"/>
        </w:rPr>
        <w:t xml:space="preserve">The minor re-submission did not alter the economic model structure from November 2015 but </w:t>
      </w:r>
      <w:r w:rsidR="00432F05" w:rsidRPr="000E74DA">
        <w:rPr>
          <w:rFonts w:ascii="Arial" w:hAnsi="Arial"/>
          <w:sz w:val="22"/>
          <w:szCs w:val="22"/>
        </w:rPr>
        <w:t xml:space="preserve">changed three inputs in the model (price, </w:t>
      </w:r>
      <w:r w:rsidR="00066E90" w:rsidRPr="000E74DA">
        <w:rPr>
          <w:rFonts w:ascii="Arial" w:hAnsi="Arial"/>
          <w:sz w:val="22"/>
          <w:szCs w:val="22"/>
        </w:rPr>
        <w:t>the truncation point for OS</w:t>
      </w:r>
      <w:r w:rsidR="00066E90" w:rsidRPr="00B53C28">
        <w:rPr>
          <w:rFonts w:ascii="Arial" w:hAnsi="Arial"/>
          <w:sz w:val="22"/>
          <w:szCs w:val="22"/>
        </w:rPr>
        <w:t>,</w:t>
      </w:r>
      <w:r w:rsidR="00066E90" w:rsidRPr="00161A5E">
        <w:rPr>
          <w:rFonts w:ascii="Arial" w:hAnsi="Arial"/>
          <w:sz w:val="22"/>
          <w:szCs w:val="22"/>
        </w:rPr>
        <w:t xml:space="preserve"> and adverse</w:t>
      </w:r>
      <w:r w:rsidR="00D726AA" w:rsidRPr="00161A5E">
        <w:rPr>
          <w:rFonts w:ascii="Arial" w:hAnsi="Arial"/>
          <w:sz w:val="22"/>
          <w:szCs w:val="22"/>
        </w:rPr>
        <w:t xml:space="preserve"> event-</w:t>
      </w:r>
      <w:r w:rsidR="00066E90" w:rsidRPr="00161A5E">
        <w:rPr>
          <w:rFonts w:ascii="Arial" w:hAnsi="Arial"/>
          <w:sz w:val="22"/>
          <w:szCs w:val="22"/>
        </w:rPr>
        <w:t>related disutilities</w:t>
      </w:r>
      <w:r w:rsidR="00066E90" w:rsidRPr="00900F3B">
        <w:rPr>
          <w:rFonts w:ascii="Arial" w:hAnsi="Arial"/>
          <w:sz w:val="22"/>
          <w:szCs w:val="22"/>
        </w:rPr>
        <w:t>)</w:t>
      </w:r>
      <w:r w:rsidR="00432F05" w:rsidRPr="00900F3B">
        <w:rPr>
          <w:rFonts w:ascii="Arial" w:hAnsi="Arial"/>
          <w:sz w:val="22"/>
          <w:szCs w:val="22"/>
        </w:rPr>
        <w:t xml:space="preserve">. </w:t>
      </w:r>
    </w:p>
    <w:p w:rsidR="00096F5F" w:rsidRPr="00096F5F" w:rsidRDefault="00096F5F" w:rsidP="00F57FCB">
      <w:pPr>
        <w:jc w:val="both"/>
        <w:rPr>
          <w:rFonts w:ascii="Arial" w:hAnsi="Arial"/>
          <w:sz w:val="22"/>
          <w:szCs w:val="22"/>
        </w:rPr>
      </w:pPr>
    </w:p>
    <w:p w:rsidR="004B66E8" w:rsidRPr="00CE3B29" w:rsidRDefault="002B754E" w:rsidP="00F57FCB">
      <w:pPr>
        <w:pStyle w:val="ListParagraph"/>
        <w:numPr>
          <w:ilvl w:val="1"/>
          <w:numId w:val="25"/>
        </w:numPr>
        <w:jc w:val="both"/>
        <w:rPr>
          <w:rFonts w:ascii="Arial" w:hAnsi="Arial"/>
          <w:sz w:val="22"/>
          <w:szCs w:val="22"/>
        </w:rPr>
      </w:pPr>
      <w:r w:rsidRPr="00CE3B29">
        <w:rPr>
          <w:rFonts w:ascii="Arial" w:hAnsi="Arial"/>
          <w:sz w:val="22"/>
          <w:szCs w:val="22"/>
        </w:rPr>
        <w:t>As raised in the evaluation of the November 2015 submission, preparation fee paid to TGA licensed compounders ($</w:t>
      </w:r>
      <w:r w:rsidR="00630F18">
        <w:rPr>
          <w:rFonts w:ascii="Arial" w:hAnsi="Arial"/>
          <w:noProof/>
          <w:color w:val="000000"/>
          <w:sz w:val="22"/>
          <w:szCs w:val="22"/>
          <w:highlight w:val="black"/>
        </w:rPr>
        <w:t>'''''''''''''''</w:t>
      </w:r>
      <w:r w:rsidRPr="00CE3B29">
        <w:rPr>
          <w:rFonts w:ascii="Arial" w:hAnsi="Arial"/>
          <w:sz w:val="22"/>
          <w:szCs w:val="22"/>
        </w:rPr>
        <w:t>) and non-TGA licensed compounders ($</w:t>
      </w:r>
      <w:r w:rsidR="00630F18">
        <w:rPr>
          <w:rFonts w:ascii="Arial" w:hAnsi="Arial"/>
          <w:noProof/>
          <w:color w:val="000000"/>
          <w:sz w:val="22"/>
          <w:szCs w:val="22"/>
          <w:highlight w:val="black"/>
        </w:rPr>
        <w:t>''''''''''''''</w:t>
      </w:r>
      <w:r w:rsidRPr="00CE3B29">
        <w:rPr>
          <w:rFonts w:ascii="Arial" w:hAnsi="Arial"/>
          <w:sz w:val="22"/>
          <w:szCs w:val="22"/>
        </w:rPr>
        <w:t>) are different. As the majority of chemotherapy preparations are compounded in settings where the $</w:t>
      </w:r>
      <w:r w:rsidR="00630F18">
        <w:rPr>
          <w:rFonts w:ascii="Arial" w:hAnsi="Arial"/>
          <w:noProof/>
          <w:color w:val="000000"/>
          <w:sz w:val="22"/>
          <w:szCs w:val="22"/>
          <w:highlight w:val="black"/>
        </w:rPr>
        <w:t>'''''''''''''''</w:t>
      </w:r>
      <w:r w:rsidRPr="00CE3B29">
        <w:rPr>
          <w:rFonts w:ascii="Arial" w:hAnsi="Arial"/>
          <w:sz w:val="22"/>
          <w:szCs w:val="22"/>
        </w:rPr>
        <w:t xml:space="preserve"> fee applies, this fee should continue to be used in PBAC submissions.</w:t>
      </w:r>
    </w:p>
    <w:p w:rsidR="00066E90" w:rsidRPr="00CE3B29" w:rsidRDefault="00066E90" w:rsidP="00F57FCB">
      <w:pPr>
        <w:pStyle w:val="ListParagraph"/>
        <w:rPr>
          <w:rFonts w:ascii="Arial" w:hAnsi="Arial"/>
          <w:sz w:val="22"/>
          <w:szCs w:val="22"/>
        </w:rPr>
      </w:pPr>
    </w:p>
    <w:p w:rsidR="008832DA" w:rsidRPr="00CE3B29" w:rsidRDefault="0067018F" w:rsidP="00F57FCB">
      <w:pPr>
        <w:pStyle w:val="ListParagraph"/>
        <w:numPr>
          <w:ilvl w:val="1"/>
          <w:numId w:val="25"/>
        </w:numPr>
        <w:jc w:val="both"/>
        <w:rPr>
          <w:rFonts w:ascii="Arial" w:hAnsi="Arial"/>
          <w:sz w:val="22"/>
          <w:szCs w:val="22"/>
        </w:rPr>
      </w:pPr>
      <w:r w:rsidRPr="00CE3B29">
        <w:rPr>
          <w:rFonts w:ascii="Arial" w:hAnsi="Arial"/>
          <w:sz w:val="22"/>
          <w:szCs w:val="22"/>
        </w:rPr>
        <w:t>At the November 2015 meeting, PBAC noted the cost utility analysis presented in the submission resulted in an ICE</w:t>
      </w:r>
      <w:r w:rsidR="00D726AA" w:rsidRPr="00CE3B29">
        <w:rPr>
          <w:rFonts w:ascii="Arial" w:hAnsi="Arial"/>
          <w:sz w:val="22"/>
          <w:szCs w:val="22"/>
        </w:rPr>
        <w:t>R of greater than $</w:t>
      </w:r>
      <w:r w:rsidR="001043A0">
        <w:rPr>
          <w:rFonts w:ascii="Arial" w:hAnsi="Arial"/>
          <w:sz w:val="22"/>
          <w:szCs w:val="22"/>
        </w:rPr>
        <w:t>75,000</w:t>
      </w:r>
      <w:r w:rsidR="00D726AA" w:rsidRPr="00CE3B29">
        <w:rPr>
          <w:rFonts w:ascii="Arial" w:hAnsi="Arial"/>
          <w:sz w:val="22"/>
          <w:szCs w:val="22"/>
        </w:rPr>
        <w:t>/QALY</w:t>
      </w:r>
      <w:r w:rsidR="001043A0">
        <w:rPr>
          <w:rFonts w:ascii="Arial" w:hAnsi="Arial"/>
          <w:sz w:val="22"/>
          <w:szCs w:val="22"/>
        </w:rPr>
        <w:t xml:space="preserve"> - $105,000/QALY</w:t>
      </w:r>
      <w:r w:rsidR="00D726AA" w:rsidRPr="00CE3B29">
        <w:rPr>
          <w:rFonts w:ascii="Arial" w:hAnsi="Arial"/>
          <w:sz w:val="22"/>
          <w:szCs w:val="22"/>
        </w:rPr>
        <w:t>.</w:t>
      </w:r>
      <w:r w:rsidRPr="00CE3B29">
        <w:rPr>
          <w:rFonts w:ascii="Arial" w:hAnsi="Arial"/>
          <w:sz w:val="22"/>
          <w:szCs w:val="22"/>
        </w:rPr>
        <w:t xml:space="preserve"> The PBAC, noting the clinical outcomes, considered that this base case ICER/QALY was unacceptably high and was based on QALYs gained resulting from parametric extrapolation of OS and PFS that could not be relied upon. The PBAC noted that base-case ICER/QALY value was much higher than the range of ICER that the Committee has considered cost-effective for treatments of cancer. Further, the PBAC agreed with the ESC that the base case ICER/QALY likely represents a lower boundary of a plausible range of cost-effectiveness</w:t>
      </w:r>
      <w:r w:rsidRPr="00CE3B29">
        <w:rPr>
          <w:rFonts w:ascii="Arial" w:hAnsi="Arial" w:cs="Arial"/>
          <w:sz w:val="22"/>
          <w:szCs w:val="22"/>
        </w:rPr>
        <w:t>.  The PBAC noted that the ICER was sensitive to the extrapolation from a median follow-up of 14.1 month</w:t>
      </w:r>
      <w:r w:rsidR="00D726AA" w:rsidRPr="00CE3B29">
        <w:rPr>
          <w:rFonts w:ascii="Arial" w:hAnsi="Arial" w:cs="Arial"/>
          <w:sz w:val="22"/>
          <w:szCs w:val="22"/>
        </w:rPr>
        <w:t>s to a time horizon of 7 years.</w:t>
      </w:r>
      <w:r w:rsidRPr="00CE3B29">
        <w:rPr>
          <w:rFonts w:ascii="Arial" w:hAnsi="Arial" w:cs="Arial"/>
          <w:sz w:val="22"/>
          <w:szCs w:val="22"/>
        </w:rPr>
        <w:t xml:space="preserve"> The PBAC questioned that trial data was available to 55.9 months</w:t>
      </w:r>
      <w:r w:rsidR="00D726AA" w:rsidRPr="00CE3B29">
        <w:rPr>
          <w:rFonts w:ascii="Arial" w:hAnsi="Arial" w:cs="Arial"/>
          <w:sz w:val="22"/>
          <w:szCs w:val="22"/>
        </w:rPr>
        <w:t>;</w:t>
      </w:r>
      <w:r w:rsidRPr="00CE3B29">
        <w:rPr>
          <w:rFonts w:ascii="Arial" w:hAnsi="Arial" w:cs="Arial"/>
          <w:sz w:val="22"/>
          <w:szCs w:val="22"/>
        </w:rPr>
        <w:t xml:space="preserve"> </w:t>
      </w:r>
      <w:r w:rsidR="00D726AA" w:rsidRPr="00CE3B29">
        <w:rPr>
          <w:rFonts w:ascii="Arial" w:hAnsi="Arial" w:cs="Arial"/>
          <w:sz w:val="22"/>
          <w:szCs w:val="22"/>
        </w:rPr>
        <w:t>however,</w:t>
      </w:r>
      <w:r w:rsidRPr="00CE3B29">
        <w:rPr>
          <w:rFonts w:ascii="Arial" w:hAnsi="Arial" w:cs="Arial"/>
          <w:sz w:val="22"/>
          <w:szCs w:val="22"/>
        </w:rPr>
        <w:t xml:space="preserve"> the submission chose not to incorporate data beyond 14.1 months</w:t>
      </w:r>
      <w:r w:rsidR="00D726AA" w:rsidRPr="00CE3B29">
        <w:rPr>
          <w:rFonts w:ascii="Arial" w:hAnsi="Arial" w:cs="Arial"/>
          <w:sz w:val="22"/>
          <w:szCs w:val="22"/>
        </w:rPr>
        <w:t>. The minor re-submission</w:t>
      </w:r>
      <w:r w:rsidRPr="00CE3B29">
        <w:rPr>
          <w:rFonts w:ascii="Arial" w:hAnsi="Arial" w:cs="Arial"/>
          <w:sz w:val="22"/>
          <w:szCs w:val="22"/>
        </w:rPr>
        <w:t xml:space="preserve"> modified </w:t>
      </w:r>
      <w:r w:rsidR="00D726AA" w:rsidRPr="00CE3B29">
        <w:rPr>
          <w:rFonts w:ascii="Arial" w:hAnsi="Arial" w:cs="Arial"/>
          <w:sz w:val="22"/>
          <w:szCs w:val="22"/>
        </w:rPr>
        <w:t xml:space="preserve">the </w:t>
      </w:r>
      <w:r w:rsidRPr="00CE3B29">
        <w:rPr>
          <w:rFonts w:ascii="Arial" w:hAnsi="Arial" w:cs="Arial"/>
          <w:sz w:val="22"/>
          <w:szCs w:val="22"/>
        </w:rPr>
        <w:t>propose</w:t>
      </w:r>
      <w:r w:rsidR="00D726AA" w:rsidRPr="00CE3B29">
        <w:rPr>
          <w:rFonts w:ascii="Arial" w:hAnsi="Arial" w:cs="Arial"/>
          <w:sz w:val="22"/>
          <w:szCs w:val="22"/>
        </w:rPr>
        <w:t>d</w:t>
      </w:r>
      <w:r w:rsidRPr="00CE3B29">
        <w:rPr>
          <w:rFonts w:ascii="Arial" w:hAnsi="Arial" w:cs="Arial"/>
          <w:sz w:val="22"/>
          <w:szCs w:val="22"/>
        </w:rPr>
        <w:t xml:space="preserve"> price and the truncation point for OS in the economic model, from 14.1 months used in the base</w:t>
      </w:r>
      <w:r w:rsidRPr="00CE3B29">
        <w:rPr>
          <w:rFonts w:ascii="Arial" w:hAnsi="Arial" w:cs="Arial"/>
          <w:sz w:val="22"/>
          <w:szCs w:val="22"/>
        </w:rPr>
        <w:noBreakHyphen/>
        <w:t xml:space="preserve">case economic </w:t>
      </w:r>
      <w:r w:rsidRPr="00CE3B29">
        <w:rPr>
          <w:rFonts w:ascii="Arial" w:hAnsi="Arial" w:cs="Arial"/>
          <w:sz w:val="22"/>
          <w:szCs w:val="22"/>
        </w:rPr>
        <w:lastRenderedPageBreak/>
        <w:t>evaluation in the previous submission to 55.9 months.</w:t>
      </w:r>
      <w:r w:rsidR="00066E90" w:rsidRPr="00CE3B29">
        <w:rPr>
          <w:rFonts w:ascii="Arial" w:hAnsi="Arial" w:cs="Arial"/>
          <w:sz w:val="22"/>
          <w:szCs w:val="22"/>
        </w:rPr>
        <w:t xml:space="preserve"> The </w:t>
      </w:r>
      <w:r w:rsidRPr="00CE3B29">
        <w:rPr>
          <w:rFonts w:ascii="Arial" w:hAnsi="Arial" w:cs="Arial"/>
          <w:sz w:val="22"/>
          <w:szCs w:val="22"/>
        </w:rPr>
        <w:t xml:space="preserve">ICER </w:t>
      </w:r>
      <w:r w:rsidR="00066E90" w:rsidRPr="00CE3B29">
        <w:rPr>
          <w:rFonts w:ascii="Arial" w:hAnsi="Arial" w:cs="Arial"/>
          <w:sz w:val="22"/>
          <w:szCs w:val="22"/>
        </w:rPr>
        <w:t xml:space="preserve">is </w:t>
      </w:r>
      <w:r w:rsidR="00D726AA" w:rsidRPr="00CE3B29">
        <w:rPr>
          <w:rFonts w:ascii="Arial" w:hAnsi="Arial" w:cs="Arial"/>
          <w:sz w:val="22"/>
          <w:szCs w:val="22"/>
        </w:rPr>
        <w:t>$</w:t>
      </w:r>
      <w:r w:rsidR="001043A0">
        <w:rPr>
          <w:rFonts w:ascii="Arial" w:hAnsi="Arial" w:cs="Arial"/>
          <w:sz w:val="22"/>
          <w:szCs w:val="22"/>
        </w:rPr>
        <w:t>45,000</w:t>
      </w:r>
      <w:r w:rsidR="00D726AA" w:rsidRPr="00CE3B29">
        <w:rPr>
          <w:rFonts w:ascii="Arial" w:hAnsi="Arial" w:cs="Arial"/>
          <w:sz w:val="22"/>
          <w:szCs w:val="22"/>
        </w:rPr>
        <w:t>/QALY</w:t>
      </w:r>
      <w:r w:rsidR="001043A0">
        <w:rPr>
          <w:rFonts w:ascii="Arial" w:hAnsi="Arial" w:cs="Arial"/>
          <w:sz w:val="22"/>
          <w:szCs w:val="22"/>
        </w:rPr>
        <w:t xml:space="preserve"> - $75,000/QALY</w:t>
      </w:r>
      <w:r w:rsidR="00D726AA" w:rsidRPr="00CE3B29">
        <w:rPr>
          <w:rFonts w:ascii="Arial" w:hAnsi="Arial" w:cs="Arial"/>
          <w:sz w:val="22"/>
          <w:szCs w:val="22"/>
        </w:rPr>
        <w:t xml:space="preserve"> gained.</w:t>
      </w:r>
      <w:r w:rsidR="00623A0E" w:rsidRPr="00CE3B29">
        <w:rPr>
          <w:rFonts w:ascii="Arial" w:hAnsi="Arial" w:cs="Arial"/>
          <w:sz w:val="22"/>
          <w:szCs w:val="22"/>
        </w:rPr>
        <w:t xml:space="preserve"> </w:t>
      </w:r>
      <w:r w:rsidR="00623A0E" w:rsidRPr="00CE3B29">
        <w:rPr>
          <w:rFonts w:ascii="Arial" w:hAnsi="Arial"/>
          <w:sz w:val="22"/>
          <w:szCs w:val="22"/>
        </w:rPr>
        <w:t>This ICER was independently verified.</w:t>
      </w:r>
      <w:r w:rsidR="00623A0E" w:rsidRPr="00CE3B29">
        <w:rPr>
          <w:rFonts w:ascii="Arial" w:hAnsi="Arial" w:cs="Arial"/>
          <w:sz w:val="22"/>
          <w:szCs w:val="22"/>
        </w:rPr>
        <w:t xml:space="preserve"> When additional $</w:t>
      </w:r>
      <w:r w:rsidR="00630F18">
        <w:rPr>
          <w:rFonts w:ascii="Arial" w:hAnsi="Arial" w:cs="Arial"/>
          <w:noProof/>
          <w:color w:val="000000"/>
          <w:sz w:val="22"/>
          <w:szCs w:val="22"/>
          <w:highlight w:val="black"/>
        </w:rPr>
        <w:t>''''''</w:t>
      </w:r>
      <w:r w:rsidR="00623A0E" w:rsidRPr="00CE3B29">
        <w:rPr>
          <w:rFonts w:ascii="Arial" w:hAnsi="Arial" w:cs="Arial"/>
          <w:sz w:val="22"/>
          <w:szCs w:val="22"/>
        </w:rPr>
        <w:t xml:space="preserve"> fee is included in the cost of bevacizumab, the ICER is </w:t>
      </w:r>
      <w:r w:rsidRPr="00CE3B29">
        <w:rPr>
          <w:rFonts w:ascii="Arial" w:hAnsi="Arial" w:cs="Arial"/>
          <w:sz w:val="22"/>
          <w:szCs w:val="22"/>
        </w:rPr>
        <w:t>$</w:t>
      </w:r>
      <w:r w:rsidR="001043A0">
        <w:rPr>
          <w:rFonts w:ascii="Arial" w:hAnsi="Arial" w:cs="Arial"/>
          <w:sz w:val="22"/>
          <w:szCs w:val="22"/>
        </w:rPr>
        <w:t>45,000</w:t>
      </w:r>
      <w:r w:rsidR="001043A0" w:rsidRPr="00CE3B29">
        <w:rPr>
          <w:rFonts w:ascii="Arial" w:hAnsi="Arial" w:cs="Arial"/>
          <w:sz w:val="22"/>
          <w:szCs w:val="22"/>
        </w:rPr>
        <w:t>/QALY</w:t>
      </w:r>
      <w:r w:rsidR="001043A0">
        <w:rPr>
          <w:rFonts w:ascii="Arial" w:hAnsi="Arial" w:cs="Arial"/>
          <w:sz w:val="22"/>
          <w:szCs w:val="22"/>
        </w:rPr>
        <w:t xml:space="preserve"> - $75,000/QALY</w:t>
      </w:r>
      <w:r w:rsidR="001043A0" w:rsidRPr="00CE3B29">
        <w:rPr>
          <w:rFonts w:ascii="Arial" w:hAnsi="Arial" w:cs="Arial"/>
          <w:sz w:val="22"/>
          <w:szCs w:val="22"/>
        </w:rPr>
        <w:t xml:space="preserve"> </w:t>
      </w:r>
      <w:r w:rsidRPr="00CE3B29">
        <w:rPr>
          <w:rFonts w:ascii="Arial" w:hAnsi="Arial" w:cs="Arial"/>
          <w:sz w:val="22"/>
          <w:szCs w:val="22"/>
        </w:rPr>
        <w:t>gained</w:t>
      </w:r>
      <w:r w:rsidR="00D726AA" w:rsidRPr="00CE3B29">
        <w:rPr>
          <w:rFonts w:ascii="Arial" w:hAnsi="Arial" w:cs="Arial"/>
          <w:sz w:val="22"/>
          <w:szCs w:val="22"/>
        </w:rPr>
        <w:t>.</w:t>
      </w:r>
    </w:p>
    <w:p w:rsidR="00623A0E" w:rsidRPr="00CE3B29" w:rsidRDefault="00623A0E" w:rsidP="00F57FCB">
      <w:pPr>
        <w:jc w:val="both"/>
        <w:rPr>
          <w:rFonts w:ascii="Arial" w:hAnsi="Arial"/>
          <w:sz w:val="22"/>
          <w:szCs w:val="22"/>
        </w:rPr>
      </w:pPr>
    </w:p>
    <w:p w:rsidR="005963BB" w:rsidRPr="00CE3B29" w:rsidRDefault="008832DA" w:rsidP="00F57FCB">
      <w:pPr>
        <w:pStyle w:val="ListParagraph"/>
        <w:numPr>
          <w:ilvl w:val="1"/>
          <w:numId w:val="25"/>
        </w:numPr>
        <w:jc w:val="both"/>
        <w:rPr>
          <w:rFonts w:ascii="Arial" w:hAnsi="Arial"/>
          <w:sz w:val="22"/>
          <w:szCs w:val="22"/>
        </w:rPr>
      </w:pPr>
      <w:r w:rsidRPr="00CE3B29">
        <w:rPr>
          <w:rFonts w:ascii="Arial" w:hAnsi="Arial"/>
          <w:sz w:val="22"/>
          <w:szCs w:val="22"/>
        </w:rPr>
        <w:t xml:space="preserve">At the November 2015 meeting, the PBAC considered that future economic analysis should take into account the adverse event related disutilities. In the minor re-submission, the sponsor maintains that the utilities applied in the base case economic model are informed by trial data specific to each treatment arm and therefore account for the impact of adverse events related to bevacizumab on quality of life. The sponsor accepted that there is uncertainty associated with mapping FACT G data to EQ 5D values, and therefore an additional </w:t>
      </w:r>
      <w:r w:rsidR="00630F18">
        <w:rPr>
          <w:rFonts w:ascii="Arial" w:hAnsi="Arial"/>
          <w:noProof/>
          <w:color w:val="000000"/>
          <w:sz w:val="22"/>
          <w:szCs w:val="22"/>
          <w:highlight w:val="black"/>
        </w:rPr>
        <w:t>''''</w:t>
      </w:r>
      <w:r w:rsidRPr="00CE3B29">
        <w:rPr>
          <w:rFonts w:ascii="Arial" w:hAnsi="Arial"/>
          <w:sz w:val="22"/>
          <w:szCs w:val="22"/>
        </w:rPr>
        <w:t xml:space="preserve">% decrement in utility to the PFS values applicable to patients in the bevacizumab treatment arm has been applied in a sensitivity analysis in the updated economic evaluation. This sensitivity analysis resulted in an </w:t>
      </w:r>
      <w:r w:rsidR="004B66E8" w:rsidRPr="00CE3B29">
        <w:rPr>
          <w:rFonts w:ascii="Arial" w:hAnsi="Arial"/>
          <w:sz w:val="22"/>
          <w:szCs w:val="22"/>
        </w:rPr>
        <w:t xml:space="preserve">ICER </w:t>
      </w:r>
      <w:r w:rsidR="00186C54">
        <w:rPr>
          <w:rFonts w:ascii="Arial" w:hAnsi="Arial"/>
          <w:sz w:val="22"/>
          <w:szCs w:val="22"/>
        </w:rPr>
        <w:t xml:space="preserve">of </w:t>
      </w:r>
      <w:r w:rsidR="001F7102" w:rsidRPr="00CE3B29">
        <w:rPr>
          <w:rFonts w:ascii="Arial" w:hAnsi="Arial" w:cs="Arial"/>
          <w:sz w:val="22"/>
          <w:szCs w:val="22"/>
        </w:rPr>
        <w:t>$</w:t>
      </w:r>
      <w:r w:rsidR="001F7102">
        <w:rPr>
          <w:rFonts w:ascii="Arial" w:hAnsi="Arial" w:cs="Arial"/>
          <w:sz w:val="22"/>
          <w:szCs w:val="22"/>
        </w:rPr>
        <w:t>45,000</w:t>
      </w:r>
      <w:r w:rsidR="001F7102" w:rsidRPr="00CE3B29">
        <w:rPr>
          <w:rFonts w:ascii="Arial" w:hAnsi="Arial" w:cs="Arial"/>
          <w:sz w:val="22"/>
          <w:szCs w:val="22"/>
        </w:rPr>
        <w:t>/QALY</w:t>
      </w:r>
      <w:r w:rsidR="001F7102">
        <w:rPr>
          <w:rFonts w:ascii="Arial" w:hAnsi="Arial" w:cs="Arial"/>
          <w:sz w:val="22"/>
          <w:szCs w:val="22"/>
        </w:rPr>
        <w:t xml:space="preserve"> - $75,000/QALY</w:t>
      </w:r>
      <w:r w:rsidR="001F7102" w:rsidRPr="00CE3B29">
        <w:rPr>
          <w:rFonts w:ascii="Arial" w:hAnsi="Arial" w:cs="Arial"/>
          <w:sz w:val="22"/>
          <w:szCs w:val="22"/>
        </w:rPr>
        <w:t xml:space="preserve"> </w:t>
      </w:r>
      <w:r w:rsidRPr="00CE3B29">
        <w:rPr>
          <w:rFonts w:ascii="Arial" w:hAnsi="Arial"/>
          <w:sz w:val="22"/>
          <w:szCs w:val="22"/>
        </w:rPr>
        <w:t>gained</w:t>
      </w:r>
      <w:r w:rsidR="000D44D3" w:rsidRPr="00CE3B29">
        <w:rPr>
          <w:rFonts w:ascii="Arial" w:hAnsi="Arial"/>
          <w:sz w:val="22"/>
          <w:szCs w:val="22"/>
        </w:rPr>
        <w:t xml:space="preserve"> (or $</w:t>
      </w:r>
      <w:r w:rsidR="001F7102">
        <w:rPr>
          <w:rFonts w:ascii="Arial" w:hAnsi="Arial" w:cs="Arial"/>
          <w:sz w:val="22"/>
          <w:szCs w:val="22"/>
        </w:rPr>
        <w:t>45,000</w:t>
      </w:r>
      <w:r w:rsidR="001F7102" w:rsidRPr="00CE3B29">
        <w:rPr>
          <w:rFonts w:ascii="Arial" w:hAnsi="Arial" w:cs="Arial"/>
          <w:sz w:val="22"/>
          <w:szCs w:val="22"/>
        </w:rPr>
        <w:t>/QALY</w:t>
      </w:r>
      <w:r w:rsidR="001F7102">
        <w:rPr>
          <w:rFonts w:ascii="Arial" w:hAnsi="Arial" w:cs="Arial"/>
          <w:sz w:val="22"/>
          <w:szCs w:val="22"/>
        </w:rPr>
        <w:t xml:space="preserve"> - $75,000/QALY</w:t>
      </w:r>
      <w:r w:rsidR="001F7102" w:rsidRPr="00CE3B29">
        <w:rPr>
          <w:rFonts w:ascii="Arial" w:hAnsi="Arial" w:cs="Arial"/>
          <w:sz w:val="22"/>
          <w:szCs w:val="22"/>
        </w:rPr>
        <w:t xml:space="preserve"> </w:t>
      </w:r>
      <w:r w:rsidR="0067018F" w:rsidRPr="00CE3B29">
        <w:rPr>
          <w:rFonts w:ascii="Arial" w:hAnsi="Arial"/>
          <w:sz w:val="22"/>
          <w:szCs w:val="22"/>
        </w:rPr>
        <w:t>gained</w:t>
      </w:r>
      <w:r w:rsidR="000D44D3" w:rsidRPr="00CE3B29">
        <w:rPr>
          <w:rFonts w:ascii="Arial" w:hAnsi="Arial"/>
          <w:sz w:val="22"/>
          <w:szCs w:val="22"/>
        </w:rPr>
        <w:t>, when additional $</w:t>
      </w:r>
      <w:r w:rsidR="00630F18">
        <w:rPr>
          <w:rFonts w:ascii="Arial" w:hAnsi="Arial"/>
          <w:noProof/>
          <w:color w:val="000000"/>
          <w:sz w:val="22"/>
          <w:szCs w:val="22"/>
          <w:highlight w:val="black"/>
        </w:rPr>
        <w:t>''''''</w:t>
      </w:r>
      <w:r w:rsidR="000D44D3" w:rsidRPr="00CE3B29">
        <w:rPr>
          <w:rFonts w:ascii="Arial" w:hAnsi="Arial"/>
          <w:sz w:val="22"/>
          <w:szCs w:val="22"/>
        </w:rPr>
        <w:t xml:space="preserve"> fee is included). </w:t>
      </w:r>
      <w:r w:rsidR="000105A1" w:rsidRPr="00CE3B29">
        <w:rPr>
          <w:rFonts w:ascii="Arial" w:hAnsi="Arial"/>
          <w:sz w:val="22"/>
          <w:szCs w:val="22"/>
        </w:rPr>
        <w:t>This ICER was independently verified.</w:t>
      </w:r>
    </w:p>
    <w:p w:rsidR="000105A1" w:rsidRPr="00CE3B29" w:rsidRDefault="000105A1" w:rsidP="00F57FCB">
      <w:pPr>
        <w:jc w:val="both"/>
        <w:rPr>
          <w:rFonts w:ascii="Arial" w:hAnsi="Arial"/>
          <w:sz w:val="22"/>
          <w:szCs w:val="22"/>
        </w:rPr>
      </w:pPr>
    </w:p>
    <w:p w:rsidR="002D3CE5" w:rsidRPr="00F16CCD" w:rsidRDefault="002D3CE5" w:rsidP="00F16CCD">
      <w:pPr>
        <w:pStyle w:val="Heading2"/>
      </w:pPr>
      <w:bookmarkStart w:id="0" w:name="_Toc430080591"/>
      <w:r w:rsidRPr="00F16CCD">
        <w:t>Drug cost/patient/course: $</w:t>
      </w:r>
      <w:r w:rsidR="00630F18">
        <w:rPr>
          <w:noProof/>
          <w:color w:val="000000"/>
          <w:highlight w:val="black"/>
        </w:rPr>
        <w:t>'''''''''''''</w:t>
      </w:r>
      <w:r w:rsidR="00A7282A" w:rsidRPr="00F16CCD">
        <w:t xml:space="preserve"> </w:t>
      </w:r>
      <w:bookmarkEnd w:id="0"/>
    </w:p>
    <w:p w:rsidR="002D3CE5" w:rsidRPr="00CE3B29" w:rsidRDefault="002D3CE5" w:rsidP="00F57FCB">
      <w:pPr>
        <w:rPr>
          <w:rFonts w:ascii="Arial" w:hAnsi="Arial" w:cs="Arial"/>
          <w:sz w:val="22"/>
          <w:szCs w:val="22"/>
        </w:rPr>
      </w:pPr>
    </w:p>
    <w:p w:rsidR="002D3CE5" w:rsidRPr="00CE3B29" w:rsidRDefault="002D3CE5" w:rsidP="00F57FCB">
      <w:pPr>
        <w:pStyle w:val="ListParagraph"/>
        <w:numPr>
          <w:ilvl w:val="1"/>
          <w:numId w:val="25"/>
        </w:numPr>
        <w:snapToGrid w:val="0"/>
        <w:jc w:val="both"/>
        <w:rPr>
          <w:rFonts w:ascii="Arial" w:hAnsi="Arial" w:cs="Arial"/>
          <w:sz w:val="22"/>
          <w:szCs w:val="22"/>
        </w:rPr>
      </w:pPr>
      <w:r w:rsidRPr="00CE3B29">
        <w:rPr>
          <w:rFonts w:ascii="Arial" w:hAnsi="Arial" w:cs="Arial"/>
          <w:sz w:val="22"/>
          <w:szCs w:val="22"/>
        </w:rPr>
        <w:t xml:space="preserve">The average drug cost per patient per course was estimated: 1) assuming a treatment duration of </w:t>
      </w:r>
      <w:r w:rsidR="00630F18">
        <w:rPr>
          <w:rFonts w:ascii="Arial" w:hAnsi="Arial" w:cs="Arial"/>
          <w:noProof/>
          <w:color w:val="000000"/>
          <w:sz w:val="22"/>
          <w:szCs w:val="22"/>
          <w:highlight w:val="black"/>
        </w:rPr>
        <w:t>'''''''</w:t>
      </w:r>
      <w:r w:rsidRPr="00CE3B29">
        <w:rPr>
          <w:rFonts w:ascii="Arial" w:hAnsi="Arial" w:cs="Arial"/>
          <w:sz w:val="22"/>
          <w:szCs w:val="22"/>
        </w:rPr>
        <w:t xml:space="preserve"> cycles (based on the time to off-treatment (TTOT) estimates from the GOG 0240 trial); 2) assuming 54.4% of prescriptions being dispensed in public settings and 45.6% in private settings; and 3) incorporating an expected one-off statutory </w:t>
      </w:r>
      <w:r w:rsidRPr="00E46051">
        <w:rPr>
          <w:rFonts w:ascii="Arial" w:hAnsi="Arial" w:cs="Arial"/>
          <w:sz w:val="22"/>
          <w:szCs w:val="22"/>
        </w:rPr>
        <w:t>5</w:t>
      </w:r>
      <w:r w:rsidRPr="00CE3B29">
        <w:rPr>
          <w:rFonts w:ascii="Arial" w:hAnsi="Arial" w:cs="Arial"/>
          <w:sz w:val="22"/>
          <w:szCs w:val="22"/>
        </w:rPr>
        <w:t>% price reduction (to be applied from 1 April 2016)</w:t>
      </w:r>
      <w:r w:rsidR="00684454" w:rsidRPr="00CE3B29">
        <w:rPr>
          <w:rFonts w:ascii="Arial" w:hAnsi="Arial" w:cs="Arial"/>
          <w:sz w:val="22"/>
          <w:szCs w:val="22"/>
        </w:rPr>
        <w:t>, including preparation fee of $</w:t>
      </w:r>
      <w:r w:rsidR="00630F18">
        <w:rPr>
          <w:rFonts w:ascii="Arial" w:hAnsi="Arial" w:cs="Arial"/>
          <w:noProof/>
          <w:color w:val="000000"/>
          <w:sz w:val="22"/>
          <w:szCs w:val="22"/>
          <w:highlight w:val="black"/>
        </w:rPr>
        <w:t>''''''''''''''</w:t>
      </w:r>
      <w:r w:rsidR="0063245B">
        <w:rPr>
          <w:rFonts w:ascii="Arial" w:hAnsi="Arial" w:cs="Arial"/>
          <w:sz w:val="22"/>
          <w:szCs w:val="22"/>
        </w:rPr>
        <w:t xml:space="preserve"> </w:t>
      </w:r>
      <w:r w:rsidRPr="00CE3B29">
        <w:rPr>
          <w:rFonts w:ascii="Arial" w:hAnsi="Arial" w:cs="Arial"/>
          <w:sz w:val="22"/>
          <w:szCs w:val="22"/>
        </w:rPr>
        <w:t xml:space="preserve">and the proposed </w:t>
      </w:r>
      <w:r w:rsidR="00630F18">
        <w:rPr>
          <w:rFonts w:ascii="Arial" w:hAnsi="Arial" w:cs="Arial"/>
          <w:noProof/>
          <w:color w:val="000000"/>
          <w:sz w:val="22"/>
          <w:szCs w:val="22"/>
          <w:highlight w:val="black"/>
        </w:rPr>
        <w:t>''''''</w:t>
      </w:r>
      <w:r w:rsidRPr="00CE3B29">
        <w:rPr>
          <w:rFonts w:ascii="Arial" w:hAnsi="Arial" w:cs="Arial"/>
          <w:sz w:val="22"/>
          <w:szCs w:val="22"/>
        </w:rPr>
        <w:t>% rebate on the ex-man</w:t>
      </w:r>
      <w:r w:rsidR="00A7282A" w:rsidRPr="00CE3B29">
        <w:rPr>
          <w:rFonts w:ascii="Arial" w:hAnsi="Arial" w:cs="Arial"/>
          <w:sz w:val="22"/>
          <w:szCs w:val="22"/>
        </w:rPr>
        <w:t>ufacturer price for bevacizumab (Source: Updated Economic Evaluation.xlsx)</w:t>
      </w:r>
      <w:r w:rsidRPr="00CE3B29">
        <w:rPr>
          <w:rFonts w:ascii="Arial" w:hAnsi="Arial" w:cs="Arial"/>
          <w:sz w:val="22"/>
          <w:szCs w:val="22"/>
        </w:rPr>
        <w:t xml:space="preserve">. </w:t>
      </w:r>
    </w:p>
    <w:p w:rsidR="00A55FEE" w:rsidRPr="00CE3B29" w:rsidRDefault="00A55FEE" w:rsidP="00F57FCB">
      <w:pPr>
        <w:jc w:val="both"/>
        <w:rPr>
          <w:rFonts w:ascii="Arial" w:hAnsi="Arial"/>
          <w:b/>
          <w:sz w:val="22"/>
          <w:szCs w:val="22"/>
        </w:rPr>
      </w:pPr>
    </w:p>
    <w:p w:rsidR="005A3173" w:rsidRPr="00CE3B29" w:rsidRDefault="005A3173" w:rsidP="00F16CCD">
      <w:pPr>
        <w:pStyle w:val="Heading2"/>
      </w:pPr>
      <w:r w:rsidRPr="00CE3B29">
        <w:t>Estimated PBS usage &amp; financial implications</w:t>
      </w:r>
    </w:p>
    <w:p w:rsidR="005A3173" w:rsidRPr="00CE3B29" w:rsidRDefault="005A3173" w:rsidP="00F57FCB">
      <w:pPr>
        <w:ind w:left="720" w:hanging="720"/>
        <w:jc w:val="both"/>
        <w:rPr>
          <w:rFonts w:ascii="Arial" w:hAnsi="Arial"/>
          <w:b/>
          <w:sz w:val="22"/>
          <w:szCs w:val="22"/>
        </w:rPr>
      </w:pPr>
    </w:p>
    <w:p w:rsidR="00066E90" w:rsidRPr="00F85498" w:rsidRDefault="00FF2801" w:rsidP="00F57FCB">
      <w:pPr>
        <w:pStyle w:val="ListParagraph"/>
        <w:numPr>
          <w:ilvl w:val="1"/>
          <w:numId w:val="25"/>
        </w:numPr>
        <w:snapToGrid w:val="0"/>
        <w:jc w:val="both"/>
        <w:rPr>
          <w:rFonts w:ascii="Calibri" w:hAnsi="Calibri"/>
          <w:color w:val="000000"/>
          <w:sz w:val="22"/>
          <w:szCs w:val="22"/>
        </w:rPr>
      </w:pPr>
      <w:r w:rsidRPr="00CE3B29">
        <w:rPr>
          <w:rFonts w:ascii="Arial" w:hAnsi="Arial"/>
          <w:sz w:val="22"/>
          <w:szCs w:val="22"/>
        </w:rPr>
        <w:t>The minor submission estimated</w:t>
      </w:r>
      <w:r w:rsidR="00C00DA7" w:rsidRPr="00CE3B29">
        <w:rPr>
          <w:rFonts w:ascii="Arial" w:hAnsi="Arial"/>
          <w:sz w:val="22"/>
          <w:szCs w:val="22"/>
        </w:rPr>
        <w:t xml:space="preserve"> a net cost </w:t>
      </w:r>
      <w:r w:rsidR="00C00DA7" w:rsidRPr="00F85498">
        <w:rPr>
          <w:rFonts w:ascii="Arial" w:hAnsi="Arial" w:cs="Arial"/>
          <w:sz w:val="22"/>
          <w:szCs w:val="22"/>
        </w:rPr>
        <w:t xml:space="preserve">to the PBS of </w:t>
      </w:r>
      <w:r w:rsidR="001F7102">
        <w:rPr>
          <w:rFonts w:ascii="Arial" w:hAnsi="Arial" w:cs="Arial"/>
          <w:sz w:val="22"/>
          <w:szCs w:val="22"/>
        </w:rPr>
        <w:t>less than $10 million</w:t>
      </w:r>
      <w:r w:rsidR="00F85498" w:rsidRPr="00F85498">
        <w:rPr>
          <w:rFonts w:ascii="Arial" w:hAnsi="Arial" w:cs="Arial"/>
          <w:sz w:val="22"/>
          <w:szCs w:val="22"/>
        </w:rPr>
        <w:t xml:space="preserve"> </w:t>
      </w:r>
      <w:r w:rsidR="00C00DA7" w:rsidRPr="00F85498">
        <w:rPr>
          <w:rFonts w:ascii="Arial" w:hAnsi="Arial" w:cs="Arial"/>
          <w:sz w:val="22"/>
          <w:szCs w:val="22"/>
        </w:rPr>
        <w:t xml:space="preserve">in Year 5 of listing, with a total net cost to the PBS of </w:t>
      </w:r>
      <w:r w:rsidR="00F85498" w:rsidRPr="00F85498">
        <w:rPr>
          <w:rFonts w:ascii="Arial" w:hAnsi="Arial" w:cs="Arial"/>
          <w:color w:val="000000"/>
          <w:sz w:val="22"/>
          <w:szCs w:val="22"/>
        </w:rPr>
        <w:t>$</w:t>
      </w:r>
      <w:r w:rsidR="001F7102">
        <w:rPr>
          <w:rFonts w:ascii="Arial" w:hAnsi="Arial" w:cs="Arial"/>
          <w:color w:val="000000"/>
          <w:sz w:val="22"/>
          <w:szCs w:val="22"/>
        </w:rPr>
        <w:t>10 - $20 million per year</w:t>
      </w:r>
      <w:r w:rsidR="00F85498" w:rsidRPr="00F85498">
        <w:rPr>
          <w:rFonts w:ascii="Arial" w:hAnsi="Arial" w:cs="Arial"/>
          <w:color w:val="000000"/>
          <w:sz w:val="22"/>
          <w:szCs w:val="22"/>
        </w:rPr>
        <w:t xml:space="preserve"> and net cost to government of </w:t>
      </w:r>
      <w:r w:rsidR="00C00DA7" w:rsidRPr="00F85498">
        <w:rPr>
          <w:rFonts w:ascii="Arial" w:hAnsi="Arial" w:cs="Arial"/>
          <w:sz w:val="22"/>
          <w:szCs w:val="22"/>
        </w:rPr>
        <w:t>$</w:t>
      </w:r>
      <w:r w:rsidR="001F7102">
        <w:rPr>
          <w:rFonts w:ascii="Arial" w:hAnsi="Arial" w:cs="Arial"/>
          <w:sz w:val="22"/>
          <w:szCs w:val="22"/>
        </w:rPr>
        <w:t>20 - $30 million per year</w:t>
      </w:r>
      <w:r w:rsidR="00C00DA7" w:rsidRPr="00F85498">
        <w:rPr>
          <w:rFonts w:ascii="Arial" w:hAnsi="Arial" w:cs="Arial"/>
          <w:sz w:val="22"/>
          <w:szCs w:val="22"/>
        </w:rPr>
        <w:t xml:space="preserve"> over the first 5 years of listing.  This is summarised in the table below as well as the expected patient/prescription numbers</w:t>
      </w:r>
      <w:r w:rsidR="00C61308" w:rsidRPr="00F85498">
        <w:rPr>
          <w:rFonts w:ascii="Arial" w:hAnsi="Arial" w:cs="Arial"/>
          <w:sz w:val="22"/>
          <w:szCs w:val="22"/>
        </w:rPr>
        <w:t>, which are unchanged from the November 2015</w:t>
      </w:r>
      <w:r w:rsidR="00C61308" w:rsidRPr="00F85498">
        <w:rPr>
          <w:rFonts w:ascii="Arial" w:hAnsi="Arial"/>
          <w:sz w:val="22"/>
          <w:szCs w:val="22"/>
        </w:rPr>
        <w:t xml:space="preserve"> submission</w:t>
      </w:r>
      <w:r w:rsidR="00C00DA7" w:rsidRPr="00F85498">
        <w:rPr>
          <w:rFonts w:ascii="Arial" w:hAnsi="Arial"/>
          <w:sz w:val="22"/>
          <w:szCs w:val="22"/>
        </w:rPr>
        <w:t>.</w:t>
      </w:r>
    </w:p>
    <w:p w:rsidR="00066E90" w:rsidRPr="00CE3B29" w:rsidRDefault="00066E90" w:rsidP="00F57FCB">
      <w:pPr>
        <w:pStyle w:val="ListParagraph"/>
        <w:rPr>
          <w:rFonts w:ascii="Arial" w:hAnsi="Arial"/>
          <w:sz w:val="22"/>
          <w:szCs w:val="22"/>
        </w:rPr>
      </w:pPr>
    </w:p>
    <w:p w:rsidR="00AD5104" w:rsidRPr="00CE3B29" w:rsidRDefault="00066E90" w:rsidP="00F57FCB">
      <w:pPr>
        <w:pStyle w:val="ListParagraph"/>
        <w:numPr>
          <w:ilvl w:val="1"/>
          <w:numId w:val="25"/>
        </w:numPr>
        <w:jc w:val="both"/>
        <w:rPr>
          <w:rFonts w:ascii="Arial" w:hAnsi="Arial"/>
          <w:sz w:val="22"/>
          <w:szCs w:val="22"/>
        </w:rPr>
      </w:pPr>
      <w:r w:rsidRPr="00CE3B29">
        <w:rPr>
          <w:rFonts w:ascii="Arial" w:hAnsi="Arial"/>
          <w:sz w:val="22"/>
          <w:szCs w:val="22"/>
        </w:rPr>
        <w:t>At the November 2015 meeting, t</w:t>
      </w:r>
      <w:r w:rsidR="00AD5104" w:rsidRPr="00CE3B29">
        <w:rPr>
          <w:rFonts w:ascii="Arial" w:hAnsi="Arial"/>
          <w:sz w:val="22"/>
          <w:szCs w:val="22"/>
        </w:rPr>
        <w:t>he</w:t>
      </w:r>
      <w:r w:rsidRPr="00CE3B29">
        <w:rPr>
          <w:rFonts w:ascii="Arial" w:hAnsi="Arial"/>
          <w:sz w:val="22"/>
          <w:szCs w:val="22"/>
        </w:rPr>
        <w:t xml:space="preserve"> </w:t>
      </w:r>
      <w:r w:rsidR="00AD5104" w:rsidRPr="00CE3B29">
        <w:rPr>
          <w:rFonts w:ascii="Arial" w:hAnsi="Arial"/>
          <w:sz w:val="22"/>
          <w:szCs w:val="22"/>
        </w:rPr>
        <w:t>PBAC noted that the estimates of utilisation of bevacizumab were uncertain and the financial estimates were likely overestimated in the November 2015 submission. The PBAC recommended that the sponsor consider obtaining estimates of the cumulative number of cervi</w:t>
      </w:r>
      <w:r w:rsidR="00F57FCB">
        <w:rPr>
          <w:rFonts w:ascii="Arial" w:hAnsi="Arial"/>
          <w:sz w:val="22"/>
          <w:szCs w:val="22"/>
        </w:rPr>
        <w:t>cal cancer deaths in the next 5</w:t>
      </w:r>
      <w:r w:rsidR="00F57FCB">
        <w:rPr>
          <w:rFonts w:ascii="Arial" w:hAnsi="Arial"/>
          <w:sz w:val="22"/>
          <w:szCs w:val="22"/>
        </w:rPr>
        <w:noBreakHyphen/>
      </w:r>
      <w:r w:rsidR="00AD5104" w:rsidRPr="00CE3B29">
        <w:rPr>
          <w:rFonts w:ascii="Arial" w:hAnsi="Arial"/>
          <w:sz w:val="22"/>
          <w:szCs w:val="22"/>
        </w:rPr>
        <w:t xml:space="preserve">10 years taking into account the change in Human papillomavirus (HPV) testing in 2017 and the impact of the HPV vaccine on the National Immunisation Program. Also some justification should be provided in relation to the uptake rates of bevacizumab. </w:t>
      </w:r>
    </w:p>
    <w:p w:rsidR="00AD5104" w:rsidRPr="00CE3B29" w:rsidRDefault="00AD5104" w:rsidP="00F57FCB">
      <w:pPr>
        <w:rPr>
          <w:rFonts w:ascii="Arial" w:hAnsi="Arial"/>
          <w:sz w:val="22"/>
          <w:szCs w:val="22"/>
        </w:rPr>
      </w:pPr>
    </w:p>
    <w:p w:rsidR="00AD5104" w:rsidRPr="00096F5F" w:rsidRDefault="00AD5104" w:rsidP="00F57FCB">
      <w:pPr>
        <w:pStyle w:val="ListParagraph"/>
        <w:numPr>
          <w:ilvl w:val="1"/>
          <w:numId w:val="25"/>
        </w:numPr>
        <w:jc w:val="both"/>
        <w:rPr>
          <w:rFonts w:ascii="Arial" w:hAnsi="Arial"/>
          <w:sz w:val="22"/>
          <w:szCs w:val="22"/>
        </w:rPr>
      </w:pPr>
      <w:r w:rsidRPr="00CE3B29">
        <w:rPr>
          <w:rFonts w:ascii="Arial" w:hAnsi="Arial"/>
          <w:sz w:val="22"/>
          <w:szCs w:val="22"/>
        </w:rPr>
        <w:t xml:space="preserve">The minor re-submission stated: In 2007, the National HPV Vaccination Program commenced to protect young Australian women against infection with HPV and reduce cervical cancer incidence. In addition to the ongoing program for girls aged 12–13 years, a catch up program provided the HPV vaccine for women aged 13–18 years in schools and 18–26 years in the community. Since the average age of diagnosis of cervical cancer in Australia is 51 years, the impact of the HPV vaccination program on the incidence of cervical cancer will not be evident for some </w:t>
      </w:r>
      <w:r w:rsidRPr="00CE3B29">
        <w:rPr>
          <w:rFonts w:ascii="Arial" w:hAnsi="Arial"/>
          <w:sz w:val="22"/>
          <w:szCs w:val="22"/>
        </w:rPr>
        <w:lastRenderedPageBreak/>
        <w:t>time and is not captured in the curre</w:t>
      </w:r>
      <w:r w:rsidR="00066E90" w:rsidRPr="00CE3B29">
        <w:rPr>
          <w:rFonts w:ascii="Arial" w:hAnsi="Arial"/>
          <w:sz w:val="22"/>
          <w:szCs w:val="22"/>
        </w:rPr>
        <w:t>nt AIHW incidence projections</w:t>
      </w:r>
      <w:r w:rsidRPr="00CE3B29">
        <w:rPr>
          <w:rFonts w:ascii="Arial" w:hAnsi="Arial"/>
          <w:sz w:val="22"/>
          <w:szCs w:val="22"/>
        </w:rPr>
        <w:t xml:space="preserve">. Additionally, no </w:t>
      </w:r>
      <w:r w:rsidRPr="00096F5F">
        <w:rPr>
          <w:rFonts w:ascii="Arial" w:hAnsi="Arial"/>
          <w:sz w:val="22"/>
          <w:szCs w:val="22"/>
        </w:rPr>
        <w:t>change in the incidence of advanced cervical cancer in the five year financial estimates is expected with the changes in HPV testing from 2017.</w:t>
      </w:r>
    </w:p>
    <w:p w:rsidR="00436189" w:rsidRPr="00096F5F" w:rsidRDefault="00436189" w:rsidP="00F57FCB">
      <w:pPr>
        <w:rPr>
          <w:rFonts w:ascii="Arial" w:hAnsi="Arial"/>
          <w:sz w:val="22"/>
          <w:szCs w:val="22"/>
        </w:rPr>
      </w:pPr>
    </w:p>
    <w:p w:rsidR="00D726AA" w:rsidRPr="00096F5F" w:rsidRDefault="00051BA5" w:rsidP="00F57FCB">
      <w:pPr>
        <w:pStyle w:val="ListParagraph"/>
        <w:numPr>
          <w:ilvl w:val="1"/>
          <w:numId w:val="25"/>
        </w:numPr>
        <w:jc w:val="both"/>
        <w:rPr>
          <w:rFonts w:ascii="Arial" w:hAnsi="Arial"/>
          <w:sz w:val="22"/>
          <w:szCs w:val="22"/>
        </w:rPr>
      </w:pPr>
      <w:r w:rsidRPr="00096F5F">
        <w:rPr>
          <w:rFonts w:ascii="Arial" w:hAnsi="Arial"/>
          <w:sz w:val="22"/>
          <w:szCs w:val="22"/>
        </w:rPr>
        <w:t>As raised in the evaluation of the November 2015 submission, preparation fee paid to TGA licensed compounders ($</w:t>
      </w:r>
      <w:r w:rsidR="00630F18">
        <w:rPr>
          <w:rFonts w:ascii="Arial" w:hAnsi="Arial"/>
          <w:noProof/>
          <w:color w:val="000000"/>
          <w:sz w:val="22"/>
          <w:szCs w:val="22"/>
          <w:highlight w:val="black"/>
        </w:rPr>
        <w:t>''''''''''''''''''</w:t>
      </w:r>
      <w:r w:rsidR="002B754E" w:rsidRPr="00096F5F">
        <w:rPr>
          <w:rFonts w:ascii="Arial" w:hAnsi="Arial"/>
          <w:sz w:val="22"/>
          <w:szCs w:val="22"/>
        </w:rPr>
        <w:t>) and</w:t>
      </w:r>
      <w:r w:rsidRPr="00096F5F">
        <w:rPr>
          <w:rFonts w:ascii="Arial" w:hAnsi="Arial"/>
          <w:sz w:val="22"/>
          <w:szCs w:val="22"/>
        </w:rPr>
        <w:t xml:space="preserve"> non-TGA licensed compounders ($</w:t>
      </w:r>
      <w:r w:rsidR="00630F18">
        <w:rPr>
          <w:rFonts w:ascii="Arial" w:hAnsi="Arial"/>
          <w:noProof/>
          <w:color w:val="000000"/>
          <w:sz w:val="22"/>
          <w:szCs w:val="22"/>
          <w:highlight w:val="black"/>
        </w:rPr>
        <w:t>'''''''''''''</w:t>
      </w:r>
      <w:r w:rsidRPr="00096F5F">
        <w:rPr>
          <w:rFonts w:ascii="Arial" w:hAnsi="Arial"/>
          <w:sz w:val="22"/>
          <w:szCs w:val="22"/>
        </w:rPr>
        <w:t>) are different. As the majority of chemotherapy preparations are compounded in settings where the $</w:t>
      </w:r>
      <w:r w:rsidR="00630F18">
        <w:rPr>
          <w:rFonts w:ascii="Arial" w:hAnsi="Arial"/>
          <w:noProof/>
          <w:color w:val="000000"/>
          <w:sz w:val="22"/>
          <w:szCs w:val="22"/>
          <w:highlight w:val="black"/>
        </w:rPr>
        <w:t>'''''''''''''''''</w:t>
      </w:r>
      <w:r w:rsidRPr="00096F5F">
        <w:rPr>
          <w:rFonts w:ascii="Arial" w:hAnsi="Arial"/>
          <w:sz w:val="22"/>
          <w:szCs w:val="22"/>
        </w:rPr>
        <w:t xml:space="preserve"> fee applies, this fee should continue to be used in PBAC submissions. The minor submission included the preparation fee applicable to non-TGA licenced compounders ($</w:t>
      </w:r>
      <w:r w:rsidR="00630F18">
        <w:rPr>
          <w:rFonts w:ascii="Arial" w:hAnsi="Arial"/>
          <w:noProof/>
          <w:color w:val="000000"/>
          <w:sz w:val="22"/>
          <w:szCs w:val="22"/>
          <w:highlight w:val="black"/>
        </w:rPr>
        <w:t>''''''''''''''</w:t>
      </w:r>
      <w:r w:rsidRPr="00096F5F">
        <w:rPr>
          <w:rFonts w:ascii="Arial" w:hAnsi="Arial"/>
          <w:sz w:val="22"/>
          <w:szCs w:val="22"/>
        </w:rPr>
        <w:t>).</w:t>
      </w:r>
      <w:r w:rsidR="00CE3B29" w:rsidRPr="00096F5F">
        <w:rPr>
          <w:rFonts w:ascii="Arial" w:hAnsi="Arial"/>
          <w:sz w:val="22"/>
          <w:szCs w:val="22"/>
        </w:rPr>
        <w:t xml:space="preserve"> A sensitivity analysis of the financial estimates was presented in the pre-PBAC response assuming the preparation fee for TGA licenced compounders applies ($</w:t>
      </w:r>
      <w:r w:rsidR="00630F18">
        <w:rPr>
          <w:rFonts w:ascii="Arial" w:hAnsi="Arial"/>
          <w:noProof/>
          <w:color w:val="000000"/>
          <w:sz w:val="22"/>
          <w:szCs w:val="22"/>
          <w:highlight w:val="black"/>
        </w:rPr>
        <w:t>''''''''''''''''</w:t>
      </w:r>
      <w:r w:rsidR="00CE3B29" w:rsidRPr="00096F5F">
        <w:rPr>
          <w:rFonts w:ascii="Arial" w:hAnsi="Arial"/>
          <w:sz w:val="22"/>
          <w:szCs w:val="22"/>
        </w:rPr>
        <w:t xml:space="preserve">). The impact of this change on the financial estimates was minimal (total net cost to the PBS/RPBS at effective price (patient </w:t>
      </w:r>
      <w:r w:rsidR="0063245B" w:rsidRPr="00096F5F">
        <w:rPr>
          <w:rFonts w:ascii="Arial" w:hAnsi="Arial"/>
          <w:sz w:val="22"/>
          <w:szCs w:val="22"/>
        </w:rPr>
        <w:t>co-payments</w:t>
      </w:r>
      <w:r w:rsidR="00CE3B29" w:rsidRPr="00096F5F">
        <w:rPr>
          <w:rFonts w:ascii="Arial" w:hAnsi="Arial"/>
          <w:sz w:val="22"/>
          <w:szCs w:val="22"/>
        </w:rPr>
        <w:t xml:space="preserve"> removed) of </w:t>
      </w:r>
      <w:r w:rsidR="00E753C9">
        <w:rPr>
          <w:rFonts w:ascii="Arial" w:hAnsi="Arial"/>
          <w:sz w:val="22"/>
          <w:szCs w:val="22"/>
        </w:rPr>
        <w:t>less than $10 million</w:t>
      </w:r>
      <w:r w:rsidR="00CE3B29" w:rsidRPr="00096F5F">
        <w:rPr>
          <w:rFonts w:ascii="Arial" w:hAnsi="Arial"/>
          <w:sz w:val="22"/>
          <w:szCs w:val="22"/>
        </w:rPr>
        <w:t xml:space="preserve"> in year 5 of listing in sensitivity analysis compared with </w:t>
      </w:r>
      <w:r w:rsidR="00E753C9">
        <w:rPr>
          <w:rFonts w:ascii="Arial" w:hAnsi="Arial"/>
          <w:sz w:val="22"/>
          <w:szCs w:val="22"/>
        </w:rPr>
        <w:t>less than $10 million</w:t>
      </w:r>
      <w:r w:rsidR="00CE3B29" w:rsidRPr="00096F5F">
        <w:rPr>
          <w:rFonts w:ascii="Arial" w:hAnsi="Arial"/>
          <w:sz w:val="22"/>
          <w:szCs w:val="22"/>
        </w:rPr>
        <w:t xml:space="preserve"> in year 5 in the base case).</w:t>
      </w:r>
    </w:p>
    <w:p w:rsidR="00D726AA" w:rsidRPr="00CE3B29" w:rsidRDefault="00D726AA" w:rsidP="00F57FCB">
      <w:pPr>
        <w:pStyle w:val="ListParagraph"/>
        <w:rPr>
          <w:rFonts w:ascii="Arial" w:hAnsi="Arial"/>
          <w:sz w:val="22"/>
          <w:szCs w:val="22"/>
        </w:rPr>
      </w:pPr>
    </w:p>
    <w:p w:rsidR="0013383E" w:rsidRPr="00CE3B29" w:rsidRDefault="0013383E" w:rsidP="00F57FCB">
      <w:pPr>
        <w:keepNext/>
        <w:ind w:firstLine="709"/>
        <w:jc w:val="both"/>
        <w:rPr>
          <w:rFonts w:ascii="Arial Narrow" w:hAnsi="Arial Narrow" w:cs="Arial"/>
          <w:b/>
          <w:sz w:val="20"/>
          <w:szCs w:val="20"/>
        </w:rPr>
      </w:pPr>
      <w:r w:rsidRPr="00CE3B29">
        <w:rPr>
          <w:rFonts w:ascii="Arial Narrow" w:hAnsi="Arial Narrow" w:cs="Arial"/>
          <w:b/>
          <w:sz w:val="20"/>
          <w:szCs w:val="20"/>
        </w:rPr>
        <w:t xml:space="preserve">Table 2: Overall cost to Government of </w:t>
      </w:r>
      <w:r w:rsidR="00F57FCB">
        <w:rPr>
          <w:rFonts w:ascii="Arial Narrow" w:hAnsi="Arial Narrow" w:cs="Arial"/>
          <w:b/>
          <w:sz w:val="20"/>
          <w:szCs w:val="20"/>
        </w:rPr>
        <w:t xml:space="preserve">by year of </w:t>
      </w:r>
      <w:r w:rsidRPr="00CE3B29">
        <w:rPr>
          <w:rFonts w:ascii="Arial Narrow" w:hAnsi="Arial Narrow" w:cs="Arial"/>
          <w:b/>
          <w:sz w:val="20"/>
          <w:szCs w:val="20"/>
        </w:rPr>
        <w:t>PBS listing of bevacizumab</w:t>
      </w:r>
    </w:p>
    <w:tbl>
      <w:tblPr>
        <w:tblW w:w="0" w:type="auto"/>
        <w:tblInd w:w="817" w:type="dxa"/>
        <w:tblLayout w:type="fixed"/>
        <w:tblLook w:val="0000" w:firstRow="0" w:lastRow="0" w:firstColumn="0" w:lastColumn="0" w:noHBand="0" w:noVBand="0"/>
      </w:tblPr>
      <w:tblGrid>
        <w:gridCol w:w="2693"/>
        <w:gridCol w:w="1134"/>
        <w:gridCol w:w="1134"/>
        <w:gridCol w:w="1134"/>
        <w:gridCol w:w="1134"/>
        <w:gridCol w:w="1134"/>
      </w:tblGrid>
      <w:tr w:rsidR="00D9698E" w:rsidRPr="00CE3B29" w:rsidTr="00D9698E">
        <w:trPr>
          <w:trHeight w:val="64"/>
          <w:tblHeader/>
        </w:trPr>
        <w:tc>
          <w:tcPr>
            <w:tcW w:w="2693" w:type="dxa"/>
            <w:tcBorders>
              <w:top w:val="single" w:sz="4" w:space="0" w:color="auto"/>
              <w:left w:val="single" w:sz="4" w:space="0" w:color="auto"/>
              <w:bottom w:val="single" w:sz="4" w:space="0" w:color="auto"/>
              <w:right w:val="single" w:sz="4" w:space="0" w:color="auto"/>
            </w:tcBorders>
            <w:vAlign w:val="center"/>
          </w:tcPr>
          <w:p w:rsidR="008A70EE" w:rsidRPr="00CE3B29" w:rsidRDefault="008A70EE" w:rsidP="00F57FCB">
            <w:pPr>
              <w:keepNext/>
              <w:jc w:val="both"/>
              <w:rPr>
                <w:rFonts w:ascii="Arial Narrow" w:hAnsi="Arial Narrow" w:cs="Arial"/>
                <w:b/>
                <w:sz w:val="20"/>
                <w:szCs w:val="20"/>
              </w:rPr>
            </w:pPr>
          </w:p>
        </w:tc>
        <w:tc>
          <w:tcPr>
            <w:tcW w:w="1134" w:type="dxa"/>
            <w:tcBorders>
              <w:top w:val="single" w:sz="4" w:space="0" w:color="auto"/>
              <w:left w:val="nil"/>
              <w:bottom w:val="single" w:sz="4" w:space="0" w:color="auto"/>
              <w:right w:val="single" w:sz="4" w:space="0" w:color="auto"/>
            </w:tcBorders>
            <w:vAlign w:val="center"/>
          </w:tcPr>
          <w:p w:rsidR="008A70EE" w:rsidRPr="00CE3B29" w:rsidRDefault="008A70EE" w:rsidP="00F57FCB">
            <w:pPr>
              <w:keepNext/>
              <w:jc w:val="center"/>
              <w:rPr>
                <w:rFonts w:ascii="Arial Narrow" w:hAnsi="Arial Narrow" w:cs="Arial"/>
                <w:b/>
                <w:sz w:val="20"/>
                <w:szCs w:val="20"/>
              </w:rPr>
            </w:pPr>
            <w:r w:rsidRPr="00CE3B29">
              <w:rPr>
                <w:rFonts w:ascii="Arial Narrow" w:hAnsi="Arial Narrow" w:cs="Arial"/>
                <w:b/>
                <w:sz w:val="20"/>
                <w:szCs w:val="20"/>
              </w:rPr>
              <w:t>Year 1</w:t>
            </w:r>
          </w:p>
        </w:tc>
        <w:tc>
          <w:tcPr>
            <w:tcW w:w="1134" w:type="dxa"/>
            <w:tcBorders>
              <w:top w:val="single" w:sz="4" w:space="0" w:color="auto"/>
              <w:left w:val="nil"/>
              <w:bottom w:val="single" w:sz="4" w:space="0" w:color="auto"/>
              <w:right w:val="single" w:sz="4" w:space="0" w:color="auto"/>
            </w:tcBorders>
            <w:vAlign w:val="center"/>
          </w:tcPr>
          <w:p w:rsidR="008A70EE" w:rsidRPr="00CE3B29" w:rsidRDefault="008A70EE" w:rsidP="00F57FCB">
            <w:pPr>
              <w:keepNext/>
              <w:jc w:val="center"/>
              <w:rPr>
                <w:rFonts w:ascii="Arial Narrow" w:hAnsi="Arial Narrow" w:cs="Arial"/>
                <w:b/>
                <w:sz w:val="20"/>
                <w:szCs w:val="20"/>
              </w:rPr>
            </w:pPr>
            <w:r w:rsidRPr="00CE3B29">
              <w:rPr>
                <w:rFonts w:ascii="Arial Narrow" w:hAnsi="Arial Narrow" w:cs="Arial"/>
                <w:b/>
                <w:sz w:val="20"/>
                <w:szCs w:val="20"/>
              </w:rPr>
              <w:t>Year 2</w:t>
            </w:r>
          </w:p>
        </w:tc>
        <w:tc>
          <w:tcPr>
            <w:tcW w:w="1134" w:type="dxa"/>
            <w:tcBorders>
              <w:top w:val="single" w:sz="4" w:space="0" w:color="auto"/>
              <w:left w:val="nil"/>
              <w:bottom w:val="single" w:sz="4" w:space="0" w:color="auto"/>
              <w:right w:val="single" w:sz="4" w:space="0" w:color="auto"/>
            </w:tcBorders>
            <w:vAlign w:val="center"/>
          </w:tcPr>
          <w:p w:rsidR="008A70EE" w:rsidRPr="00CE3B29" w:rsidRDefault="008A70EE" w:rsidP="00F57FCB">
            <w:pPr>
              <w:keepNext/>
              <w:jc w:val="center"/>
              <w:rPr>
                <w:rFonts w:ascii="Arial Narrow" w:hAnsi="Arial Narrow" w:cs="Arial"/>
                <w:b/>
                <w:sz w:val="20"/>
                <w:szCs w:val="20"/>
              </w:rPr>
            </w:pPr>
            <w:r w:rsidRPr="00CE3B29">
              <w:rPr>
                <w:rFonts w:ascii="Arial Narrow" w:hAnsi="Arial Narrow" w:cs="Arial"/>
                <w:b/>
                <w:sz w:val="20"/>
                <w:szCs w:val="20"/>
              </w:rPr>
              <w:t>Year 3</w:t>
            </w:r>
          </w:p>
        </w:tc>
        <w:tc>
          <w:tcPr>
            <w:tcW w:w="1134" w:type="dxa"/>
            <w:tcBorders>
              <w:top w:val="single" w:sz="4" w:space="0" w:color="auto"/>
              <w:left w:val="nil"/>
              <w:bottom w:val="single" w:sz="4" w:space="0" w:color="auto"/>
              <w:right w:val="single" w:sz="4" w:space="0" w:color="auto"/>
            </w:tcBorders>
            <w:vAlign w:val="center"/>
          </w:tcPr>
          <w:p w:rsidR="008A70EE" w:rsidRPr="00CE3B29" w:rsidRDefault="008A70EE" w:rsidP="00F57FCB">
            <w:pPr>
              <w:keepNext/>
              <w:jc w:val="center"/>
              <w:rPr>
                <w:rFonts w:ascii="Arial Narrow" w:hAnsi="Arial Narrow" w:cs="Arial"/>
                <w:b/>
                <w:sz w:val="20"/>
                <w:szCs w:val="20"/>
              </w:rPr>
            </w:pPr>
            <w:r w:rsidRPr="00CE3B29">
              <w:rPr>
                <w:rFonts w:ascii="Arial Narrow" w:hAnsi="Arial Narrow" w:cs="Arial"/>
                <w:b/>
                <w:sz w:val="20"/>
                <w:szCs w:val="20"/>
              </w:rPr>
              <w:t>Year 4</w:t>
            </w:r>
          </w:p>
        </w:tc>
        <w:tc>
          <w:tcPr>
            <w:tcW w:w="1134" w:type="dxa"/>
            <w:tcBorders>
              <w:top w:val="single" w:sz="4" w:space="0" w:color="auto"/>
              <w:left w:val="nil"/>
              <w:bottom w:val="single" w:sz="4" w:space="0" w:color="auto"/>
              <w:right w:val="single" w:sz="4" w:space="0" w:color="auto"/>
            </w:tcBorders>
            <w:vAlign w:val="center"/>
          </w:tcPr>
          <w:p w:rsidR="008A70EE" w:rsidRPr="00CE3B29" w:rsidRDefault="008A70EE" w:rsidP="00F57FCB">
            <w:pPr>
              <w:keepNext/>
              <w:jc w:val="center"/>
              <w:rPr>
                <w:rFonts w:ascii="Arial Narrow" w:hAnsi="Arial Narrow" w:cs="Arial"/>
                <w:b/>
                <w:sz w:val="20"/>
                <w:szCs w:val="20"/>
              </w:rPr>
            </w:pPr>
            <w:r w:rsidRPr="00CE3B29">
              <w:rPr>
                <w:rFonts w:ascii="Arial Narrow" w:hAnsi="Arial Narrow" w:cs="Arial"/>
                <w:b/>
                <w:sz w:val="20"/>
                <w:szCs w:val="20"/>
              </w:rPr>
              <w:t>Year 5</w:t>
            </w:r>
          </w:p>
        </w:tc>
      </w:tr>
      <w:tr w:rsidR="00D9698E" w:rsidRPr="00CE3B29" w:rsidTr="00D9698E">
        <w:trPr>
          <w:trHeight w:val="50"/>
        </w:trPr>
        <w:tc>
          <w:tcPr>
            <w:tcW w:w="2693" w:type="dxa"/>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jc w:val="both"/>
              <w:rPr>
                <w:rFonts w:ascii="Arial Narrow" w:hAnsi="Arial Narrow" w:cs="Arial"/>
                <w:bCs/>
                <w:sz w:val="20"/>
                <w:szCs w:val="20"/>
              </w:rPr>
            </w:pPr>
            <w:r w:rsidRPr="00CE3B29">
              <w:rPr>
                <w:rFonts w:ascii="Arial Narrow" w:hAnsi="Arial Narrow" w:cs="Arial"/>
                <w:bCs/>
                <w:sz w:val="20"/>
                <w:szCs w:val="20"/>
              </w:rPr>
              <w:t>Number of advanced cervical cancer patients treated with bevacizumab</w:t>
            </w:r>
          </w:p>
        </w:tc>
        <w:tc>
          <w:tcPr>
            <w:tcW w:w="1134" w:type="dxa"/>
            <w:tcBorders>
              <w:top w:val="single" w:sz="4" w:space="0" w:color="auto"/>
              <w:left w:val="nil"/>
              <w:bottom w:val="single" w:sz="4" w:space="0" w:color="auto"/>
              <w:right w:val="single" w:sz="4" w:space="0" w:color="auto"/>
            </w:tcBorders>
          </w:tcPr>
          <w:p w:rsidR="008A70EE" w:rsidRPr="00630F18" w:rsidRDefault="00630F18" w:rsidP="00F57FCB">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630F18" w:rsidRDefault="00630F18" w:rsidP="00F57FCB">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630F18" w:rsidRDefault="00630F18" w:rsidP="00F57FCB">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630F18" w:rsidRDefault="00630F18" w:rsidP="00F57FCB">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630F18" w:rsidRDefault="00630F18" w:rsidP="00F57FCB">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D9698E" w:rsidRPr="00CE3B29" w:rsidTr="00D9698E">
        <w:trPr>
          <w:trHeight w:val="50"/>
        </w:trPr>
        <w:tc>
          <w:tcPr>
            <w:tcW w:w="2693" w:type="dxa"/>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jc w:val="both"/>
              <w:rPr>
                <w:rFonts w:ascii="Arial Narrow" w:hAnsi="Arial Narrow" w:cs="Arial"/>
                <w:bCs/>
                <w:sz w:val="20"/>
                <w:szCs w:val="20"/>
              </w:rPr>
            </w:pPr>
            <w:r w:rsidRPr="00CE3B29">
              <w:rPr>
                <w:rFonts w:ascii="Arial Narrow" w:hAnsi="Arial Narrow" w:cs="Arial"/>
                <w:bCs/>
                <w:sz w:val="20"/>
                <w:szCs w:val="20"/>
              </w:rPr>
              <w:t>Net cost to PBS/RPBS at published price (patient co</w:t>
            </w:r>
            <w:r w:rsidRPr="00CE3B29">
              <w:rPr>
                <w:rFonts w:ascii="Arial Narrow" w:hAnsi="Arial Narrow" w:cs="Arial"/>
                <w:bCs/>
                <w:sz w:val="20"/>
                <w:szCs w:val="20"/>
              </w:rPr>
              <w:noBreakHyphen/>
              <w:t>payments removed)</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r>
      <w:tr w:rsidR="00D9698E" w:rsidRPr="00CE3B29" w:rsidTr="00D9698E">
        <w:trPr>
          <w:trHeight w:val="50"/>
        </w:trPr>
        <w:tc>
          <w:tcPr>
            <w:tcW w:w="2693" w:type="dxa"/>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jc w:val="both"/>
              <w:rPr>
                <w:rFonts w:ascii="Arial Narrow" w:hAnsi="Arial Narrow" w:cs="Arial"/>
                <w:bCs/>
                <w:sz w:val="20"/>
                <w:szCs w:val="20"/>
              </w:rPr>
            </w:pPr>
            <w:r w:rsidRPr="00CE3B29">
              <w:rPr>
                <w:rFonts w:ascii="Arial Narrow" w:hAnsi="Arial Narrow" w:cs="Arial"/>
                <w:bCs/>
                <w:sz w:val="20"/>
                <w:szCs w:val="20"/>
              </w:rPr>
              <w:t>Net cost to PBS/RPBS at effective price (patient co</w:t>
            </w:r>
            <w:r w:rsidRPr="00CE3B29">
              <w:rPr>
                <w:rFonts w:ascii="Arial Narrow" w:hAnsi="Arial Narrow" w:cs="Arial"/>
                <w:bCs/>
                <w:sz w:val="20"/>
                <w:szCs w:val="20"/>
              </w:rPr>
              <w:noBreakHyphen/>
              <w:t>payments removed)</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r>
      <w:tr w:rsidR="00D9698E" w:rsidRPr="00CE3B29" w:rsidTr="00D9698E">
        <w:trPr>
          <w:trHeight w:val="64"/>
        </w:trPr>
        <w:tc>
          <w:tcPr>
            <w:tcW w:w="2693" w:type="dxa"/>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jc w:val="both"/>
              <w:rPr>
                <w:rFonts w:ascii="Arial Narrow" w:hAnsi="Arial Narrow" w:cs="Arial"/>
                <w:bCs/>
                <w:sz w:val="20"/>
                <w:szCs w:val="20"/>
              </w:rPr>
            </w:pPr>
            <w:r w:rsidRPr="00CE3B29">
              <w:rPr>
                <w:rFonts w:ascii="Arial Narrow" w:hAnsi="Arial Narrow" w:cs="Arial"/>
                <w:bCs/>
                <w:sz w:val="20"/>
                <w:szCs w:val="20"/>
              </w:rPr>
              <w:t xml:space="preserve">Overall net cost to Government Health Budget of listing bevacizumab at published price </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r>
      <w:tr w:rsidR="00D9698E" w:rsidRPr="00CE3B29" w:rsidTr="00D9698E">
        <w:trPr>
          <w:trHeight w:val="64"/>
        </w:trPr>
        <w:tc>
          <w:tcPr>
            <w:tcW w:w="2693" w:type="dxa"/>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jc w:val="both"/>
              <w:rPr>
                <w:rFonts w:ascii="Arial Narrow" w:hAnsi="Arial Narrow" w:cs="Arial"/>
                <w:bCs/>
                <w:sz w:val="20"/>
                <w:szCs w:val="20"/>
              </w:rPr>
            </w:pPr>
            <w:r w:rsidRPr="00CE3B29">
              <w:rPr>
                <w:rFonts w:ascii="Arial Narrow" w:hAnsi="Arial Narrow" w:cs="Arial"/>
                <w:bCs/>
                <w:sz w:val="20"/>
                <w:szCs w:val="20"/>
              </w:rPr>
              <w:t xml:space="preserve">Overall net cost to Government Health Budget of listing bevacizumab at effective price </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r>
      <w:tr w:rsidR="008A70EE" w:rsidRPr="00CE3B29" w:rsidTr="00D9698E">
        <w:trPr>
          <w:trHeight w:val="64"/>
        </w:trPr>
        <w:tc>
          <w:tcPr>
            <w:tcW w:w="7229" w:type="dxa"/>
            <w:gridSpan w:val="5"/>
            <w:tcBorders>
              <w:top w:val="single" w:sz="4" w:space="0" w:color="auto"/>
              <w:left w:val="single" w:sz="4" w:space="0" w:color="auto"/>
              <w:bottom w:val="single" w:sz="4" w:space="0" w:color="auto"/>
              <w:right w:val="single" w:sz="4" w:space="0" w:color="auto"/>
            </w:tcBorders>
          </w:tcPr>
          <w:p w:rsidR="008A70EE" w:rsidRPr="00CE3B29" w:rsidRDefault="008A70EE" w:rsidP="00F57FCB">
            <w:pPr>
              <w:keepNext/>
              <w:rPr>
                <w:rFonts w:ascii="Arial Narrow" w:hAnsi="Arial Narrow" w:cs="Arial"/>
                <w:sz w:val="20"/>
                <w:szCs w:val="20"/>
              </w:rPr>
            </w:pPr>
            <w:r w:rsidRPr="00CE3B29">
              <w:rPr>
                <w:rFonts w:ascii="Arial Narrow" w:hAnsi="Arial Narrow" w:cs="Arial"/>
                <w:bCs/>
                <w:sz w:val="20"/>
                <w:szCs w:val="20"/>
              </w:rPr>
              <w:t>Net 5 year cost to Government Health Budget of listing bevacizumab at effective price</w:t>
            </w:r>
          </w:p>
        </w:tc>
        <w:tc>
          <w:tcPr>
            <w:tcW w:w="1134" w:type="dxa"/>
            <w:tcBorders>
              <w:top w:val="single" w:sz="4" w:space="0" w:color="auto"/>
              <w:left w:val="nil"/>
              <w:bottom w:val="single" w:sz="4" w:space="0" w:color="auto"/>
              <w:right w:val="single" w:sz="4" w:space="0" w:color="auto"/>
            </w:tcBorders>
          </w:tcPr>
          <w:p w:rsidR="008A70EE" w:rsidRPr="00CE3B29" w:rsidRDefault="008A70EE" w:rsidP="00F57FCB">
            <w:pPr>
              <w:keepNext/>
              <w:jc w:val="right"/>
              <w:rPr>
                <w:rFonts w:ascii="Arial Narrow" w:hAnsi="Arial Narrow" w:cs="Arial"/>
                <w:sz w:val="20"/>
                <w:szCs w:val="20"/>
              </w:rPr>
            </w:pPr>
            <w:r w:rsidRPr="00CE3B29">
              <w:rPr>
                <w:rFonts w:ascii="Arial Narrow" w:hAnsi="Arial Narrow" w:cs="Arial"/>
                <w:sz w:val="20"/>
                <w:szCs w:val="20"/>
              </w:rPr>
              <w:t>$</w:t>
            </w:r>
            <w:r w:rsidR="00630F18">
              <w:rPr>
                <w:rFonts w:ascii="Arial Narrow" w:hAnsi="Arial Narrow" w:cs="Arial"/>
                <w:noProof/>
                <w:color w:val="000000"/>
                <w:sz w:val="20"/>
                <w:szCs w:val="20"/>
                <w:highlight w:val="black"/>
              </w:rPr>
              <w:t>''''''''''''''''''''''''</w:t>
            </w:r>
          </w:p>
        </w:tc>
      </w:tr>
    </w:tbl>
    <w:p w:rsidR="008A70EE" w:rsidRPr="00096F5F" w:rsidRDefault="008A70EE" w:rsidP="00F57FCB">
      <w:pPr>
        <w:pStyle w:val="Execsummary"/>
        <w:spacing w:line="264" w:lineRule="auto"/>
        <w:ind w:firstLine="709"/>
        <w:rPr>
          <w:rFonts w:ascii="Arial Narrow" w:hAnsi="Arial Narrow" w:cs="Arial"/>
          <w:sz w:val="20"/>
        </w:rPr>
      </w:pPr>
      <w:r w:rsidRPr="00096F5F">
        <w:rPr>
          <w:rFonts w:ascii="Arial Narrow" w:hAnsi="Arial Narrow" w:cs="Arial"/>
          <w:sz w:val="20"/>
        </w:rPr>
        <w:t>Source: Updated Financial Cost to PBS.xlsx</w:t>
      </w:r>
    </w:p>
    <w:p w:rsidR="0084696B" w:rsidRDefault="0084696B" w:rsidP="00F16CCD">
      <w:pPr>
        <w:rPr>
          <w:snapToGrid w:val="0"/>
          <w:lang w:eastAsia="en-US"/>
        </w:rPr>
      </w:pPr>
      <w:bookmarkStart w:id="1" w:name="_Toc430080594"/>
    </w:p>
    <w:p w:rsidR="00E753C9" w:rsidRDefault="00E753C9" w:rsidP="00922550">
      <w:pPr>
        <w:ind w:left="709"/>
        <w:rPr>
          <w:rFonts w:ascii="Arial" w:hAnsi="Arial" w:cs="Arial"/>
          <w:snapToGrid w:val="0"/>
          <w:sz w:val="22"/>
          <w:szCs w:val="22"/>
          <w:lang w:eastAsia="en-US"/>
        </w:rPr>
      </w:pPr>
      <w:r>
        <w:rPr>
          <w:snapToGrid w:val="0"/>
          <w:lang w:eastAsia="en-US"/>
        </w:rPr>
        <w:tab/>
      </w:r>
      <w:r>
        <w:rPr>
          <w:rFonts w:ascii="Arial" w:hAnsi="Arial" w:cs="Arial"/>
          <w:snapToGrid w:val="0"/>
          <w:sz w:val="22"/>
          <w:szCs w:val="22"/>
          <w:lang w:eastAsia="en-US"/>
        </w:rPr>
        <w:t>The redacted table shows that at year 5, the estimated number of patients was less than 10,000 per year and the net cost to the PBS would be $20 - $30 million per year.</w:t>
      </w:r>
    </w:p>
    <w:p w:rsidR="00E753C9" w:rsidRPr="00922550" w:rsidRDefault="00E753C9" w:rsidP="00922550">
      <w:pPr>
        <w:ind w:left="709"/>
        <w:rPr>
          <w:rFonts w:ascii="Arial" w:hAnsi="Arial" w:cs="Arial"/>
          <w:snapToGrid w:val="0"/>
          <w:sz w:val="22"/>
          <w:szCs w:val="22"/>
          <w:lang w:eastAsia="en-US"/>
        </w:rPr>
      </w:pPr>
    </w:p>
    <w:p w:rsidR="00F85498" w:rsidRPr="00096F5F" w:rsidRDefault="00CE3B29" w:rsidP="00F57FCB">
      <w:pPr>
        <w:pStyle w:val="ListParagraph"/>
        <w:numPr>
          <w:ilvl w:val="1"/>
          <w:numId w:val="25"/>
        </w:numPr>
        <w:jc w:val="both"/>
        <w:rPr>
          <w:rFonts w:ascii="Arial" w:hAnsi="Arial"/>
          <w:sz w:val="22"/>
          <w:szCs w:val="22"/>
        </w:rPr>
      </w:pPr>
      <w:r w:rsidRPr="00096F5F">
        <w:rPr>
          <w:rFonts w:ascii="Arial" w:hAnsi="Arial"/>
          <w:sz w:val="22"/>
          <w:szCs w:val="22"/>
        </w:rPr>
        <w:t xml:space="preserve">At the November 2015, the PBAC considered that some justification should be provided in relation to the uptake rates of bevacizumab and a resubmission should </w:t>
      </w:r>
      <w:bookmarkStart w:id="2" w:name="_GoBack"/>
      <w:r w:rsidRPr="00096F5F">
        <w:rPr>
          <w:rFonts w:ascii="Arial" w:hAnsi="Arial"/>
          <w:sz w:val="22"/>
          <w:szCs w:val="22"/>
        </w:rPr>
        <w:t xml:space="preserve">define a patient population who would be eligible and have access to treatment. </w:t>
      </w:r>
      <w:bookmarkEnd w:id="2"/>
      <w:r w:rsidRPr="00096F5F">
        <w:rPr>
          <w:rFonts w:ascii="Arial" w:hAnsi="Arial"/>
          <w:sz w:val="22"/>
          <w:szCs w:val="22"/>
        </w:rPr>
        <w:t xml:space="preserve">While not </w:t>
      </w:r>
      <w:r w:rsidR="00F85498" w:rsidRPr="00096F5F">
        <w:rPr>
          <w:rFonts w:ascii="Arial" w:hAnsi="Arial"/>
          <w:sz w:val="22"/>
          <w:szCs w:val="22"/>
        </w:rPr>
        <w:t xml:space="preserve">directly </w:t>
      </w:r>
      <w:r w:rsidRPr="00096F5F">
        <w:rPr>
          <w:rFonts w:ascii="Arial" w:hAnsi="Arial"/>
          <w:sz w:val="22"/>
          <w:szCs w:val="22"/>
        </w:rPr>
        <w:t>addressed in the minor submission, t</w:t>
      </w:r>
      <w:r w:rsidRPr="00096F5F">
        <w:rPr>
          <w:rFonts w:ascii="Arial" w:hAnsi="Arial" w:cs="Arial"/>
          <w:snapToGrid w:val="0"/>
          <w:sz w:val="22"/>
          <w:szCs w:val="20"/>
          <w:lang w:eastAsia="en-US"/>
        </w:rPr>
        <w:t xml:space="preserve">he pre-PBAC response </w:t>
      </w:r>
      <w:r w:rsidR="00F85498" w:rsidRPr="00096F5F">
        <w:rPr>
          <w:rFonts w:ascii="Arial" w:hAnsi="Arial" w:cs="Arial"/>
          <w:snapToGrid w:val="0"/>
          <w:sz w:val="22"/>
          <w:szCs w:val="20"/>
          <w:lang w:eastAsia="en-US"/>
        </w:rPr>
        <w:t xml:space="preserve">presented a sensitivity analysis to the financial estimates increasing the uptake rate of bevacizumab in advanced cervical cancer from </w:t>
      </w:r>
      <w:r w:rsidR="00630F18">
        <w:rPr>
          <w:rFonts w:ascii="Arial" w:hAnsi="Arial" w:cs="Arial"/>
          <w:noProof/>
          <w:snapToGrid w:val="0"/>
          <w:color w:val="000000"/>
          <w:sz w:val="22"/>
          <w:szCs w:val="20"/>
          <w:highlight w:val="black"/>
          <w:lang w:eastAsia="en-US"/>
        </w:rPr>
        <w:t>'''''''''''</w:t>
      </w:r>
      <w:r w:rsidR="00F85498" w:rsidRPr="00096F5F">
        <w:rPr>
          <w:rFonts w:ascii="Arial" w:hAnsi="Arial" w:cs="Arial"/>
          <w:snapToGrid w:val="0"/>
          <w:sz w:val="22"/>
          <w:szCs w:val="20"/>
          <w:lang w:eastAsia="en-US"/>
        </w:rPr>
        <w:t xml:space="preserve">% (based on expert opinion) to </w:t>
      </w:r>
      <w:r w:rsidR="00630F18">
        <w:rPr>
          <w:rFonts w:ascii="Arial" w:hAnsi="Arial" w:cs="Arial"/>
          <w:noProof/>
          <w:snapToGrid w:val="0"/>
          <w:color w:val="000000"/>
          <w:sz w:val="22"/>
          <w:szCs w:val="20"/>
          <w:highlight w:val="black"/>
          <w:lang w:eastAsia="en-US"/>
        </w:rPr>
        <w:t>''''''''''</w:t>
      </w:r>
      <w:r w:rsidR="00F85498" w:rsidRPr="00096F5F">
        <w:rPr>
          <w:rFonts w:ascii="Arial" w:hAnsi="Arial" w:cs="Arial"/>
          <w:snapToGrid w:val="0"/>
          <w:sz w:val="22"/>
          <w:szCs w:val="20"/>
          <w:lang w:eastAsia="en-US"/>
        </w:rPr>
        <w:t xml:space="preserve">%. In this scenario, the </w:t>
      </w:r>
      <w:r w:rsidR="00F85498" w:rsidRPr="00096F5F">
        <w:rPr>
          <w:rFonts w:ascii="Arial" w:hAnsi="Arial"/>
          <w:sz w:val="22"/>
          <w:szCs w:val="22"/>
        </w:rPr>
        <w:t xml:space="preserve">estimated net cost </w:t>
      </w:r>
      <w:r w:rsidR="00F85498" w:rsidRPr="00096F5F">
        <w:rPr>
          <w:rFonts w:ascii="Arial" w:hAnsi="Arial" w:cs="Arial"/>
          <w:sz w:val="22"/>
          <w:szCs w:val="22"/>
        </w:rPr>
        <w:t xml:space="preserve">to the PBS </w:t>
      </w:r>
      <w:r w:rsidR="000E74DA" w:rsidRPr="00096F5F">
        <w:rPr>
          <w:rFonts w:ascii="Arial" w:hAnsi="Arial" w:cs="Arial"/>
          <w:sz w:val="22"/>
          <w:szCs w:val="22"/>
        </w:rPr>
        <w:t>was</w:t>
      </w:r>
      <w:r w:rsidR="00F85498" w:rsidRPr="00096F5F">
        <w:rPr>
          <w:rFonts w:ascii="Arial" w:hAnsi="Arial" w:cs="Arial"/>
          <w:sz w:val="22"/>
          <w:szCs w:val="22"/>
        </w:rPr>
        <w:t xml:space="preserve"> $</w:t>
      </w:r>
      <w:r w:rsidR="00A63A5D">
        <w:rPr>
          <w:rFonts w:ascii="Arial" w:hAnsi="Arial" w:cs="Arial"/>
          <w:sz w:val="22"/>
          <w:szCs w:val="22"/>
        </w:rPr>
        <w:t>10 - $20 million</w:t>
      </w:r>
      <w:r w:rsidR="00F85498" w:rsidRPr="00096F5F">
        <w:rPr>
          <w:rFonts w:ascii="Arial" w:hAnsi="Arial" w:cs="Arial"/>
          <w:sz w:val="22"/>
          <w:szCs w:val="22"/>
        </w:rPr>
        <w:t xml:space="preserve"> in Year 5 of listing, with a total net cost to the PBS of </w:t>
      </w:r>
      <w:r w:rsidR="00F85498" w:rsidRPr="00096F5F">
        <w:rPr>
          <w:rFonts w:ascii="Arial" w:hAnsi="Arial" w:cs="Arial"/>
          <w:color w:val="000000"/>
          <w:sz w:val="22"/>
          <w:szCs w:val="22"/>
        </w:rPr>
        <w:t>$</w:t>
      </w:r>
      <w:r w:rsidR="00A63A5D">
        <w:rPr>
          <w:rFonts w:ascii="Arial" w:hAnsi="Arial" w:cs="Arial"/>
          <w:color w:val="000000"/>
          <w:sz w:val="22"/>
          <w:szCs w:val="22"/>
        </w:rPr>
        <w:t>20 - $30 million per year</w:t>
      </w:r>
      <w:r w:rsidR="00F85498" w:rsidRPr="00096F5F">
        <w:rPr>
          <w:rFonts w:ascii="Arial" w:hAnsi="Arial" w:cs="Arial"/>
          <w:color w:val="000000"/>
          <w:sz w:val="22"/>
          <w:szCs w:val="22"/>
        </w:rPr>
        <w:t xml:space="preserve"> and net cost to government of </w:t>
      </w:r>
      <w:r w:rsidR="00F85498" w:rsidRPr="00096F5F">
        <w:rPr>
          <w:rFonts w:ascii="Arial" w:hAnsi="Arial" w:cs="Arial"/>
          <w:sz w:val="22"/>
          <w:szCs w:val="22"/>
        </w:rPr>
        <w:t>$</w:t>
      </w:r>
      <w:r w:rsidR="00A63A5D">
        <w:rPr>
          <w:rFonts w:ascii="Arial" w:hAnsi="Arial" w:cs="Arial"/>
          <w:color w:val="000000"/>
          <w:sz w:val="22"/>
          <w:szCs w:val="22"/>
        </w:rPr>
        <w:t>20 - $30 million per year</w:t>
      </w:r>
      <w:r w:rsidR="00A63A5D" w:rsidRPr="00096F5F">
        <w:rPr>
          <w:rFonts w:ascii="Arial" w:hAnsi="Arial" w:cs="Arial"/>
          <w:color w:val="000000"/>
          <w:sz w:val="22"/>
          <w:szCs w:val="22"/>
        </w:rPr>
        <w:t xml:space="preserve"> </w:t>
      </w:r>
      <w:r w:rsidR="00F85498" w:rsidRPr="00096F5F">
        <w:rPr>
          <w:rFonts w:ascii="Arial" w:hAnsi="Arial" w:cs="Arial"/>
          <w:sz w:val="22"/>
          <w:szCs w:val="22"/>
        </w:rPr>
        <w:t>over the first 5 years of listing.</w:t>
      </w:r>
    </w:p>
    <w:p w:rsidR="00CE3B29" w:rsidRPr="00F85498" w:rsidRDefault="00F85498" w:rsidP="00F57FCB">
      <w:pPr>
        <w:jc w:val="both"/>
        <w:rPr>
          <w:rFonts w:ascii="Arial" w:hAnsi="Arial"/>
          <w:sz w:val="22"/>
          <w:szCs w:val="22"/>
        </w:rPr>
      </w:pPr>
      <w:r w:rsidRPr="00F85498">
        <w:rPr>
          <w:rFonts w:ascii="Arial" w:hAnsi="Arial" w:cs="Arial"/>
          <w:snapToGrid w:val="0"/>
          <w:sz w:val="22"/>
          <w:szCs w:val="20"/>
          <w:lang w:eastAsia="en-US"/>
        </w:rPr>
        <w:t xml:space="preserve"> </w:t>
      </w:r>
    </w:p>
    <w:p w:rsidR="00CE3B29" w:rsidRPr="00F16CCD" w:rsidRDefault="00F85498" w:rsidP="00F16CCD">
      <w:pPr>
        <w:ind w:left="720"/>
        <w:rPr>
          <w:rFonts w:ascii="Arial Narrow" w:hAnsi="Arial Narrow"/>
          <w:b/>
          <w:i/>
          <w:snapToGrid w:val="0"/>
          <w:sz w:val="18"/>
          <w:lang w:eastAsia="en-US"/>
        </w:rPr>
      </w:pPr>
      <w:r w:rsidRPr="00F16CCD">
        <w:rPr>
          <w:rFonts w:ascii="Arial Narrow" w:hAnsi="Arial Narrow"/>
          <w:b/>
          <w:sz w:val="20"/>
        </w:rPr>
        <w:lastRenderedPageBreak/>
        <w:t>Table 3: Sensitivity analysis</w:t>
      </w:r>
      <w:r w:rsidR="00D9698E" w:rsidRPr="00F16CCD">
        <w:rPr>
          <w:rFonts w:ascii="Arial Narrow" w:hAnsi="Arial Narrow"/>
          <w:b/>
          <w:sz w:val="20"/>
        </w:rPr>
        <w:t xml:space="preserve"> – overall cost to Government by year of</w:t>
      </w:r>
      <w:r w:rsidRPr="00F16CCD">
        <w:rPr>
          <w:rFonts w:ascii="Arial Narrow" w:hAnsi="Arial Narrow"/>
          <w:b/>
          <w:sz w:val="20"/>
        </w:rPr>
        <w:t xml:space="preserve"> PBS listing of bevacizumab in advanced cervical cancer assuming </w:t>
      </w:r>
      <w:r w:rsidR="00630F18">
        <w:rPr>
          <w:rFonts w:ascii="Arial Narrow" w:hAnsi="Arial Narrow"/>
          <w:b/>
          <w:noProof/>
          <w:color w:val="000000"/>
          <w:sz w:val="20"/>
          <w:highlight w:val="black"/>
        </w:rPr>
        <w:t>''''''''</w:t>
      </w:r>
      <w:r w:rsidRPr="00F16CCD">
        <w:rPr>
          <w:rFonts w:ascii="Arial Narrow" w:hAnsi="Arial Narrow"/>
          <w:b/>
          <w:sz w:val="20"/>
        </w:rPr>
        <w:t>% uptake rate and preparation fee for TGA licenced compounders applies in public hospital setting</w:t>
      </w:r>
    </w:p>
    <w:tbl>
      <w:tblPr>
        <w:tblW w:w="4508" w:type="pct"/>
        <w:tblInd w:w="817" w:type="dxa"/>
        <w:tblLayout w:type="fixed"/>
        <w:tblLook w:val="0000" w:firstRow="0" w:lastRow="0" w:firstColumn="0" w:lastColumn="0" w:noHBand="0" w:noVBand="0"/>
      </w:tblPr>
      <w:tblGrid>
        <w:gridCol w:w="2976"/>
        <w:gridCol w:w="1071"/>
        <w:gridCol w:w="1072"/>
        <w:gridCol w:w="1072"/>
        <w:gridCol w:w="1072"/>
        <w:gridCol w:w="1070"/>
      </w:tblGrid>
      <w:tr w:rsidR="00F85498" w:rsidRPr="00F85498" w:rsidTr="00D9698E">
        <w:trPr>
          <w:cantSplit/>
          <w:trHeight w:val="64"/>
          <w:tblHeader/>
        </w:trPr>
        <w:tc>
          <w:tcPr>
            <w:tcW w:w="1786" w:type="pct"/>
            <w:tcBorders>
              <w:top w:val="single" w:sz="4" w:space="0" w:color="auto"/>
              <w:left w:val="single" w:sz="4" w:space="0" w:color="auto"/>
              <w:bottom w:val="single" w:sz="4" w:space="0" w:color="auto"/>
              <w:right w:val="single" w:sz="4" w:space="0" w:color="auto"/>
            </w:tcBorders>
            <w:vAlign w:val="center"/>
          </w:tcPr>
          <w:p w:rsidR="00F85498" w:rsidRPr="00F85498" w:rsidRDefault="00F85498" w:rsidP="00F57FCB">
            <w:pPr>
              <w:autoSpaceDE w:val="0"/>
              <w:autoSpaceDN w:val="0"/>
              <w:adjustRightInd w:val="0"/>
              <w:spacing w:line="24" w:lineRule="atLeast"/>
              <w:rPr>
                <w:rFonts w:ascii="Arial Narrow" w:hAnsi="Arial Narrow" w:cstheme="minorHAnsi"/>
                <w:bCs/>
                <w:sz w:val="20"/>
                <w:szCs w:val="20"/>
                <w:lang w:val="en-GB"/>
              </w:rPr>
            </w:pPr>
          </w:p>
        </w:tc>
        <w:tc>
          <w:tcPr>
            <w:tcW w:w="643" w:type="pct"/>
            <w:tcBorders>
              <w:top w:val="single" w:sz="4" w:space="0" w:color="auto"/>
              <w:left w:val="nil"/>
              <w:bottom w:val="single" w:sz="4" w:space="0" w:color="auto"/>
              <w:right w:val="single" w:sz="4" w:space="0" w:color="auto"/>
            </w:tcBorders>
            <w:vAlign w:val="center"/>
          </w:tcPr>
          <w:p w:rsidR="00F85498" w:rsidRPr="00D9698E" w:rsidRDefault="00F85498" w:rsidP="00F57FCB">
            <w:pPr>
              <w:autoSpaceDE w:val="0"/>
              <w:autoSpaceDN w:val="0"/>
              <w:adjustRightInd w:val="0"/>
              <w:spacing w:line="24" w:lineRule="atLeast"/>
              <w:jc w:val="center"/>
              <w:rPr>
                <w:rFonts w:ascii="Arial Narrow" w:hAnsi="Arial Narrow" w:cstheme="minorHAnsi"/>
                <w:b/>
                <w:bCs/>
                <w:sz w:val="20"/>
                <w:szCs w:val="20"/>
                <w:lang w:val="en-GB"/>
              </w:rPr>
            </w:pPr>
            <w:r w:rsidRPr="00D9698E">
              <w:rPr>
                <w:rFonts w:ascii="Arial Narrow" w:hAnsi="Arial Narrow" w:cstheme="minorHAnsi"/>
                <w:b/>
                <w:bCs/>
                <w:sz w:val="20"/>
                <w:szCs w:val="20"/>
                <w:lang w:val="en-GB"/>
              </w:rPr>
              <w:t>Year 1</w:t>
            </w:r>
          </w:p>
        </w:tc>
        <w:tc>
          <w:tcPr>
            <w:tcW w:w="643" w:type="pct"/>
            <w:tcBorders>
              <w:top w:val="single" w:sz="4" w:space="0" w:color="auto"/>
              <w:left w:val="nil"/>
              <w:bottom w:val="single" w:sz="4" w:space="0" w:color="auto"/>
              <w:right w:val="single" w:sz="4" w:space="0" w:color="auto"/>
            </w:tcBorders>
            <w:vAlign w:val="center"/>
          </w:tcPr>
          <w:p w:rsidR="00F85498" w:rsidRPr="00D9698E" w:rsidRDefault="00F85498" w:rsidP="00F57FCB">
            <w:pPr>
              <w:autoSpaceDE w:val="0"/>
              <w:autoSpaceDN w:val="0"/>
              <w:adjustRightInd w:val="0"/>
              <w:spacing w:line="24" w:lineRule="atLeast"/>
              <w:jc w:val="center"/>
              <w:rPr>
                <w:rFonts w:ascii="Arial Narrow" w:hAnsi="Arial Narrow" w:cstheme="minorHAnsi"/>
                <w:b/>
                <w:bCs/>
                <w:sz w:val="20"/>
                <w:szCs w:val="20"/>
                <w:lang w:val="en-GB"/>
              </w:rPr>
            </w:pPr>
            <w:r w:rsidRPr="00D9698E">
              <w:rPr>
                <w:rFonts w:ascii="Arial Narrow" w:hAnsi="Arial Narrow" w:cstheme="minorHAnsi"/>
                <w:b/>
                <w:bCs/>
                <w:sz w:val="20"/>
                <w:szCs w:val="20"/>
                <w:lang w:val="en-GB"/>
              </w:rPr>
              <w:t>Year 2</w:t>
            </w:r>
          </w:p>
        </w:tc>
        <w:tc>
          <w:tcPr>
            <w:tcW w:w="643" w:type="pct"/>
            <w:tcBorders>
              <w:top w:val="single" w:sz="4" w:space="0" w:color="auto"/>
              <w:left w:val="nil"/>
              <w:bottom w:val="single" w:sz="4" w:space="0" w:color="auto"/>
              <w:right w:val="single" w:sz="4" w:space="0" w:color="auto"/>
            </w:tcBorders>
            <w:vAlign w:val="center"/>
          </w:tcPr>
          <w:p w:rsidR="00F85498" w:rsidRPr="00D9698E" w:rsidRDefault="00F85498" w:rsidP="00F57FCB">
            <w:pPr>
              <w:autoSpaceDE w:val="0"/>
              <w:autoSpaceDN w:val="0"/>
              <w:adjustRightInd w:val="0"/>
              <w:spacing w:line="24" w:lineRule="atLeast"/>
              <w:jc w:val="center"/>
              <w:rPr>
                <w:rFonts w:ascii="Arial Narrow" w:hAnsi="Arial Narrow" w:cstheme="minorHAnsi"/>
                <w:b/>
                <w:bCs/>
                <w:sz w:val="20"/>
                <w:szCs w:val="20"/>
                <w:lang w:val="en-GB"/>
              </w:rPr>
            </w:pPr>
            <w:r w:rsidRPr="00D9698E">
              <w:rPr>
                <w:rFonts w:ascii="Arial Narrow" w:hAnsi="Arial Narrow" w:cstheme="minorHAnsi"/>
                <w:b/>
                <w:bCs/>
                <w:sz w:val="20"/>
                <w:szCs w:val="20"/>
                <w:lang w:val="en-GB"/>
              </w:rPr>
              <w:t>Year 3</w:t>
            </w:r>
          </w:p>
        </w:tc>
        <w:tc>
          <w:tcPr>
            <w:tcW w:w="643" w:type="pct"/>
            <w:tcBorders>
              <w:top w:val="single" w:sz="4" w:space="0" w:color="auto"/>
              <w:left w:val="nil"/>
              <w:bottom w:val="single" w:sz="4" w:space="0" w:color="auto"/>
              <w:right w:val="single" w:sz="4" w:space="0" w:color="auto"/>
            </w:tcBorders>
            <w:vAlign w:val="center"/>
          </w:tcPr>
          <w:p w:rsidR="00F85498" w:rsidRPr="00D9698E" w:rsidRDefault="00F85498" w:rsidP="00F57FCB">
            <w:pPr>
              <w:autoSpaceDE w:val="0"/>
              <w:autoSpaceDN w:val="0"/>
              <w:adjustRightInd w:val="0"/>
              <w:spacing w:line="24" w:lineRule="atLeast"/>
              <w:jc w:val="center"/>
              <w:rPr>
                <w:rFonts w:ascii="Arial Narrow" w:hAnsi="Arial Narrow" w:cstheme="minorHAnsi"/>
                <w:b/>
                <w:bCs/>
                <w:sz w:val="20"/>
                <w:szCs w:val="20"/>
                <w:lang w:val="en-GB"/>
              </w:rPr>
            </w:pPr>
            <w:r w:rsidRPr="00D9698E">
              <w:rPr>
                <w:rFonts w:ascii="Arial Narrow" w:hAnsi="Arial Narrow" w:cstheme="minorHAnsi"/>
                <w:b/>
                <w:bCs/>
                <w:sz w:val="20"/>
                <w:szCs w:val="20"/>
                <w:lang w:val="en-GB"/>
              </w:rPr>
              <w:t>Year 4</w:t>
            </w:r>
          </w:p>
        </w:tc>
        <w:tc>
          <w:tcPr>
            <w:tcW w:w="643" w:type="pct"/>
            <w:tcBorders>
              <w:top w:val="single" w:sz="4" w:space="0" w:color="auto"/>
              <w:left w:val="nil"/>
              <w:bottom w:val="single" w:sz="4" w:space="0" w:color="auto"/>
              <w:right w:val="single" w:sz="4" w:space="0" w:color="auto"/>
            </w:tcBorders>
            <w:vAlign w:val="center"/>
          </w:tcPr>
          <w:p w:rsidR="00F85498" w:rsidRPr="00D9698E" w:rsidRDefault="00F85498" w:rsidP="00F57FCB">
            <w:pPr>
              <w:autoSpaceDE w:val="0"/>
              <w:autoSpaceDN w:val="0"/>
              <w:adjustRightInd w:val="0"/>
              <w:spacing w:line="24" w:lineRule="atLeast"/>
              <w:jc w:val="center"/>
              <w:rPr>
                <w:rFonts w:ascii="Arial Narrow" w:hAnsi="Arial Narrow" w:cstheme="minorHAnsi"/>
                <w:b/>
                <w:bCs/>
                <w:sz w:val="20"/>
                <w:szCs w:val="20"/>
                <w:lang w:val="en-GB"/>
              </w:rPr>
            </w:pPr>
            <w:r w:rsidRPr="00D9698E">
              <w:rPr>
                <w:rFonts w:ascii="Arial Narrow" w:hAnsi="Arial Narrow" w:cstheme="minorHAnsi"/>
                <w:b/>
                <w:bCs/>
                <w:sz w:val="20"/>
                <w:szCs w:val="20"/>
                <w:lang w:val="en-GB"/>
              </w:rPr>
              <w:t>Year 5</w:t>
            </w:r>
          </w:p>
        </w:tc>
      </w:tr>
      <w:tr w:rsidR="00F85498" w:rsidRPr="00F85498" w:rsidTr="00D9698E">
        <w:trPr>
          <w:trHeight w:val="50"/>
        </w:trPr>
        <w:tc>
          <w:tcPr>
            <w:tcW w:w="1786" w:type="pct"/>
            <w:tcBorders>
              <w:top w:val="single" w:sz="4" w:space="0" w:color="auto"/>
              <w:left w:val="single" w:sz="4" w:space="0" w:color="auto"/>
              <w:bottom w:val="single" w:sz="4" w:space="0" w:color="auto"/>
              <w:right w:val="single" w:sz="4" w:space="0" w:color="auto"/>
            </w:tcBorders>
          </w:tcPr>
          <w:p w:rsidR="00F85498" w:rsidRPr="00F85498" w:rsidRDefault="00F85498" w:rsidP="00F57FCB">
            <w:pPr>
              <w:autoSpaceDE w:val="0"/>
              <w:autoSpaceDN w:val="0"/>
              <w:adjustRightInd w:val="0"/>
              <w:spacing w:line="24" w:lineRule="atLeast"/>
              <w:rPr>
                <w:rFonts w:ascii="Arial Narrow" w:hAnsi="Arial Narrow" w:cstheme="minorHAnsi"/>
                <w:bCs/>
                <w:sz w:val="20"/>
                <w:szCs w:val="20"/>
                <w:lang w:val="en-GB"/>
              </w:rPr>
            </w:pPr>
            <w:r w:rsidRPr="00F85498">
              <w:rPr>
                <w:rFonts w:ascii="Arial Narrow" w:hAnsi="Arial Narrow" w:cstheme="minorHAnsi"/>
                <w:bCs/>
                <w:sz w:val="20"/>
                <w:szCs w:val="20"/>
                <w:lang w:val="en-GB"/>
              </w:rPr>
              <w:t>Number of advanced cervical cancer patients treated with bevacizumab</w:t>
            </w:r>
          </w:p>
        </w:tc>
        <w:tc>
          <w:tcPr>
            <w:tcW w:w="643" w:type="pct"/>
            <w:tcBorders>
              <w:top w:val="single" w:sz="4" w:space="0" w:color="auto"/>
              <w:left w:val="nil"/>
              <w:bottom w:val="single" w:sz="4" w:space="0" w:color="auto"/>
              <w:right w:val="single" w:sz="4" w:space="0" w:color="auto"/>
            </w:tcBorders>
          </w:tcPr>
          <w:p w:rsidR="00F85498" w:rsidRPr="00630F18" w:rsidRDefault="00630F18" w:rsidP="00F57FCB">
            <w:pPr>
              <w:autoSpaceDE w:val="0"/>
              <w:autoSpaceDN w:val="0"/>
              <w:adjustRightInd w:val="0"/>
              <w:spacing w:line="24" w:lineRule="atLeast"/>
              <w:jc w:val="right"/>
              <w:rPr>
                <w:rFonts w:ascii="Arial Narrow" w:hAnsi="Arial Narrow" w:cstheme="minorHAnsi"/>
                <w:bCs/>
                <w:sz w:val="20"/>
                <w:szCs w:val="20"/>
                <w:highlight w:val="black"/>
                <w:lang w:val="en-GB"/>
              </w:rPr>
            </w:pPr>
            <w:r>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630F18" w:rsidRDefault="00630F18" w:rsidP="00F57FCB">
            <w:pPr>
              <w:autoSpaceDE w:val="0"/>
              <w:autoSpaceDN w:val="0"/>
              <w:adjustRightInd w:val="0"/>
              <w:spacing w:line="24" w:lineRule="atLeast"/>
              <w:jc w:val="right"/>
              <w:rPr>
                <w:rFonts w:ascii="Arial Narrow" w:hAnsi="Arial Narrow" w:cstheme="minorHAnsi"/>
                <w:bCs/>
                <w:sz w:val="20"/>
                <w:szCs w:val="20"/>
                <w:highlight w:val="black"/>
                <w:lang w:val="en-GB"/>
              </w:rPr>
            </w:pPr>
            <w:r>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630F18" w:rsidRDefault="00630F18" w:rsidP="00F57FCB">
            <w:pPr>
              <w:autoSpaceDE w:val="0"/>
              <w:autoSpaceDN w:val="0"/>
              <w:adjustRightInd w:val="0"/>
              <w:spacing w:line="24" w:lineRule="atLeast"/>
              <w:jc w:val="right"/>
              <w:rPr>
                <w:rFonts w:ascii="Arial Narrow" w:hAnsi="Arial Narrow" w:cstheme="minorHAnsi"/>
                <w:bCs/>
                <w:sz w:val="20"/>
                <w:szCs w:val="20"/>
                <w:highlight w:val="black"/>
                <w:lang w:val="en-GB"/>
              </w:rPr>
            </w:pPr>
            <w:r>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630F18" w:rsidRDefault="00630F18" w:rsidP="00F57FCB">
            <w:pPr>
              <w:autoSpaceDE w:val="0"/>
              <w:autoSpaceDN w:val="0"/>
              <w:adjustRightInd w:val="0"/>
              <w:spacing w:line="24" w:lineRule="atLeast"/>
              <w:jc w:val="right"/>
              <w:rPr>
                <w:rFonts w:ascii="Arial Narrow" w:hAnsi="Arial Narrow" w:cstheme="minorHAnsi"/>
                <w:bCs/>
                <w:sz w:val="20"/>
                <w:szCs w:val="20"/>
                <w:highlight w:val="black"/>
                <w:lang w:val="en-GB"/>
              </w:rPr>
            </w:pPr>
            <w:r>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630F18" w:rsidRDefault="00630F18" w:rsidP="00F57FCB">
            <w:pPr>
              <w:autoSpaceDE w:val="0"/>
              <w:autoSpaceDN w:val="0"/>
              <w:adjustRightInd w:val="0"/>
              <w:spacing w:line="24" w:lineRule="atLeast"/>
              <w:jc w:val="right"/>
              <w:rPr>
                <w:rFonts w:ascii="Arial Narrow" w:hAnsi="Arial Narrow" w:cstheme="minorHAnsi"/>
                <w:bCs/>
                <w:sz w:val="20"/>
                <w:szCs w:val="20"/>
                <w:highlight w:val="black"/>
                <w:lang w:val="en-GB"/>
              </w:rPr>
            </w:pPr>
            <w:r>
              <w:rPr>
                <w:rFonts w:ascii="Arial Narrow" w:hAnsi="Arial Narrow" w:cstheme="minorHAnsi"/>
                <w:bCs/>
                <w:noProof/>
                <w:color w:val="000000"/>
                <w:sz w:val="20"/>
                <w:szCs w:val="20"/>
                <w:highlight w:val="black"/>
                <w:lang w:val="en-GB"/>
              </w:rPr>
              <w:t>''''''''''</w:t>
            </w:r>
          </w:p>
        </w:tc>
      </w:tr>
      <w:tr w:rsidR="00F85498" w:rsidRPr="00F85498" w:rsidTr="00D9698E">
        <w:trPr>
          <w:trHeight w:val="50"/>
        </w:trPr>
        <w:tc>
          <w:tcPr>
            <w:tcW w:w="1786" w:type="pct"/>
            <w:tcBorders>
              <w:top w:val="single" w:sz="4" w:space="0" w:color="auto"/>
              <w:left w:val="single" w:sz="4" w:space="0" w:color="auto"/>
              <w:bottom w:val="single" w:sz="4" w:space="0" w:color="auto"/>
              <w:right w:val="single" w:sz="4" w:space="0" w:color="auto"/>
            </w:tcBorders>
          </w:tcPr>
          <w:p w:rsidR="00F85498" w:rsidRPr="00F85498" w:rsidRDefault="00F85498" w:rsidP="00F57FCB">
            <w:pPr>
              <w:autoSpaceDE w:val="0"/>
              <w:autoSpaceDN w:val="0"/>
              <w:adjustRightInd w:val="0"/>
              <w:spacing w:line="24" w:lineRule="atLeast"/>
              <w:rPr>
                <w:rFonts w:ascii="Arial Narrow" w:hAnsi="Arial Narrow" w:cstheme="minorHAnsi"/>
                <w:bCs/>
                <w:sz w:val="20"/>
                <w:szCs w:val="20"/>
                <w:lang w:val="en-GB"/>
              </w:rPr>
            </w:pPr>
            <w:r w:rsidRPr="00F85498">
              <w:rPr>
                <w:rFonts w:ascii="Arial Narrow" w:hAnsi="Arial Narrow" w:cstheme="minorHAnsi"/>
                <w:bCs/>
                <w:sz w:val="20"/>
                <w:szCs w:val="20"/>
                <w:lang w:val="en-GB"/>
              </w:rPr>
              <w:t>Net cost to PBS/RPBS at effective price (patient co</w:t>
            </w:r>
            <w:r w:rsidRPr="00F85498">
              <w:rPr>
                <w:rFonts w:ascii="Arial Narrow" w:hAnsi="Arial Narrow" w:cstheme="minorHAnsi"/>
                <w:bCs/>
                <w:sz w:val="20"/>
                <w:szCs w:val="20"/>
                <w:lang w:val="en-GB"/>
              </w:rPr>
              <w:noBreakHyphen/>
              <w:t>payments removed)</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r>
      <w:tr w:rsidR="00F85498" w:rsidRPr="00F85498" w:rsidTr="00D9698E">
        <w:trPr>
          <w:trHeight w:val="64"/>
        </w:trPr>
        <w:tc>
          <w:tcPr>
            <w:tcW w:w="1786" w:type="pct"/>
            <w:tcBorders>
              <w:top w:val="single" w:sz="4" w:space="0" w:color="auto"/>
              <w:left w:val="single" w:sz="4" w:space="0" w:color="auto"/>
              <w:bottom w:val="single" w:sz="4" w:space="0" w:color="auto"/>
              <w:right w:val="single" w:sz="4" w:space="0" w:color="auto"/>
            </w:tcBorders>
          </w:tcPr>
          <w:p w:rsidR="00F85498" w:rsidRPr="00F85498" w:rsidRDefault="00F85498" w:rsidP="00F57FCB">
            <w:pPr>
              <w:autoSpaceDE w:val="0"/>
              <w:autoSpaceDN w:val="0"/>
              <w:adjustRightInd w:val="0"/>
              <w:spacing w:line="24" w:lineRule="atLeast"/>
              <w:rPr>
                <w:rFonts w:ascii="Arial Narrow" w:hAnsi="Arial Narrow" w:cstheme="minorHAnsi"/>
                <w:bCs/>
                <w:sz w:val="20"/>
                <w:szCs w:val="20"/>
                <w:lang w:val="en-GB"/>
              </w:rPr>
            </w:pPr>
            <w:r w:rsidRPr="00F85498">
              <w:rPr>
                <w:rFonts w:ascii="Arial Narrow" w:hAnsi="Arial Narrow" w:cstheme="minorHAnsi"/>
                <w:bCs/>
                <w:sz w:val="20"/>
                <w:szCs w:val="20"/>
                <w:lang w:val="en-GB"/>
              </w:rPr>
              <w:t xml:space="preserve">Overall net cost to Government Health Budget of listing bevacizumab at effective price </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c>
          <w:tcPr>
            <w:tcW w:w="643" w:type="pct"/>
            <w:tcBorders>
              <w:top w:val="single" w:sz="4" w:space="0" w:color="auto"/>
              <w:left w:val="nil"/>
              <w:bottom w:val="single" w:sz="4" w:space="0" w:color="auto"/>
              <w:right w:val="single" w:sz="4" w:space="0" w:color="auto"/>
            </w:tcBorders>
          </w:tcPr>
          <w:p w:rsidR="00F85498" w:rsidRPr="00F85498" w:rsidRDefault="00F85498" w:rsidP="00F57FCB">
            <w:pPr>
              <w:autoSpaceDE w:val="0"/>
              <w:autoSpaceDN w:val="0"/>
              <w:adjustRightInd w:val="0"/>
              <w:spacing w:line="24" w:lineRule="atLeast"/>
              <w:jc w:val="right"/>
              <w:rPr>
                <w:rFonts w:ascii="Arial Narrow" w:hAnsi="Arial Narrow" w:cstheme="minorHAnsi"/>
                <w:bCs/>
                <w:sz w:val="20"/>
                <w:szCs w:val="20"/>
                <w:lang w:val="en-GB"/>
              </w:rPr>
            </w:pPr>
            <w:r w:rsidRPr="00F85498">
              <w:rPr>
                <w:rFonts w:ascii="Arial Narrow" w:hAnsi="Arial Narrow" w:cstheme="minorHAnsi"/>
                <w:bCs/>
                <w:sz w:val="20"/>
                <w:szCs w:val="20"/>
                <w:lang w:val="en-GB"/>
              </w:rPr>
              <w:t>$</w:t>
            </w:r>
            <w:r w:rsidR="00630F18">
              <w:rPr>
                <w:rFonts w:ascii="Arial Narrow" w:hAnsi="Arial Narrow" w:cstheme="minorHAnsi"/>
                <w:bCs/>
                <w:noProof/>
                <w:color w:val="000000"/>
                <w:sz w:val="20"/>
                <w:szCs w:val="20"/>
                <w:highlight w:val="black"/>
                <w:lang w:val="en-GB"/>
              </w:rPr>
              <w:t>'''''''''''''''''''''''</w:t>
            </w:r>
          </w:p>
        </w:tc>
      </w:tr>
    </w:tbl>
    <w:p w:rsidR="00CE3B29" w:rsidRDefault="00CE3B29" w:rsidP="00F16CCD">
      <w:pPr>
        <w:rPr>
          <w:snapToGrid w:val="0"/>
          <w:lang w:eastAsia="en-US"/>
        </w:rPr>
      </w:pPr>
    </w:p>
    <w:p w:rsidR="00CE3B29" w:rsidRDefault="00A63A5D" w:rsidP="001F3299">
      <w:pPr>
        <w:ind w:left="720"/>
        <w:rPr>
          <w:rFonts w:ascii="Arial" w:hAnsi="Arial" w:cs="Arial"/>
          <w:snapToGrid w:val="0"/>
          <w:sz w:val="22"/>
          <w:lang w:eastAsia="en-US"/>
        </w:rPr>
      </w:pPr>
      <w:r>
        <w:rPr>
          <w:rFonts w:ascii="Arial" w:hAnsi="Arial" w:cs="Arial"/>
          <w:snapToGrid w:val="0"/>
          <w:sz w:val="22"/>
          <w:lang w:eastAsia="en-US"/>
        </w:rPr>
        <w:t xml:space="preserve">The redacted table shows that at year 5, the estimated number of patients </w:t>
      </w:r>
      <w:r w:rsidR="00132389">
        <w:rPr>
          <w:rFonts w:ascii="Arial" w:hAnsi="Arial" w:cs="Arial"/>
          <w:snapToGrid w:val="0"/>
          <w:sz w:val="22"/>
          <w:lang w:eastAsia="en-US"/>
        </w:rPr>
        <w:t>was less than 10,000 per year and the net cost to the PBS would be less than $10 million per year.</w:t>
      </w:r>
    </w:p>
    <w:p w:rsidR="00132389" w:rsidRPr="00A63A5D" w:rsidRDefault="00132389" w:rsidP="001F3299">
      <w:pPr>
        <w:ind w:left="720"/>
        <w:rPr>
          <w:rFonts w:ascii="Arial" w:hAnsi="Arial" w:cs="Arial"/>
          <w:snapToGrid w:val="0"/>
          <w:sz w:val="22"/>
          <w:lang w:eastAsia="en-US"/>
        </w:rPr>
      </w:pPr>
    </w:p>
    <w:bookmarkEnd w:id="1"/>
    <w:p w:rsidR="004B19D3" w:rsidRPr="00161A5E" w:rsidRDefault="004B19D3" w:rsidP="00F16CCD">
      <w:pPr>
        <w:pStyle w:val="Heading1"/>
        <w:rPr>
          <w:snapToGrid w:val="0"/>
        </w:rPr>
      </w:pPr>
      <w:r w:rsidRPr="00161A5E">
        <w:rPr>
          <w:snapToGrid w:val="0"/>
        </w:rPr>
        <w:t>PBAC Outcome</w:t>
      </w:r>
    </w:p>
    <w:p w:rsidR="004B19D3" w:rsidRPr="00161A5E" w:rsidRDefault="004B19D3" w:rsidP="00F57FCB">
      <w:pPr>
        <w:contextualSpacing/>
        <w:jc w:val="both"/>
        <w:rPr>
          <w:rFonts w:ascii="Arial" w:hAnsi="Arial" w:cs="Arial"/>
          <w:b/>
          <w:bCs/>
          <w:snapToGrid w:val="0"/>
          <w:sz w:val="22"/>
          <w:szCs w:val="22"/>
          <w:lang w:val="en-GB"/>
        </w:rPr>
      </w:pPr>
    </w:p>
    <w:p w:rsidR="004B19D3" w:rsidRPr="00690F0B" w:rsidRDefault="005A44A9"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 xml:space="preserve">The PBAC recommended </w:t>
      </w:r>
      <w:r w:rsidR="003C5E48">
        <w:rPr>
          <w:rFonts w:ascii="Arial" w:hAnsi="Arial"/>
          <w:sz w:val="22"/>
          <w:szCs w:val="22"/>
        </w:rPr>
        <w:t>the Section 100</w:t>
      </w:r>
      <w:r w:rsidRPr="00690F0B">
        <w:rPr>
          <w:rFonts w:ascii="Arial" w:hAnsi="Arial"/>
          <w:sz w:val="22"/>
          <w:szCs w:val="22"/>
        </w:rPr>
        <w:t xml:space="preserve"> Authority Required (STREAMLINED) listing for bevacizumab in combination with platinum-based chemotherapy plus paclitaxel for the treatment of persistent, recurrent or metastatic cervical cancer not amenable to curative treatment with surgery and/or radiation.</w:t>
      </w:r>
      <w:r w:rsidR="000E1889" w:rsidRPr="00690F0B">
        <w:rPr>
          <w:rFonts w:ascii="Arial" w:hAnsi="Arial"/>
          <w:sz w:val="22"/>
          <w:szCs w:val="22"/>
        </w:rPr>
        <w:t xml:space="preserve"> The recommendation was made on the basis </w:t>
      </w:r>
      <w:r w:rsidR="00E179AC">
        <w:rPr>
          <w:rFonts w:ascii="Arial" w:hAnsi="Arial"/>
          <w:sz w:val="22"/>
          <w:szCs w:val="22"/>
        </w:rPr>
        <w:t xml:space="preserve">of </w:t>
      </w:r>
      <w:r w:rsidR="000E1889" w:rsidRPr="00690F0B">
        <w:rPr>
          <w:rFonts w:ascii="Arial" w:hAnsi="Arial"/>
          <w:sz w:val="22"/>
          <w:szCs w:val="22"/>
        </w:rPr>
        <w:t xml:space="preserve">the cost-effectiveness of bevacizumab with </w:t>
      </w:r>
      <w:r w:rsidR="00FF369B" w:rsidRPr="00690F0B">
        <w:rPr>
          <w:rFonts w:ascii="Arial" w:hAnsi="Arial"/>
          <w:sz w:val="22"/>
          <w:szCs w:val="22"/>
        </w:rPr>
        <w:t>chemotherapy</w:t>
      </w:r>
      <w:r w:rsidR="000E1889" w:rsidRPr="00690F0B">
        <w:rPr>
          <w:rFonts w:ascii="Arial" w:hAnsi="Arial"/>
          <w:sz w:val="22"/>
          <w:szCs w:val="22"/>
        </w:rPr>
        <w:t xml:space="preserve"> over chemotherapy alone. </w:t>
      </w:r>
    </w:p>
    <w:p w:rsidR="00CE3B29" w:rsidRPr="00690F0B" w:rsidRDefault="00CE3B29" w:rsidP="00F57FCB">
      <w:pPr>
        <w:jc w:val="both"/>
        <w:rPr>
          <w:rFonts w:ascii="Arial" w:hAnsi="Arial" w:cs="Arial"/>
          <w:sz w:val="22"/>
          <w:szCs w:val="22"/>
        </w:rPr>
      </w:pPr>
    </w:p>
    <w:p w:rsidR="00900F3B" w:rsidRPr="00690F0B" w:rsidRDefault="00161A5E" w:rsidP="00F57FCB">
      <w:pPr>
        <w:numPr>
          <w:ilvl w:val="1"/>
          <w:numId w:val="25"/>
        </w:numPr>
        <w:contextualSpacing/>
        <w:jc w:val="both"/>
        <w:rPr>
          <w:rFonts w:ascii="Arial" w:hAnsi="Arial" w:cs="Arial"/>
          <w:sz w:val="22"/>
          <w:szCs w:val="22"/>
        </w:rPr>
      </w:pPr>
      <w:r w:rsidRPr="00690F0B">
        <w:rPr>
          <w:rFonts w:ascii="Arial" w:hAnsi="Arial" w:cs="Arial"/>
          <w:sz w:val="22"/>
          <w:szCs w:val="22"/>
        </w:rPr>
        <w:t xml:space="preserve">The PBAC accepted the proposed restriction for recurrent, metastatic and persistent disease. The PBAC noted that November 2015 submission estimated that in August 2016 approximately </w:t>
      </w:r>
      <w:r w:rsidR="00630F18">
        <w:rPr>
          <w:rFonts w:ascii="Arial" w:hAnsi="Arial" w:cs="Arial"/>
          <w:noProof/>
          <w:color w:val="000000"/>
          <w:sz w:val="22"/>
          <w:szCs w:val="22"/>
          <w:highlight w:val="black"/>
        </w:rPr>
        <w:t>'''''''</w:t>
      </w:r>
      <w:r w:rsidRPr="00690F0B">
        <w:rPr>
          <w:rFonts w:ascii="Arial" w:hAnsi="Arial" w:cs="Arial"/>
          <w:sz w:val="22"/>
          <w:szCs w:val="22"/>
        </w:rPr>
        <w:t xml:space="preserve"> patients would be accessing bevacizumab in the Roche Medicines Assistance Program and would not meet the initial criteria of the proposed listing. The PBAC considered that use with standard platinum-based chemotherapy, either cisplatin (as per TGA approved indication) or carboplatin (current standard of care in Australia) was reasonable.</w:t>
      </w:r>
    </w:p>
    <w:p w:rsidR="00900F3B" w:rsidRPr="00690F0B" w:rsidRDefault="00900F3B" w:rsidP="00F57FCB">
      <w:pPr>
        <w:pStyle w:val="ListParagraph"/>
        <w:jc w:val="both"/>
        <w:rPr>
          <w:rFonts w:ascii="Arial" w:hAnsi="Arial" w:cs="Arial"/>
          <w:sz w:val="22"/>
          <w:szCs w:val="22"/>
        </w:rPr>
      </w:pPr>
    </w:p>
    <w:p w:rsidR="00E77816" w:rsidRPr="00690F0B" w:rsidRDefault="00900F3B" w:rsidP="00F57FCB">
      <w:pPr>
        <w:numPr>
          <w:ilvl w:val="1"/>
          <w:numId w:val="25"/>
        </w:numPr>
        <w:contextualSpacing/>
        <w:jc w:val="both"/>
        <w:rPr>
          <w:rFonts w:ascii="Arial" w:hAnsi="Arial" w:cs="Arial"/>
          <w:i/>
          <w:sz w:val="22"/>
          <w:szCs w:val="22"/>
        </w:rPr>
      </w:pPr>
      <w:r w:rsidRPr="00690F0B">
        <w:rPr>
          <w:rFonts w:ascii="Arial" w:hAnsi="Arial" w:cs="Arial"/>
          <w:sz w:val="22"/>
          <w:szCs w:val="22"/>
        </w:rPr>
        <w:t xml:space="preserve">The submission proposed (and reaffirmed in the pre-PBAC response) the use of bevacizumab in combination with topotecan plus paclitaxel for patients unable to tolerate platinum-based chemotherapy, as in the pivotal phase III trial (GOG-0240) The PBAC noted that topotecan is </w:t>
      </w:r>
      <w:r w:rsidR="00161A5E" w:rsidRPr="00690F0B">
        <w:rPr>
          <w:rFonts w:ascii="Arial" w:hAnsi="Arial" w:cs="Arial"/>
          <w:sz w:val="22"/>
          <w:szCs w:val="22"/>
        </w:rPr>
        <w:t>only PBS-subsidised for advanced metastatic ovarian cancer</w:t>
      </w:r>
      <w:r w:rsidRPr="00690F0B">
        <w:rPr>
          <w:rFonts w:ascii="Arial" w:hAnsi="Arial" w:cs="Arial"/>
          <w:sz w:val="22"/>
          <w:szCs w:val="22"/>
        </w:rPr>
        <w:t xml:space="preserve"> and that only some brands of PBS-listed topotecan</w:t>
      </w:r>
      <w:r w:rsidR="00161A5E" w:rsidRPr="00690F0B">
        <w:rPr>
          <w:rFonts w:ascii="Arial" w:hAnsi="Arial" w:cs="Arial"/>
          <w:sz w:val="22"/>
          <w:szCs w:val="22"/>
        </w:rPr>
        <w:t xml:space="preserve"> </w:t>
      </w:r>
      <w:r w:rsidRPr="00690F0B">
        <w:rPr>
          <w:rFonts w:ascii="Arial" w:hAnsi="Arial" w:cs="Arial"/>
          <w:sz w:val="22"/>
          <w:szCs w:val="22"/>
        </w:rPr>
        <w:t xml:space="preserve"> are registered for use in combination with cisplatin for the treatment of patients with histologically confirmed Stage IV-B, recurrent, or persistent carcinoma of the cervix, which is not amenable to curative treatment with surgery and/or radiation therapy. </w:t>
      </w:r>
      <w:r w:rsidR="001A4266" w:rsidRPr="00690F0B">
        <w:rPr>
          <w:rFonts w:ascii="Arial" w:hAnsi="Arial" w:cs="Arial"/>
          <w:sz w:val="22"/>
          <w:szCs w:val="22"/>
        </w:rPr>
        <w:t>The PBAC considered that the circumstances of a PBS-listing of topotecan for cervical cancer had not be</w:t>
      </w:r>
      <w:r w:rsidR="00690F0B">
        <w:rPr>
          <w:rFonts w:ascii="Arial" w:hAnsi="Arial" w:cs="Arial"/>
          <w:sz w:val="22"/>
          <w:szCs w:val="22"/>
        </w:rPr>
        <w:t>en</w:t>
      </w:r>
      <w:r w:rsidR="001A4266" w:rsidRPr="00690F0B">
        <w:rPr>
          <w:rFonts w:ascii="Arial" w:hAnsi="Arial" w:cs="Arial"/>
          <w:sz w:val="22"/>
          <w:szCs w:val="22"/>
        </w:rPr>
        <w:t xml:space="preserve"> </w:t>
      </w:r>
      <w:r w:rsidR="00690F0B">
        <w:rPr>
          <w:rFonts w:ascii="Arial" w:hAnsi="Arial" w:cs="Arial"/>
          <w:sz w:val="22"/>
          <w:szCs w:val="22"/>
        </w:rPr>
        <w:t xml:space="preserve">yet </w:t>
      </w:r>
      <w:r w:rsidR="001A4266" w:rsidRPr="00690F0B">
        <w:rPr>
          <w:rFonts w:ascii="Arial" w:hAnsi="Arial" w:cs="Arial"/>
          <w:sz w:val="22"/>
          <w:szCs w:val="22"/>
        </w:rPr>
        <w:t xml:space="preserve">established in Australia. The PBAC would welcome a submission supporting such a listing. </w:t>
      </w:r>
    </w:p>
    <w:p w:rsidR="004B19D3" w:rsidRPr="00690F0B" w:rsidRDefault="004B19D3" w:rsidP="00F57FCB">
      <w:pPr>
        <w:contextualSpacing/>
        <w:jc w:val="both"/>
        <w:rPr>
          <w:rFonts w:ascii="Arial" w:hAnsi="Arial" w:cs="Arial"/>
          <w:bCs/>
          <w:snapToGrid w:val="0"/>
          <w:sz w:val="22"/>
          <w:szCs w:val="22"/>
          <w:lang w:val="en-GB"/>
        </w:rPr>
      </w:pPr>
    </w:p>
    <w:p w:rsidR="004B19D3" w:rsidRPr="00690F0B" w:rsidRDefault="00BB7222"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The PBAC reiterated their view that chemotherapy alone (platinum-based chemotherapy plus paclitaxel or topotecan plus paclitaxel for those who are unable to tolerate carboplatin or cisplatin) was the appropriate comparator for bevacizumab in combination with chemotherapy</w:t>
      </w:r>
      <w:r w:rsidR="00663E91" w:rsidRPr="00690F0B">
        <w:rPr>
          <w:rFonts w:ascii="Arial" w:hAnsi="Arial" w:cs="Arial"/>
          <w:bCs/>
          <w:snapToGrid w:val="0"/>
          <w:sz w:val="22"/>
          <w:szCs w:val="22"/>
          <w:lang w:val="en-GB"/>
        </w:rPr>
        <w:t>.</w:t>
      </w:r>
    </w:p>
    <w:p w:rsidR="004B19D3" w:rsidRPr="00690F0B" w:rsidRDefault="004B19D3" w:rsidP="00F57FCB">
      <w:pPr>
        <w:ind w:left="720"/>
        <w:contextualSpacing/>
        <w:jc w:val="both"/>
        <w:rPr>
          <w:rFonts w:ascii="Arial" w:hAnsi="Arial" w:cs="Arial"/>
          <w:bCs/>
          <w:snapToGrid w:val="0"/>
          <w:sz w:val="22"/>
          <w:szCs w:val="22"/>
          <w:lang w:val="en-GB"/>
        </w:rPr>
      </w:pPr>
    </w:p>
    <w:p w:rsidR="00BB7222" w:rsidRPr="00690F0B" w:rsidRDefault="00663E91"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 xml:space="preserve">The PBAC noted that there is a clinical need for treatment options for patients with </w:t>
      </w:r>
      <w:r w:rsidRPr="00690F0B">
        <w:rPr>
          <w:rFonts w:ascii="Arial" w:hAnsi="Arial"/>
          <w:sz w:val="22"/>
          <w:szCs w:val="22"/>
        </w:rPr>
        <w:t>persistent, recurrent or metastatic cervical cancer</w:t>
      </w:r>
      <w:r w:rsidRPr="00690F0B">
        <w:rPr>
          <w:rFonts w:ascii="Arial" w:hAnsi="Arial" w:cs="Arial"/>
          <w:bCs/>
          <w:snapToGrid w:val="0"/>
          <w:sz w:val="22"/>
          <w:szCs w:val="22"/>
          <w:lang w:val="en-GB"/>
        </w:rPr>
        <w:t xml:space="preserve">. </w:t>
      </w:r>
      <w:r w:rsidR="00BB7222" w:rsidRPr="00690F0B">
        <w:rPr>
          <w:rFonts w:ascii="Arial" w:hAnsi="Arial" w:cs="Arial"/>
          <w:bCs/>
          <w:snapToGrid w:val="0"/>
          <w:sz w:val="22"/>
          <w:szCs w:val="22"/>
          <w:lang w:val="en-GB"/>
        </w:rPr>
        <w:t xml:space="preserve">The PBAC reiterated their view </w:t>
      </w:r>
      <w:r w:rsidR="00BB7222" w:rsidRPr="00690F0B">
        <w:rPr>
          <w:rFonts w:ascii="Arial" w:hAnsi="Arial" w:cs="Arial"/>
          <w:bCs/>
          <w:snapToGrid w:val="0"/>
          <w:sz w:val="22"/>
          <w:szCs w:val="22"/>
          <w:lang w:val="en-GB"/>
        </w:rPr>
        <w:lastRenderedPageBreak/>
        <w:t>that the gain in median OS of 3.5 months and the gain in median PFS of 2.3 months associated with bevacizumab were clinically modest, especially in view of significant adverse events including the clinically significant higher incidence of fistula.</w:t>
      </w:r>
    </w:p>
    <w:p w:rsidR="004B19D3" w:rsidRPr="00690F0B" w:rsidRDefault="004B19D3" w:rsidP="00F57FCB">
      <w:pPr>
        <w:ind w:left="720"/>
        <w:contextualSpacing/>
        <w:jc w:val="both"/>
        <w:rPr>
          <w:rFonts w:ascii="Arial" w:hAnsi="Arial" w:cs="Arial"/>
          <w:bCs/>
          <w:snapToGrid w:val="0"/>
          <w:sz w:val="22"/>
          <w:szCs w:val="22"/>
          <w:lang w:val="en-GB"/>
        </w:rPr>
      </w:pPr>
    </w:p>
    <w:p w:rsidR="004B19D3" w:rsidRPr="00690F0B" w:rsidRDefault="00663E91"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The PBAC noted that minor re-submission did not alter the economic model structure</w:t>
      </w:r>
      <w:r w:rsidRPr="00690F0B">
        <w:rPr>
          <w:rFonts w:ascii="Arial" w:hAnsi="Arial"/>
          <w:sz w:val="22"/>
          <w:szCs w:val="22"/>
        </w:rPr>
        <w:t xml:space="preserve"> from November 2015 but changed three inputs in the model (price, the truncation point for OS, and adverse event-related disutilities). The PBAC considered these changes were informative for assessing the cost-effectiveness of the treatment and noted that the ICER ranged from </w:t>
      </w:r>
      <w:r w:rsidRPr="00690F0B">
        <w:rPr>
          <w:rFonts w:ascii="Arial" w:hAnsi="Arial" w:cs="Arial"/>
          <w:sz w:val="22"/>
          <w:szCs w:val="22"/>
        </w:rPr>
        <w:t>$</w:t>
      </w:r>
      <w:r w:rsidR="000848E2">
        <w:rPr>
          <w:rFonts w:ascii="Arial" w:hAnsi="Arial" w:cs="Arial"/>
          <w:sz w:val="22"/>
          <w:szCs w:val="22"/>
        </w:rPr>
        <w:t>45,000</w:t>
      </w:r>
      <w:r w:rsidRPr="00690F0B">
        <w:rPr>
          <w:rFonts w:ascii="Arial" w:hAnsi="Arial" w:cs="Arial"/>
          <w:sz w:val="22"/>
          <w:szCs w:val="22"/>
        </w:rPr>
        <w:t>/QALY</w:t>
      </w:r>
      <w:r w:rsidR="000848E2">
        <w:rPr>
          <w:rFonts w:ascii="Arial" w:hAnsi="Arial" w:cs="Arial"/>
          <w:sz w:val="22"/>
          <w:szCs w:val="22"/>
        </w:rPr>
        <w:t xml:space="preserve"> - $75,000/QALY</w:t>
      </w:r>
      <w:r w:rsidRPr="00690F0B">
        <w:rPr>
          <w:rFonts w:ascii="Arial" w:hAnsi="Arial" w:cs="Arial"/>
          <w:sz w:val="22"/>
          <w:szCs w:val="22"/>
        </w:rPr>
        <w:t xml:space="preserve"> gained to </w:t>
      </w:r>
      <w:r w:rsidRPr="00690F0B">
        <w:rPr>
          <w:rFonts w:ascii="Arial" w:hAnsi="Arial"/>
          <w:sz w:val="22"/>
          <w:szCs w:val="22"/>
        </w:rPr>
        <w:t>$</w:t>
      </w:r>
      <w:r w:rsidR="000848E2">
        <w:rPr>
          <w:rFonts w:ascii="Arial" w:hAnsi="Arial" w:cs="Arial"/>
          <w:sz w:val="22"/>
          <w:szCs w:val="22"/>
        </w:rPr>
        <w:t>45,000</w:t>
      </w:r>
      <w:r w:rsidR="000848E2" w:rsidRPr="00690F0B">
        <w:rPr>
          <w:rFonts w:ascii="Arial" w:hAnsi="Arial" w:cs="Arial"/>
          <w:sz w:val="22"/>
          <w:szCs w:val="22"/>
        </w:rPr>
        <w:t>/QALY</w:t>
      </w:r>
      <w:r w:rsidR="000848E2">
        <w:rPr>
          <w:rFonts w:ascii="Arial" w:hAnsi="Arial" w:cs="Arial"/>
          <w:sz w:val="22"/>
          <w:szCs w:val="22"/>
        </w:rPr>
        <w:t xml:space="preserve"> - $75,000/QALY</w:t>
      </w:r>
      <w:r w:rsidR="000848E2" w:rsidRPr="00690F0B">
        <w:rPr>
          <w:rFonts w:ascii="Arial" w:hAnsi="Arial" w:cs="Arial"/>
          <w:sz w:val="22"/>
          <w:szCs w:val="22"/>
        </w:rPr>
        <w:t xml:space="preserve"> </w:t>
      </w:r>
      <w:r w:rsidRPr="00690F0B">
        <w:rPr>
          <w:rFonts w:ascii="Arial" w:hAnsi="Arial"/>
          <w:sz w:val="22"/>
          <w:szCs w:val="22"/>
        </w:rPr>
        <w:t xml:space="preserve">gained. </w:t>
      </w:r>
    </w:p>
    <w:p w:rsidR="004B19D3" w:rsidRPr="00690F0B" w:rsidRDefault="004B19D3" w:rsidP="00F57FCB">
      <w:pPr>
        <w:contextualSpacing/>
        <w:jc w:val="both"/>
        <w:rPr>
          <w:rFonts w:ascii="Arial" w:hAnsi="Arial" w:cs="Arial"/>
          <w:bCs/>
          <w:snapToGrid w:val="0"/>
          <w:sz w:val="22"/>
          <w:szCs w:val="22"/>
          <w:lang w:val="en-GB"/>
        </w:rPr>
      </w:pPr>
    </w:p>
    <w:p w:rsidR="000E1889" w:rsidRPr="00690F0B" w:rsidRDefault="000E1889"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The PBAC considered that the ICER was at the high end of what would be considered cost effective, but that this was acceptable in the context of a relatively small population with a high clinical need for treatment</w:t>
      </w:r>
      <w:r w:rsidR="00786CCD">
        <w:rPr>
          <w:rFonts w:ascii="Arial" w:hAnsi="Arial" w:cs="Arial"/>
          <w:bCs/>
          <w:snapToGrid w:val="0"/>
          <w:sz w:val="22"/>
          <w:szCs w:val="22"/>
          <w:lang w:val="en-GB"/>
        </w:rPr>
        <w:t>s for this patient population</w:t>
      </w:r>
      <w:r w:rsidRPr="00690F0B">
        <w:rPr>
          <w:rFonts w:ascii="Arial" w:hAnsi="Arial" w:cs="Arial"/>
          <w:bCs/>
          <w:snapToGrid w:val="0"/>
          <w:sz w:val="22"/>
          <w:szCs w:val="22"/>
          <w:lang w:val="en-GB"/>
        </w:rPr>
        <w:t xml:space="preserve">. </w:t>
      </w:r>
    </w:p>
    <w:p w:rsidR="00663E91" w:rsidRPr="00690F0B" w:rsidRDefault="00663E91" w:rsidP="00F57FCB">
      <w:pPr>
        <w:rPr>
          <w:rFonts w:ascii="Arial" w:hAnsi="Arial" w:cs="Arial"/>
          <w:bCs/>
          <w:snapToGrid w:val="0"/>
          <w:sz w:val="22"/>
          <w:szCs w:val="22"/>
          <w:lang w:val="en-GB"/>
        </w:rPr>
      </w:pPr>
    </w:p>
    <w:p w:rsidR="004B19D3" w:rsidRPr="00690F0B" w:rsidRDefault="00663E91"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 xml:space="preserve">The PBAC </w:t>
      </w:r>
      <w:r w:rsidR="000E74DA" w:rsidRPr="00690F0B">
        <w:rPr>
          <w:rFonts w:ascii="Arial" w:hAnsi="Arial" w:cs="Arial"/>
          <w:bCs/>
          <w:snapToGrid w:val="0"/>
          <w:sz w:val="22"/>
          <w:szCs w:val="22"/>
          <w:lang w:val="en-GB"/>
        </w:rPr>
        <w:t>recalled that the estimates of utilisation of bevacizumab in the November 2015 submission were uncertain and the financial estimates were likely overestimated. The PBAC noted</w:t>
      </w:r>
      <w:r w:rsidR="00FA50CD">
        <w:rPr>
          <w:rFonts w:ascii="Arial" w:hAnsi="Arial" w:cs="Arial"/>
          <w:bCs/>
          <w:snapToGrid w:val="0"/>
          <w:sz w:val="22"/>
          <w:szCs w:val="22"/>
          <w:lang w:val="en-GB"/>
        </w:rPr>
        <w:t xml:space="preserve"> that</w:t>
      </w:r>
      <w:r w:rsidR="00B53C28" w:rsidRPr="00690F0B">
        <w:rPr>
          <w:rFonts w:ascii="Arial" w:hAnsi="Arial" w:cs="Arial"/>
          <w:bCs/>
          <w:snapToGrid w:val="0"/>
          <w:sz w:val="22"/>
          <w:szCs w:val="22"/>
          <w:lang w:val="en-GB"/>
        </w:rPr>
        <w:t>,</w:t>
      </w:r>
      <w:r w:rsidR="000E74DA" w:rsidRPr="00690F0B">
        <w:rPr>
          <w:rFonts w:ascii="Arial" w:hAnsi="Arial" w:cs="Arial"/>
          <w:bCs/>
          <w:snapToGrid w:val="0"/>
          <w:sz w:val="22"/>
          <w:szCs w:val="22"/>
          <w:lang w:val="en-GB"/>
        </w:rPr>
        <w:t xml:space="preserve"> in the highly conservative scenario </w:t>
      </w:r>
      <w:r w:rsidR="000E74DA" w:rsidRPr="00690F0B">
        <w:rPr>
          <w:rFonts w:ascii="Arial" w:hAnsi="Arial" w:cs="Arial"/>
          <w:snapToGrid w:val="0"/>
          <w:sz w:val="22"/>
          <w:szCs w:val="20"/>
          <w:lang w:eastAsia="en-US"/>
        </w:rPr>
        <w:t xml:space="preserve">increasing the uptake rate of bevacizumab to </w:t>
      </w:r>
      <w:r w:rsidR="00630F18">
        <w:rPr>
          <w:rFonts w:ascii="Arial" w:hAnsi="Arial" w:cs="Arial"/>
          <w:noProof/>
          <w:snapToGrid w:val="0"/>
          <w:color w:val="000000"/>
          <w:sz w:val="22"/>
          <w:szCs w:val="20"/>
          <w:highlight w:val="black"/>
          <w:lang w:eastAsia="en-US"/>
        </w:rPr>
        <w:t>'''''''''</w:t>
      </w:r>
      <w:r w:rsidR="000E74DA" w:rsidRPr="00690F0B">
        <w:rPr>
          <w:rFonts w:ascii="Arial" w:hAnsi="Arial" w:cs="Arial"/>
          <w:snapToGrid w:val="0"/>
          <w:sz w:val="22"/>
          <w:szCs w:val="20"/>
          <w:lang w:eastAsia="en-US"/>
        </w:rPr>
        <w:t xml:space="preserve">%, the </w:t>
      </w:r>
      <w:r w:rsidR="000E74DA" w:rsidRPr="00690F0B">
        <w:rPr>
          <w:rFonts w:ascii="Arial" w:hAnsi="Arial"/>
          <w:sz w:val="22"/>
          <w:szCs w:val="22"/>
        </w:rPr>
        <w:t xml:space="preserve">estimated net cost </w:t>
      </w:r>
      <w:r w:rsidR="000E74DA" w:rsidRPr="00690F0B">
        <w:rPr>
          <w:rFonts w:ascii="Arial" w:hAnsi="Arial" w:cs="Arial"/>
          <w:sz w:val="22"/>
          <w:szCs w:val="22"/>
        </w:rPr>
        <w:t xml:space="preserve">to the PBS was </w:t>
      </w:r>
      <w:r w:rsidR="000848E2">
        <w:rPr>
          <w:rFonts w:ascii="Arial" w:hAnsi="Arial" w:cs="Arial"/>
          <w:sz w:val="22"/>
          <w:szCs w:val="22"/>
        </w:rPr>
        <w:t>less than $10 million</w:t>
      </w:r>
      <w:r w:rsidR="000E74DA" w:rsidRPr="00690F0B">
        <w:rPr>
          <w:rFonts w:ascii="Arial" w:hAnsi="Arial" w:cs="Arial"/>
          <w:sz w:val="22"/>
          <w:szCs w:val="22"/>
        </w:rPr>
        <w:t xml:space="preserve"> in Year 5 of listing. </w:t>
      </w:r>
    </w:p>
    <w:p w:rsidR="000E74DA" w:rsidRPr="00690F0B" w:rsidRDefault="000E74DA" w:rsidP="00F57FCB">
      <w:pPr>
        <w:contextualSpacing/>
        <w:jc w:val="both"/>
        <w:rPr>
          <w:rFonts w:ascii="Arial" w:hAnsi="Arial" w:cs="Arial"/>
          <w:bCs/>
          <w:snapToGrid w:val="0"/>
          <w:sz w:val="22"/>
          <w:szCs w:val="22"/>
          <w:lang w:val="en-GB"/>
        </w:rPr>
      </w:pPr>
    </w:p>
    <w:p w:rsidR="004B19D3" w:rsidRPr="00690F0B" w:rsidRDefault="000E1889"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The PBAC advised that under subsection 101 (3BA) of the National Health Act 1953, that bevacizumab should not be treated as interchangeable on an individual patient basis with any other drug.</w:t>
      </w:r>
    </w:p>
    <w:p w:rsidR="004B19D3" w:rsidRPr="00690F0B" w:rsidRDefault="004B19D3" w:rsidP="00F57FCB">
      <w:pPr>
        <w:ind w:left="720"/>
        <w:contextualSpacing/>
        <w:jc w:val="both"/>
        <w:rPr>
          <w:rFonts w:ascii="Arial" w:hAnsi="Arial" w:cs="Arial"/>
          <w:bCs/>
          <w:snapToGrid w:val="0"/>
          <w:sz w:val="22"/>
          <w:szCs w:val="22"/>
          <w:lang w:val="en-GB"/>
        </w:rPr>
      </w:pPr>
    </w:p>
    <w:p w:rsidR="004B19D3" w:rsidRPr="00690F0B" w:rsidRDefault="004B19D3" w:rsidP="00F57FCB">
      <w:pPr>
        <w:pStyle w:val="ListParagraph"/>
        <w:numPr>
          <w:ilvl w:val="1"/>
          <w:numId w:val="25"/>
        </w:numPr>
        <w:jc w:val="both"/>
        <w:rPr>
          <w:rFonts w:ascii="Arial" w:hAnsi="Arial" w:cs="Arial"/>
          <w:sz w:val="22"/>
          <w:szCs w:val="22"/>
        </w:rPr>
      </w:pPr>
      <w:r w:rsidRPr="00690F0B">
        <w:rPr>
          <w:rFonts w:ascii="Arial" w:hAnsi="Arial" w:cs="Arial"/>
          <w:bCs/>
          <w:snapToGrid w:val="0"/>
          <w:sz w:val="22"/>
          <w:szCs w:val="22"/>
          <w:lang w:val="en-GB"/>
        </w:rPr>
        <w:t xml:space="preserve">The PBAC advised </w:t>
      </w:r>
      <w:r w:rsidR="000E1889" w:rsidRPr="00690F0B">
        <w:rPr>
          <w:rFonts w:ascii="Arial" w:hAnsi="Arial" w:cs="Arial"/>
          <w:bCs/>
          <w:snapToGrid w:val="0"/>
          <w:sz w:val="22"/>
          <w:szCs w:val="22"/>
          <w:lang w:val="en-GB"/>
        </w:rPr>
        <w:t xml:space="preserve">that </w:t>
      </w:r>
      <w:r w:rsidR="002613B1">
        <w:rPr>
          <w:rFonts w:ascii="Arial" w:hAnsi="Arial" w:cs="Arial"/>
          <w:sz w:val="22"/>
          <w:szCs w:val="22"/>
        </w:rPr>
        <w:t>b</w:t>
      </w:r>
      <w:r w:rsidR="000E1889" w:rsidRPr="00690F0B">
        <w:rPr>
          <w:rFonts w:ascii="Arial" w:hAnsi="Arial" w:cs="Arial"/>
          <w:sz w:val="22"/>
          <w:szCs w:val="22"/>
        </w:rPr>
        <w:t>evacizumab is not suitable for inclusion in the PBS medicines for prescribing by nurse practitioners as chemotherapy agents are currently considered to be out of scope for prescribing by nurse practitioners.</w:t>
      </w:r>
    </w:p>
    <w:p w:rsidR="004B19D3" w:rsidRPr="00690F0B" w:rsidRDefault="004B19D3" w:rsidP="00F57FCB">
      <w:pPr>
        <w:ind w:left="720"/>
        <w:contextualSpacing/>
        <w:jc w:val="both"/>
        <w:rPr>
          <w:rFonts w:ascii="Arial" w:hAnsi="Arial" w:cs="Arial"/>
          <w:bCs/>
          <w:snapToGrid w:val="0"/>
          <w:sz w:val="22"/>
          <w:szCs w:val="22"/>
          <w:lang w:val="en-GB"/>
        </w:rPr>
      </w:pPr>
    </w:p>
    <w:p w:rsidR="004B19D3" w:rsidRPr="00690F0B" w:rsidRDefault="004B19D3"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 xml:space="preserve">The PBAC recommended that the </w:t>
      </w:r>
      <w:r w:rsidR="000E1889" w:rsidRPr="00690F0B">
        <w:rPr>
          <w:rFonts w:ascii="Arial" w:hAnsi="Arial" w:cs="Arial"/>
          <w:bCs/>
          <w:snapToGrid w:val="0"/>
          <w:sz w:val="22"/>
          <w:szCs w:val="22"/>
          <w:lang w:val="en-GB"/>
        </w:rPr>
        <w:t xml:space="preserve">Early Supply Rule </w:t>
      </w:r>
      <w:r w:rsidRPr="00690F0B">
        <w:rPr>
          <w:rFonts w:ascii="Arial" w:hAnsi="Arial" w:cs="Arial"/>
          <w:bCs/>
          <w:snapToGrid w:val="0"/>
          <w:sz w:val="22"/>
          <w:szCs w:val="22"/>
          <w:lang w:val="en-GB"/>
        </w:rPr>
        <w:t xml:space="preserve">should not apply. </w:t>
      </w:r>
    </w:p>
    <w:p w:rsidR="004B19D3" w:rsidRPr="00690F0B" w:rsidRDefault="004B19D3" w:rsidP="00F57FCB">
      <w:pPr>
        <w:ind w:left="720"/>
        <w:contextualSpacing/>
        <w:jc w:val="both"/>
        <w:rPr>
          <w:rFonts w:ascii="Arial" w:hAnsi="Arial" w:cs="Arial"/>
          <w:bCs/>
          <w:snapToGrid w:val="0"/>
          <w:sz w:val="22"/>
          <w:szCs w:val="22"/>
          <w:lang w:val="en-GB"/>
        </w:rPr>
      </w:pPr>
    </w:p>
    <w:p w:rsidR="000E1889" w:rsidRPr="00690F0B" w:rsidRDefault="000E1889" w:rsidP="00F57FCB">
      <w:pPr>
        <w:numPr>
          <w:ilvl w:val="1"/>
          <w:numId w:val="25"/>
        </w:numPr>
        <w:contextualSpacing/>
        <w:jc w:val="both"/>
        <w:rPr>
          <w:rFonts w:ascii="Arial" w:hAnsi="Arial" w:cs="Arial"/>
          <w:bCs/>
          <w:snapToGrid w:val="0"/>
          <w:sz w:val="22"/>
          <w:szCs w:val="22"/>
          <w:lang w:val="en-GB"/>
        </w:rPr>
      </w:pPr>
      <w:r w:rsidRPr="00690F0B">
        <w:rPr>
          <w:rFonts w:ascii="Arial" w:hAnsi="Arial" w:cs="Arial"/>
          <w:bCs/>
          <w:snapToGrid w:val="0"/>
          <w:sz w:val="22"/>
          <w:szCs w:val="22"/>
          <w:lang w:val="en-GB"/>
        </w:rPr>
        <w:t>The submission is not eligible for an Independent Review, because the PBAC has made a positive recommendation.</w:t>
      </w:r>
    </w:p>
    <w:p w:rsidR="004B19D3" w:rsidRPr="00690F0B" w:rsidRDefault="004B19D3" w:rsidP="00F57FCB">
      <w:pPr>
        <w:rPr>
          <w:rFonts w:ascii="Arial" w:hAnsi="Arial" w:cs="Arial"/>
          <w:b/>
          <w:snapToGrid w:val="0"/>
          <w:sz w:val="22"/>
          <w:szCs w:val="22"/>
          <w:lang w:val="en-GB"/>
        </w:rPr>
      </w:pPr>
    </w:p>
    <w:p w:rsidR="004B19D3" w:rsidRPr="00690F0B" w:rsidRDefault="004B19D3" w:rsidP="00F57FCB">
      <w:pPr>
        <w:jc w:val="both"/>
        <w:rPr>
          <w:rFonts w:ascii="Arial" w:hAnsi="Arial" w:cs="Arial"/>
          <w:b/>
          <w:bCs/>
          <w:snapToGrid w:val="0"/>
          <w:sz w:val="22"/>
          <w:szCs w:val="22"/>
          <w:lang w:val="en-GB"/>
        </w:rPr>
      </w:pPr>
      <w:r w:rsidRPr="00690F0B">
        <w:rPr>
          <w:rFonts w:ascii="Arial" w:hAnsi="Arial" w:cs="Arial"/>
          <w:b/>
          <w:bCs/>
          <w:snapToGrid w:val="0"/>
          <w:sz w:val="22"/>
          <w:szCs w:val="22"/>
          <w:lang w:val="en-GB"/>
        </w:rPr>
        <w:t>Outcome:</w:t>
      </w:r>
    </w:p>
    <w:p w:rsidR="004B19D3" w:rsidRPr="00690F0B" w:rsidRDefault="00547B00" w:rsidP="00F57FCB">
      <w:pPr>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4B19D3" w:rsidRPr="00EA0EDA" w:rsidRDefault="004B19D3" w:rsidP="00F57FCB">
      <w:pPr>
        <w:jc w:val="both"/>
        <w:rPr>
          <w:rFonts w:ascii="Arial" w:hAnsi="Arial" w:cs="Arial"/>
          <w:bCs/>
          <w:snapToGrid w:val="0"/>
          <w:sz w:val="22"/>
          <w:szCs w:val="22"/>
          <w:highlight w:val="yellow"/>
          <w:lang w:val="en-GB"/>
        </w:rPr>
      </w:pPr>
    </w:p>
    <w:p w:rsidR="001F3299" w:rsidRDefault="001F3299">
      <w:pPr>
        <w:rPr>
          <w:rFonts w:ascii="Arial" w:hAnsi="Arial" w:cs="Arial"/>
          <w:bCs/>
          <w:snapToGrid w:val="0"/>
          <w:sz w:val="22"/>
          <w:szCs w:val="22"/>
        </w:rPr>
      </w:pPr>
      <w:r>
        <w:rPr>
          <w:rFonts w:ascii="Arial" w:hAnsi="Arial" w:cs="Arial"/>
          <w:bCs/>
          <w:snapToGrid w:val="0"/>
          <w:sz w:val="22"/>
          <w:szCs w:val="22"/>
        </w:rPr>
        <w:br w:type="page"/>
      </w:r>
    </w:p>
    <w:p w:rsidR="00FA50CD" w:rsidRPr="00786CCD" w:rsidRDefault="00FA50CD" w:rsidP="00F57FCB">
      <w:pPr>
        <w:jc w:val="both"/>
        <w:rPr>
          <w:rFonts w:ascii="Arial" w:hAnsi="Arial" w:cs="Arial"/>
          <w:bCs/>
          <w:snapToGrid w:val="0"/>
          <w:sz w:val="22"/>
          <w:szCs w:val="22"/>
        </w:rPr>
      </w:pPr>
    </w:p>
    <w:p w:rsidR="004B19D3" w:rsidRPr="00786CCD" w:rsidRDefault="004B19D3" w:rsidP="00F16CCD">
      <w:pPr>
        <w:pStyle w:val="Heading1"/>
        <w:rPr>
          <w:i/>
          <w:snapToGrid w:val="0"/>
          <w:lang w:val="en-GB"/>
        </w:rPr>
      </w:pPr>
      <w:r w:rsidRPr="00786CCD">
        <w:rPr>
          <w:snapToGrid w:val="0"/>
          <w:lang w:val="en-GB"/>
        </w:rPr>
        <w:t>Recommended listing</w:t>
      </w:r>
    </w:p>
    <w:p w:rsidR="004B19D3" w:rsidRPr="00786CCD" w:rsidRDefault="004B19D3" w:rsidP="00F57FCB">
      <w:pPr>
        <w:jc w:val="both"/>
        <w:rPr>
          <w:rFonts w:ascii="Arial" w:hAnsi="Arial" w:cs="Arial"/>
          <w:b/>
          <w:bCs/>
          <w:i/>
          <w:snapToGrid w:val="0"/>
          <w:sz w:val="22"/>
          <w:szCs w:val="22"/>
          <w:lang w:val="en-GB"/>
        </w:rPr>
      </w:pPr>
    </w:p>
    <w:p w:rsidR="00F64CC1" w:rsidRPr="00FA50CD" w:rsidRDefault="004B19D3" w:rsidP="00F57FCB">
      <w:pPr>
        <w:numPr>
          <w:ilvl w:val="1"/>
          <w:numId w:val="25"/>
        </w:numPr>
        <w:contextualSpacing/>
        <w:jc w:val="both"/>
        <w:rPr>
          <w:rFonts w:ascii="Arial" w:hAnsi="Arial" w:cs="Arial"/>
          <w:bCs/>
          <w:snapToGrid w:val="0"/>
          <w:sz w:val="22"/>
          <w:szCs w:val="22"/>
          <w:lang w:val="en-GB"/>
        </w:rPr>
      </w:pPr>
      <w:r w:rsidRPr="00FA50CD">
        <w:rPr>
          <w:rFonts w:ascii="Arial" w:hAnsi="Arial" w:cs="Arial"/>
          <w:bCs/>
          <w:snapToGrid w:val="0"/>
          <w:sz w:val="22"/>
          <w:szCs w:val="22"/>
          <w:lang w:val="en-GB"/>
        </w:rPr>
        <w:t>Amend existing listing as follows:</w:t>
      </w:r>
    </w:p>
    <w:p w:rsidR="00C03C56" w:rsidRPr="007C609A" w:rsidRDefault="00C03C56" w:rsidP="00F57FCB"/>
    <w:tbl>
      <w:tblPr>
        <w:tblW w:w="4683" w:type="pct"/>
        <w:tblInd w:w="736" w:type="dxa"/>
        <w:tblCellMar>
          <w:left w:w="28" w:type="dxa"/>
          <w:right w:w="28" w:type="dxa"/>
        </w:tblCellMar>
        <w:tblLook w:val="0000" w:firstRow="0" w:lastRow="0" w:firstColumn="0" w:lastColumn="0" w:noHBand="0" w:noVBand="0"/>
      </w:tblPr>
      <w:tblGrid>
        <w:gridCol w:w="2552"/>
        <w:gridCol w:w="160"/>
        <w:gridCol w:w="985"/>
        <w:gridCol w:w="662"/>
        <w:gridCol w:w="2669"/>
        <w:gridCol w:w="1320"/>
        <w:gridCol w:w="158"/>
      </w:tblGrid>
      <w:tr w:rsidR="00FA50CD" w:rsidRPr="00875AD3" w:rsidTr="00FA50CD">
        <w:trPr>
          <w:gridAfter w:val="1"/>
          <w:wAfter w:w="94" w:type="pct"/>
          <w:cantSplit/>
          <w:trHeight w:val="471"/>
        </w:trPr>
        <w:tc>
          <w:tcPr>
            <w:tcW w:w="1594" w:type="pct"/>
            <w:gridSpan w:val="2"/>
            <w:tcBorders>
              <w:bottom w:val="single" w:sz="4" w:space="0" w:color="auto"/>
            </w:tcBorders>
          </w:tcPr>
          <w:p w:rsidR="00FA50CD" w:rsidRPr="00875AD3" w:rsidRDefault="00FA50CD" w:rsidP="00F57FCB">
            <w:pPr>
              <w:rPr>
                <w:rFonts w:ascii="Arial Narrow" w:hAnsi="Arial Narrow"/>
                <w:sz w:val="20"/>
              </w:rPr>
            </w:pPr>
            <w:r w:rsidRPr="00875AD3">
              <w:rPr>
                <w:rFonts w:ascii="Arial Narrow" w:hAnsi="Arial Narrow"/>
                <w:sz w:val="20"/>
              </w:rPr>
              <w:t>Name, Restriction,</w:t>
            </w:r>
          </w:p>
          <w:p w:rsidR="00FA50CD" w:rsidRPr="00875AD3" w:rsidRDefault="00FA50CD" w:rsidP="00F57FCB">
            <w:pPr>
              <w:rPr>
                <w:rFonts w:ascii="Arial Narrow" w:hAnsi="Arial Narrow"/>
                <w:sz w:val="20"/>
              </w:rPr>
            </w:pPr>
            <w:r w:rsidRPr="00875AD3">
              <w:rPr>
                <w:rFonts w:ascii="Arial Narrow" w:hAnsi="Arial Narrow"/>
                <w:sz w:val="20"/>
              </w:rPr>
              <w:t>Manner of administration and form</w:t>
            </w:r>
          </w:p>
        </w:tc>
        <w:tc>
          <w:tcPr>
            <w:tcW w:w="579" w:type="pct"/>
            <w:tcBorders>
              <w:bottom w:val="single" w:sz="4" w:space="0" w:color="auto"/>
            </w:tcBorders>
          </w:tcPr>
          <w:p w:rsidR="00FA50CD" w:rsidRPr="00875AD3" w:rsidRDefault="00FA50CD" w:rsidP="00F57FCB">
            <w:pPr>
              <w:jc w:val="center"/>
              <w:rPr>
                <w:rFonts w:ascii="Arial Narrow" w:hAnsi="Arial Narrow"/>
                <w:sz w:val="20"/>
              </w:rPr>
            </w:pPr>
            <w:r w:rsidRPr="00875AD3">
              <w:rPr>
                <w:rFonts w:ascii="Arial Narrow" w:hAnsi="Arial Narrow"/>
                <w:sz w:val="20"/>
              </w:rPr>
              <w:t>Max.</w:t>
            </w:r>
          </w:p>
          <w:p w:rsidR="00FA50CD" w:rsidRPr="00875AD3" w:rsidRDefault="00FA50CD" w:rsidP="00F57FCB">
            <w:pPr>
              <w:jc w:val="center"/>
              <w:rPr>
                <w:rFonts w:ascii="Arial Narrow" w:hAnsi="Arial Narrow"/>
                <w:sz w:val="20"/>
              </w:rPr>
            </w:pPr>
            <w:r w:rsidRPr="00875AD3">
              <w:rPr>
                <w:rFonts w:ascii="Arial Narrow" w:hAnsi="Arial Narrow"/>
                <w:sz w:val="20"/>
              </w:rPr>
              <w:t>Amount</w:t>
            </w:r>
          </w:p>
        </w:tc>
        <w:tc>
          <w:tcPr>
            <w:tcW w:w="389" w:type="pct"/>
            <w:tcBorders>
              <w:bottom w:val="single" w:sz="4" w:space="0" w:color="auto"/>
            </w:tcBorders>
          </w:tcPr>
          <w:p w:rsidR="00FA50CD" w:rsidRPr="00875AD3" w:rsidRDefault="00FA50CD" w:rsidP="00F57FCB">
            <w:pPr>
              <w:jc w:val="center"/>
              <w:rPr>
                <w:rFonts w:ascii="Arial Narrow" w:hAnsi="Arial Narrow"/>
                <w:sz w:val="20"/>
              </w:rPr>
            </w:pPr>
            <w:r w:rsidRPr="00875AD3">
              <w:rPr>
                <w:rFonts w:ascii="Arial Narrow" w:hAnsi="Arial Narrow"/>
                <w:sz w:val="20"/>
              </w:rPr>
              <w:t>№.of</w:t>
            </w:r>
          </w:p>
          <w:p w:rsidR="00FA50CD" w:rsidRPr="00875AD3" w:rsidRDefault="00FA50CD" w:rsidP="00F57FCB">
            <w:pPr>
              <w:jc w:val="center"/>
              <w:rPr>
                <w:rFonts w:ascii="Arial Narrow" w:hAnsi="Arial Narrow"/>
                <w:sz w:val="20"/>
              </w:rPr>
            </w:pPr>
            <w:r w:rsidRPr="00875AD3">
              <w:rPr>
                <w:rFonts w:ascii="Arial Narrow" w:hAnsi="Arial Narrow"/>
                <w:sz w:val="20"/>
              </w:rPr>
              <w:t>Rpts</w:t>
            </w:r>
          </w:p>
        </w:tc>
        <w:tc>
          <w:tcPr>
            <w:tcW w:w="2345" w:type="pct"/>
            <w:gridSpan w:val="2"/>
            <w:tcBorders>
              <w:bottom w:val="single" w:sz="4" w:space="0" w:color="auto"/>
            </w:tcBorders>
          </w:tcPr>
          <w:p w:rsidR="00FA50CD" w:rsidRPr="00875AD3" w:rsidRDefault="00FA50CD" w:rsidP="00F57FCB">
            <w:pPr>
              <w:jc w:val="center"/>
              <w:rPr>
                <w:rFonts w:ascii="Arial Narrow" w:hAnsi="Arial Narrow"/>
                <w:sz w:val="20"/>
                <w:lang w:val="fr-FR"/>
              </w:rPr>
            </w:pPr>
            <w:r w:rsidRPr="00875AD3">
              <w:rPr>
                <w:rFonts w:ascii="Arial Narrow" w:hAnsi="Arial Narrow"/>
                <w:sz w:val="20"/>
              </w:rPr>
              <w:t>Proprietary Name and Manufacturer</w:t>
            </w:r>
          </w:p>
        </w:tc>
      </w:tr>
      <w:tr w:rsidR="00FA50CD" w:rsidRPr="00875AD3" w:rsidTr="00FA50CD">
        <w:trPr>
          <w:gridAfter w:val="1"/>
          <w:wAfter w:w="94" w:type="pct"/>
          <w:cantSplit/>
          <w:trHeight w:val="577"/>
        </w:trPr>
        <w:tc>
          <w:tcPr>
            <w:tcW w:w="1594" w:type="pct"/>
            <w:gridSpan w:val="2"/>
            <w:tcBorders>
              <w:top w:val="single" w:sz="4" w:space="0" w:color="auto"/>
            </w:tcBorders>
          </w:tcPr>
          <w:p w:rsidR="00FA50CD" w:rsidRPr="00875AD3" w:rsidRDefault="00FA50CD" w:rsidP="00F57FCB">
            <w:pPr>
              <w:rPr>
                <w:rFonts w:ascii="Arial Narrow" w:hAnsi="Arial Narrow"/>
                <w:sz w:val="20"/>
              </w:rPr>
            </w:pPr>
            <w:r w:rsidRPr="00875AD3">
              <w:rPr>
                <w:rFonts w:ascii="Arial Narrow" w:hAnsi="Arial Narrow"/>
                <w:smallCaps/>
                <w:sz w:val="20"/>
              </w:rPr>
              <w:t>Bevacizumab</w:t>
            </w:r>
            <w:r w:rsidRPr="00875AD3">
              <w:rPr>
                <w:rFonts w:ascii="Arial Narrow" w:hAnsi="Arial Narrow"/>
                <w:sz w:val="20"/>
              </w:rPr>
              <w:t xml:space="preserve"> </w:t>
            </w:r>
          </w:p>
          <w:p w:rsidR="00FA50CD" w:rsidRPr="00875AD3" w:rsidRDefault="00FA50CD" w:rsidP="00F57FCB">
            <w:pPr>
              <w:rPr>
                <w:rFonts w:ascii="Arial Narrow" w:hAnsi="Arial Narrow"/>
                <w:sz w:val="20"/>
              </w:rPr>
            </w:pPr>
            <w:r w:rsidRPr="00875AD3">
              <w:rPr>
                <w:rFonts w:ascii="Arial Narrow" w:hAnsi="Arial Narrow"/>
                <w:sz w:val="20"/>
              </w:rPr>
              <w:t>bevacizumab, 100 mg/4 mL injection, 1 x 4 mL vial</w:t>
            </w:r>
          </w:p>
          <w:p w:rsidR="00FA50CD" w:rsidRPr="00875AD3" w:rsidRDefault="00FA50CD" w:rsidP="00F57FCB">
            <w:pPr>
              <w:rPr>
                <w:rFonts w:ascii="Arial Narrow" w:hAnsi="Arial Narrow"/>
                <w:sz w:val="20"/>
              </w:rPr>
            </w:pPr>
            <w:r w:rsidRPr="00875AD3">
              <w:rPr>
                <w:rFonts w:ascii="Arial Narrow" w:hAnsi="Arial Narrow"/>
                <w:sz w:val="20"/>
              </w:rPr>
              <w:t>bevacizumab 400 mg/16 mL injection, 1 x 16 mL vial</w:t>
            </w:r>
          </w:p>
        </w:tc>
        <w:tc>
          <w:tcPr>
            <w:tcW w:w="579" w:type="pct"/>
            <w:tcBorders>
              <w:top w:val="single" w:sz="4" w:space="0" w:color="auto"/>
            </w:tcBorders>
          </w:tcPr>
          <w:p w:rsidR="00FA50CD" w:rsidRPr="00875AD3" w:rsidRDefault="00FA50CD" w:rsidP="00F57FCB">
            <w:pPr>
              <w:jc w:val="center"/>
              <w:rPr>
                <w:rFonts w:ascii="Arial Narrow" w:hAnsi="Arial Narrow"/>
                <w:sz w:val="20"/>
              </w:rPr>
            </w:pPr>
            <w:r w:rsidRPr="00875AD3">
              <w:rPr>
                <w:rFonts w:ascii="Arial Narrow" w:hAnsi="Arial Narrow"/>
                <w:sz w:val="20"/>
              </w:rPr>
              <w:t>1,800mg</w:t>
            </w:r>
          </w:p>
        </w:tc>
        <w:tc>
          <w:tcPr>
            <w:tcW w:w="389" w:type="pct"/>
            <w:tcBorders>
              <w:top w:val="single" w:sz="4" w:space="0" w:color="auto"/>
            </w:tcBorders>
          </w:tcPr>
          <w:p w:rsidR="00FA50CD" w:rsidRPr="00875AD3" w:rsidRDefault="00FA50CD" w:rsidP="00F57FCB">
            <w:pPr>
              <w:jc w:val="center"/>
              <w:rPr>
                <w:rFonts w:ascii="Arial Narrow" w:hAnsi="Arial Narrow"/>
                <w:sz w:val="20"/>
              </w:rPr>
            </w:pPr>
            <w:r w:rsidRPr="00875AD3">
              <w:rPr>
                <w:rFonts w:ascii="Arial Narrow" w:hAnsi="Arial Narrow"/>
                <w:sz w:val="20"/>
              </w:rPr>
              <w:t>7</w:t>
            </w:r>
          </w:p>
        </w:tc>
        <w:tc>
          <w:tcPr>
            <w:tcW w:w="1569" w:type="pct"/>
            <w:tcBorders>
              <w:top w:val="single" w:sz="4" w:space="0" w:color="auto"/>
            </w:tcBorders>
          </w:tcPr>
          <w:p w:rsidR="00FA50CD" w:rsidRPr="00875AD3" w:rsidRDefault="00FA50CD" w:rsidP="00F57FCB">
            <w:pPr>
              <w:jc w:val="center"/>
              <w:rPr>
                <w:rFonts w:ascii="Arial Narrow" w:hAnsi="Arial Narrow"/>
                <w:sz w:val="20"/>
              </w:rPr>
            </w:pPr>
            <w:r w:rsidRPr="00875AD3">
              <w:rPr>
                <w:rFonts w:ascii="Arial Narrow" w:hAnsi="Arial Narrow"/>
                <w:sz w:val="20"/>
              </w:rPr>
              <w:t>Avastin</w:t>
            </w:r>
          </w:p>
        </w:tc>
        <w:tc>
          <w:tcPr>
            <w:tcW w:w="776" w:type="pct"/>
            <w:tcBorders>
              <w:top w:val="single" w:sz="4" w:space="0" w:color="auto"/>
            </w:tcBorders>
          </w:tcPr>
          <w:p w:rsidR="00FA50CD" w:rsidRPr="00875AD3" w:rsidRDefault="00FA50CD" w:rsidP="00F57FCB">
            <w:pPr>
              <w:rPr>
                <w:rFonts w:ascii="Arial Narrow" w:hAnsi="Arial Narrow"/>
                <w:sz w:val="20"/>
              </w:rPr>
            </w:pPr>
            <w:r w:rsidRPr="00875AD3">
              <w:rPr>
                <w:rFonts w:ascii="Arial Narrow" w:hAnsi="Arial Narrow"/>
                <w:sz w:val="20"/>
              </w:rPr>
              <w:t>Roche Products Pty Limited</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 xml:space="preserve">Category / </w:t>
            </w:r>
          </w:p>
          <w:p w:rsidR="00C03C56" w:rsidRPr="00260CE3" w:rsidRDefault="00C03C56" w:rsidP="00F57FCB">
            <w:pPr>
              <w:rPr>
                <w:rFonts w:ascii="Arial Narrow" w:hAnsi="Arial Narrow"/>
                <w:b/>
                <w:sz w:val="20"/>
              </w:rPr>
            </w:pPr>
            <w:r w:rsidRPr="00260CE3">
              <w:rPr>
                <w:rFonts w:ascii="Arial Narrow" w:hAnsi="Arial Narrow"/>
                <w:b/>
                <w:sz w:val="20"/>
              </w:rPr>
              <w:t>Program</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03C56" w:rsidRPr="006C74CD" w:rsidRDefault="00C03C56" w:rsidP="00F57FCB">
            <w:pPr>
              <w:rPr>
                <w:rFonts w:ascii="Arial Narrow" w:hAnsi="Arial Narrow"/>
                <w:sz w:val="20"/>
              </w:rPr>
            </w:pPr>
            <w:r w:rsidRPr="006C74CD">
              <w:rPr>
                <w:rFonts w:ascii="Arial Narrow" w:hAnsi="Arial Narrow"/>
                <w:sz w:val="20"/>
              </w:rPr>
              <w:t>Private Hospital/Private Clinic Authority Required (STREAMLINED)</w:t>
            </w:r>
          </w:p>
          <w:p w:rsidR="00C03C56" w:rsidRPr="00260CE3" w:rsidRDefault="00C03C56" w:rsidP="00F57FCB">
            <w:pPr>
              <w:rPr>
                <w:rFonts w:ascii="Arial Narrow" w:hAnsi="Arial Narrow"/>
                <w:sz w:val="20"/>
              </w:rPr>
            </w:pPr>
            <w:r w:rsidRPr="006C74CD">
              <w:rPr>
                <w:rFonts w:ascii="Arial Narrow" w:hAnsi="Arial Narrow"/>
                <w:sz w:val="20"/>
              </w:rPr>
              <w:t>Public Hospital Authority Required (STREAMLINED)</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Default="00C03C56" w:rsidP="00F57FCB">
            <w:pPr>
              <w:rPr>
                <w:rFonts w:ascii="Arial Narrow" w:hAnsi="Arial Narrow"/>
                <w:b/>
                <w:sz w:val="20"/>
              </w:rPr>
            </w:pPr>
            <w:r w:rsidRPr="00260CE3">
              <w:rPr>
                <w:rFonts w:ascii="Arial Narrow" w:hAnsi="Arial Narrow"/>
                <w:b/>
                <w:sz w:val="20"/>
              </w:rPr>
              <w:t>Prescriber type:</w:t>
            </w:r>
          </w:p>
          <w:p w:rsidR="00C03C56" w:rsidRPr="00260CE3" w:rsidRDefault="00C03C56" w:rsidP="00F57FCB">
            <w:pPr>
              <w:rPr>
                <w:rFonts w:ascii="Arial Narrow" w:hAnsi="Arial Narrow"/>
                <w:b/>
                <w:sz w:val="20"/>
              </w:rPr>
            </w:pP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03C56" w:rsidRPr="00260CE3" w:rsidRDefault="00C03C56" w:rsidP="00F57FC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Severity:</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Condition:</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Carcinoma of cervix</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PBS Indication:</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 carcinoma of cervix</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t>Treatment phase:</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 xml:space="preserve">Initial treatment </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CF4495" w:rsidRDefault="00C03C56" w:rsidP="00F57FC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03C56" w:rsidRPr="00106BCF" w:rsidRDefault="00C03C56" w:rsidP="00F57FCB">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03C56" w:rsidRPr="00260CE3" w:rsidRDefault="00C03C56" w:rsidP="00F57FC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3" w:name="Check5"/>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Streamlined</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Clinical criteria:</w:t>
            </w:r>
          </w:p>
          <w:p w:rsidR="00C03C56" w:rsidRPr="00260CE3" w:rsidRDefault="00C03C56" w:rsidP="00F57FCB">
            <w:pPr>
              <w:rPr>
                <w:rFonts w:ascii="Arial Narrow" w:hAnsi="Arial Narrow"/>
                <w:sz w:val="20"/>
              </w:rPr>
            </w:pPr>
          </w:p>
        </w:tc>
        <w:tc>
          <w:tcPr>
            <w:tcW w:w="3499" w:type="pct"/>
            <w:gridSpan w:val="6"/>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Patient must have a GOG performance status of 0 or 1;</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The condition must not be amenable to curative treatment with surgery, OR</w:t>
            </w:r>
          </w:p>
          <w:p w:rsidR="00C03C56" w:rsidRPr="003F5923" w:rsidRDefault="00C03C56" w:rsidP="00F57FCB">
            <w:pPr>
              <w:rPr>
                <w:rFonts w:ascii="Arial Narrow" w:hAnsi="Arial Narrow"/>
                <w:sz w:val="20"/>
              </w:rPr>
            </w:pPr>
            <w:r w:rsidRPr="003F5923">
              <w:rPr>
                <w:rFonts w:ascii="Arial Narrow" w:hAnsi="Arial Narrow"/>
                <w:sz w:val="20"/>
              </w:rPr>
              <w:t>The condition must not be amenable to curative radiation therapy;</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The condition must be previously untreated with this drug</w:t>
            </w:r>
            <w:r w:rsidRPr="003F5923">
              <w:rPr>
                <w:strike/>
              </w:rPr>
              <w:t xml:space="preserve"> </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Patient must not have prior chemotherapy treatment; OR</w:t>
            </w:r>
          </w:p>
          <w:p w:rsidR="00C03C56" w:rsidRPr="003F5923" w:rsidRDefault="00C03C56" w:rsidP="00F57FCB">
            <w:pPr>
              <w:rPr>
                <w:rFonts w:ascii="Arial Narrow" w:hAnsi="Arial Narrow"/>
                <w:sz w:val="20"/>
              </w:rPr>
            </w:pPr>
            <w:r w:rsidRPr="003F5923">
              <w:rPr>
                <w:rFonts w:ascii="Arial Narrow" w:hAnsi="Arial Narrow"/>
                <w:sz w:val="20"/>
              </w:rPr>
              <w:t>Patient must have received prior chemotherapy with radiation therapy;</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260CE3" w:rsidRDefault="00C03C56" w:rsidP="00F57FCB">
            <w:pPr>
              <w:rPr>
                <w:rFonts w:ascii="Arial Narrow" w:hAnsi="Arial Narrow"/>
                <w:sz w:val="20"/>
              </w:rPr>
            </w:pPr>
            <w:r w:rsidRPr="003F5923">
              <w:rPr>
                <w:rFonts w:ascii="Arial Narrow" w:hAnsi="Arial Narrow"/>
                <w:sz w:val="20"/>
              </w:rPr>
              <w:t>The treatment must be in combination with platinum-based chemotherapy plus paclitaxel</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Prescriber Instructions</w:t>
            </w:r>
          </w:p>
          <w:p w:rsidR="00C03C56" w:rsidRPr="00260CE3" w:rsidRDefault="00C03C56" w:rsidP="00F57FCB">
            <w:pPr>
              <w:rPr>
                <w:rFonts w:ascii="Arial Narrow" w:hAnsi="Arial Narrow"/>
                <w:sz w:val="20"/>
              </w:rPr>
            </w:pPr>
          </w:p>
        </w:tc>
        <w:tc>
          <w:tcPr>
            <w:tcW w:w="3499" w:type="pct"/>
            <w:gridSpan w:val="6"/>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Advanced carcinoma of the cervix is defined as persistent carcinoma, recurrent carcinoma or metastatic carcinoma of the cervix.</w:t>
            </w:r>
          </w:p>
          <w:p w:rsidR="00C03C56" w:rsidRPr="003F5923" w:rsidRDefault="00C03C56" w:rsidP="00F57FCB">
            <w:pPr>
              <w:rPr>
                <w:rFonts w:ascii="Arial Narrow" w:hAnsi="Arial Narrow"/>
                <w:sz w:val="20"/>
              </w:rPr>
            </w:pPr>
          </w:p>
          <w:p w:rsidR="00C03C56" w:rsidRPr="00260CE3" w:rsidRDefault="00C03C56" w:rsidP="00F57FCB">
            <w:pPr>
              <w:rPr>
                <w:rFonts w:ascii="Arial Narrow" w:hAnsi="Arial Narrow"/>
                <w:sz w:val="20"/>
              </w:rPr>
            </w:pPr>
            <w:r w:rsidRPr="003F5923">
              <w:rPr>
                <w:rFonts w:ascii="Arial Narrow" w:hAnsi="Arial Narrow"/>
                <w:sz w:val="20"/>
              </w:rPr>
              <w:t>The patient’s Gynaecologic Oncology Group (GOG) performance status and body weight must be documented in the patient’s medical records at the time the treatment cycle is initiated.</w:t>
            </w:r>
          </w:p>
        </w:tc>
      </w:tr>
      <w:tr w:rsidR="00C03C56" w:rsidRPr="00260CE3" w:rsidTr="00FA50CD">
        <w:tblPrEx>
          <w:tblCellMar>
            <w:left w:w="108" w:type="dxa"/>
            <w:right w:w="108" w:type="dxa"/>
          </w:tblCellMar>
        </w:tblPrEx>
        <w:trPr>
          <w:cantSplit/>
          <w:trHeight w:val="360"/>
        </w:trPr>
        <w:tc>
          <w:tcPr>
            <w:tcW w:w="1500" w:type="pct"/>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t>Administrative Advice</w:t>
            </w:r>
          </w:p>
        </w:tc>
        <w:tc>
          <w:tcPr>
            <w:tcW w:w="3499" w:type="pct"/>
            <w:gridSpan w:val="6"/>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Special Pricing Arrangements apply.</w:t>
            </w:r>
          </w:p>
        </w:tc>
      </w:tr>
    </w:tbl>
    <w:p w:rsidR="00C03C56" w:rsidRPr="00552722" w:rsidRDefault="00C03C56" w:rsidP="00F57FCB">
      <w:pPr>
        <w:rPr>
          <w:szCs w:val="22"/>
        </w:rPr>
      </w:pPr>
    </w:p>
    <w:tbl>
      <w:tblPr>
        <w:tblW w:w="8505" w:type="dxa"/>
        <w:tblInd w:w="817" w:type="dxa"/>
        <w:tblLayout w:type="fixed"/>
        <w:tblLook w:val="0000" w:firstRow="0" w:lastRow="0" w:firstColumn="0" w:lastColumn="0" w:noHBand="0" w:noVBand="0"/>
      </w:tblPr>
      <w:tblGrid>
        <w:gridCol w:w="2552"/>
        <w:gridCol w:w="5953"/>
      </w:tblGrid>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 xml:space="preserve">Category / </w:t>
            </w:r>
          </w:p>
          <w:p w:rsidR="00C03C56" w:rsidRPr="00260CE3" w:rsidRDefault="00C03C56" w:rsidP="00F57FCB">
            <w:pPr>
              <w:rPr>
                <w:rFonts w:ascii="Arial Narrow" w:hAnsi="Arial Narrow"/>
                <w:b/>
                <w:sz w:val="20"/>
              </w:rPr>
            </w:pPr>
            <w:r w:rsidRPr="00260CE3">
              <w:rPr>
                <w:rFonts w:ascii="Arial Narrow" w:hAnsi="Arial Narrow"/>
                <w:b/>
                <w:sz w:val="20"/>
              </w:rPr>
              <w:t>Program</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03C56" w:rsidRPr="006C74CD" w:rsidRDefault="00C03C56" w:rsidP="00F57FCB">
            <w:pPr>
              <w:rPr>
                <w:rFonts w:ascii="Arial Narrow" w:hAnsi="Arial Narrow"/>
                <w:sz w:val="20"/>
              </w:rPr>
            </w:pPr>
            <w:r w:rsidRPr="006C74CD">
              <w:rPr>
                <w:rFonts w:ascii="Arial Narrow" w:hAnsi="Arial Narrow"/>
                <w:sz w:val="20"/>
              </w:rPr>
              <w:t>Private Hospital/Private Clinic Authority Required (STREAMLINED)</w:t>
            </w:r>
          </w:p>
          <w:p w:rsidR="00C03C56" w:rsidRPr="00260CE3" w:rsidRDefault="00C03C56" w:rsidP="00F57FCB">
            <w:pPr>
              <w:rPr>
                <w:rFonts w:ascii="Arial Narrow" w:hAnsi="Arial Narrow"/>
                <w:sz w:val="20"/>
              </w:rPr>
            </w:pPr>
            <w:r w:rsidRPr="006C74CD">
              <w:rPr>
                <w:rFonts w:ascii="Arial Narrow" w:hAnsi="Arial Narrow"/>
                <w:sz w:val="20"/>
              </w:rPr>
              <w:t>Public Hospital Authority Required (STREAMLINED)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Default="00C03C56" w:rsidP="00F57FCB">
            <w:pPr>
              <w:rPr>
                <w:rFonts w:ascii="Arial Narrow" w:hAnsi="Arial Narrow"/>
                <w:b/>
                <w:sz w:val="20"/>
              </w:rPr>
            </w:pPr>
            <w:r w:rsidRPr="00260CE3">
              <w:rPr>
                <w:rFonts w:ascii="Arial Narrow" w:hAnsi="Arial Narrow"/>
                <w:b/>
                <w:sz w:val="20"/>
              </w:rPr>
              <w:t>Prescriber type:</w:t>
            </w:r>
          </w:p>
          <w:p w:rsidR="00C03C56" w:rsidRPr="00260CE3" w:rsidRDefault="00C03C56" w:rsidP="00F57FCB">
            <w:pPr>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03C56" w:rsidRPr="00260CE3" w:rsidRDefault="00C03C56" w:rsidP="00F57FC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lastRenderedPageBreak/>
              <w:t>Severity:</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Carcinoma of cervix</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 carcinoma of cervix</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t>Treatment phase:</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Continuing treatment</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CF4495" w:rsidRDefault="00C03C56" w:rsidP="00F57FC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03C56" w:rsidRPr="00106BCF" w:rsidRDefault="00C03C56" w:rsidP="00F57FCB">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03C56" w:rsidRPr="00260CE3" w:rsidRDefault="00C03C56" w:rsidP="00F57FC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Clinical criteria:</w:t>
            </w:r>
          </w:p>
          <w:p w:rsidR="00C03C56" w:rsidRPr="00260CE3" w:rsidRDefault="00C03C56" w:rsidP="00F57FCB">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Patient must have previously received PBS-subsidised treatment with this drug for this condition;</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Patient must not have progressive disease;</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D9698E" w:rsidRDefault="00C03C56" w:rsidP="00F57FCB">
            <w:pPr>
              <w:rPr>
                <w:rFonts w:ascii="Arial Narrow" w:hAnsi="Arial Narrow"/>
                <w:strike/>
                <w:sz w:val="20"/>
              </w:rPr>
            </w:pPr>
            <w:r w:rsidRPr="003F5923">
              <w:rPr>
                <w:rFonts w:ascii="Arial Narrow" w:hAnsi="Arial Narrow"/>
                <w:sz w:val="20"/>
              </w:rPr>
              <w:t>The treatment must be in combination with platinum-based chemotherapy plus paclitaxel</w:t>
            </w:r>
            <w:r w:rsidR="003F5923" w:rsidRPr="003F5923">
              <w:rPr>
                <w:rFonts w:ascii="Arial Narrow" w:hAnsi="Arial Narrow"/>
                <w:sz w:val="20"/>
              </w:rPr>
              <w:t xml:space="preserve"> </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Prescriber Instructions</w:t>
            </w:r>
          </w:p>
          <w:p w:rsidR="00C03C56" w:rsidRPr="00260CE3" w:rsidRDefault="00C03C56" w:rsidP="00F57FCB">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3F5923">
              <w:rPr>
                <w:rFonts w:ascii="Arial Narrow" w:hAnsi="Arial Narrow"/>
                <w:sz w:val="20"/>
              </w:rPr>
              <w:t>Advanced carcinoma of the cervix is defined as persistent carcinoma, recurrent carcinoma or metastatic carcinoma of the cervix.</w:t>
            </w:r>
          </w:p>
        </w:tc>
      </w:tr>
      <w:tr w:rsidR="00C03C56" w:rsidRPr="00647895"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t>Administrative Advice</w:t>
            </w:r>
          </w:p>
        </w:tc>
        <w:tc>
          <w:tcPr>
            <w:tcW w:w="5953" w:type="dxa"/>
            <w:tcBorders>
              <w:top w:val="single" w:sz="4" w:space="0" w:color="auto"/>
              <w:left w:val="single" w:sz="4" w:space="0" w:color="auto"/>
              <w:bottom w:val="single" w:sz="4" w:space="0" w:color="auto"/>
              <w:right w:val="single" w:sz="4" w:space="0" w:color="auto"/>
            </w:tcBorders>
          </w:tcPr>
          <w:p w:rsidR="00C03C56" w:rsidRPr="00545C30" w:rsidRDefault="00C03C56" w:rsidP="00F57FCB">
            <w:pPr>
              <w:rPr>
                <w:rFonts w:ascii="Arial Narrow" w:hAnsi="Arial Narrow"/>
                <w:sz w:val="20"/>
              </w:rPr>
            </w:pPr>
            <w:r w:rsidRPr="00545C30">
              <w:rPr>
                <w:rFonts w:ascii="Arial Narrow" w:hAnsi="Arial Narrow"/>
                <w:sz w:val="20"/>
              </w:rPr>
              <w:t>Special Pricing Arrangements apply.</w:t>
            </w:r>
          </w:p>
        </w:tc>
      </w:tr>
    </w:tbl>
    <w:p w:rsidR="00C03C56" w:rsidRPr="00552722" w:rsidRDefault="00C03C56" w:rsidP="00F57FCB">
      <w:pPr>
        <w:rPr>
          <w:szCs w:val="22"/>
        </w:rPr>
      </w:pPr>
    </w:p>
    <w:tbl>
      <w:tblPr>
        <w:tblW w:w="8505" w:type="dxa"/>
        <w:tblInd w:w="817" w:type="dxa"/>
        <w:tblLayout w:type="fixed"/>
        <w:tblLook w:val="0000" w:firstRow="0" w:lastRow="0" w:firstColumn="0" w:lastColumn="0" w:noHBand="0" w:noVBand="0"/>
      </w:tblPr>
      <w:tblGrid>
        <w:gridCol w:w="2552"/>
        <w:gridCol w:w="5953"/>
      </w:tblGrid>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D9698E">
            <w:pPr>
              <w:keepNext/>
              <w:rPr>
                <w:rFonts w:ascii="Arial Narrow" w:hAnsi="Arial Narrow"/>
                <w:b/>
                <w:sz w:val="20"/>
              </w:rPr>
            </w:pPr>
            <w:r w:rsidRPr="00260CE3">
              <w:rPr>
                <w:rFonts w:ascii="Arial Narrow" w:hAnsi="Arial Narrow"/>
                <w:b/>
                <w:sz w:val="20"/>
              </w:rPr>
              <w:t xml:space="preserve">Category / </w:t>
            </w:r>
          </w:p>
          <w:p w:rsidR="00C03C56" w:rsidRPr="00260CE3" w:rsidRDefault="00C03C56" w:rsidP="00D9698E">
            <w:pPr>
              <w:keepNext/>
              <w:rPr>
                <w:rFonts w:ascii="Arial Narrow" w:hAnsi="Arial Narrow"/>
                <w:b/>
                <w:sz w:val="20"/>
              </w:rPr>
            </w:pPr>
            <w:r w:rsidRPr="00260CE3">
              <w:rPr>
                <w:rFonts w:ascii="Arial Narrow" w:hAnsi="Arial Narrow"/>
                <w:b/>
                <w:sz w:val="20"/>
              </w:rPr>
              <w:t>Program</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D9698E">
            <w:pPr>
              <w:keepNext/>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p w:rsidR="00C03C56" w:rsidRPr="006C74CD" w:rsidRDefault="00C03C56" w:rsidP="00D9698E">
            <w:pPr>
              <w:keepNext/>
              <w:rPr>
                <w:rFonts w:ascii="Arial Narrow" w:hAnsi="Arial Narrow"/>
                <w:sz w:val="20"/>
              </w:rPr>
            </w:pPr>
            <w:r w:rsidRPr="006C74CD">
              <w:rPr>
                <w:rFonts w:ascii="Arial Narrow" w:hAnsi="Arial Narrow"/>
                <w:sz w:val="20"/>
              </w:rPr>
              <w:t>Private Hospital/Private Clinic Authority Required (STREAMLINED)</w:t>
            </w:r>
          </w:p>
          <w:p w:rsidR="00C03C56" w:rsidRPr="00260CE3" w:rsidRDefault="00C03C56" w:rsidP="00D9698E">
            <w:pPr>
              <w:keepNext/>
              <w:rPr>
                <w:rFonts w:ascii="Arial Narrow" w:hAnsi="Arial Narrow"/>
                <w:sz w:val="20"/>
              </w:rPr>
            </w:pPr>
            <w:r w:rsidRPr="006C74CD">
              <w:rPr>
                <w:rFonts w:ascii="Arial Narrow" w:hAnsi="Arial Narrow"/>
                <w:sz w:val="20"/>
              </w:rPr>
              <w:t>Public Hospital Authority Required (STREAMLINED)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Default="00C03C56" w:rsidP="00D9698E">
            <w:pPr>
              <w:keepNext/>
              <w:rPr>
                <w:rFonts w:ascii="Arial Narrow" w:hAnsi="Arial Narrow"/>
                <w:b/>
                <w:sz w:val="20"/>
              </w:rPr>
            </w:pPr>
            <w:r w:rsidRPr="00260CE3">
              <w:rPr>
                <w:rFonts w:ascii="Arial Narrow" w:hAnsi="Arial Narrow"/>
                <w:b/>
                <w:sz w:val="20"/>
              </w:rPr>
              <w:t>Prescriber type:</w:t>
            </w:r>
          </w:p>
          <w:p w:rsidR="00C03C56" w:rsidRPr="00260CE3" w:rsidRDefault="00C03C56" w:rsidP="00D9698E">
            <w:pPr>
              <w:keepNext/>
              <w:rPr>
                <w:rFonts w:ascii="Arial Narrow" w:hAnsi="Arial Narrow"/>
                <w:b/>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D9698E">
            <w:pPr>
              <w:keepNext/>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03C56" w:rsidRPr="00260CE3" w:rsidRDefault="00C03C56" w:rsidP="00D9698E">
            <w:pPr>
              <w:keepNext/>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Severity:</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Condition:</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Carcinoma of cervix</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Pr>
                <w:rFonts w:ascii="Arial Narrow" w:hAnsi="Arial Narrow"/>
                <w:sz w:val="20"/>
              </w:rPr>
              <w:t>Advanced carcinoma of cervix</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t>Treatment phase:</w:t>
            </w:r>
          </w:p>
        </w:tc>
        <w:tc>
          <w:tcPr>
            <w:tcW w:w="5953"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sz w:val="20"/>
              </w:rPr>
            </w:pPr>
            <w:r w:rsidRPr="0071479D">
              <w:rPr>
                <w:rFonts w:ascii="Arial Narrow" w:hAnsi="Arial Narrow"/>
                <w:sz w:val="20"/>
              </w:rPr>
              <w:t xml:space="preserve">Grandfathering treatment </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CF4495" w:rsidRDefault="00C03C56" w:rsidP="00F57FC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953" w:type="dxa"/>
            <w:tcBorders>
              <w:top w:val="single" w:sz="4" w:space="0" w:color="auto"/>
              <w:left w:val="single" w:sz="4" w:space="0" w:color="auto"/>
              <w:bottom w:val="single" w:sz="4" w:space="0" w:color="auto"/>
              <w:right w:val="single" w:sz="4" w:space="0" w:color="auto"/>
            </w:tcBorders>
          </w:tcPr>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03C56" w:rsidRPr="00106BCF" w:rsidRDefault="00C03C56" w:rsidP="00F57FCB">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C03C56" w:rsidRPr="00106BCF" w:rsidRDefault="00C03C56" w:rsidP="00F57FC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C03C56" w:rsidRPr="00260CE3" w:rsidRDefault="00C03C56" w:rsidP="00F57FC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C279A">
              <w:rPr>
                <w:rFonts w:ascii="Arial Narrow" w:hAnsi="Arial Narrow"/>
                <w:sz w:val="20"/>
              </w:rPr>
            </w:r>
            <w:r w:rsidR="00FC279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Clinical criteria:</w:t>
            </w:r>
          </w:p>
          <w:p w:rsidR="00C03C56" w:rsidRPr="00260CE3" w:rsidRDefault="00C03C56" w:rsidP="00F57FCB">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Patient must have previously received non-PBS-subsidised therapy with this drug for this condition prior to xx/Month/Year;</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Patient must not have progressive disease;</w:t>
            </w:r>
          </w:p>
          <w:p w:rsidR="00C03C56" w:rsidRPr="003F5923" w:rsidRDefault="00C03C56" w:rsidP="00F57FCB">
            <w:pPr>
              <w:rPr>
                <w:rFonts w:ascii="Arial Narrow" w:hAnsi="Arial Narrow"/>
                <w:sz w:val="20"/>
              </w:rPr>
            </w:pPr>
            <w:r w:rsidRPr="003F5923">
              <w:rPr>
                <w:rFonts w:ascii="Arial Narrow" w:hAnsi="Arial Narrow"/>
                <w:sz w:val="20"/>
              </w:rPr>
              <w:t>AND</w:t>
            </w:r>
          </w:p>
          <w:p w:rsidR="00C03C56" w:rsidRPr="003F5923" w:rsidRDefault="00C03C56" w:rsidP="00F57FCB">
            <w:pPr>
              <w:rPr>
                <w:rFonts w:ascii="Arial Narrow" w:hAnsi="Arial Narrow"/>
                <w:sz w:val="20"/>
              </w:rPr>
            </w:pPr>
            <w:r w:rsidRPr="003F5923">
              <w:rPr>
                <w:rFonts w:ascii="Arial Narrow" w:hAnsi="Arial Narrow"/>
                <w:sz w:val="20"/>
              </w:rPr>
              <w:t>The treatment must be in combination with platinum-based chemotherapy plus paclitaxel</w:t>
            </w:r>
            <w:r w:rsidR="003F5923" w:rsidRPr="003F5923">
              <w:rPr>
                <w:rFonts w:ascii="Arial Narrow" w:hAnsi="Arial Narrow"/>
                <w:sz w:val="20"/>
              </w:rPr>
              <w:t xml:space="preserve"> </w:t>
            </w:r>
          </w:p>
        </w:tc>
      </w:tr>
      <w:tr w:rsidR="00C03C56" w:rsidRPr="00260CE3"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260CE3" w:rsidRDefault="00C03C56" w:rsidP="00F57FCB">
            <w:pPr>
              <w:rPr>
                <w:rFonts w:ascii="Arial Narrow" w:hAnsi="Arial Narrow"/>
                <w:b/>
                <w:sz w:val="20"/>
              </w:rPr>
            </w:pPr>
            <w:r w:rsidRPr="00260CE3">
              <w:rPr>
                <w:rFonts w:ascii="Arial Narrow" w:hAnsi="Arial Narrow"/>
                <w:b/>
                <w:sz w:val="20"/>
              </w:rPr>
              <w:t>Prescriber Instructions</w:t>
            </w:r>
          </w:p>
          <w:p w:rsidR="00C03C56" w:rsidRPr="00260CE3" w:rsidRDefault="00C03C56" w:rsidP="00F57FCB">
            <w:pPr>
              <w:rPr>
                <w:rFonts w:ascii="Arial Narrow" w:hAnsi="Arial Narrow"/>
                <w:sz w:val="20"/>
              </w:rPr>
            </w:pPr>
          </w:p>
        </w:tc>
        <w:tc>
          <w:tcPr>
            <w:tcW w:w="5953" w:type="dxa"/>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Advanced carcinoma of the cervix is defined as persistent carcinoma, recurrent carcinoma or metastatic carcinoma of the cervix.</w:t>
            </w:r>
          </w:p>
          <w:p w:rsidR="00C03C56" w:rsidRPr="003F5923" w:rsidRDefault="00C03C56" w:rsidP="00F57FCB">
            <w:pPr>
              <w:rPr>
                <w:rFonts w:ascii="Arial Narrow" w:hAnsi="Arial Narrow"/>
                <w:sz w:val="20"/>
              </w:rPr>
            </w:pPr>
          </w:p>
          <w:p w:rsidR="00C03C56" w:rsidRPr="003F5923" w:rsidRDefault="00C03C56" w:rsidP="00F57FCB">
            <w:pPr>
              <w:rPr>
                <w:rFonts w:ascii="Arial Narrow" w:hAnsi="Arial Narrow"/>
                <w:sz w:val="20"/>
              </w:rPr>
            </w:pPr>
            <w:r w:rsidRPr="003F5923">
              <w:rPr>
                <w:rFonts w:ascii="Arial Narrow" w:hAnsi="Arial Narrow"/>
                <w:sz w:val="20"/>
              </w:rPr>
              <w:t xml:space="preserve">The patient’s Gynaecologic Oncology Group (GOG) performance status and body weight must be documented in the patient’s medical records at the time the treatment cycle is initiated. </w:t>
            </w:r>
          </w:p>
        </w:tc>
      </w:tr>
      <w:tr w:rsidR="00C03C56" w:rsidRPr="00647895" w:rsidTr="003C5E48">
        <w:trPr>
          <w:cantSplit/>
          <w:trHeight w:val="360"/>
        </w:trPr>
        <w:tc>
          <w:tcPr>
            <w:tcW w:w="2552" w:type="dxa"/>
            <w:tcBorders>
              <w:top w:val="single" w:sz="4" w:space="0" w:color="auto"/>
              <w:left w:val="single" w:sz="4" w:space="0" w:color="auto"/>
              <w:bottom w:val="single" w:sz="4" w:space="0" w:color="auto"/>
              <w:right w:val="single" w:sz="4" w:space="0" w:color="auto"/>
            </w:tcBorders>
          </w:tcPr>
          <w:p w:rsidR="00C03C56" w:rsidRPr="00D9698E" w:rsidRDefault="00C03C56" w:rsidP="00F57FCB">
            <w:pPr>
              <w:rPr>
                <w:rFonts w:ascii="Arial Narrow" w:hAnsi="Arial Narrow"/>
                <w:b/>
                <w:sz w:val="20"/>
              </w:rPr>
            </w:pPr>
            <w:r w:rsidRPr="00260CE3">
              <w:rPr>
                <w:rFonts w:ascii="Arial Narrow" w:hAnsi="Arial Narrow"/>
                <w:b/>
                <w:sz w:val="20"/>
              </w:rPr>
              <w:lastRenderedPageBreak/>
              <w:t>Administrative Advice</w:t>
            </w:r>
          </w:p>
        </w:tc>
        <w:tc>
          <w:tcPr>
            <w:tcW w:w="5953" w:type="dxa"/>
            <w:tcBorders>
              <w:top w:val="single" w:sz="4" w:space="0" w:color="auto"/>
              <w:left w:val="single" w:sz="4" w:space="0" w:color="auto"/>
              <w:bottom w:val="single" w:sz="4" w:space="0" w:color="auto"/>
              <w:right w:val="single" w:sz="4" w:space="0" w:color="auto"/>
            </w:tcBorders>
          </w:tcPr>
          <w:p w:rsidR="00C03C56" w:rsidRPr="003F5923" w:rsidRDefault="00C03C56" w:rsidP="00F57FCB">
            <w:pPr>
              <w:rPr>
                <w:rFonts w:ascii="Arial Narrow" w:hAnsi="Arial Narrow"/>
                <w:sz w:val="20"/>
              </w:rPr>
            </w:pPr>
            <w:r w:rsidRPr="003F5923">
              <w:rPr>
                <w:rFonts w:ascii="Arial Narrow" w:hAnsi="Arial Narrow"/>
                <w:sz w:val="20"/>
              </w:rPr>
              <w:t>Special Pricing Arrangements apply.</w:t>
            </w:r>
          </w:p>
        </w:tc>
      </w:tr>
    </w:tbl>
    <w:p w:rsidR="00C03C56" w:rsidRPr="00882085" w:rsidRDefault="00C03C56" w:rsidP="00F57FCB"/>
    <w:p w:rsidR="00F16CCD" w:rsidRPr="00A81C85" w:rsidRDefault="00F16CCD" w:rsidP="00F16CCD">
      <w:pPr>
        <w:pStyle w:val="Heading1"/>
      </w:pPr>
      <w:r w:rsidRPr="00A81C85">
        <w:t>Context for Decision</w:t>
      </w:r>
    </w:p>
    <w:p w:rsidR="00F16CCD" w:rsidRPr="006B3CD8" w:rsidRDefault="00F16CCD" w:rsidP="00F16CCD"/>
    <w:p w:rsidR="00F16CCD" w:rsidRDefault="00F16CCD" w:rsidP="001F3299">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848E2" w:rsidRDefault="000848E2" w:rsidP="001F3299">
      <w:pPr>
        <w:jc w:val="both"/>
        <w:rPr>
          <w:rFonts w:ascii="Arial" w:hAnsi="Arial" w:cs="Arial"/>
          <w:sz w:val="22"/>
        </w:rPr>
      </w:pPr>
    </w:p>
    <w:p w:rsidR="000848E2" w:rsidRPr="000848E2" w:rsidRDefault="000848E2" w:rsidP="001F3299">
      <w:pPr>
        <w:pStyle w:val="PBACHeading10"/>
        <w:numPr>
          <w:ilvl w:val="0"/>
          <w:numId w:val="25"/>
        </w:numPr>
        <w:jc w:val="both"/>
        <w:outlineLvl w:val="0"/>
      </w:pPr>
      <w:r w:rsidRPr="000848E2">
        <w:t>Sponsor’s Comment</w:t>
      </w:r>
    </w:p>
    <w:p w:rsidR="000848E2" w:rsidRPr="000848E2" w:rsidRDefault="000848E2" w:rsidP="001F3299">
      <w:pPr>
        <w:ind w:left="720"/>
        <w:jc w:val="both"/>
        <w:rPr>
          <w:rFonts w:ascii="Arial" w:hAnsi="Arial" w:cs="Arial"/>
          <w:bCs/>
          <w:sz w:val="22"/>
          <w:szCs w:val="22"/>
          <w:highlight w:val="yellow"/>
          <w:lang w:val="en-GB"/>
        </w:rPr>
      </w:pPr>
    </w:p>
    <w:p w:rsidR="00C03C56" w:rsidRPr="00DE0014" w:rsidRDefault="006D1D7A" w:rsidP="00DE0014">
      <w:pPr>
        <w:spacing w:after="120"/>
        <w:ind w:left="720"/>
        <w:rPr>
          <w:rFonts w:ascii="Arial" w:hAnsi="Arial" w:cs="Arial"/>
          <w:bCs/>
          <w:sz w:val="22"/>
          <w:szCs w:val="22"/>
        </w:rPr>
      </w:pPr>
      <w:r>
        <w:rPr>
          <w:rFonts w:ascii="Arial" w:hAnsi="Arial" w:cs="Arial"/>
          <w:bCs/>
          <w:sz w:val="22"/>
          <w:szCs w:val="22"/>
          <w:lang w:val="en-GB"/>
        </w:rPr>
        <w:t>The PBAC’s decision to recommend</w:t>
      </w:r>
      <w:r>
        <w:rPr>
          <w:lang w:val="en-GB"/>
        </w:rPr>
        <w:t xml:space="preserve"> </w:t>
      </w:r>
      <w:r>
        <w:rPr>
          <w:rFonts w:ascii="Arial" w:hAnsi="Arial" w:cs="Arial"/>
          <w:bCs/>
          <w:sz w:val="22"/>
          <w:szCs w:val="22"/>
          <w:lang w:val="en-GB"/>
        </w:rPr>
        <w:t>bevacizumab for PBS listing is welcome news for patients with advanced cervical cancer.</w:t>
      </w:r>
    </w:p>
    <w:sectPr w:rsidR="00C03C56" w:rsidRPr="00DE001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18" w:rsidRDefault="00630F18">
      <w:r>
        <w:separator/>
      </w:r>
    </w:p>
    <w:p w:rsidR="00630F18" w:rsidRDefault="00630F18"/>
  </w:endnote>
  <w:endnote w:type="continuationSeparator" w:id="0">
    <w:p w:rsidR="00630F18" w:rsidRDefault="00630F18">
      <w:r>
        <w:continuationSeparator/>
      </w:r>
    </w:p>
    <w:p w:rsidR="00630F18" w:rsidRDefault="0063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2550" w:rsidTr="005A3173">
      <w:trPr>
        <w:trHeight w:val="151"/>
      </w:trPr>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2550" w:rsidRPr="005A3173" w:rsidRDefault="009225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r>
    <w:tr w:rsidR="00922550" w:rsidTr="005A3173">
      <w:trPr>
        <w:trHeight w:val="150"/>
      </w:trPr>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0" w:type="auto"/>
          <w:vMerge/>
          <w:vAlign w:val="center"/>
          <w:hideMark/>
        </w:tcPr>
        <w:p w:rsidR="00922550" w:rsidRPr="005A3173" w:rsidRDefault="0092255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r>
  </w:tbl>
  <w:p w:rsidR="00922550" w:rsidRDefault="0092255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550" w:rsidRDefault="00922550">
    <w:pPr>
      <w:pStyle w:val="Footer"/>
    </w:pPr>
  </w:p>
  <w:p w:rsidR="00922550" w:rsidRDefault="009225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50" w:rsidRDefault="00922550" w:rsidP="00EF44A0">
    <w:pPr>
      <w:pStyle w:val="Footer"/>
      <w:jc w:val="center"/>
      <w:rPr>
        <w:rFonts w:ascii="Arial" w:hAnsi="Arial" w:cs="Arial"/>
        <w:b/>
        <w:sz w:val="20"/>
        <w:szCs w:val="20"/>
      </w:rPr>
    </w:pPr>
  </w:p>
  <w:p w:rsidR="00922550" w:rsidRPr="004B19D3" w:rsidRDefault="00922550" w:rsidP="004B19D3">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C279A">
      <w:rPr>
        <w:rFonts w:ascii="Arial" w:hAnsi="Arial" w:cs="Arial"/>
        <w:noProof/>
        <w:sz w:val="20"/>
        <w:szCs w:val="20"/>
      </w:rPr>
      <w:t>2</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22550" w:rsidTr="005A3173">
      <w:trPr>
        <w:trHeight w:val="151"/>
      </w:trPr>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2550" w:rsidRPr="005A3173" w:rsidRDefault="009225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r>
    <w:tr w:rsidR="00922550" w:rsidTr="005A3173">
      <w:trPr>
        <w:trHeight w:val="150"/>
      </w:trPr>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0" w:type="auto"/>
          <w:vMerge/>
          <w:vAlign w:val="center"/>
          <w:hideMark/>
        </w:tcPr>
        <w:p w:rsidR="00922550" w:rsidRPr="005A3173" w:rsidRDefault="0092255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2550" w:rsidTr="005A3173">
      <w:trPr>
        <w:trHeight w:val="151"/>
      </w:trPr>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2550" w:rsidRPr="005A3173" w:rsidRDefault="009225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2550" w:rsidRPr="005A3173" w:rsidRDefault="00922550" w:rsidP="005A3173">
          <w:pPr>
            <w:pStyle w:val="Header"/>
            <w:spacing w:line="276" w:lineRule="auto"/>
            <w:rPr>
              <w:rFonts w:ascii="Calibri" w:eastAsia="MS Gothic" w:hAnsi="Calibri"/>
              <w:b/>
              <w:bCs/>
              <w:color w:val="4F81BD"/>
            </w:rPr>
          </w:pPr>
        </w:p>
      </w:tc>
    </w:tr>
    <w:tr w:rsidR="00922550" w:rsidTr="005A3173">
      <w:trPr>
        <w:trHeight w:val="150"/>
      </w:trPr>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c>
        <w:tcPr>
          <w:tcW w:w="0" w:type="auto"/>
          <w:vMerge/>
          <w:vAlign w:val="center"/>
          <w:hideMark/>
        </w:tcPr>
        <w:p w:rsidR="00922550" w:rsidRPr="005A3173" w:rsidRDefault="0092255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2550" w:rsidRPr="005A3173" w:rsidRDefault="00922550" w:rsidP="005A3173">
          <w:pPr>
            <w:pStyle w:val="Header"/>
            <w:spacing w:line="276" w:lineRule="auto"/>
            <w:rPr>
              <w:rFonts w:ascii="Calibri" w:eastAsia="MS Gothic" w:hAnsi="Calibri"/>
              <w:b/>
              <w:bCs/>
              <w:color w:val="4F81BD"/>
            </w:rPr>
          </w:pPr>
        </w:p>
      </w:tc>
    </w:tr>
  </w:tbl>
  <w:p w:rsidR="00922550" w:rsidRPr="007C0F57" w:rsidRDefault="0092255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22550" w:rsidRPr="007C0F57" w:rsidRDefault="00922550" w:rsidP="007C0F57">
    <w:pPr>
      <w:pStyle w:val="Footer"/>
      <w:jc w:val="center"/>
      <w:rPr>
        <w:b/>
        <w:i/>
        <w:sz w:val="20"/>
        <w:szCs w:val="20"/>
      </w:rPr>
    </w:pPr>
    <w:r w:rsidRPr="007C0F57">
      <w:rPr>
        <w:b/>
        <w:i/>
        <w:sz w:val="20"/>
        <w:szCs w:val="20"/>
      </w:rPr>
      <w:t>Commercial-in-Confidence</w:t>
    </w:r>
  </w:p>
  <w:p w:rsidR="00922550" w:rsidRDefault="00922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18" w:rsidRDefault="00630F18">
      <w:r>
        <w:separator/>
      </w:r>
    </w:p>
    <w:p w:rsidR="00630F18" w:rsidRDefault="00630F18"/>
  </w:footnote>
  <w:footnote w:type="continuationSeparator" w:id="0">
    <w:p w:rsidR="00630F18" w:rsidRDefault="00630F18">
      <w:r>
        <w:continuationSeparator/>
      </w:r>
    </w:p>
    <w:p w:rsidR="00630F18" w:rsidRDefault="00630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2550" w:rsidRPr="008E0D90" w:rsidTr="00A06225">
      <w:trPr>
        <w:trHeight w:val="151"/>
      </w:trPr>
      <w:tc>
        <w:tcPr>
          <w:tcW w:w="2389" w:type="pct"/>
          <w:tcBorders>
            <w:top w:val="nil"/>
            <w:left w:val="nil"/>
            <w:bottom w:val="single" w:sz="4" w:space="0" w:color="4F81BD"/>
            <w:right w:val="nil"/>
          </w:tcBorders>
        </w:tcPr>
        <w:p w:rsidR="00922550" w:rsidRPr="00A06225" w:rsidRDefault="00922550">
          <w:pPr>
            <w:pStyle w:val="Header"/>
            <w:spacing w:line="276" w:lineRule="auto"/>
            <w:rPr>
              <w:rFonts w:ascii="Cambria" w:eastAsia="MS Gothic" w:hAnsi="Cambria"/>
              <w:b/>
              <w:bCs/>
              <w:color w:val="4F81BD"/>
            </w:rPr>
          </w:pPr>
        </w:p>
      </w:tc>
      <w:tc>
        <w:tcPr>
          <w:tcW w:w="333" w:type="pct"/>
          <w:vMerge w:val="restart"/>
          <w:noWrap/>
          <w:vAlign w:val="center"/>
          <w:hideMark/>
        </w:tcPr>
        <w:p w:rsidR="00922550" w:rsidRPr="00A06225" w:rsidRDefault="0092255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22550" w:rsidRPr="00A06225" w:rsidRDefault="00922550">
          <w:pPr>
            <w:pStyle w:val="Header"/>
            <w:spacing w:line="276" w:lineRule="auto"/>
            <w:rPr>
              <w:rFonts w:ascii="Cambria" w:eastAsia="MS Gothic" w:hAnsi="Cambria"/>
              <w:b/>
              <w:bCs/>
              <w:color w:val="4F81BD"/>
            </w:rPr>
          </w:pPr>
        </w:p>
      </w:tc>
    </w:tr>
    <w:tr w:rsidR="00922550" w:rsidRPr="008E0D90" w:rsidTr="00A06225">
      <w:trPr>
        <w:trHeight w:val="150"/>
      </w:trPr>
      <w:tc>
        <w:tcPr>
          <w:tcW w:w="2389" w:type="pct"/>
          <w:tcBorders>
            <w:top w:val="single" w:sz="4" w:space="0" w:color="4F81BD"/>
            <w:left w:val="nil"/>
            <w:bottom w:val="nil"/>
            <w:right w:val="nil"/>
          </w:tcBorders>
        </w:tcPr>
        <w:p w:rsidR="00922550" w:rsidRPr="00A06225" w:rsidRDefault="00922550">
          <w:pPr>
            <w:pStyle w:val="Header"/>
            <w:spacing w:line="276" w:lineRule="auto"/>
            <w:rPr>
              <w:rFonts w:ascii="Cambria" w:eastAsia="MS Gothic" w:hAnsi="Cambria"/>
              <w:b/>
              <w:bCs/>
              <w:color w:val="4F81BD"/>
            </w:rPr>
          </w:pPr>
        </w:p>
      </w:tc>
      <w:tc>
        <w:tcPr>
          <w:tcW w:w="0" w:type="auto"/>
          <w:vMerge/>
          <w:vAlign w:val="center"/>
          <w:hideMark/>
        </w:tcPr>
        <w:p w:rsidR="00922550" w:rsidRPr="00A06225" w:rsidRDefault="00922550">
          <w:pPr>
            <w:rPr>
              <w:rFonts w:ascii="Cambria" w:hAnsi="Cambria"/>
              <w:color w:val="4F81BD"/>
              <w:sz w:val="22"/>
              <w:szCs w:val="22"/>
            </w:rPr>
          </w:pPr>
        </w:p>
      </w:tc>
      <w:tc>
        <w:tcPr>
          <w:tcW w:w="2278" w:type="pct"/>
          <w:tcBorders>
            <w:top w:val="single" w:sz="4" w:space="0" w:color="4F81BD"/>
            <w:left w:val="nil"/>
            <w:bottom w:val="nil"/>
            <w:right w:val="nil"/>
          </w:tcBorders>
        </w:tcPr>
        <w:p w:rsidR="00922550" w:rsidRPr="00A06225" w:rsidRDefault="00922550">
          <w:pPr>
            <w:pStyle w:val="Header"/>
            <w:spacing w:line="276" w:lineRule="auto"/>
            <w:rPr>
              <w:rFonts w:ascii="Cambria" w:eastAsia="MS Gothic" w:hAnsi="Cambria"/>
              <w:b/>
              <w:bCs/>
              <w:color w:val="4F81BD"/>
            </w:rPr>
          </w:pPr>
        </w:p>
      </w:tc>
    </w:tr>
  </w:tbl>
  <w:p w:rsidR="00922550" w:rsidRDefault="00922550">
    <w:pPr>
      <w:pStyle w:val="Header"/>
    </w:pPr>
  </w:p>
  <w:p w:rsidR="00922550" w:rsidRDefault="009225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50" w:rsidRPr="00150152" w:rsidRDefault="00922550" w:rsidP="00F16CCD">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922550" w:rsidRDefault="0092255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18" w:rsidRDefault="00630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D65A48"/>
    <w:multiLevelType w:val="hybridMultilevel"/>
    <w:tmpl w:val="28B40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EA5D22"/>
    <w:multiLevelType w:val="hybridMultilevel"/>
    <w:tmpl w:val="8DA6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nsid w:val="3B7C34E2"/>
    <w:multiLevelType w:val="hybridMultilevel"/>
    <w:tmpl w:val="9DFA0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7">
    <w:nsid w:val="451862A3"/>
    <w:multiLevelType w:val="hybridMultilevel"/>
    <w:tmpl w:val="28B40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42A081F"/>
    <w:multiLevelType w:val="hybridMultilevel"/>
    <w:tmpl w:val="6F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7">
    <w:nsid w:val="784D033C"/>
    <w:multiLevelType w:val="multilevel"/>
    <w:tmpl w:val="83FA85FA"/>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3"/>
  </w:num>
  <w:num w:numId="2">
    <w:abstractNumId w:val="43"/>
  </w:num>
  <w:num w:numId="3">
    <w:abstractNumId w:val="28"/>
  </w:num>
  <w:num w:numId="4">
    <w:abstractNumId w:val="1"/>
  </w:num>
  <w:num w:numId="5">
    <w:abstractNumId w:val="7"/>
  </w:num>
  <w:num w:numId="6">
    <w:abstractNumId w:val="26"/>
  </w:num>
  <w:num w:numId="7">
    <w:abstractNumId w:val="22"/>
  </w:num>
  <w:num w:numId="8">
    <w:abstractNumId w:val="6"/>
  </w:num>
  <w:num w:numId="9">
    <w:abstractNumId w:val="9"/>
  </w:num>
  <w:num w:numId="10">
    <w:abstractNumId w:val="41"/>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4"/>
  </w:num>
  <w:num w:numId="15">
    <w:abstractNumId w:val="36"/>
  </w:num>
  <w:num w:numId="16">
    <w:abstractNumId w:val="31"/>
  </w:num>
  <w:num w:numId="17">
    <w:abstractNumId w:val="46"/>
  </w:num>
  <w:num w:numId="18">
    <w:abstractNumId w:val="16"/>
  </w:num>
  <w:num w:numId="19">
    <w:abstractNumId w:val="24"/>
  </w:num>
  <w:num w:numId="20">
    <w:abstractNumId w:val="5"/>
  </w:num>
  <w:num w:numId="21">
    <w:abstractNumId w:val="39"/>
  </w:num>
  <w:num w:numId="22">
    <w:abstractNumId w:val="42"/>
  </w:num>
  <w:num w:numId="23">
    <w:abstractNumId w:val="48"/>
  </w:num>
  <w:num w:numId="24">
    <w:abstractNumId w:val="21"/>
  </w:num>
  <w:num w:numId="25">
    <w:abstractNumId w:val="47"/>
  </w:num>
  <w:num w:numId="26">
    <w:abstractNumId w:val="37"/>
  </w:num>
  <w:num w:numId="27">
    <w:abstractNumId w:val="15"/>
  </w:num>
  <w:num w:numId="28">
    <w:abstractNumId w:val="8"/>
  </w:num>
  <w:num w:numId="29">
    <w:abstractNumId w:val="33"/>
  </w:num>
  <w:num w:numId="30">
    <w:abstractNumId w:val="4"/>
  </w:num>
  <w:num w:numId="31">
    <w:abstractNumId w:val="35"/>
  </w:num>
  <w:num w:numId="32">
    <w:abstractNumId w:val="45"/>
  </w:num>
  <w:num w:numId="33">
    <w:abstractNumId w:val="32"/>
  </w:num>
  <w:num w:numId="34">
    <w:abstractNumId w:val="49"/>
  </w:num>
  <w:num w:numId="35">
    <w:abstractNumId w:val="14"/>
  </w:num>
  <w:num w:numId="36">
    <w:abstractNumId w:val="30"/>
  </w:num>
  <w:num w:numId="37">
    <w:abstractNumId w:val="38"/>
  </w:num>
  <w:num w:numId="38">
    <w:abstractNumId w:val="10"/>
  </w:num>
  <w:num w:numId="39">
    <w:abstractNumId w:val="23"/>
  </w:num>
  <w:num w:numId="40">
    <w:abstractNumId w:val="2"/>
  </w:num>
  <w:num w:numId="41">
    <w:abstractNumId w:val="20"/>
  </w:num>
  <w:num w:numId="42">
    <w:abstractNumId w:val="40"/>
  </w:num>
  <w:num w:numId="43">
    <w:abstractNumId w:val="3"/>
  </w:num>
  <w:num w:numId="44">
    <w:abstractNumId w:val="19"/>
  </w:num>
  <w:num w:numId="45">
    <w:abstractNumId w:val="18"/>
  </w:num>
  <w:num w:numId="46">
    <w:abstractNumId w:val="27"/>
  </w:num>
  <w:num w:numId="47">
    <w:abstractNumId w:val="34"/>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27"/>
  </w:num>
  <w:num w:numId="51">
    <w:abstractNumId w:val="12"/>
  </w:num>
  <w:num w:numId="52">
    <w:abstractNumId w:val="0"/>
  </w:num>
  <w:num w:numId="53">
    <w:abstractNumId w:val="17"/>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5F5"/>
    <w:rsid w:val="000025AD"/>
    <w:rsid w:val="000105A1"/>
    <w:rsid w:val="00015060"/>
    <w:rsid w:val="0002464A"/>
    <w:rsid w:val="0003106B"/>
    <w:rsid w:val="000421A1"/>
    <w:rsid w:val="0004240E"/>
    <w:rsid w:val="00045E26"/>
    <w:rsid w:val="00046F2E"/>
    <w:rsid w:val="000514B5"/>
    <w:rsid w:val="00051BA5"/>
    <w:rsid w:val="00055494"/>
    <w:rsid w:val="00060E64"/>
    <w:rsid w:val="00066755"/>
    <w:rsid w:val="00066E90"/>
    <w:rsid w:val="000848E2"/>
    <w:rsid w:val="000969AD"/>
    <w:rsid w:val="00096F5F"/>
    <w:rsid w:val="000B558D"/>
    <w:rsid w:val="000B5615"/>
    <w:rsid w:val="000C6996"/>
    <w:rsid w:val="000D23BA"/>
    <w:rsid w:val="000D44D3"/>
    <w:rsid w:val="000E1889"/>
    <w:rsid w:val="000E681E"/>
    <w:rsid w:val="000E74DA"/>
    <w:rsid w:val="000F31CE"/>
    <w:rsid w:val="000F4E6A"/>
    <w:rsid w:val="001043A0"/>
    <w:rsid w:val="001107BF"/>
    <w:rsid w:val="00115852"/>
    <w:rsid w:val="00115DCC"/>
    <w:rsid w:val="0012417C"/>
    <w:rsid w:val="00132389"/>
    <w:rsid w:val="0013383E"/>
    <w:rsid w:val="00142395"/>
    <w:rsid w:val="00142714"/>
    <w:rsid w:val="001452ED"/>
    <w:rsid w:val="00161A5E"/>
    <w:rsid w:val="001830CE"/>
    <w:rsid w:val="00186C54"/>
    <w:rsid w:val="00194159"/>
    <w:rsid w:val="00196307"/>
    <w:rsid w:val="001A4266"/>
    <w:rsid w:val="001B017F"/>
    <w:rsid w:val="001B5129"/>
    <w:rsid w:val="001C1195"/>
    <w:rsid w:val="001D4B65"/>
    <w:rsid w:val="001F3299"/>
    <w:rsid w:val="001F7102"/>
    <w:rsid w:val="00206688"/>
    <w:rsid w:val="00213CFB"/>
    <w:rsid w:val="00237D4D"/>
    <w:rsid w:val="002613B1"/>
    <w:rsid w:val="00271BA1"/>
    <w:rsid w:val="00277505"/>
    <w:rsid w:val="0029458F"/>
    <w:rsid w:val="002A104C"/>
    <w:rsid w:val="002A4960"/>
    <w:rsid w:val="002B1AE6"/>
    <w:rsid w:val="002B2DE4"/>
    <w:rsid w:val="002B30F8"/>
    <w:rsid w:val="002B754E"/>
    <w:rsid w:val="002C212F"/>
    <w:rsid w:val="002D3CE5"/>
    <w:rsid w:val="002D70EE"/>
    <w:rsid w:val="002E3153"/>
    <w:rsid w:val="002E72CA"/>
    <w:rsid w:val="002F076A"/>
    <w:rsid w:val="00304666"/>
    <w:rsid w:val="00326E79"/>
    <w:rsid w:val="00331765"/>
    <w:rsid w:val="003367EF"/>
    <w:rsid w:val="00341AE4"/>
    <w:rsid w:val="003535F6"/>
    <w:rsid w:val="00356B12"/>
    <w:rsid w:val="00370228"/>
    <w:rsid w:val="003872CF"/>
    <w:rsid w:val="00392350"/>
    <w:rsid w:val="0039782C"/>
    <w:rsid w:val="003A16EA"/>
    <w:rsid w:val="003A2D09"/>
    <w:rsid w:val="003A5B4A"/>
    <w:rsid w:val="003B23C5"/>
    <w:rsid w:val="003B2A75"/>
    <w:rsid w:val="003B4FDA"/>
    <w:rsid w:val="003C5E48"/>
    <w:rsid w:val="003C6F6A"/>
    <w:rsid w:val="003D4AC4"/>
    <w:rsid w:val="003D63B7"/>
    <w:rsid w:val="003E468B"/>
    <w:rsid w:val="003F1FE6"/>
    <w:rsid w:val="003F5923"/>
    <w:rsid w:val="003F5C8C"/>
    <w:rsid w:val="004249D0"/>
    <w:rsid w:val="00431CB6"/>
    <w:rsid w:val="00432F05"/>
    <w:rsid w:val="00436189"/>
    <w:rsid w:val="00441C32"/>
    <w:rsid w:val="004465BD"/>
    <w:rsid w:val="00466ADA"/>
    <w:rsid w:val="00476245"/>
    <w:rsid w:val="00485940"/>
    <w:rsid w:val="004A2474"/>
    <w:rsid w:val="004A5A85"/>
    <w:rsid w:val="004B19D3"/>
    <w:rsid w:val="004B5640"/>
    <w:rsid w:val="004B66E8"/>
    <w:rsid w:val="004C1BD7"/>
    <w:rsid w:val="004C48E4"/>
    <w:rsid w:val="004C649C"/>
    <w:rsid w:val="004C691D"/>
    <w:rsid w:val="004E692D"/>
    <w:rsid w:val="004F0FA4"/>
    <w:rsid w:val="00501554"/>
    <w:rsid w:val="00514CD7"/>
    <w:rsid w:val="00521E13"/>
    <w:rsid w:val="005319B2"/>
    <w:rsid w:val="00532C74"/>
    <w:rsid w:val="00534E2E"/>
    <w:rsid w:val="00544552"/>
    <w:rsid w:val="00547B00"/>
    <w:rsid w:val="00561C36"/>
    <w:rsid w:val="00581932"/>
    <w:rsid w:val="005963BB"/>
    <w:rsid w:val="005A3173"/>
    <w:rsid w:val="005A3223"/>
    <w:rsid w:val="005A3DA3"/>
    <w:rsid w:val="005A44A9"/>
    <w:rsid w:val="005A52C4"/>
    <w:rsid w:val="005A531E"/>
    <w:rsid w:val="005D03AB"/>
    <w:rsid w:val="005D5017"/>
    <w:rsid w:val="005E1FA2"/>
    <w:rsid w:val="005E6D46"/>
    <w:rsid w:val="00601A91"/>
    <w:rsid w:val="00602BA3"/>
    <w:rsid w:val="006113DD"/>
    <w:rsid w:val="00614159"/>
    <w:rsid w:val="00617C00"/>
    <w:rsid w:val="00623A0E"/>
    <w:rsid w:val="006263BF"/>
    <w:rsid w:val="0062748A"/>
    <w:rsid w:val="006300BA"/>
    <w:rsid w:val="00630A2C"/>
    <w:rsid w:val="00630F18"/>
    <w:rsid w:val="0063245B"/>
    <w:rsid w:val="00644039"/>
    <w:rsid w:val="00651169"/>
    <w:rsid w:val="00653D69"/>
    <w:rsid w:val="0066175C"/>
    <w:rsid w:val="00663E91"/>
    <w:rsid w:val="0067018F"/>
    <w:rsid w:val="00670A76"/>
    <w:rsid w:val="006711AA"/>
    <w:rsid w:val="00672B57"/>
    <w:rsid w:val="00675622"/>
    <w:rsid w:val="00684454"/>
    <w:rsid w:val="006906DB"/>
    <w:rsid w:val="00690F0B"/>
    <w:rsid w:val="00693600"/>
    <w:rsid w:val="006A12A5"/>
    <w:rsid w:val="006A23DC"/>
    <w:rsid w:val="006B0D94"/>
    <w:rsid w:val="006B2827"/>
    <w:rsid w:val="006B485D"/>
    <w:rsid w:val="006C53FC"/>
    <w:rsid w:val="006C708E"/>
    <w:rsid w:val="006D1D7A"/>
    <w:rsid w:val="006D6EC7"/>
    <w:rsid w:val="006F5125"/>
    <w:rsid w:val="006F5CBD"/>
    <w:rsid w:val="0071007D"/>
    <w:rsid w:val="007141E2"/>
    <w:rsid w:val="007174BB"/>
    <w:rsid w:val="007178D8"/>
    <w:rsid w:val="007477C8"/>
    <w:rsid w:val="0076420C"/>
    <w:rsid w:val="007753C2"/>
    <w:rsid w:val="007836FF"/>
    <w:rsid w:val="007838B8"/>
    <w:rsid w:val="00786CCD"/>
    <w:rsid w:val="00791E77"/>
    <w:rsid w:val="00793A44"/>
    <w:rsid w:val="0079459D"/>
    <w:rsid w:val="007C0F57"/>
    <w:rsid w:val="007C40B6"/>
    <w:rsid w:val="007C729F"/>
    <w:rsid w:val="007E1D28"/>
    <w:rsid w:val="007F2641"/>
    <w:rsid w:val="007F7C36"/>
    <w:rsid w:val="00806796"/>
    <w:rsid w:val="00826F6D"/>
    <w:rsid w:val="0084696B"/>
    <w:rsid w:val="00856DDD"/>
    <w:rsid w:val="00863E68"/>
    <w:rsid w:val="00882085"/>
    <w:rsid w:val="00883188"/>
    <w:rsid w:val="008832DA"/>
    <w:rsid w:val="00897D58"/>
    <w:rsid w:val="008A1956"/>
    <w:rsid w:val="008A4937"/>
    <w:rsid w:val="008A70EE"/>
    <w:rsid w:val="008D3C82"/>
    <w:rsid w:val="008D447E"/>
    <w:rsid w:val="008D7A41"/>
    <w:rsid w:val="008E3680"/>
    <w:rsid w:val="008E5870"/>
    <w:rsid w:val="008F1434"/>
    <w:rsid w:val="008F7355"/>
    <w:rsid w:val="00900F3B"/>
    <w:rsid w:val="009067B7"/>
    <w:rsid w:val="00922550"/>
    <w:rsid w:val="00930937"/>
    <w:rsid w:val="00933E6C"/>
    <w:rsid w:val="00942160"/>
    <w:rsid w:val="0094320B"/>
    <w:rsid w:val="0094635A"/>
    <w:rsid w:val="00954195"/>
    <w:rsid w:val="009602C5"/>
    <w:rsid w:val="009726A7"/>
    <w:rsid w:val="00974C21"/>
    <w:rsid w:val="0097740B"/>
    <w:rsid w:val="009B0F67"/>
    <w:rsid w:val="009C703C"/>
    <w:rsid w:val="009D3CAA"/>
    <w:rsid w:val="009D4511"/>
    <w:rsid w:val="009D664C"/>
    <w:rsid w:val="009F4E46"/>
    <w:rsid w:val="009F5B65"/>
    <w:rsid w:val="009F5F2E"/>
    <w:rsid w:val="009F712A"/>
    <w:rsid w:val="00A06225"/>
    <w:rsid w:val="00A128E6"/>
    <w:rsid w:val="00A3178A"/>
    <w:rsid w:val="00A37C8D"/>
    <w:rsid w:val="00A431C3"/>
    <w:rsid w:val="00A50695"/>
    <w:rsid w:val="00A5273B"/>
    <w:rsid w:val="00A53A9D"/>
    <w:rsid w:val="00A5491D"/>
    <w:rsid w:val="00A55FEE"/>
    <w:rsid w:val="00A62C1A"/>
    <w:rsid w:val="00A63A5D"/>
    <w:rsid w:val="00A6426D"/>
    <w:rsid w:val="00A70622"/>
    <w:rsid w:val="00A70977"/>
    <w:rsid w:val="00A7282A"/>
    <w:rsid w:val="00A76B11"/>
    <w:rsid w:val="00A8390C"/>
    <w:rsid w:val="00A928BD"/>
    <w:rsid w:val="00AA4D1C"/>
    <w:rsid w:val="00AB6238"/>
    <w:rsid w:val="00AC193C"/>
    <w:rsid w:val="00AC5206"/>
    <w:rsid w:val="00AD18F5"/>
    <w:rsid w:val="00AD5104"/>
    <w:rsid w:val="00AD685D"/>
    <w:rsid w:val="00AD6F72"/>
    <w:rsid w:val="00AE11A5"/>
    <w:rsid w:val="00AE13E2"/>
    <w:rsid w:val="00AF68CC"/>
    <w:rsid w:val="00B205AA"/>
    <w:rsid w:val="00B22E84"/>
    <w:rsid w:val="00B25F75"/>
    <w:rsid w:val="00B43E90"/>
    <w:rsid w:val="00B467DC"/>
    <w:rsid w:val="00B51E86"/>
    <w:rsid w:val="00B53C28"/>
    <w:rsid w:val="00B56118"/>
    <w:rsid w:val="00B61C9F"/>
    <w:rsid w:val="00B6773F"/>
    <w:rsid w:val="00B801BA"/>
    <w:rsid w:val="00B80DA9"/>
    <w:rsid w:val="00BB0F58"/>
    <w:rsid w:val="00BB69F5"/>
    <w:rsid w:val="00BB7222"/>
    <w:rsid w:val="00BB7EC3"/>
    <w:rsid w:val="00BC13A2"/>
    <w:rsid w:val="00BC4B9A"/>
    <w:rsid w:val="00BD784C"/>
    <w:rsid w:val="00BF4CB6"/>
    <w:rsid w:val="00C00DA7"/>
    <w:rsid w:val="00C03C56"/>
    <w:rsid w:val="00C11F4D"/>
    <w:rsid w:val="00C12768"/>
    <w:rsid w:val="00C27B58"/>
    <w:rsid w:val="00C35996"/>
    <w:rsid w:val="00C5342C"/>
    <w:rsid w:val="00C55122"/>
    <w:rsid w:val="00C61308"/>
    <w:rsid w:val="00C6256A"/>
    <w:rsid w:val="00C6697F"/>
    <w:rsid w:val="00C82EE4"/>
    <w:rsid w:val="00C86866"/>
    <w:rsid w:val="00C91449"/>
    <w:rsid w:val="00C92D10"/>
    <w:rsid w:val="00CB5BA0"/>
    <w:rsid w:val="00CB69C1"/>
    <w:rsid w:val="00CE10C4"/>
    <w:rsid w:val="00CE27B5"/>
    <w:rsid w:val="00CE3B29"/>
    <w:rsid w:val="00D0321E"/>
    <w:rsid w:val="00D1455A"/>
    <w:rsid w:val="00D3280C"/>
    <w:rsid w:val="00D3406A"/>
    <w:rsid w:val="00D469B2"/>
    <w:rsid w:val="00D726AA"/>
    <w:rsid w:val="00D741EB"/>
    <w:rsid w:val="00D76DD7"/>
    <w:rsid w:val="00D8154B"/>
    <w:rsid w:val="00D84934"/>
    <w:rsid w:val="00D91271"/>
    <w:rsid w:val="00D95D73"/>
    <w:rsid w:val="00D9698E"/>
    <w:rsid w:val="00DA2CB5"/>
    <w:rsid w:val="00DA4BAC"/>
    <w:rsid w:val="00DD0F79"/>
    <w:rsid w:val="00DE0014"/>
    <w:rsid w:val="00DE6D27"/>
    <w:rsid w:val="00DF217D"/>
    <w:rsid w:val="00DF26A7"/>
    <w:rsid w:val="00E03479"/>
    <w:rsid w:val="00E164B3"/>
    <w:rsid w:val="00E16910"/>
    <w:rsid w:val="00E179AC"/>
    <w:rsid w:val="00E434C7"/>
    <w:rsid w:val="00E46051"/>
    <w:rsid w:val="00E57CC9"/>
    <w:rsid w:val="00E65E54"/>
    <w:rsid w:val="00E7256E"/>
    <w:rsid w:val="00E753C9"/>
    <w:rsid w:val="00E77816"/>
    <w:rsid w:val="00E80155"/>
    <w:rsid w:val="00E81B0B"/>
    <w:rsid w:val="00E848C0"/>
    <w:rsid w:val="00E91B96"/>
    <w:rsid w:val="00E941A1"/>
    <w:rsid w:val="00E95860"/>
    <w:rsid w:val="00E95CE3"/>
    <w:rsid w:val="00EA0081"/>
    <w:rsid w:val="00EA2825"/>
    <w:rsid w:val="00EA7E44"/>
    <w:rsid w:val="00EB5088"/>
    <w:rsid w:val="00ED1644"/>
    <w:rsid w:val="00EF44A0"/>
    <w:rsid w:val="00EF4FED"/>
    <w:rsid w:val="00F050BD"/>
    <w:rsid w:val="00F05657"/>
    <w:rsid w:val="00F06925"/>
    <w:rsid w:val="00F10D51"/>
    <w:rsid w:val="00F16A07"/>
    <w:rsid w:val="00F16CCD"/>
    <w:rsid w:val="00F25578"/>
    <w:rsid w:val="00F258E5"/>
    <w:rsid w:val="00F300BC"/>
    <w:rsid w:val="00F3334E"/>
    <w:rsid w:val="00F36973"/>
    <w:rsid w:val="00F50EC4"/>
    <w:rsid w:val="00F57A6D"/>
    <w:rsid w:val="00F57FCB"/>
    <w:rsid w:val="00F638CC"/>
    <w:rsid w:val="00F64CC1"/>
    <w:rsid w:val="00F6720B"/>
    <w:rsid w:val="00F8247A"/>
    <w:rsid w:val="00F85498"/>
    <w:rsid w:val="00F9629A"/>
    <w:rsid w:val="00FA3804"/>
    <w:rsid w:val="00FA50CD"/>
    <w:rsid w:val="00FA5883"/>
    <w:rsid w:val="00FA6055"/>
    <w:rsid w:val="00FB322F"/>
    <w:rsid w:val="00FB442F"/>
    <w:rsid w:val="00FC1929"/>
    <w:rsid w:val="00FC279A"/>
    <w:rsid w:val="00FC34F5"/>
    <w:rsid w:val="00FC5B46"/>
    <w:rsid w:val="00FC5FFA"/>
    <w:rsid w:val="00FD629A"/>
    <w:rsid w:val="00FF00BD"/>
    <w:rsid w:val="00FF1ED4"/>
    <w:rsid w:val="00FF2801"/>
    <w:rsid w:val="00FF3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16CCD"/>
    <w:pPr>
      <w:numPr>
        <w:numId w:val="25"/>
      </w:numPr>
      <w:jc w:val="both"/>
      <w:outlineLvl w:val="0"/>
    </w:pPr>
    <w:rPr>
      <w:rFonts w:ascii="Arial" w:hAnsi="Arial"/>
      <w:b/>
      <w:sz w:val="22"/>
      <w:szCs w:val="22"/>
    </w:rPr>
  </w:style>
  <w:style w:type="paragraph" w:styleId="Heading2">
    <w:name w:val="heading 2"/>
    <w:basedOn w:val="Normal"/>
    <w:next w:val="Normal"/>
    <w:qFormat/>
    <w:rsid w:val="00F16CCD"/>
    <w:pPr>
      <w:keepNext/>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Execsummary">
    <w:name w:val="Exec summary"/>
    <w:basedOn w:val="Normal"/>
    <w:link w:val="ExecsummaryChar"/>
    <w:rsid w:val="00C61308"/>
    <w:pPr>
      <w:spacing w:line="288" w:lineRule="auto"/>
      <w:jc w:val="both"/>
    </w:pPr>
    <w:rPr>
      <w:sz w:val="22"/>
      <w:szCs w:val="20"/>
      <w:lang w:eastAsia="ja-JP"/>
    </w:rPr>
  </w:style>
  <w:style w:type="character" w:customStyle="1" w:styleId="ExecsummaryChar">
    <w:name w:val="Exec summary Char"/>
    <w:link w:val="Execsummary"/>
    <w:rsid w:val="00C61308"/>
    <w:rPr>
      <w:sz w:val="22"/>
      <w:lang w:eastAsia="ja-JP"/>
    </w:rPr>
  </w:style>
  <w:style w:type="paragraph" w:customStyle="1" w:styleId="TableFooter">
    <w:name w:val="Table Footer"/>
    <w:basedOn w:val="Normal"/>
    <w:qFormat/>
    <w:rsid w:val="00E95860"/>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E95860"/>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E95860"/>
    <w:rPr>
      <w:sz w:val="24"/>
      <w:szCs w:val="24"/>
    </w:rPr>
  </w:style>
  <w:style w:type="paragraph" w:customStyle="1" w:styleId="PBACHeading10">
    <w:name w:val="PBAC Heading 1"/>
    <w:qFormat/>
    <w:rsid w:val="007141E2"/>
    <w:pPr>
      <w:ind w:left="720" w:hanging="720"/>
    </w:pPr>
    <w:rPr>
      <w:rFonts w:ascii="Arial" w:hAnsi="Arial" w:cs="Arial"/>
      <w:b/>
      <w:snapToGrid w:val="0"/>
      <w:sz w:val="22"/>
      <w:szCs w:val="22"/>
      <w:lang w:eastAsia="en-US"/>
    </w:rPr>
  </w:style>
  <w:style w:type="paragraph" w:customStyle="1" w:styleId="Default">
    <w:name w:val="Default"/>
    <w:rsid w:val="00EA7E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105A1"/>
    <w:rPr>
      <w:color w:val="800080" w:themeColor="followedHyperlink"/>
      <w:u w:val="single"/>
    </w:rPr>
  </w:style>
  <w:style w:type="paragraph" w:styleId="Title">
    <w:name w:val="Title"/>
    <w:basedOn w:val="Normal"/>
    <w:next w:val="Normal"/>
    <w:link w:val="TitleChar"/>
    <w:qFormat/>
    <w:rsid w:val="00F16CCD"/>
    <w:pPr>
      <w:ind w:left="720" w:hanging="720"/>
      <w:outlineLvl w:val="0"/>
    </w:pPr>
    <w:rPr>
      <w:rFonts w:ascii="Arial" w:hAnsi="Arial"/>
      <w:b/>
      <w:sz w:val="28"/>
      <w:szCs w:val="28"/>
    </w:rPr>
  </w:style>
  <w:style w:type="character" w:customStyle="1" w:styleId="TitleChar">
    <w:name w:val="Title Char"/>
    <w:basedOn w:val="DefaultParagraphFont"/>
    <w:link w:val="Title"/>
    <w:rsid w:val="00F16CCD"/>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16CCD"/>
    <w:pPr>
      <w:numPr>
        <w:numId w:val="25"/>
      </w:numPr>
      <w:jc w:val="both"/>
      <w:outlineLvl w:val="0"/>
    </w:pPr>
    <w:rPr>
      <w:rFonts w:ascii="Arial" w:hAnsi="Arial"/>
      <w:b/>
      <w:sz w:val="22"/>
      <w:szCs w:val="22"/>
    </w:rPr>
  </w:style>
  <w:style w:type="paragraph" w:styleId="Heading2">
    <w:name w:val="heading 2"/>
    <w:basedOn w:val="Normal"/>
    <w:next w:val="Normal"/>
    <w:qFormat/>
    <w:rsid w:val="00F16CCD"/>
    <w:pPr>
      <w:keepNext/>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Execsummary">
    <w:name w:val="Exec summary"/>
    <w:basedOn w:val="Normal"/>
    <w:link w:val="ExecsummaryChar"/>
    <w:rsid w:val="00C61308"/>
    <w:pPr>
      <w:spacing w:line="288" w:lineRule="auto"/>
      <w:jc w:val="both"/>
    </w:pPr>
    <w:rPr>
      <w:sz w:val="22"/>
      <w:szCs w:val="20"/>
      <w:lang w:eastAsia="ja-JP"/>
    </w:rPr>
  </w:style>
  <w:style w:type="character" w:customStyle="1" w:styleId="ExecsummaryChar">
    <w:name w:val="Exec summary Char"/>
    <w:link w:val="Execsummary"/>
    <w:rsid w:val="00C61308"/>
    <w:rPr>
      <w:sz w:val="22"/>
      <w:lang w:eastAsia="ja-JP"/>
    </w:rPr>
  </w:style>
  <w:style w:type="paragraph" w:customStyle="1" w:styleId="TableFooter">
    <w:name w:val="Table Footer"/>
    <w:basedOn w:val="Normal"/>
    <w:qFormat/>
    <w:rsid w:val="00E95860"/>
    <w:pPr>
      <w:widowControl w:val="0"/>
      <w:jc w:val="both"/>
    </w:pPr>
    <w:rPr>
      <w:rFonts w:ascii="Arial Narrow" w:hAnsi="Arial Narrow" w:cs="Arial"/>
      <w:snapToGrid w:val="0"/>
      <w:sz w:val="18"/>
      <w:szCs w:val="20"/>
      <w:lang w:eastAsia="en-US"/>
    </w:rPr>
  </w:style>
  <w:style w:type="paragraph" w:customStyle="1" w:styleId="PBACheading1">
    <w:name w:val="PBAC heading 1"/>
    <w:qFormat/>
    <w:rsid w:val="00E95860"/>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E95860"/>
    <w:rPr>
      <w:sz w:val="24"/>
      <w:szCs w:val="24"/>
    </w:rPr>
  </w:style>
  <w:style w:type="paragraph" w:customStyle="1" w:styleId="PBACHeading10">
    <w:name w:val="PBAC Heading 1"/>
    <w:qFormat/>
    <w:rsid w:val="007141E2"/>
    <w:pPr>
      <w:ind w:left="720" w:hanging="720"/>
    </w:pPr>
    <w:rPr>
      <w:rFonts w:ascii="Arial" w:hAnsi="Arial" w:cs="Arial"/>
      <w:b/>
      <w:snapToGrid w:val="0"/>
      <w:sz w:val="22"/>
      <w:szCs w:val="22"/>
      <w:lang w:eastAsia="en-US"/>
    </w:rPr>
  </w:style>
  <w:style w:type="paragraph" w:customStyle="1" w:styleId="Default">
    <w:name w:val="Default"/>
    <w:rsid w:val="00EA7E4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105A1"/>
    <w:rPr>
      <w:color w:val="800080" w:themeColor="followedHyperlink"/>
      <w:u w:val="single"/>
    </w:rPr>
  </w:style>
  <w:style w:type="paragraph" w:styleId="Title">
    <w:name w:val="Title"/>
    <w:basedOn w:val="Normal"/>
    <w:next w:val="Normal"/>
    <w:link w:val="TitleChar"/>
    <w:qFormat/>
    <w:rsid w:val="00F16CCD"/>
    <w:pPr>
      <w:ind w:left="720" w:hanging="720"/>
      <w:outlineLvl w:val="0"/>
    </w:pPr>
    <w:rPr>
      <w:rFonts w:ascii="Arial" w:hAnsi="Arial"/>
      <w:b/>
      <w:sz w:val="28"/>
      <w:szCs w:val="28"/>
    </w:rPr>
  </w:style>
  <w:style w:type="character" w:customStyle="1" w:styleId="TitleChar">
    <w:name w:val="Title Char"/>
    <w:basedOn w:val="DefaultParagraphFont"/>
    <w:link w:val="Title"/>
    <w:rsid w:val="00F16CCD"/>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259265671">
      <w:bodyDiv w:val="1"/>
      <w:marLeft w:val="0"/>
      <w:marRight w:val="0"/>
      <w:marTop w:val="0"/>
      <w:marBottom w:val="0"/>
      <w:divBdr>
        <w:top w:val="none" w:sz="0" w:space="0" w:color="auto"/>
        <w:left w:val="none" w:sz="0" w:space="0" w:color="auto"/>
        <w:bottom w:val="none" w:sz="0" w:space="0" w:color="auto"/>
        <w:right w:val="none" w:sz="0" w:space="0" w:color="auto"/>
      </w:divBdr>
    </w:div>
    <w:div w:id="372656777">
      <w:bodyDiv w:val="1"/>
      <w:marLeft w:val="0"/>
      <w:marRight w:val="0"/>
      <w:marTop w:val="0"/>
      <w:marBottom w:val="0"/>
      <w:divBdr>
        <w:top w:val="none" w:sz="0" w:space="0" w:color="auto"/>
        <w:left w:val="none" w:sz="0" w:space="0" w:color="auto"/>
        <w:bottom w:val="none" w:sz="0" w:space="0" w:color="auto"/>
        <w:right w:val="none" w:sz="0" w:space="0" w:color="auto"/>
      </w:divBdr>
    </w:div>
    <w:div w:id="374545351">
      <w:bodyDiv w:val="1"/>
      <w:marLeft w:val="0"/>
      <w:marRight w:val="0"/>
      <w:marTop w:val="0"/>
      <w:marBottom w:val="0"/>
      <w:divBdr>
        <w:top w:val="none" w:sz="0" w:space="0" w:color="auto"/>
        <w:left w:val="none" w:sz="0" w:space="0" w:color="auto"/>
        <w:bottom w:val="none" w:sz="0" w:space="0" w:color="auto"/>
        <w:right w:val="none" w:sz="0" w:space="0" w:color="auto"/>
      </w:divBdr>
    </w:div>
    <w:div w:id="73284799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9222310">
      <w:bodyDiv w:val="1"/>
      <w:marLeft w:val="0"/>
      <w:marRight w:val="0"/>
      <w:marTop w:val="0"/>
      <w:marBottom w:val="0"/>
      <w:divBdr>
        <w:top w:val="none" w:sz="0" w:space="0" w:color="auto"/>
        <w:left w:val="none" w:sz="0" w:space="0" w:color="auto"/>
        <w:bottom w:val="none" w:sz="0" w:space="0" w:color="auto"/>
        <w:right w:val="none" w:sz="0" w:space="0" w:color="auto"/>
      </w:divBdr>
    </w:div>
    <w:div w:id="938217581">
      <w:bodyDiv w:val="1"/>
      <w:marLeft w:val="0"/>
      <w:marRight w:val="0"/>
      <w:marTop w:val="0"/>
      <w:marBottom w:val="0"/>
      <w:divBdr>
        <w:top w:val="none" w:sz="0" w:space="0" w:color="auto"/>
        <w:left w:val="none" w:sz="0" w:space="0" w:color="auto"/>
        <w:bottom w:val="none" w:sz="0" w:space="0" w:color="auto"/>
        <w:right w:val="none" w:sz="0" w:space="0" w:color="auto"/>
      </w:divBdr>
    </w:div>
    <w:div w:id="1147355603">
      <w:bodyDiv w:val="1"/>
      <w:marLeft w:val="0"/>
      <w:marRight w:val="0"/>
      <w:marTop w:val="0"/>
      <w:marBottom w:val="0"/>
      <w:divBdr>
        <w:top w:val="none" w:sz="0" w:space="0" w:color="auto"/>
        <w:left w:val="none" w:sz="0" w:space="0" w:color="auto"/>
        <w:bottom w:val="none" w:sz="0" w:space="0" w:color="auto"/>
        <w:right w:val="none" w:sz="0" w:space="0" w:color="auto"/>
      </w:divBdr>
    </w:div>
    <w:div w:id="1187404817">
      <w:bodyDiv w:val="1"/>
      <w:marLeft w:val="0"/>
      <w:marRight w:val="0"/>
      <w:marTop w:val="0"/>
      <w:marBottom w:val="0"/>
      <w:divBdr>
        <w:top w:val="none" w:sz="0" w:space="0" w:color="auto"/>
        <w:left w:val="none" w:sz="0" w:space="0" w:color="auto"/>
        <w:bottom w:val="none" w:sz="0" w:space="0" w:color="auto"/>
        <w:right w:val="none" w:sz="0" w:space="0" w:color="auto"/>
      </w:divBdr>
    </w:div>
    <w:div w:id="13252806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38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1627-BAED-4E92-879A-E4E45AAD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2016-06-20T05:44:00Z</dcterms:created>
  <dcterms:modified xsi:type="dcterms:W3CDTF">2016-06-22T01:43:00Z</dcterms:modified>
</cp:coreProperties>
</file>