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4195C" w14:textId="77777777" w:rsidR="00FB2842" w:rsidRDefault="00195E71" w:rsidP="00BC2406">
      <w:pPr>
        <w:pStyle w:val="Title"/>
      </w:pPr>
      <w:r>
        <w:rPr>
          <w:color w:val="2E5395"/>
        </w:rPr>
        <w:t>Update</w:t>
      </w:r>
      <w:r>
        <w:rPr>
          <w:color w:val="2E5395"/>
          <w:spacing w:val="-15"/>
        </w:rPr>
        <w:t xml:space="preserve"> </w:t>
      </w:r>
      <w:r>
        <w:rPr>
          <w:color w:val="2E5395"/>
        </w:rPr>
        <w:t>from</w:t>
      </w:r>
      <w:r>
        <w:rPr>
          <w:color w:val="2E5395"/>
          <w:spacing w:val="-14"/>
        </w:rPr>
        <w:t xml:space="preserve"> </w:t>
      </w:r>
      <w:r>
        <w:rPr>
          <w:color w:val="2E5395"/>
        </w:rPr>
        <w:t>the</w:t>
      </w:r>
      <w:r>
        <w:rPr>
          <w:color w:val="2E5395"/>
          <w:spacing w:val="-14"/>
        </w:rPr>
        <w:t xml:space="preserve"> </w:t>
      </w:r>
      <w:r>
        <w:rPr>
          <w:color w:val="2E5395"/>
        </w:rPr>
        <w:t>Pharmaceutical</w:t>
      </w:r>
      <w:r>
        <w:rPr>
          <w:color w:val="2E5395"/>
          <w:spacing w:val="-15"/>
        </w:rPr>
        <w:t xml:space="preserve"> </w:t>
      </w:r>
      <w:r>
        <w:rPr>
          <w:color w:val="2E5395"/>
        </w:rPr>
        <w:t>Benefits</w:t>
      </w:r>
      <w:r>
        <w:rPr>
          <w:color w:val="2E5395"/>
          <w:spacing w:val="-15"/>
        </w:rPr>
        <w:t xml:space="preserve"> </w:t>
      </w:r>
      <w:r>
        <w:rPr>
          <w:color w:val="2E5395"/>
        </w:rPr>
        <w:t>Advisory</w:t>
      </w:r>
      <w:r>
        <w:rPr>
          <w:color w:val="2E5395"/>
          <w:spacing w:val="-14"/>
        </w:rPr>
        <w:t xml:space="preserve"> </w:t>
      </w:r>
      <w:r>
        <w:rPr>
          <w:color w:val="2E5395"/>
          <w:spacing w:val="-2"/>
        </w:rPr>
        <w:t>Committee</w:t>
      </w:r>
    </w:p>
    <w:p w14:paraId="4F74195D" w14:textId="29CAC9A3" w:rsidR="00FB2842" w:rsidRDefault="00F36D61" w:rsidP="00BC2406">
      <w:pPr>
        <w:spacing w:before="72"/>
        <w:ind w:left="100"/>
        <w:rPr>
          <w:rFonts w:ascii="Calibri Light"/>
          <w:sz w:val="26"/>
          <w:szCs w:val="26"/>
        </w:rPr>
      </w:pPr>
      <w:r w:rsidRPr="6EF6C53A">
        <w:rPr>
          <w:rFonts w:ascii="Calibri Light"/>
          <w:color w:val="2E5395"/>
          <w:sz w:val="26"/>
          <w:szCs w:val="26"/>
        </w:rPr>
        <w:t>November</w:t>
      </w:r>
      <w:r w:rsidR="00195E71" w:rsidRPr="6EF6C53A">
        <w:rPr>
          <w:rFonts w:ascii="Calibri Light"/>
          <w:color w:val="2E5395"/>
          <w:spacing w:val="-14"/>
          <w:sz w:val="26"/>
          <w:szCs w:val="26"/>
        </w:rPr>
        <w:t xml:space="preserve"> </w:t>
      </w:r>
      <w:r w:rsidR="00195E71" w:rsidRPr="6EF6C53A">
        <w:rPr>
          <w:rFonts w:ascii="Calibri Light"/>
          <w:color w:val="2E5395"/>
          <w:spacing w:val="-4"/>
          <w:sz w:val="26"/>
          <w:szCs w:val="26"/>
        </w:rPr>
        <w:t>2024</w:t>
      </w:r>
    </w:p>
    <w:p w14:paraId="4F74195F" w14:textId="7CEF312D" w:rsidR="00FB2842" w:rsidRDefault="450E6A78" w:rsidP="00BC2406">
      <w:pPr>
        <w:pStyle w:val="BodyText"/>
        <w:spacing w:before="292"/>
        <w:ind w:left="102" w:right="62"/>
      </w:pPr>
      <w:r>
        <w:t xml:space="preserve">The latest meeting of the </w:t>
      </w:r>
      <w:r w:rsidR="1C6B8CAB">
        <w:t xml:space="preserve">Pharmaceutical Benefits Advisory Committee (PBAC) </w:t>
      </w:r>
      <w:r>
        <w:t>was held</w:t>
      </w:r>
      <w:r w:rsidR="39B713A8">
        <w:t xml:space="preserve"> on</w:t>
      </w:r>
      <w:r>
        <w:t xml:space="preserve"> </w:t>
      </w:r>
      <w:r w:rsidR="007313E5">
        <w:t>6</w:t>
      </w:r>
      <w:r w:rsidR="35BBA938" w:rsidRPr="1060B7DF">
        <w:rPr>
          <w:vertAlign w:val="subscript"/>
        </w:rPr>
        <w:t> </w:t>
      </w:r>
      <w:r w:rsidR="7A952238" w:rsidRPr="00BC2406">
        <w:t>-</w:t>
      </w:r>
      <w:r w:rsidR="35BBA938" w:rsidRPr="1060B7DF">
        <w:rPr>
          <w:vertAlign w:val="subscript"/>
        </w:rPr>
        <w:t> </w:t>
      </w:r>
      <w:r w:rsidR="007313E5">
        <w:t>8</w:t>
      </w:r>
      <w:r w:rsidR="51B470C4">
        <w:t> </w:t>
      </w:r>
      <w:r w:rsidR="1640F6DB">
        <w:t xml:space="preserve">November. </w:t>
      </w:r>
      <w:r w:rsidR="46DF2EA1">
        <w:t>T</w:t>
      </w:r>
      <w:r w:rsidR="1C6B8CAB">
        <w:t>his</w:t>
      </w:r>
      <w:r w:rsidR="1C6B8CAB">
        <w:rPr>
          <w:spacing w:val="-2"/>
        </w:rPr>
        <w:t xml:space="preserve"> </w:t>
      </w:r>
      <w:r w:rsidR="1C6B8CAB">
        <w:t>update</w:t>
      </w:r>
      <w:r w:rsidR="1C6B8CAB">
        <w:rPr>
          <w:spacing w:val="-2"/>
        </w:rPr>
        <w:t xml:space="preserve"> </w:t>
      </w:r>
      <w:r w:rsidR="24F78963">
        <w:t xml:space="preserve">aims to enhance </w:t>
      </w:r>
      <w:r w:rsidR="085040F5">
        <w:t xml:space="preserve">the Committee’s </w:t>
      </w:r>
      <w:r w:rsidR="10A6AECD">
        <w:t>communication to</w:t>
      </w:r>
      <w:r w:rsidR="6CA824F8">
        <w:t xml:space="preserve"> all stakeholders</w:t>
      </w:r>
      <w:r w:rsidR="24F78963">
        <w:t xml:space="preserve"> separate to the </w:t>
      </w:r>
      <w:r w:rsidR="2A92050D">
        <w:t>public summary documents,</w:t>
      </w:r>
      <w:r w:rsidR="24F78963">
        <w:t xml:space="preserve"> which will be published as usual</w:t>
      </w:r>
      <w:r w:rsidR="1C6B8CAB">
        <w:t>.</w:t>
      </w:r>
    </w:p>
    <w:p w14:paraId="4F741960" w14:textId="77777777" w:rsidR="00FB2842" w:rsidRDefault="00FB2842" w:rsidP="00917E67">
      <w:pPr>
        <w:pStyle w:val="BodyText"/>
        <w:spacing w:before="1"/>
        <w:ind w:left="0"/>
      </w:pPr>
    </w:p>
    <w:p w14:paraId="4F741961" w14:textId="77777777" w:rsidR="00FB2842" w:rsidRDefault="00195E71" w:rsidP="00917E67">
      <w:pPr>
        <w:pStyle w:val="Heading1"/>
      </w:pPr>
      <w:r>
        <w:t>Consumer</w:t>
      </w:r>
      <w:r>
        <w:rPr>
          <w:spacing w:val="-5"/>
        </w:rPr>
        <w:t xml:space="preserve"> </w:t>
      </w:r>
      <w:r>
        <w:t>and</w:t>
      </w:r>
      <w:r>
        <w:rPr>
          <w:spacing w:val="-6"/>
        </w:rPr>
        <w:t xml:space="preserve"> </w:t>
      </w:r>
      <w:r>
        <w:t>clinician</w:t>
      </w:r>
      <w:r>
        <w:rPr>
          <w:spacing w:val="-5"/>
        </w:rPr>
        <w:t xml:space="preserve"> </w:t>
      </w:r>
      <w:r>
        <w:t>input</w:t>
      </w:r>
      <w:r>
        <w:rPr>
          <w:spacing w:val="-5"/>
        </w:rPr>
        <w:t xml:space="preserve"> </w:t>
      </w:r>
      <w:r>
        <w:t>and</w:t>
      </w:r>
      <w:r>
        <w:rPr>
          <w:spacing w:val="-6"/>
        </w:rPr>
        <w:t xml:space="preserve"> </w:t>
      </w:r>
      <w:r>
        <w:rPr>
          <w:spacing w:val="-2"/>
        </w:rPr>
        <w:t>involvement</w:t>
      </w:r>
    </w:p>
    <w:p w14:paraId="1772762C" w14:textId="33ADBCC4" w:rsidR="00E910F9" w:rsidRDefault="00D103E8" w:rsidP="00917E67">
      <w:pPr>
        <w:pStyle w:val="BodyText"/>
        <w:ind w:right="62"/>
        <w:rPr>
          <w:spacing w:val="-2"/>
        </w:rPr>
      </w:pPr>
      <w:r>
        <w:t xml:space="preserve">A total of 59 submissions were received for the </w:t>
      </w:r>
      <w:r w:rsidR="00F735FE">
        <w:t xml:space="preserve">November </w:t>
      </w:r>
      <w:r w:rsidR="0001292A">
        <w:t xml:space="preserve">2024 </w:t>
      </w:r>
      <w:r>
        <w:t xml:space="preserve">meeting of </w:t>
      </w:r>
      <w:r w:rsidR="00355C7C" w:rsidRPr="00355C7C">
        <w:t xml:space="preserve">which 38 required external evaluation by HTA service providers. Of these 22 </w:t>
      </w:r>
      <w:r w:rsidR="301B4D6D">
        <w:rPr>
          <w:spacing w:val="-2"/>
        </w:rPr>
        <w:t>submissions requir</w:t>
      </w:r>
      <w:r w:rsidR="59F3D70E">
        <w:rPr>
          <w:spacing w:val="-2"/>
        </w:rPr>
        <w:t>ed</w:t>
      </w:r>
      <w:r w:rsidR="301B4D6D">
        <w:rPr>
          <w:spacing w:val="-2"/>
        </w:rPr>
        <w:t xml:space="preserve"> complex </w:t>
      </w:r>
      <w:r w:rsidR="006A06EB" w:rsidRPr="006A06EB">
        <w:rPr>
          <w:spacing w:val="-2"/>
        </w:rPr>
        <w:t xml:space="preserve">economic </w:t>
      </w:r>
      <w:r w:rsidR="301B4D6D">
        <w:rPr>
          <w:spacing w:val="-2"/>
        </w:rPr>
        <w:t>evaluation</w:t>
      </w:r>
      <w:r w:rsidR="00355C7C">
        <w:rPr>
          <w:spacing w:val="-2"/>
        </w:rPr>
        <w:t>s</w:t>
      </w:r>
      <w:r w:rsidR="301B4D6D">
        <w:rPr>
          <w:spacing w:val="-2"/>
        </w:rPr>
        <w:t xml:space="preserve"> (</w:t>
      </w:r>
      <w:r w:rsidR="000921C8">
        <w:rPr>
          <w:spacing w:val="-2"/>
        </w:rPr>
        <w:t>cost effectiveness/cost utility</w:t>
      </w:r>
      <w:r w:rsidR="44114F03">
        <w:rPr>
          <w:spacing w:val="-2"/>
        </w:rPr>
        <w:t>)</w:t>
      </w:r>
      <w:r w:rsidR="000921C8">
        <w:rPr>
          <w:spacing w:val="-2"/>
        </w:rPr>
        <w:t xml:space="preserve">. </w:t>
      </w:r>
    </w:p>
    <w:p w14:paraId="686FE11D" w14:textId="77777777" w:rsidR="00E031C2" w:rsidRDefault="00E031C2" w:rsidP="00917E67">
      <w:pPr>
        <w:pStyle w:val="BodyText"/>
        <w:ind w:right="62"/>
        <w:rPr>
          <w:spacing w:val="-2"/>
        </w:rPr>
      </w:pPr>
    </w:p>
    <w:p w14:paraId="4F741962" w14:textId="790A7939" w:rsidR="00FB2842" w:rsidRDefault="55BBF4F4" w:rsidP="00917E67">
      <w:pPr>
        <w:pStyle w:val="BodyText"/>
        <w:ind w:right="62"/>
      </w:pPr>
      <w:r>
        <w:rPr>
          <w:spacing w:val="-2"/>
        </w:rPr>
        <w:t>In relation to the submissions, t</w:t>
      </w:r>
      <w:r w:rsidR="1C6B8CAB">
        <w:t>he Committee</w:t>
      </w:r>
      <w:r w:rsidR="1C6B8CAB">
        <w:rPr>
          <w:spacing w:val="-1"/>
        </w:rPr>
        <w:t xml:space="preserve"> </w:t>
      </w:r>
      <w:r>
        <w:rPr>
          <w:spacing w:val="-1"/>
        </w:rPr>
        <w:t xml:space="preserve">received </w:t>
      </w:r>
      <w:r>
        <w:rPr>
          <w:spacing w:val="-2"/>
        </w:rPr>
        <w:t xml:space="preserve">over </w:t>
      </w:r>
      <w:r w:rsidR="03586C1E">
        <w:rPr>
          <w:spacing w:val="-2"/>
        </w:rPr>
        <w:t xml:space="preserve">800 inputs, including </w:t>
      </w:r>
      <w:r w:rsidR="759150EA">
        <w:rPr>
          <w:spacing w:val="-2"/>
        </w:rPr>
        <w:t xml:space="preserve">over </w:t>
      </w:r>
      <w:r>
        <w:rPr>
          <w:spacing w:val="-2"/>
        </w:rPr>
        <w:t>50</w:t>
      </w:r>
      <w:r w:rsidDel="00962753">
        <w:t>0</w:t>
      </w:r>
      <w:r>
        <w:rPr>
          <w:spacing w:val="-2"/>
        </w:rPr>
        <w:t xml:space="preserve"> inputs</w:t>
      </w:r>
      <w:r>
        <w:t xml:space="preserve"> from individual</w:t>
      </w:r>
      <w:r>
        <w:rPr>
          <w:spacing w:val="-1"/>
        </w:rPr>
        <w:t xml:space="preserve"> </w:t>
      </w:r>
      <w:r>
        <w:t>patients</w:t>
      </w:r>
      <w:r>
        <w:rPr>
          <w:spacing w:val="-3"/>
        </w:rPr>
        <w:t xml:space="preserve">, 120 comments provided by health care professionals, </w:t>
      </w:r>
      <w:r>
        <w:t>and</w:t>
      </w:r>
      <w:r>
        <w:rPr>
          <w:spacing w:val="-2"/>
        </w:rPr>
        <w:t xml:space="preserve"> </w:t>
      </w:r>
      <w:r>
        <w:t>77 submissions</w:t>
      </w:r>
      <w:r>
        <w:rPr>
          <w:spacing w:val="-1"/>
        </w:rPr>
        <w:t xml:space="preserve"> </w:t>
      </w:r>
      <w:r>
        <w:t>from patient</w:t>
      </w:r>
      <w:r>
        <w:rPr>
          <w:spacing w:val="-3"/>
        </w:rPr>
        <w:t xml:space="preserve"> </w:t>
      </w:r>
      <w:r>
        <w:t xml:space="preserve">organisations. The Committee acknowledged the </w:t>
      </w:r>
      <w:r w:rsidR="4BB8D9C6">
        <w:t xml:space="preserve">importance of these </w:t>
      </w:r>
      <w:r w:rsidR="1AE6FF40">
        <w:t xml:space="preserve">contributions </w:t>
      </w:r>
      <w:r w:rsidR="67B4A06A">
        <w:t xml:space="preserve">and </w:t>
      </w:r>
      <w:r w:rsidR="555DCC97">
        <w:t>thank</w:t>
      </w:r>
      <w:r w:rsidR="4BB8D9C6">
        <w:t>ed</w:t>
      </w:r>
      <w:r w:rsidR="555DCC97">
        <w:t xml:space="preserve"> </w:t>
      </w:r>
      <w:r w:rsidR="703143D1">
        <w:t xml:space="preserve">those who contributed </w:t>
      </w:r>
      <w:r w:rsidR="555DCC97">
        <w:t xml:space="preserve">for their </w:t>
      </w:r>
      <w:r w:rsidR="1C6B8CAB">
        <w:t xml:space="preserve">engagement and commitment </w:t>
      </w:r>
      <w:r w:rsidR="78FFAD7B">
        <w:t>to</w:t>
      </w:r>
      <w:r w:rsidR="1C6B8CAB">
        <w:t xml:space="preserve"> work with the PBAC to </w:t>
      </w:r>
      <w:r w:rsidR="24F78963">
        <w:t xml:space="preserve">better </w:t>
      </w:r>
      <w:r w:rsidR="1C6B8CAB">
        <w:t>support positive outcomes for patients.</w:t>
      </w:r>
    </w:p>
    <w:p w14:paraId="4F741963" w14:textId="77777777" w:rsidR="00FB2842" w:rsidRDefault="00FB2842" w:rsidP="00917E67">
      <w:pPr>
        <w:pStyle w:val="BodyText"/>
        <w:ind w:left="0"/>
      </w:pPr>
    </w:p>
    <w:p w14:paraId="4F741965" w14:textId="5EC34ADA" w:rsidR="00FB2842" w:rsidRDefault="00C76392" w:rsidP="00917E67">
      <w:pPr>
        <w:pStyle w:val="BodyText"/>
        <w:spacing w:before="1"/>
      </w:pPr>
      <w:r>
        <w:t>Specific</w:t>
      </w:r>
      <w:r w:rsidR="00195E71">
        <w:rPr>
          <w:spacing w:val="-4"/>
        </w:rPr>
        <w:t xml:space="preserve"> </w:t>
      </w:r>
      <w:r w:rsidR="00195E71">
        <w:t>meetings</w:t>
      </w:r>
      <w:r w:rsidR="00195E71">
        <w:rPr>
          <w:spacing w:val="-1"/>
        </w:rPr>
        <w:t xml:space="preserve"> </w:t>
      </w:r>
      <w:r w:rsidR="00195E71">
        <w:t>to</w:t>
      </w:r>
      <w:r w:rsidR="00195E71">
        <w:rPr>
          <w:spacing w:val="-1"/>
        </w:rPr>
        <w:t xml:space="preserve"> </w:t>
      </w:r>
      <w:r w:rsidR="00195E71">
        <w:t>gain</w:t>
      </w:r>
      <w:r w:rsidR="00195E71">
        <w:rPr>
          <w:spacing w:val="-5"/>
        </w:rPr>
        <w:t xml:space="preserve"> </w:t>
      </w:r>
      <w:r w:rsidR="00195E71">
        <w:t>additional</w:t>
      </w:r>
      <w:r w:rsidR="00195E71">
        <w:rPr>
          <w:spacing w:val="-1"/>
        </w:rPr>
        <w:t xml:space="preserve"> </w:t>
      </w:r>
      <w:r w:rsidR="00195E71">
        <w:t>consumer</w:t>
      </w:r>
      <w:r w:rsidR="00195E71">
        <w:rPr>
          <w:spacing w:val="-2"/>
        </w:rPr>
        <w:t xml:space="preserve"> </w:t>
      </w:r>
      <w:r w:rsidR="00195E71">
        <w:t>and</w:t>
      </w:r>
      <w:r w:rsidR="00195E71">
        <w:rPr>
          <w:spacing w:val="-3"/>
        </w:rPr>
        <w:t xml:space="preserve"> </w:t>
      </w:r>
      <w:r w:rsidR="00195E71">
        <w:t>clinical</w:t>
      </w:r>
      <w:r w:rsidR="00195E71">
        <w:rPr>
          <w:spacing w:val="-3"/>
        </w:rPr>
        <w:t xml:space="preserve"> </w:t>
      </w:r>
      <w:r w:rsidR="00195E71">
        <w:t>input from groups</w:t>
      </w:r>
      <w:r w:rsidR="00195E71">
        <w:rPr>
          <w:spacing w:val="-2"/>
        </w:rPr>
        <w:t xml:space="preserve"> </w:t>
      </w:r>
      <w:r w:rsidR="006F0B2E">
        <w:rPr>
          <w:spacing w:val="-2"/>
        </w:rPr>
        <w:t>prior to</w:t>
      </w:r>
      <w:r w:rsidR="00246E29">
        <w:rPr>
          <w:spacing w:val="-2"/>
        </w:rPr>
        <w:t xml:space="preserve"> the November</w:t>
      </w:r>
      <w:r w:rsidR="00195E71">
        <w:rPr>
          <w:spacing w:val="-4"/>
        </w:rPr>
        <w:t xml:space="preserve"> </w:t>
      </w:r>
      <w:r w:rsidR="00195E71">
        <w:t>PBAC meeting included discussions with:</w:t>
      </w:r>
    </w:p>
    <w:p w14:paraId="4F741966" w14:textId="7E3CB245" w:rsidR="00FB2842" w:rsidRDefault="008061CB" w:rsidP="00BC2406">
      <w:pPr>
        <w:pStyle w:val="ListParagraph"/>
        <w:numPr>
          <w:ilvl w:val="0"/>
          <w:numId w:val="1"/>
        </w:numPr>
        <w:tabs>
          <w:tab w:val="left" w:pos="820"/>
        </w:tabs>
        <w:spacing w:before="1" w:line="240" w:lineRule="auto"/>
      </w:pPr>
      <w:r>
        <w:t>Clinical experts on Dravet</w:t>
      </w:r>
      <w:r w:rsidR="009C7A19">
        <w:t xml:space="preserve"> Syndrome</w:t>
      </w:r>
    </w:p>
    <w:p w14:paraId="7084ECD3" w14:textId="66819A63" w:rsidR="006F0B2E" w:rsidRDefault="0098029B" w:rsidP="00BC2406">
      <w:pPr>
        <w:pStyle w:val="ListParagraph"/>
        <w:numPr>
          <w:ilvl w:val="0"/>
          <w:numId w:val="1"/>
        </w:numPr>
        <w:tabs>
          <w:tab w:val="left" w:pos="820"/>
        </w:tabs>
        <w:spacing w:line="240" w:lineRule="auto"/>
      </w:pPr>
      <w:r>
        <w:t>R</w:t>
      </w:r>
      <w:r w:rsidR="00621C19">
        <w:t xml:space="preserve">epresentatives of the </w:t>
      </w:r>
      <w:r w:rsidR="006F0B2E">
        <w:t>migraine</w:t>
      </w:r>
      <w:r w:rsidR="00EF4973">
        <w:t xml:space="preserve"> </w:t>
      </w:r>
      <w:r w:rsidR="007B57EF">
        <w:t xml:space="preserve">community </w:t>
      </w:r>
      <w:r w:rsidR="00621C19">
        <w:t>as well as</w:t>
      </w:r>
      <w:r w:rsidR="007B57EF">
        <w:t xml:space="preserve"> clinical experts</w:t>
      </w:r>
    </w:p>
    <w:p w14:paraId="41203B84" w14:textId="7AACA191" w:rsidR="006F0B2E" w:rsidRDefault="006F0B2E" w:rsidP="00BC2406">
      <w:pPr>
        <w:pStyle w:val="ListParagraph"/>
        <w:numPr>
          <w:ilvl w:val="0"/>
          <w:numId w:val="1"/>
        </w:numPr>
        <w:tabs>
          <w:tab w:val="left" w:pos="820"/>
        </w:tabs>
        <w:spacing w:line="240" w:lineRule="auto"/>
      </w:pPr>
      <w:r>
        <w:t>Fibrodysplasia Ossificans P</w:t>
      </w:r>
      <w:r w:rsidR="003028BF">
        <w:t xml:space="preserve">rogressiva </w:t>
      </w:r>
      <w:r w:rsidR="002B3719">
        <w:t xml:space="preserve">(FOP) </w:t>
      </w:r>
      <w:r w:rsidR="003028BF">
        <w:t>Australia</w:t>
      </w:r>
    </w:p>
    <w:p w14:paraId="589464B9" w14:textId="75E4843F" w:rsidR="00154B94" w:rsidRDefault="00154B94" w:rsidP="00BC2406">
      <w:pPr>
        <w:pStyle w:val="ListParagraph"/>
        <w:numPr>
          <w:ilvl w:val="0"/>
          <w:numId w:val="1"/>
        </w:numPr>
        <w:tabs>
          <w:tab w:val="left" w:pos="820"/>
        </w:tabs>
        <w:spacing w:line="240" w:lineRule="auto"/>
      </w:pPr>
      <w:r>
        <w:t xml:space="preserve">Clinical </w:t>
      </w:r>
      <w:r w:rsidR="0098029B">
        <w:t>experts and industry regarding h</w:t>
      </w:r>
      <w:r>
        <w:t>ormonal contrace</w:t>
      </w:r>
      <w:r w:rsidR="0098029B">
        <w:t>p</w:t>
      </w:r>
      <w:r>
        <w:t>tives</w:t>
      </w:r>
    </w:p>
    <w:p w14:paraId="101FC7ED" w14:textId="77777777" w:rsidR="00D60307" w:rsidRDefault="00D60307" w:rsidP="00917E67">
      <w:pPr>
        <w:rPr>
          <w:b/>
          <w:bCs/>
        </w:rPr>
      </w:pPr>
    </w:p>
    <w:p w14:paraId="05C25685" w14:textId="39D29C51" w:rsidR="000D26F3" w:rsidRPr="000D26F3" w:rsidRDefault="006520CD" w:rsidP="00917E67">
      <w:pPr>
        <w:rPr>
          <w:b/>
          <w:bCs/>
        </w:rPr>
      </w:pPr>
      <w:r w:rsidRPr="000D26F3">
        <w:rPr>
          <w:b/>
          <w:bCs/>
        </w:rPr>
        <w:t xml:space="preserve">2025 </w:t>
      </w:r>
      <w:r w:rsidR="00621C19">
        <w:rPr>
          <w:b/>
          <w:bCs/>
        </w:rPr>
        <w:t>a</w:t>
      </w:r>
      <w:r w:rsidR="00621C19" w:rsidRPr="000D26F3">
        <w:rPr>
          <w:b/>
          <w:bCs/>
        </w:rPr>
        <w:t xml:space="preserve">genda </w:t>
      </w:r>
      <w:r w:rsidR="000D26F3" w:rsidRPr="000D26F3">
        <w:rPr>
          <w:b/>
          <w:bCs/>
        </w:rPr>
        <w:t>advice</w:t>
      </w:r>
    </w:p>
    <w:p w14:paraId="1A5927BA" w14:textId="350F7C22" w:rsidR="00D60307" w:rsidRPr="00EA4231" w:rsidDel="00D60307" w:rsidRDefault="6374C96F" w:rsidP="00917E67">
      <w:r>
        <w:t xml:space="preserve">For the March 2025 meeting, 63 submissions were received of which </w:t>
      </w:r>
      <w:r w:rsidR="0057683B">
        <w:t xml:space="preserve">51 </w:t>
      </w:r>
      <w:r w:rsidR="0057683B" w:rsidRPr="00355C7C">
        <w:t>required external evaluation by HTA service providers</w:t>
      </w:r>
      <w:r w:rsidR="0057683B">
        <w:t xml:space="preserve">. </w:t>
      </w:r>
      <w:r w:rsidR="0057683B" w:rsidRPr="00355C7C">
        <w:t xml:space="preserve">Of these </w:t>
      </w:r>
      <w:r>
        <w:t>38 submissions were for the most complex and resource-intensive type of submission. This type is where the sponsor has claimed that their medicine delivers better outcome</w:t>
      </w:r>
      <w:r w:rsidR="2982435C">
        <w:t>s</w:t>
      </w:r>
      <w:r>
        <w:t xml:space="preserve"> for patients than the current standard of care</w:t>
      </w:r>
      <w:r w:rsidR="0057683B">
        <w:t xml:space="preserve"> and requires a </w:t>
      </w:r>
      <w:r w:rsidR="0057683B">
        <w:rPr>
          <w:spacing w:val="-2"/>
        </w:rPr>
        <w:t xml:space="preserve">complex </w:t>
      </w:r>
      <w:r w:rsidR="0057683B" w:rsidRPr="006A06EB">
        <w:rPr>
          <w:spacing w:val="-2"/>
        </w:rPr>
        <w:t xml:space="preserve">economic </w:t>
      </w:r>
      <w:r w:rsidR="0057683B">
        <w:rPr>
          <w:spacing w:val="-2"/>
        </w:rPr>
        <w:t>evaluation (cost effectiveness/cost utility)</w:t>
      </w:r>
      <w:r>
        <w:t xml:space="preserve">. </w:t>
      </w:r>
    </w:p>
    <w:p w14:paraId="49F5F114" w14:textId="1CDDBDC6" w:rsidR="00D60307" w:rsidRPr="00EA4231" w:rsidDel="00D60307" w:rsidRDefault="00D60307" w:rsidP="00917E67"/>
    <w:p w14:paraId="698568FC" w14:textId="7ECD18B9" w:rsidR="00D60307" w:rsidRPr="00EA4231" w:rsidDel="00D60307" w:rsidRDefault="00C86B35" w:rsidP="00917E67">
      <w:r>
        <w:t xml:space="preserve">The Department confirmed </w:t>
      </w:r>
      <w:r w:rsidR="00D60307">
        <w:t xml:space="preserve">to the Committee </w:t>
      </w:r>
      <w:r w:rsidR="002D7C08">
        <w:t xml:space="preserve">that it had secured resourcing for 34 submissions to receive external evaluation in time for the March 2025 meeting and </w:t>
      </w:r>
      <w:r w:rsidR="00D60307">
        <w:t xml:space="preserve">that it was </w:t>
      </w:r>
      <w:r w:rsidR="002D7C08">
        <w:t xml:space="preserve">securing additional </w:t>
      </w:r>
      <w:r w:rsidR="002D7C08" w:rsidRPr="00C814FA">
        <w:rPr>
          <w:rFonts w:asciiTheme="minorHAnsi" w:eastAsiaTheme="minorEastAsia" w:hAnsiTheme="minorHAnsi" w:cstheme="minorBidi"/>
        </w:rPr>
        <w:t xml:space="preserve">evaluation resources for the remaining submissions to be considered </w:t>
      </w:r>
      <w:r w:rsidR="00D60307" w:rsidRPr="00C814FA">
        <w:rPr>
          <w:rFonts w:asciiTheme="minorHAnsi" w:eastAsiaTheme="minorEastAsia" w:hAnsiTheme="minorHAnsi" w:cstheme="minorBidi"/>
        </w:rPr>
        <w:t xml:space="preserve">at a special meeting of PBAC on Friday 9th and Saturday 10th </w:t>
      </w:r>
      <w:r w:rsidR="002D7C08" w:rsidRPr="00C814FA">
        <w:rPr>
          <w:rFonts w:asciiTheme="minorHAnsi" w:eastAsiaTheme="minorEastAsia" w:hAnsiTheme="minorHAnsi" w:cstheme="minorBidi"/>
        </w:rPr>
        <w:t>May 2025.</w:t>
      </w:r>
      <w:r w:rsidR="00D60307" w:rsidRPr="00C814FA">
        <w:rPr>
          <w:rFonts w:asciiTheme="minorHAnsi" w:eastAsiaTheme="minorEastAsia" w:hAnsiTheme="minorHAnsi" w:cstheme="minorBidi"/>
        </w:rPr>
        <w:t xml:space="preserve"> The m</w:t>
      </w:r>
      <w:r w:rsidR="00D60307">
        <w:t>embers confirmed their availability and willingness to meet in May. The Committee noted that its deliberations about submissions to list medicines on the Pharmaceutical Benefits Scheme or vaccines on the National Immunisation Program</w:t>
      </w:r>
      <w:r w:rsidR="000A4AFB">
        <w:t xml:space="preserve"> designated vaccine determination</w:t>
      </w:r>
      <w:r w:rsidR="00D60307">
        <w:t xml:space="preserve"> requires that it is presented with a comprehensive evaluation of submissions, including </w:t>
      </w:r>
      <w:r w:rsidR="00621C19">
        <w:t xml:space="preserve">input from the </w:t>
      </w:r>
      <w:r w:rsidR="00D60307">
        <w:t xml:space="preserve">public </w:t>
      </w:r>
      <w:r w:rsidR="00621C19">
        <w:t>through c</w:t>
      </w:r>
      <w:r w:rsidR="00D60307">
        <w:t>onsultation</w:t>
      </w:r>
      <w:r w:rsidR="5390A54C">
        <w:t>, so that it can formulate advice to the Minister</w:t>
      </w:r>
      <w:r w:rsidR="00D60307">
        <w:t>. The Committee reiterated that it expect</w:t>
      </w:r>
      <w:r w:rsidR="00621C19">
        <w:t>s</w:t>
      </w:r>
      <w:r w:rsidR="00D60307">
        <w:t xml:space="preserve"> that </w:t>
      </w:r>
      <w:r w:rsidR="00E02D09">
        <w:t xml:space="preserve">the department will provide the </w:t>
      </w:r>
      <w:r w:rsidR="00D60307">
        <w:t>fully evaluated submissions, as well as clinical and patient inputs</w:t>
      </w:r>
      <w:r w:rsidR="00621C19">
        <w:t>,</w:t>
      </w:r>
      <w:r w:rsidR="00D60307">
        <w:t xml:space="preserve"> </w:t>
      </w:r>
      <w:r w:rsidR="4BCB2DE6">
        <w:t xml:space="preserve">to </w:t>
      </w:r>
      <w:r w:rsidR="00D60307">
        <w:t xml:space="preserve">the Committee for </w:t>
      </w:r>
      <w:r w:rsidR="00621C19">
        <w:t xml:space="preserve">all meetings, including both </w:t>
      </w:r>
      <w:r w:rsidR="00D60307">
        <w:t xml:space="preserve">March </w:t>
      </w:r>
      <w:r w:rsidR="00621C19">
        <w:t xml:space="preserve">and </w:t>
      </w:r>
      <w:r w:rsidR="00D60307">
        <w:t xml:space="preserve">May </w:t>
      </w:r>
      <w:r w:rsidR="00621C19">
        <w:t>2025</w:t>
      </w:r>
      <w:r w:rsidR="00D60307">
        <w:t xml:space="preserve">. </w:t>
      </w:r>
    </w:p>
    <w:p w14:paraId="5D2C1328" w14:textId="7C960B48" w:rsidR="6EF6C53A" w:rsidRDefault="6EF6C53A" w:rsidP="00917E67"/>
    <w:p w14:paraId="2DD0622C" w14:textId="408CD71D" w:rsidR="6EF6C53A" w:rsidRDefault="00D60307" w:rsidP="00917E67">
      <w:r>
        <w:t xml:space="preserve">In relation to the considerations in March and May 2025, the </w:t>
      </w:r>
      <w:r w:rsidR="00C86B35">
        <w:t xml:space="preserve">Committee </w:t>
      </w:r>
      <w:r w:rsidR="002D7C08">
        <w:t xml:space="preserve">noted </w:t>
      </w:r>
      <w:r w:rsidR="3C209BC5">
        <w:t xml:space="preserve">applicants </w:t>
      </w:r>
      <w:r w:rsidR="002D7C08">
        <w:t xml:space="preserve">were given an opportunity to provide further information about submissions </w:t>
      </w:r>
      <w:r w:rsidR="0E8C1A35">
        <w:t xml:space="preserve">they </w:t>
      </w:r>
      <w:r w:rsidR="00F24873">
        <w:t xml:space="preserve">had proposed </w:t>
      </w:r>
      <w:r w:rsidR="002D7C08">
        <w:t>for March 2025</w:t>
      </w:r>
      <w:r>
        <w:t xml:space="preserve">. This </w:t>
      </w:r>
      <w:r w:rsidR="00F24873">
        <w:t xml:space="preserve">further </w:t>
      </w:r>
      <w:r w:rsidR="002D7C08">
        <w:t xml:space="preserve">information was made available to all </w:t>
      </w:r>
      <w:r w:rsidR="001336AE">
        <w:t xml:space="preserve">Committee </w:t>
      </w:r>
      <w:r w:rsidR="002D7C08">
        <w:t xml:space="preserve">members ahead of </w:t>
      </w:r>
      <w:r w:rsidR="00F24873">
        <w:t xml:space="preserve">their </w:t>
      </w:r>
      <w:r w:rsidR="002D7C08">
        <w:t>discussion</w:t>
      </w:r>
      <w:r w:rsidR="00F24873">
        <w:t xml:space="preserve">s at the meeting. </w:t>
      </w:r>
    </w:p>
    <w:p w14:paraId="46E025F6" w14:textId="77777777" w:rsidR="00B93D61" w:rsidRDefault="00B93D61" w:rsidP="00917E67"/>
    <w:p w14:paraId="18183C63" w14:textId="77777777" w:rsidR="00B93D61" w:rsidRDefault="00B93D61">
      <w:r>
        <w:br w:type="page"/>
      </w:r>
    </w:p>
    <w:p w14:paraId="34886E46" w14:textId="201D1E18" w:rsidR="002C3E47" w:rsidRDefault="00D60307" w:rsidP="00917E67">
      <w:r>
        <w:lastRenderedPageBreak/>
        <w:t>The Committee</w:t>
      </w:r>
      <w:r w:rsidR="00F24873">
        <w:t xml:space="preserve"> then </w:t>
      </w:r>
      <w:r w:rsidR="00BF514C">
        <w:t>reviewed</w:t>
      </w:r>
      <w:r w:rsidR="00F24873">
        <w:t xml:space="preserve"> its advice from its out of session meeting on 16 October</w:t>
      </w:r>
      <w:r w:rsidR="0BA5AC29">
        <w:t xml:space="preserve"> 2024</w:t>
      </w:r>
      <w:r w:rsidR="00F24873">
        <w:t xml:space="preserve"> </w:t>
      </w:r>
      <w:r w:rsidR="00BF514C">
        <w:t>in light of the new information provided by the sponsors, and</w:t>
      </w:r>
      <w:r>
        <w:t xml:space="preserve"> </w:t>
      </w:r>
      <w:r w:rsidR="00BF514C">
        <w:t xml:space="preserve">the final number and nature of submissions that had been lodged. </w:t>
      </w:r>
      <w:r w:rsidR="00B0599C">
        <w:t xml:space="preserve">In formulating its </w:t>
      </w:r>
      <w:r w:rsidR="00A75839">
        <w:t>advice,</w:t>
      </w:r>
      <w:r w:rsidR="009C0354">
        <w:t xml:space="preserve"> the committee considered a balance of the following factors:</w:t>
      </w:r>
    </w:p>
    <w:p w14:paraId="4BB074A9" w14:textId="77777777" w:rsidR="00A75839" w:rsidRPr="00C400D6" w:rsidRDefault="00A75839" w:rsidP="00BC2406">
      <w:pPr>
        <w:pStyle w:val="ListParagraph"/>
        <w:numPr>
          <w:ilvl w:val="0"/>
          <w:numId w:val="1"/>
        </w:numPr>
        <w:tabs>
          <w:tab w:val="left" w:pos="820"/>
        </w:tabs>
        <w:spacing w:before="1" w:line="240" w:lineRule="auto"/>
      </w:pPr>
      <w:r w:rsidRPr="00C400D6">
        <w:t xml:space="preserve">the submission is for a medicine or vaccine which treats a patient population where there is high unmet clinical need or where the medicine is likely to provide substantial additional clinical benefit </w:t>
      </w:r>
    </w:p>
    <w:p w14:paraId="4B78658A" w14:textId="77777777" w:rsidR="00A75839" w:rsidRPr="00C400D6" w:rsidRDefault="00A75839" w:rsidP="00BC2406">
      <w:pPr>
        <w:pStyle w:val="ListParagraph"/>
        <w:numPr>
          <w:ilvl w:val="0"/>
          <w:numId w:val="1"/>
        </w:numPr>
        <w:tabs>
          <w:tab w:val="left" w:pos="820"/>
        </w:tabs>
        <w:spacing w:before="1" w:line="240" w:lineRule="auto"/>
      </w:pPr>
      <w:r w:rsidRPr="00C400D6">
        <w:t>t</w:t>
      </w:r>
      <w:r w:rsidRPr="00BC2406">
        <w:t>he submission is a resubmission lodged through the facilitated resolution pathway</w:t>
      </w:r>
    </w:p>
    <w:p w14:paraId="64DC396B" w14:textId="77777777" w:rsidR="00A75839" w:rsidRPr="00C400D6" w:rsidRDefault="00A75839" w:rsidP="00BC2406">
      <w:pPr>
        <w:pStyle w:val="ListParagraph"/>
        <w:numPr>
          <w:ilvl w:val="0"/>
          <w:numId w:val="1"/>
        </w:numPr>
        <w:tabs>
          <w:tab w:val="left" w:pos="820"/>
        </w:tabs>
        <w:spacing w:before="1" w:line="240" w:lineRule="auto"/>
      </w:pPr>
      <w:r w:rsidRPr="00C400D6">
        <w:t xml:space="preserve">the submission is a codependent submission </w:t>
      </w:r>
    </w:p>
    <w:p w14:paraId="6F93B95A" w14:textId="77777777" w:rsidR="00A75839" w:rsidRPr="00C400D6" w:rsidRDefault="00A75839" w:rsidP="00BC2406">
      <w:pPr>
        <w:pStyle w:val="ListParagraph"/>
        <w:numPr>
          <w:ilvl w:val="0"/>
          <w:numId w:val="1"/>
        </w:numPr>
        <w:tabs>
          <w:tab w:val="left" w:pos="820"/>
        </w:tabs>
        <w:spacing w:before="1" w:line="240" w:lineRule="auto"/>
      </w:pPr>
      <w:r w:rsidRPr="00C400D6">
        <w:t>the corresponding TGA application to the submission received TGA priority determination</w:t>
      </w:r>
    </w:p>
    <w:p w14:paraId="113A98BA" w14:textId="77777777" w:rsidR="00A75839" w:rsidRPr="00C400D6" w:rsidRDefault="00A75839" w:rsidP="00BC2406">
      <w:pPr>
        <w:pStyle w:val="ListParagraph"/>
        <w:numPr>
          <w:ilvl w:val="0"/>
          <w:numId w:val="1"/>
        </w:numPr>
        <w:tabs>
          <w:tab w:val="left" w:pos="820"/>
        </w:tabs>
        <w:spacing w:before="1" w:line="240" w:lineRule="auto"/>
      </w:pPr>
      <w:r w:rsidRPr="00C400D6">
        <w:t>the corresponding TGA application underwent the TGA provisional approval pathway</w:t>
      </w:r>
    </w:p>
    <w:p w14:paraId="1001C1C2" w14:textId="77777777" w:rsidR="00A75839" w:rsidRPr="00C400D6" w:rsidRDefault="00A75839" w:rsidP="00BC2406">
      <w:pPr>
        <w:pStyle w:val="ListParagraph"/>
        <w:numPr>
          <w:ilvl w:val="0"/>
          <w:numId w:val="1"/>
        </w:numPr>
        <w:tabs>
          <w:tab w:val="left" w:pos="820"/>
        </w:tabs>
        <w:spacing w:before="1" w:line="240" w:lineRule="auto"/>
      </w:pPr>
      <w:r>
        <w:t xml:space="preserve">the submission is for a medicine or vaccine which has received TGA orphan drug designation </w:t>
      </w:r>
    </w:p>
    <w:p w14:paraId="40336177" w14:textId="77777777" w:rsidR="000A0D31" w:rsidRDefault="000A0D31" w:rsidP="00917E67"/>
    <w:p w14:paraId="68B44CF4" w14:textId="0209051A" w:rsidR="002C3E47" w:rsidRDefault="00BF514C" w:rsidP="00917E67">
      <w:r>
        <w:t xml:space="preserve">On this basis </w:t>
      </w:r>
      <w:r w:rsidR="000A0D31">
        <w:t>the Committee</w:t>
      </w:r>
      <w:r>
        <w:t xml:space="preserve"> then provided a</w:t>
      </w:r>
      <w:r w:rsidR="00D60307">
        <w:t xml:space="preserve">dvice to the Department </w:t>
      </w:r>
      <w:r>
        <w:t xml:space="preserve">concerning those </w:t>
      </w:r>
      <w:r w:rsidR="00D60307">
        <w:t xml:space="preserve">submissions </w:t>
      </w:r>
      <w:r>
        <w:t>which s</w:t>
      </w:r>
      <w:r w:rsidR="00D60307">
        <w:t xml:space="preserve">hould be evaluated </w:t>
      </w:r>
      <w:r w:rsidR="00F24873">
        <w:t xml:space="preserve">prior to consideration at the </w:t>
      </w:r>
      <w:r w:rsidR="00D60307">
        <w:t xml:space="preserve">March 2025 </w:t>
      </w:r>
      <w:r w:rsidR="00F24873">
        <w:t xml:space="preserve">meeting, </w:t>
      </w:r>
      <w:r w:rsidR="00D60307">
        <w:t xml:space="preserve">and which </w:t>
      </w:r>
      <w:r w:rsidR="00F24873">
        <w:t>s</w:t>
      </w:r>
      <w:r w:rsidR="00D60307">
        <w:t xml:space="preserve">hould be </w:t>
      </w:r>
      <w:r w:rsidR="00F24873">
        <w:t xml:space="preserve">evaluated prior to the </w:t>
      </w:r>
      <w:r>
        <w:t>May</w:t>
      </w:r>
      <w:r w:rsidR="2A2CAC5B">
        <w:t xml:space="preserve"> 2025</w:t>
      </w:r>
      <w:r>
        <w:t xml:space="preserve"> </w:t>
      </w:r>
      <w:r w:rsidR="00F24873">
        <w:t>meeting</w:t>
      </w:r>
      <w:r w:rsidR="00D60307">
        <w:t xml:space="preserve">. </w:t>
      </w:r>
      <w:r w:rsidR="00F24873">
        <w:t>In f</w:t>
      </w:r>
      <w:r w:rsidR="00D60307">
        <w:t>ormulating this advice</w:t>
      </w:r>
      <w:r w:rsidR="00F24873">
        <w:t>,</w:t>
      </w:r>
      <w:r w:rsidR="00D60307">
        <w:t xml:space="preserve"> </w:t>
      </w:r>
      <w:r w:rsidR="00F24873">
        <w:t xml:space="preserve">the Committee </w:t>
      </w:r>
      <w:r w:rsidR="00D60307">
        <w:t>consider</w:t>
      </w:r>
      <w:r w:rsidR="00F24873">
        <w:t>ed</w:t>
      </w:r>
      <w:r w:rsidR="00D60307">
        <w:t xml:space="preserve"> clinical need, potential patient benefit and the nature of the condition</w:t>
      </w:r>
      <w:r w:rsidR="00F24873">
        <w:t xml:space="preserve"> the medicines were intended to treat</w:t>
      </w:r>
      <w:r w:rsidR="00D60307">
        <w:t xml:space="preserve">. </w:t>
      </w:r>
    </w:p>
    <w:p w14:paraId="71F25904" w14:textId="77777777" w:rsidR="006E3FAF" w:rsidRDefault="006E3FAF" w:rsidP="00917E67">
      <w:pPr>
        <w:pStyle w:val="Heading1"/>
        <w:spacing w:before="41"/>
        <w:ind w:left="0"/>
      </w:pPr>
    </w:p>
    <w:p w14:paraId="0132FC19" w14:textId="3A0B26BE" w:rsidR="00C055F4" w:rsidRDefault="23BF79F5" w:rsidP="00917E67">
      <w:pPr>
        <w:pStyle w:val="Heading1"/>
        <w:spacing w:before="41"/>
        <w:ind w:left="0"/>
      </w:pPr>
      <w:r>
        <w:t xml:space="preserve">Medicine access </w:t>
      </w:r>
      <w:r w:rsidR="00C055F4">
        <w:t>considerations</w:t>
      </w:r>
    </w:p>
    <w:p w14:paraId="77F36EFB" w14:textId="203FD1CF" w:rsidR="00C055F4" w:rsidRDefault="00C055F4" w:rsidP="00917E67">
      <w:pPr>
        <w:pStyle w:val="Heading1"/>
        <w:spacing w:before="41"/>
        <w:ind w:left="0"/>
        <w:rPr>
          <w:b w:val="0"/>
          <w:bCs w:val="0"/>
        </w:rPr>
      </w:pPr>
      <w:r>
        <w:rPr>
          <w:b w:val="0"/>
          <w:bCs w:val="0"/>
        </w:rPr>
        <w:t xml:space="preserve">The Committee </w:t>
      </w:r>
      <w:r w:rsidR="00E706F3">
        <w:rPr>
          <w:b w:val="0"/>
          <w:bCs w:val="0"/>
        </w:rPr>
        <w:t xml:space="preserve">agenda </w:t>
      </w:r>
      <w:r>
        <w:rPr>
          <w:b w:val="0"/>
          <w:bCs w:val="0"/>
        </w:rPr>
        <w:t xml:space="preserve">had several items which raised broader implications for PBS </w:t>
      </w:r>
      <w:r w:rsidR="006008FF">
        <w:rPr>
          <w:b w:val="0"/>
          <w:bCs w:val="0"/>
        </w:rPr>
        <w:t xml:space="preserve">listings and current prescribing practice. The Committee </w:t>
      </w:r>
      <w:r w:rsidR="00232A1E">
        <w:rPr>
          <w:b w:val="0"/>
          <w:bCs w:val="0"/>
        </w:rPr>
        <w:t>was eager to</w:t>
      </w:r>
      <w:r w:rsidR="006008FF">
        <w:rPr>
          <w:b w:val="0"/>
          <w:bCs w:val="0"/>
        </w:rPr>
        <w:t xml:space="preserve"> ensure that listing restrictions and </w:t>
      </w:r>
      <w:r w:rsidR="0066673C">
        <w:rPr>
          <w:b w:val="0"/>
          <w:bCs w:val="0"/>
        </w:rPr>
        <w:t xml:space="preserve">prescribing </w:t>
      </w:r>
      <w:r w:rsidR="00373474">
        <w:rPr>
          <w:b w:val="0"/>
          <w:bCs w:val="0"/>
        </w:rPr>
        <w:t>criteria</w:t>
      </w:r>
      <w:r w:rsidR="006008FF">
        <w:rPr>
          <w:b w:val="0"/>
          <w:bCs w:val="0"/>
        </w:rPr>
        <w:t xml:space="preserve"> support clinical groups and patients to access </w:t>
      </w:r>
      <w:r w:rsidR="00456BBE">
        <w:rPr>
          <w:b w:val="0"/>
          <w:bCs w:val="0"/>
        </w:rPr>
        <w:t xml:space="preserve">the most effective </w:t>
      </w:r>
      <w:r w:rsidR="006008FF">
        <w:rPr>
          <w:b w:val="0"/>
          <w:bCs w:val="0"/>
        </w:rPr>
        <w:t>medicines on the PBS</w:t>
      </w:r>
      <w:r w:rsidR="00232A1E">
        <w:rPr>
          <w:b w:val="0"/>
          <w:bCs w:val="0"/>
        </w:rPr>
        <w:t xml:space="preserve">. The Committee noted that advances are occurring quickly </w:t>
      </w:r>
      <w:r w:rsidR="00EE35E4">
        <w:rPr>
          <w:b w:val="0"/>
          <w:bCs w:val="0"/>
        </w:rPr>
        <w:t xml:space="preserve">in some therapeutic areas </w:t>
      </w:r>
      <w:r w:rsidR="00232A1E">
        <w:rPr>
          <w:b w:val="0"/>
          <w:bCs w:val="0"/>
        </w:rPr>
        <w:t xml:space="preserve">and </w:t>
      </w:r>
      <w:r w:rsidR="00E706F3">
        <w:rPr>
          <w:b w:val="0"/>
          <w:bCs w:val="0"/>
        </w:rPr>
        <w:t xml:space="preserve">ideally </w:t>
      </w:r>
      <w:r w:rsidR="00232A1E">
        <w:rPr>
          <w:b w:val="0"/>
          <w:bCs w:val="0"/>
        </w:rPr>
        <w:t xml:space="preserve">restrictions </w:t>
      </w:r>
      <w:r w:rsidR="00E706F3">
        <w:rPr>
          <w:b w:val="0"/>
          <w:bCs w:val="0"/>
        </w:rPr>
        <w:t>should</w:t>
      </w:r>
      <w:r w:rsidR="00232A1E">
        <w:rPr>
          <w:b w:val="0"/>
          <w:bCs w:val="0"/>
        </w:rPr>
        <w:t xml:space="preserve"> support evolving </w:t>
      </w:r>
      <w:r w:rsidR="004B132F">
        <w:rPr>
          <w:b w:val="0"/>
          <w:bCs w:val="0"/>
        </w:rPr>
        <w:t>clinical management</w:t>
      </w:r>
      <w:r w:rsidR="006973F1">
        <w:rPr>
          <w:b w:val="0"/>
          <w:bCs w:val="0"/>
        </w:rPr>
        <w:t xml:space="preserve"> and patient outcomes</w:t>
      </w:r>
      <w:r w:rsidR="006008FF">
        <w:rPr>
          <w:b w:val="0"/>
          <w:bCs w:val="0"/>
        </w:rPr>
        <w:t>.</w:t>
      </w:r>
      <w:r w:rsidR="00232A1E">
        <w:rPr>
          <w:b w:val="0"/>
          <w:bCs w:val="0"/>
        </w:rPr>
        <w:t xml:space="preserve"> The Committee engaged deeply in discussions</w:t>
      </w:r>
      <w:r w:rsidR="00B93D61">
        <w:rPr>
          <w:b w:val="0"/>
          <w:bCs w:val="0"/>
        </w:rPr>
        <w:t xml:space="preserve"> </w:t>
      </w:r>
      <w:r w:rsidR="52EDB451">
        <w:rPr>
          <w:b w:val="0"/>
          <w:bCs w:val="0"/>
        </w:rPr>
        <w:t>relating to specific access issues for certain groups</w:t>
      </w:r>
      <w:r w:rsidR="00232A1E">
        <w:rPr>
          <w:b w:val="0"/>
          <w:bCs w:val="0"/>
        </w:rPr>
        <w:t xml:space="preserve">. </w:t>
      </w:r>
      <w:r w:rsidR="00621C19">
        <w:rPr>
          <w:b w:val="0"/>
          <w:bCs w:val="0"/>
        </w:rPr>
        <w:t>Further information on these considerations will be found in the public summary documents.</w:t>
      </w:r>
    </w:p>
    <w:p w14:paraId="6AEDC68B" w14:textId="77777777" w:rsidR="00621C19" w:rsidRDefault="00621C19" w:rsidP="00917E67">
      <w:pPr>
        <w:pStyle w:val="Heading1"/>
        <w:spacing w:before="41"/>
        <w:rPr>
          <w:b w:val="0"/>
          <w:bCs w:val="0"/>
        </w:rPr>
      </w:pPr>
    </w:p>
    <w:p w14:paraId="3923A3F6" w14:textId="7278340C" w:rsidR="00676AA3" w:rsidRDefault="46ADE856" w:rsidP="00917E67">
      <w:pPr>
        <w:pStyle w:val="Heading1"/>
        <w:spacing w:before="41"/>
        <w:rPr>
          <w:b w:val="0"/>
          <w:bCs w:val="0"/>
        </w:rPr>
      </w:pPr>
      <w:r>
        <w:rPr>
          <w:b w:val="0"/>
          <w:bCs w:val="0"/>
        </w:rPr>
        <w:t xml:space="preserve">Actions discussed </w:t>
      </w:r>
      <w:r w:rsidR="678FF2F6">
        <w:rPr>
          <w:b w:val="0"/>
          <w:bCs w:val="0"/>
        </w:rPr>
        <w:t>by</w:t>
      </w:r>
      <w:r>
        <w:rPr>
          <w:b w:val="0"/>
          <w:bCs w:val="0"/>
        </w:rPr>
        <w:t xml:space="preserve"> the Committee </w:t>
      </w:r>
      <w:r w:rsidR="53C4A16E">
        <w:rPr>
          <w:b w:val="0"/>
          <w:bCs w:val="0"/>
        </w:rPr>
        <w:t xml:space="preserve">for </w:t>
      </w:r>
      <w:r w:rsidR="60CEB5BE">
        <w:rPr>
          <w:b w:val="0"/>
          <w:bCs w:val="0"/>
        </w:rPr>
        <w:t xml:space="preserve">further </w:t>
      </w:r>
      <w:r>
        <w:rPr>
          <w:b w:val="0"/>
          <w:bCs w:val="0"/>
        </w:rPr>
        <w:t xml:space="preserve">consultation with clinical </w:t>
      </w:r>
      <w:r w:rsidR="1B30F61A">
        <w:rPr>
          <w:b w:val="0"/>
          <w:bCs w:val="0"/>
        </w:rPr>
        <w:t xml:space="preserve">and patient </w:t>
      </w:r>
      <w:r>
        <w:rPr>
          <w:b w:val="0"/>
          <w:bCs w:val="0"/>
        </w:rPr>
        <w:t xml:space="preserve">groups </w:t>
      </w:r>
      <w:r w:rsidR="53C4A16E">
        <w:rPr>
          <w:b w:val="0"/>
          <w:bCs w:val="0"/>
        </w:rPr>
        <w:t>included</w:t>
      </w:r>
      <w:r w:rsidR="4B65834A">
        <w:rPr>
          <w:b w:val="0"/>
          <w:bCs w:val="0"/>
        </w:rPr>
        <w:t>:</w:t>
      </w:r>
    </w:p>
    <w:p w14:paraId="477EC242" w14:textId="7814D3A5" w:rsidR="006008FF" w:rsidRPr="00BC2406" w:rsidRDefault="00B921DF" w:rsidP="00BC2406">
      <w:pPr>
        <w:pStyle w:val="ListParagraph"/>
        <w:numPr>
          <w:ilvl w:val="0"/>
          <w:numId w:val="1"/>
        </w:numPr>
        <w:tabs>
          <w:tab w:val="left" w:pos="820"/>
        </w:tabs>
        <w:spacing w:before="1" w:line="240" w:lineRule="auto"/>
      </w:pPr>
      <w:r>
        <w:t xml:space="preserve">Appropriate </w:t>
      </w:r>
      <w:r w:rsidR="006008FF">
        <w:t xml:space="preserve">access </w:t>
      </w:r>
      <w:r w:rsidR="00373474">
        <w:t xml:space="preserve">arrangements </w:t>
      </w:r>
      <w:r w:rsidR="007211E9">
        <w:t xml:space="preserve">for paediatric populations </w:t>
      </w:r>
      <w:r w:rsidR="00675399">
        <w:t xml:space="preserve">living with conditions such as arthritis, </w:t>
      </w:r>
      <w:r w:rsidR="00232A1E">
        <w:t>Crohn</w:t>
      </w:r>
      <w:r w:rsidR="00E706F3">
        <w:t>’</w:t>
      </w:r>
      <w:r w:rsidR="00232A1E">
        <w:t>s disease</w:t>
      </w:r>
      <w:r w:rsidR="00675399">
        <w:t xml:space="preserve"> and </w:t>
      </w:r>
      <w:r w:rsidR="00CC00A0">
        <w:t xml:space="preserve">other inflammatory </w:t>
      </w:r>
      <w:r w:rsidR="000A7E36">
        <w:t>conditions</w:t>
      </w:r>
    </w:p>
    <w:p w14:paraId="33BEEF8E" w14:textId="0D3A1563" w:rsidR="00C91EC6" w:rsidRDefault="00E706F3" w:rsidP="00BC2406">
      <w:pPr>
        <w:pStyle w:val="ListParagraph"/>
        <w:numPr>
          <w:ilvl w:val="0"/>
          <w:numId w:val="1"/>
        </w:numPr>
        <w:tabs>
          <w:tab w:val="left" w:pos="820"/>
        </w:tabs>
        <w:spacing w:before="1" w:line="240" w:lineRule="auto"/>
      </w:pPr>
      <w:r w:rsidRPr="00BC2406">
        <w:t>Opportunity t</w:t>
      </w:r>
      <w:r w:rsidR="002273FA" w:rsidRPr="00BC2406">
        <w:t xml:space="preserve">o </w:t>
      </w:r>
      <w:r w:rsidRPr="00BC2406">
        <w:t>redress barriers in drug access for certain rare cancers because of gaps in clinical trial data</w:t>
      </w:r>
    </w:p>
    <w:p w14:paraId="4BA6B27A" w14:textId="5E7427A0" w:rsidR="00460D1F" w:rsidRDefault="53C4A16E" w:rsidP="00BC2406">
      <w:pPr>
        <w:pStyle w:val="ListParagraph"/>
        <w:numPr>
          <w:ilvl w:val="0"/>
          <w:numId w:val="1"/>
        </w:numPr>
        <w:tabs>
          <w:tab w:val="left" w:pos="820"/>
        </w:tabs>
        <w:spacing w:before="1" w:line="240" w:lineRule="auto"/>
      </w:pPr>
      <w:r>
        <w:t xml:space="preserve">Addressing access and equity constraints for particular </w:t>
      </w:r>
      <w:r w:rsidR="1827A811">
        <w:t>high priority population groups</w:t>
      </w:r>
      <w:r w:rsidR="24F78963">
        <w:t xml:space="preserve">. It was noted that these discussions will need </w:t>
      </w:r>
      <w:r w:rsidR="0ACBC77B">
        <w:t>broader policy considerations</w:t>
      </w:r>
    </w:p>
    <w:p w14:paraId="4F741975" w14:textId="77777777" w:rsidR="00FB2842" w:rsidRDefault="00FB2842" w:rsidP="00917E67">
      <w:pPr>
        <w:pStyle w:val="BodyText"/>
        <w:spacing w:before="2"/>
        <w:ind w:left="0"/>
      </w:pPr>
    </w:p>
    <w:p w14:paraId="4F741976" w14:textId="77777777" w:rsidR="00FB2842" w:rsidRDefault="00195E71" w:rsidP="00917E67">
      <w:pPr>
        <w:pStyle w:val="Heading1"/>
      </w:pPr>
      <w:r>
        <w:t>Next</w:t>
      </w:r>
      <w:r>
        <w:rPr>
          <w:spacing w:val="-3"/>
        </w:rPr>
        <w:t xml:space="preserve"> </w:t>
      </w:r>
      <w:r>
        <w:t>PBAC</w:t>
      </w:r>
      <w:r>
        <w:rPr>
          <w:spacing w:val="-3"/>
        </w:rPr>
        <w:t xml:space="preserve"> </w:t>
      </w:r>
      <w:r>
        <w:rPr>
          <w:spacing w:val="-2"/>
        </w:rPr>
        <w:t>meeting</w:t>
      </w:r>
    </w:p>
    <w:p w14:paraId="4F741977" w14:textId="7BF435B8" w:rsidR="00FB2842" w:rsidRDefault="00195E71" w:rsidP="00917E67">
      <w:pPr>
        <w:pStyle w:val="BodyText"/>
        <w:ind w:right="62"/>
      </w:pPr>
      <w:r>
        <w:t>The</w:t>
      </w:r>
      <w:r>
        <w:rPr>
          <w:spacing w:val="-2"/>
        </w:rPr>
        <w:t xml:space="preserve"> </w:t>
      </w:r>
      <w:r>
        <w:t>next</w:t>
      </w:r>
      <w:r>
        <w:rPr>
          <w:spacing w:val="-2"/>
        </w:rPr>
        <w:t xml:space="preserve"> </w:t>
      </w:r>
      <w:r w:rsidR="00AF4AD9">
        <w:rPr>
          <w:spacing w:val="-2"/>
        </w:rPr>
        <w:t xml:space="preserve">PBAC meeting is an intracycle meeting on </w:t>
      </w:r>
      <w:r w:rsidR="00395EEB">
        <w:rPr>
          <w:spacing w:val="-2"/>
        </w:rPr>
        <w:t xml:space="preserve">13 December 2024. The next main </w:t>
      </w:r>
      <w:r>
        <w:t>PBAC</w:t>
      </w:r>
      <w:r>
        <w:rPr>
          <w:spacing w:val="-4"/>
        </w:rPr>
        <w:t xml:space="preserve"> </w:t>
      </w:r>
      <w:r>
        <w:t>meeting</w:t>
      </w:r>
      <w:r>
        <w:rPr>
          <w:spacing w:val="-3"/>
        </w:rPr>
        <w:t xml:space="preserve"> </w:t>
      </w:r>
      <w:r>
        <w:t>is</w:t>
      </w:r>
      <w:r>
        <w:rPr>
          <w:spacing w:val="-2"/>
        </w:rPr>
        <w:t xml:space="preserve"> </w:t>
      </w:r>
      <w:r>
        <w:t>scheduled</w:t>
      </w:r>
      <w:r>
        <w:rPr>
          <w:spacing w:val="-3"/>
        </w:rPr>
        <w:t xml:space="preserve"> </w:t>
      </w:r>
      <w:r>
        <w:t>for</w:t>
      </w:r>
      <w:r>
        <w:rPr>
          <w:spacing w:val="-2"/>
        </w:rPr>
        <w:t xml:space="preserve"> </w:t>
      </w:r>
      <w:r w:rsidR="002B3719">
        <w:t>12 – 14 March</w:t>
      </w:r>
      <w:r>
        <w:rPr>
          <w:spacing w:val="-3"/>
        </w:rPr>
        <w:t xml:space="preserve"> </w:t>
      </w:r>
      <w:r>
        <w:t>202</w:t>
      </w:r>
      <w:r w:rsidR="00C055F4">
        <w:t>5</w:t>
      </w:r>
      <w:r>
        <w:t xml:space="preserve">. The agenda </w:t>
      </w:r>
      <w:r w:rsidR="00866FF1">
        <w:t>for the March meeting is now available</w:t>
      </w:r>
      <w:r>
        <w:t xml:space="preserve"> and the opportunity for providing comments and input </w:t>
      </w:r>
      <w:r w:rsidR="00866FF1">
        <w:t xml:space="preserve">is </w:t>
      </w:r>
      <w:r>
        <w:t xml:space="preserve">open. The closing date for consumer comments is </w:t>
      </w:r>
      <w:r w:rsidR="00C055F4">
        <w:t>29</w:t>
      </w:r>
      <w:r w:rsidR="00864735">
        <w:t> </w:t>
      </w:r>
      <w:r w:rsidR="00C055F4">
        <w:t>January</w:t>
      </w:r>
      <w:r w:rsidR="00864735">
        <w:t> </w:t>
      </w:r>
      <w:r>
        <w:t>202</w:t>
      </w:r>
      <w:r w:rsidR="00C055F4">
        <w:t>5</w:t>
      </w:r>
      <w:r>
        <w:t>.</w:t>
      </w:r>
    </w:p>
    <w:p w14:paraId="4F741978" w14:textId="77777777" w:rsidR="00FB2842" w:rsidRDefault="00FB2842" w:rsidP="00917E67">
      <w:pPr>
        <w:pStyle w:val="BodyText"/>
        <w:spacing w:before="268"/>
        <w:ind w:left="0"/>
      </w:pPr>
    </w:p>
    <w:p w14:paraId="4F741979" w14:textId="0AA66178" w:rsidR="00FB2842" w:rsidRDefault="00C055F4" w:rsidP="00917E67">
      <w:pPr>
        <w:pStyle w:val="BodyText"/>
      </w:pPr>
      <w:r>
        <w:t>Robyn Ward</w:t>
      </w:r>
    </w:p>
    <w:p w14:paraId="4F74197A" w14:textId="1FCBEDD3" w:rsidR="00FB2842" w:rsidRDefault="00195E71" w:rsidP="00917E67">
      <w:pPr>
        <w:pStyle w:val="BodyText"/>
        <w:rPr>
          <w:spacing w:val="-2"/>
        </w:rPr>
      </w:pPr>
      <w:r>
        <w:t>Chair,</w:t>
      </w:r>
      <w:r>
        <w:rPr>
          <w:spacing w:val="-7"/>
        </w:rPr>
        <w:t xml:space="preserve"> </w:t>
      </w:r>
      <w:r>
        <w:t>Pharmaceutical</w:t>
      </w:r>
      <w:r>
        <w:rPr>
          <w:spacing w:val="-5"/>
        </w:rPr>
        <w:t xml:space="preserve"> </w:t>
      </w:r>
      <w:r>
        <w:t>Benefits</w:t>
      </w:r>
      <w:r>
        <w:rPr>
          <w:spacing w:val="-4"/>
        </w:rPr>
        <w:t xml:space="preserve"> </w:t>
      </w:r>
      <w:r>
        <w:t>Advisory</w:t>
      </w:r>
      <w:r>
        <w:rPr>
          <w:spacing w:val="-5"/>
        </w:rPr>
        <w:t xml:space="preserve"> </w:t>
      </w:r>
      <w:r>
        <w:rPr>
          <w:spacing w:val="-2"/>
        </w:rPr>
        <w:t>Committee</w:t>
      </w:r>
    </w:p>
    <w:p w14:paraId="06705C6F" w14:textId="77777777" w:rsidR="00232A1E" w:rsidRDefault="00232A1E" w:rsidP="00917E67">
      <w:pPr>
        <w:pStyle w:val="BodyText"/>
        <w:rPr>
          <w:spacing w:val="-2"/>
        </w:rPr>
      </w:pPr>
    </w:p>
    <w:p w14:paraId="6659E333" w14:textId="747457AC" w:rsidR="00232A1E" w:rsidRDefault="00232A1E" w:rsidP="00917E67">
      <w:pPr>
        <w:pStyle w:val="BodyText"/>
        <w:rPr>
          <w:spacing w:val="-2"/>
        </w:rPr>
      </w:pPr>
      <w:r>
        <w:rPr>
          <w:spacing w:val="-2"/>
        </w:rPr>
        <w:t>Jo Watson</w:t>
      </w:r>
    </w:p>
    <w:p w14:paraId="03B34760" w14:textId="4973118B" w:rsidR="00232A1E" w:rsidRDefault="00232A1E" w:rsidP="00917E67">
      <w:pPr>
        <w:pStyle w:val="BodyText"/>
      </w:pPr>
      <w:r>
        <w:rPr>
          <w:spacing w:val="-2"/>
        </w:rPr>
        <w:t xml:space="preserve">Deputy Chair, Pharmaceutical Benefits Advisory </w:t>
      </w:r>
      <w:r w:rsidR="00621C19">
        <w:rPr>
          <w:spacing w:val="-2"/>
        </w:rPr>
        <w:t>Committee</w:t>
      </w:r>
    </w:p>
    <w:sectPr w:rsidR="00232A1E">
      <w:headerReference w:type="even" r:id="rId7"/>
      <w:headerReference w:type="default" r:id="rId8"/>
      <w:footerReference w:type="even" r:id="rId9"/>
      <w:footerReference w:type="default" r:id="rId10"/>
      <w:headerReference w:type="first" r:id="rId11"/>
      <w:footerReference w:type="first" r:id="rId12"/>
      <w:pgSz w:w="11910" w:h="16840"/>
      <w:pgMar w:top="1380" w:right="13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E0534" w14:textId="77777777" w:rsidR="007B5F36" w:rsidRDefault="007B5F36" w:rsidP="00EB1808">
      <w:r>
        <w:separator/>
      </w:r>
    </w:p>
  </w:endnote>
  <w:endnote w:type="continuationSeparator" w:id="0">
    <w:p w14:paraId="66B3BE6D" w14:textId="77777777" w:rsidR="007B5F36" w:rsidRDefault="007B5F36" w:rsidP="00EB1808">
      <w:r>
        <w:continuationSeparator/>
      </w:r>
    </w:p>
  </w:endnote>
  <w:endnote w:type="continuationNotice" w:id="1">
    <w:p w14:paraId="674ABF7B" w14:textId="77777777" w:rsidR="007B5F36" w:rsidRDefault="007B5F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ADB96" w14:textId="77777777" w:rsidR="003E784F" w:rsidRDefault="003E78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2301047"/>
      <w:docPartObj>
        <w:docPartGallery w:val="Page Numbers (Bottom of Page)"/>
        <w:docPartUnique/>
      </w:docPartObj>
    </w:sdtPr>
    <w:sdtEndPr>
      <w:rPr>
        <w:noProof/>
      </w:rPr>
    </w:sdtEndPr>
    <w:sdtContent>
      <w:p w14:paraId="5AB4F0E1" w14:textId="37AB32A3" w:rsidR="00EB1808" w:rsidRDefault="00EB18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2183C6" w14:textId="77777777" w:rsidR="00EB1808" w:rsidRDefault="00EB18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5C3C8" w14:textId="77777777" w:rsidR="003E784F" w:rsidRDefault="003E78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41133" w14:textId="77777777" w:rsidR="007B5F36" w:rsidRDefault="007B5F36" w:rsidP="00EB1808">
      <w:r>
        <w:separator/>
      </w:r>
    </w:p>
  </w:footnote>
  <w:footnote w:type="continuationSeparator" w:id="0">
    <w:p w14:paraId="467FDE8C" w14:textId="77777777" w:rsidR="007B5F36" w:rsidRDefault="007B5F36" w:rsidP="00EB1808">
      <w:r>
        <w:continuationSeparator/>
      </w:r>
    </w:p>
  </w:footnote>
  <w:footnote w:type="continuationNotice" w:id="1">
    <w:p w14:paraId="5D382D97" w14:textId="77777777" w:rsidR="007B5F36" w:rsidRDefault="007B5F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2F899" w14:textId="77777777" w:rsidR="003E784F" w:rsidRDefault="003E78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16DA9" w14:textId="77777777" w:rsidR="003E784F" w:rsidRDefault="003E78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60FE5" w14:textId="77777777" w:rsidR="003E784F" w:rsidRDefault="003E78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43043"/>
    <w:multiLevelType w:val="multilevel"/>
    <w:tmpl w:val="87A8E1F0"/>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C0615E7"/>
    <w:multiLevelType w:val="hybridMultilevel"/>
    <w:tmpl w:val="AB4C0B6C"/>
    <w:lvl w:ilvl="0" w:tplc="FFFFFFFF">
      <w:start w:val="1"/>
      <w:numFmt w:val="bullet"/>
      <w:lvlText w:val=""/>
      <w:lvlJc w:val="left"/>
      <w:pPr>
        <w:ind w:left="460" w:hanging="360"/>
      </w:pPr>
      <w:rPr>
        <w:rFonts w:ascii="Symbol" w:hAnsi="Symbol" w:hint="default"/>
      </w:rPr>
    </w:lvl>
    <w:lvl w:ilvl="1" w:tplc="0C090003" w:tentative="1">
      <w:start w:val="1"/>
      <w:numFmt w:val="bullet"/>
      <w:lvlText w:val="o"/>
      <w:lvlJc w:val="left"/>
      <w:pPr>
        <w:ind w:left="1180" w:hanging="360"/>
      </w:pPr>
      <w:rPr>
        <w:rFonts w:ascii="Courier New" w:hAnsi="Courier New" w:cs="Courier New" w:hint="default"/>
      </w:rPr>
    </w:lvl>
    <w:lvl w:ilvl="2" w:tplc="0C090005" w:tentative="1">
      <w:start w:val="1"/>
      <w:numFmt w:val="bullet"/>
      <w:lvlText w:val=""/>
      <w:lvlJc w:val="left"/>
      <w:pPr>
        <w:ind w:left="1900" w:hanging="360"/>
      </w:pPr>
      <w:rPr>
        <w:rFonts w:ascii="Wingdings" w:hAnsi="Wingdings" w:hint="default"/>
      </w:rPr>
    </w:lvl>
    <w:lvl w:ilvl="3" w:tplc="0C090001" w:tentative="1">
      <w:start w:val="1"/>
      <w:numFmt w:val="bullet"/>
      <w:lvlText w:val=""/>
      <w:lvlJc w:val="left"/>
      <w:pPr>
        <w:ind w:left="2620" w:hanging="360"/>
      </w:pPr>
      <w:rPr>
        <w:rFonts w:ascii="Symbol" w:hAnsi="Symbol" w:hint="default"/>
      </w:rPr>
    </w:lvl>
    <w:lvl w:ilvl="4" w:tplc="0C090003" w:tentative="1">
      <w:start w:val="1"/>
      <w:numFmt w:val="bullet"/>
      <w:lvlText w:val="o"/>
      <w:lvlJc w:val="left"/>
      <w:pPr>
        <w:ind w:left="3340" w:hanging="360"/>
      </w:pPr>
      <w:rPr>
        <w:rFonts w:ascii="Courier New" w:hAnsi="Courier New" w:cs="Courier New" w:hint="default"/>
      </w:rPr>
    </w:lvl>
    <w:lvl w:ilvl="5" w:tplc="0C090005" w:tentative="1">
      <w:start w:val="1"/>
      <w:numFmt w:val="bullet"/>
      <w:lvlText w:val=""/>
      <w:lvlJc w:val="left"/>
      <w:pPr>
        <w:ind w:left="4060" w:hanging="360"/>
      </w:pPr>
      <w:rPr>
        <w:rFonts w:ascii="Wingdings" w:hAnsi="Wingdings" w:hint="default"/>
      </w:rPr>
    </w:lvl>
    <w:lvl w:ilvl="6" w:tplc="0C090001" w:tentative="1">
      <w:start w:val="1"/>
      <w:numFmt w:val="bullet"/>
      <w:lvlText w:val=""/>
      <w:lvlJc w:val="left"/>
      <w:pPr>
        <w:ind w:left="4780" w:hanging="360"/>
      </w:pPr>
      <w:rPr>
        <w:rFonts w:ascii="Symbol" w:hAnsi="Symbol" w:hint="default"/>
      </w:rPr>
    </w:lvl>
    <w:lvl w:ilvl="7" w:tplc="0C090003" w:tentative="1">
      <w:start w:val="1"/>
      <w:numFmt w:val="bullet"/>
      <w:lvlText w:val="o"/>
      <w:lvlJc w:val="left"/>
      <w:pPr>
        <w:ind w:left="5500" w:hanging="360"/>
      </w:pPr>
      <w:rPr>
        <w:rFonts w:ascii="Courier New" w:hAnsi="Courier New" w:cs="Courier New" w:hint="default"/>
      </w:rPr>
    </w:lvl>
    <w:lvl w:ilvl="8" w:tplc="0C090005" w:tentative="1">
      <w:start w:val="1"/>
      <w:numFmt w:val="bullet"/>
      <w:lvlText w:val=""/>
      <w:lvlJc w:val="left"/>
      <w:pPr>
        <w:ind w:left="6220" w:hanging="360"/>
      </w:pPr>
      <w:rPr>
        <w:rFonts w:ascii="Wingdings" w:hAnsi="Wingdings" w:hint="default"/>
      </w:rPr>
    </w:lvl>
  </w:abstractNum>
  <w:abstractNum w:abstractNumId="2" w15:restartNumberingAfterBreak="0">
    <w:nsid w:val="33FD25D1"/>
    <w:multiLevelType w:val="hybridMultilevel"/>
    <w:tmpl w:val="1E50259C"/>
    <w:lvl w:ilvl="0" w:tplc="1EEEE992">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06F4111E">
      <w:numFmt w:val="bullet"/>
      <w:lvlText w:val="•"/>
      <w:lvlJc w:val="left"/>
      <w:pPr>
        <w:ind w:left="1660" w:hanging="360"/>
      </w:pPr>
      <w:rPr>
        <w:rFonts w:hint="default"/>
        <w:lang w:val="en-US" w:eastAsia="en-US" w:bidi="ar-SA"/>
      </w:rPr>
    </w:lvl>
    <w:lvl w:ilvl="2" w:tplc="0F8AA5BE">
      <w:numFmt w:val="bullet"/>
      <w:lvlText w:val="•"/>
      <w:lvlJc w:val="left"/>
      <w:pPr>
        <w:ind w:left="2501" w:hanging="360"/>
      </w:pPr>
      <w:rPr>
        <w:rFonts w:hint="default"/>
        <w:lang w:val="en-US" w:eastAsia="en-US" w:bidi="ar-SA"/>
      </w:rPr>
    </w:lvl>
    <w:lvl w:ilvl="3" w:tplc="E4C87902">
      <w:numFmt w:val="bullet"/>
      <w:lvlText w:val="•"/>
      <w:lvlJc w:val="left"/>
      <w:pPr>
        <w:ind w:left="3341" w:hanging="360"/>
      </w:pPr>
      <w:rPr>
        <w:rFonts w:hint="default"/>
        <w:lang w:val="en-US" w:eastAsia="en-US" w:bidi="ar-SA"/>
      </w:rPr>
    </w:lvl>
    <w:lvl w:ilvl="4" w:tplc="A08ED9AA">
      <w:numFmt w:val="bullet"/>
      <w:lvlText w:val="•"/>
      <w:lvlJc w:val="left"/>
      <w:pPr>
        <w:ind w:left="4182" w:hanging="360"/>
      </w:pPr>
      <w:rPr>
        <w:rFonts w:hint="default"/>
        <w:lang w:val="en-US" w:eastAsia="en-US" w:bidi="ar-SA"/>
      </w:rPr>
    </w:lvl>
    <w:lvl w:ilvl="5" w:tplc="C9E62354">
      <w:numFmt w:val="bullet"/>
      <w:lvlText w:val="•"/>
      <w:lvlJc w:val="left"/>
      <w:pPr>
        <w:ind w:left="5023" w:hanging="360"/>
      </w:pPr>
      <w:rPr>
        <w:rFonts w:hint="default"/>
        <w:lang w:val="en-US" w:eastAsia="en-US" w:bidi="ar-SA"/>
      </w:rPr>
    </w:lvl>
    <w:lvl w:ilvl="6" w:tplc="A6BE4B3C">
      <w:numFmt w:val="bullet"/>
      <w:lvlText w:val="•"/>
      <w:lvlJc w:val="left"/>
      <w:pPr>
        <w:ind w:left="5863" w:hanging="360"/>
      </w:pPr>
      <w:rPr>
        <w:rFonts w:hint="default"/>
        <w:lang w:val="en-US" w:eastAsia="en-US" w:bidi="ar-SA"/>
      </w:rPr>
    </w:lvl>
    <w:lvl w:ilvl="7" w:tplc="B862FAF6">
      <w:numFmt w:val="bullet"/>
      <w:lvlText w:val="•"/>
      <w:lvlJc w:val="left"/>
      <w:pPr>
        <w:ind w:left="6704" w:hanging="360"/>
      </w:pPr>
      <w:rPr>
        <w:rFonts w:hint="default"/>
        <w:lang w:val="en-US" w:eastAsia="en-US" w:bidi="ar-SA"/>
      </w:rPr>
    </w:lvl>
    <w:lvl w:ilvl="8" w:tplc="3A6CD146">
      <w:numFmt w:val="bullet"/>
      <w:lvlText w:val="•"/>
      <w:lvlJc w:val="left"/>
      <w:pPr>
        <w:ind w:left="7545" w:hanging="360"/>
      </w:pPr>
      <w:rPr>
        <w:rFonts w:hint="default"/>
        <w:lang w:val="en-US" w:eastAsia="en-US" w:bidi="ar-SA"/>
      </w:rPr>
    </w:lvl>
  </w:abstractNum>
  <w:abstractNum w:abstractNumId="3" w15:restartNumberingAfterBreak="0">
    <w:nsid w:val="784D033C"/>
    <w:multiLevelType w:val="multilevel"/>
    <w:tmpl w:val="ADFC3936"/>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hint="default"/>
        <w:i w:val="0"/>
        <w:color w:val="auto"/>
      </w:rPr>
    </w:lvl>
    <w:lvl w:ilvl="2">
      <w:start w:val="1"/>
      <w:numFmt w:val="bullet"/>
      <w:lvlText w:val=""/>
      <w:lvlJc w:val="left"/>
      <w:pPr>
        <w:ind w:left="360"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33125074">
    <w:abstractNumId w:val="2"/>
  </w:num>
  <w:num w:numId="2" w16cid:durableId="956528691">
    <w:abstractNumId w:val="1"/>
  </w:num>
  <w:num w:numId="3" w16cid:durableId="1578437594">
    <w:abstractNumId w:val="3"/>
  </w:num>
  <w:num w:numId="4" w16cid:durableId="611863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842"/>
    <w:rsid w:val="0001292A"/>
    <w:rsid w:val="0006632E"/>
    <w:rsid w:val="000875A9"/>
    <w:rsid w:val="000921C8"/>
    <w:rsid w:val="000A0D31"/>
    <w:rsid w:val="000A0E63"/>
    <w:rsid w:val="000A38A6"/>
    <w:rsid w:val="000A4AFB"/>
    <w:rsid w:val="000A7E36"/>
    <w:rsid w:val="000B14FA"/>
    <w:rsid w:val="000D26F3"/>
    <w:rsid w:val="000D5ABB"/>
    <w:rsid w:val="000E5C33"/>
    <w:rsid w:val="0011478E"/>
    <w:rsid w:val="001223B4"/>
    <w:rsid w:val="00132DC1"/>
    <w:rsid w:val="001336AE"/>
    <w:rsid w:val="00150797"/>
    <w:rsid w:val="00154B94"/>
    <w:rsid w:val="00160AD7"/>
    <w:rsid w:val="0016536F"/>
    <w:rsid w:val="00171C9A"/>
    <w:rsid w:val="0017618E"/>
    <w:rsid w:val="001842C6"/>
    <w:rsid w:val="0019262C"/>
    <w:rsid w:val="00195D59"/>
    <w:rsid w:val="00195E71"/>
    <w:rsid w:val="001C1634"/>
    <w:rsid w:val="001C57D6"/>
    <w:rsid w:val="001E298F"/>
    <w:rsid w:val="001F57B7"/>
    <w:rsid w:val="002273FA"/>
    <w:rsid w:val="00232A1E"/>
    <w:rsid w:val="002450EA"/>
    <w:rsid w:val="00245F4D"/>
    <w:rsid w:val="00246E29"/>
    <w:rsid w:val="0026260F"/>
    <w:rsid w:val="0028148A"/>
    <w:rsid w:val="002B3719"/>
    <w:rsid w:val="002C3E47"/>
    <w:rsid w:val="002C40F9"/>
    <w:rsid w:val="002D02A5"/>
    <w:rsid w:val="002D7C08"/>
    <w:rsid w:val="003028BF"/>
    <w:rsid w:val="0032030A"/>
    <w:rsid w:val="00327884"/>
    <w:rsid w:val="00355925"/>
    <w:rsid w:val="00355C7C"/>
    <w:rsid w:val="00373474"/>
    <w:rsid w:val="00375F5B"/>
    <w:rsid w:val="0038173A"/>
    <w:rsid w:val="0038175D"/>
    <w:rsid w:val="00395EEB"/>
    <w:rsid w:val="003B14B3"/>
    <w:rsid w:val="003E784F"/>
    <w:rsid w:val="0040021B"/>
    <w:rsid w:val="00402282"/>
    <w:rsid w:val="00410BF8"/>
    <w:rsid w:val="00440343"/>
    <w:rsid w:val="00441BB3"/>
    <w:rsid w:val="00456BBE"/>
    <w:rsid w:val="00460D1F"/>
    <w:rsid w:val="0046602A"/>
    <w:rsid w:val="004743B9"/>
    <w:rsid w:val="00481E1F"/>
    <w:rsid w:val="0049794A"/>
    <w:rsid w:val="004B132F"/>
    <w:rsid w:val="004D2C39"/>
    <w:rsid w:val="004F62E9"/>
    <w:rsid w:val="005065F6"/>
    <w:rsid w:val="005143E1"/>
    <w:rsid w:val="00556E7C"/>
    <w:rsid w:val="005606E6"/>
    <w:rsid w:val="00561A50"/>
    <w:rsid w:val="00567B7B"/>
    <w:rsid w:val="0057683B"/>
    <w:rsid w:val="00584662"/>
    <w:rsid w:val="00592ED8"/>
    <w:rsid w:val="005A5DFB"/>
    <w:rsid w:val="005F1182"/>
    <w:rsid w:val="006008FF"/>
    <w:rsid w:val="00603851"/>
    <w:rsid w:val="00613210"/>
    <w:rsid w:val="00621C19"/>
    <w:rsid w:val="0063031F"/>
    <w:rsid w:val="006470BF"/>
    <w:rsid w:val="00647928"/>
    <w:rsid w:val="006520CD"/>
    <w:rsid w:val="00656420"/>
    <w:rsid w:val="00665AD2"/>
    <w:rsid w:val="0066673C"/>
    <w:rsid w:val="00675399"/>
    <w:rsid w:val="00676AA3"/>
    <w:rsid w:val="006949FD"/>
    <w:rsid w:val="006973F1"/>
    <w:rsid w:val="006A06EB"/>
    <w:rsid w:val="006A1747"/>
    <w:rsid w:val="006C5398"/>
    <w:rsid w:val="006C5805"/>
    <w:rsid w:val="006E3FAF"/>
    <w:rsid w:val="006F0B2E"/>
    <w:rsid w:val="007075B7"/>
    <w:rsid w:val="00711557"/>
    <w:rsid w:val="00711963"/>
    <w:rsid w:val="007211E9"/>
    <w:rsid w:val="00730F56"/>
    <w:rsid w:val="007313E5"/>
    <w:rsid w:val="0073724C"/>
    <w:rsid w:val="00740093"/>
    <w:rsid w:val="00740CFC"/>
    <w:rsid w:val="00744DB2"/>
    <w:rsid w:val="007530EE"/>
    <w:rsid w:val="00770AC6"/>
    <w:rsid w:val="007B57EF"/>
    <w:rsid w:val="007B5F36"/>
    <w:rsid w:val="007C7EE8"/>
    <w:rsid w:val="007D25EE"/>
    <w:rsid w:val="007E0A53"/>
    <w:rsid w:val="007E3434"/>
    <w:rsid w:val="007F487B"/>
    <w:rsid w:val="008061CB"/>
    <w:rsid w:val="008242E4"/>
    <w:rsid w:val="00825FB7"/>
    <w:rsid w:val="00850C1A"/>
    <w:rsid w:val="00864735"/>
    <w:rsid w:val="00864BE7"/>
    <w:rsid w:val="00866FF1"/>
    <w:rsid w:val="008868DA"/>
    <w:rsid w:val="008957B5"/>
    <w:rsid w:val="00895BBB"/>
    <w:rsid w:val="00897620"/>
    <w:rsid w:val="008A111D"/>
    <w:rsid w:val="008B4A24"/>
    <w:rsid w:val="008F15CE"/>
    <w:rsid w:val="00902BAC"/>
    <w:rsid w:val="00917E67"/>
    <w:rsid w:val="00924C03"/>
    <w:rsid w:val="00962753"/>
    <w:rsid w:val="0098029B"/>
    <w:rsid w:val="0098266A"/>
    <w:rsid w:val="009A0B51"/>
    <w:rsid w:val="009A262D"/>
    <w:rsid w:val="009C0354"/>
    <w:rsid w:val="009C3E7E"/>
    <w:rsid w:val="009C7A19"/>
    <w:rsid w:val="00A17446"/>
    <w:rsid w:val="00A217E6"/>
    <w:rsid w:val="00A7072B"/>
    <w:rsid w:val="00A75839"/>
    <w:rsid w:val="00A96AEF"/>
    <w:rsid w:val="00A977EA"/>
    <w:rsid w:val="00AB6F78"/>
    <w:rsid w:val="00AC2E36"/>
    <w:rsid w:val="00AC5C07"/>
    <w:rsid w:val="00AE226F"/>
    <w:rsid w:val="00AF4AD9"/>
    <w:rsid w:val="00B0599C"/>
    <w:rsid w:val="00B34F60"/>
    <w:rsid w:val="00B51699"/>
    <w:rsid w:val="00B57768"/>
    <w:rsid w:val="00B67A5D"/>
    <w:rsid w:val="00B90C8E"/>
    <w:rsid w:val="00B921DF"/>
    <w:rsid w:val="00B93D61"/>
    <w:rsid w:val="00BA49F1"/>
    <w:rsid w:val="00BA5C9E"/>
    <w:rsid w:val="00BC2406"/>
    <w:rsid w:val="00BC3648"/>
    <w:rsid w:val="00BE5C28"/>
    <w:rsid w:val="00BF29D4"/>
    <w:rsid w:val="00BF514C"/>
    <w:rsid w:val="00BF6D0B"/>
    <w:rsid w:val="00BF7687"/>
    <w:rsid w:val="00C053BE"/>
    <w:rsid w:val="00C055F4"/>
    <w:rsid w:val="00C1799A"/>
    <w:rsid w:val="00C400D6"/>
    <w:rsid w:val="00C45302"/>
    <w:rsid w:val="00C51960"/>
    <w:rsid w:val="00C56E10"/>
    <w:rsid w:val="00C71322"/>
    <w:rsid w:val="00C76392"/>
    <w:rsid w:val="00C814FA"/>
    <w:rsid w:val="00C85484"/>
    <w:rsid w:val="00C86B35"/>
    <w:rsid w:val="00C874F2"/>
    <w:rsid w:val="00C91EC6"/>
    <w:rsid w:val="00CC00A0"/>
    <w:rsid w:val="00D103E8"/>
    <w:rsid w:val="00D15DBF"/>
    <w:rsid w:val="00D243A6"/>
    <w:rsid w:val="00D45297"/>
    <w:rsid w:val="00D60307"/>
    <w:rsid w:val="00D857DA"/>
    <w:rsid w:val="00DC4900"/>
    <w:rsid w:val="00DE7A2A"/>
    <w:rsid w:val="00E02D09"/>
    <w:rsid w:val="00E031C2"/>
    <w:rsid w:val="00E14FEC"/>
    <w:rsid w:val="00E16BCE"/>
    <w:rsid w:val="00E1793F"/>
    <w:rsid w:val="00E3799F"/>
    <w:rsid w:val="00E5E0EA"/>
    <w:rsid w:val="00E706F3"/>
    <w:rsid w:val="00E8566D"/>
    <w:rsid w:val="00E910F9"/>
    <w:rsid w:val="00EA4231"/>
    <w:rsid w:val="00EB1808"/>
    <w:rsid w:val="00ED213B"/>
    <w:rsid w:val="00EE35E4"/>
    <w:rsid w:val="00EF4973"/>
    <w:rsid w:val="00EF50B2"/>
    <w:rsid w:val="00F00153"/>
    <w:rsid w:val="00F02652"/>
    <w:rsid w:val="00F03840"/>
    <w:rsid w:val="00F03D29"/>
    <w:rsid w:val="00F24873"/>
    <w:rsid w:val="00F36D61"/>
    <w:rsid w:val="00F47C83"/>
    <w:rsid w:val="00F57B8E"/>
    <w:rsid w:val="00F634E6"/>
    <w:rsid w:val="00F735FE"/>
    <w:rsid w:val="00F7376C"/>
    <w:rsid w:val="00F85C8C"/>
    <w:rsid w:val="00FB1494"/>
    <w:rsid w:val="00FB2842"/>
    <w:rsid w:val="00FC060A"/>
    <w:rsid w:val="03586C1E"/>
    <w:rsid w:val="048BBC9E"/>
    <w:rsid w:val="085040F5"/>
    <w:rsid w:val="09C37EB7"/>
    <w:rsid w:val="0ACBC77B"/>
    <w:rsid w:val="0BA5AC29"/>
    <w:rsid w:val="0E8C1A35"/>
    <w:rsid w:val="0E9BA8A9"/>
    <w:rsid w:val="10292C22"/>
    <w:rsid w:val="1060B7DF"/>
    <w:rsid w:val="10A6AECD"/>
    <w:rsid w:val="1640F6DB"/>
    <w:rsid w:val="1827A811"/>
    <w:rsid w:val="1A3C4697"/>
    <w:rsid w:val="1AE6FF40"/>
    <w:rsid w:val="1B30F61A"/>
    <w:rsid w:val="1C6B8CAB"/>
    <w:rsid w:val="1F8F2915"/>
    <w:rsid w:val="1FDCB824"/>
    <w:rsid w:val="201FE95D"/>
    <w:rsid w:val="20DBECFB"/>
    <w:rsid w:val="2298EC4A"/>
    <w:rsid w:val="22B9BA8D"/>
    <w:rsid w:val="23BF79F5"/>
    <w:rsid w:val="24F78963"/>
    <w:rsid w:val="2982435C"/>
    <w:rsid w:val="29CBA1AD"/>
    <w:rsid w:val="2A2CAC5B"/>
    <w:rsid w:val="2A92050D"/>
    <w:rsid w:val="2ACC5968"/>
    <w:rsid w:val="2F8EDBE1"/>
    <w:rsid w:val="301B4D6D"/>
    <w:rsid w:val="33A090A8"/>
    <w:rsid w:val="35BBA938"/>
    <w:rsid w:val="39B713A8"/>
    <w:rsid w:val="39FA077A"/>
    <w:rsid w:val="3A7E8D6E"/>
    <w:rsid w:val="3BC23903"/>
    <w:rsid w:val="3BE6A126"/>
    <w:rsid w:val="3C209BC5"/>
    <w:rsid w:val="3C46A688"/>
    <w:rsid w:val="428A59C6"/>
    <w:rsid w:val="43389407"/>
    <w:rsid w:val="44114F03"/>
    <w:rsid w:val="450E6A78"/>
    <w:rsid w:val="4622FCBA"/>
    <w:rsid w:val="46ADE856"/>
    <w:rsid w:val="46DF2EA1"/>
    <w:rsid w:val="477F5A6E"/>
    <w:rsid w:val="47E1375C"/>
    <w:rsid w:val="48F0AEEA"/>
    <w:rsid w:val="492E44BF"/>
    <w:rsid w:val="4B65834A"/>
    <w:rsid w:val="4BB8D9C6"/>
    <w:rsid w:val="4BCB2DE6"/>
    <w:rsid w:val="4F160BDD"/>
    <w:rsid w:val="51B470C4"/>
    <w:rsid w:val="524182E6"/>
    <w:rsid w:val="52BF608D"/>
    <w:rsid w:val="52EDB451"/>
    <w:rsid w:val="53771FFC"/>
    <w:rsid w:val="5390A54C"/>
    <w:rsid w:val="53C4A16E"/>
    <w:rsid w:val="555DCC97"/>
    <w:rsid w:val="55BBF4F4"/>
    <w:rsid w:val="590AA689"/>
    <w:rsid w:val="59F3D70E"/>
    <w:rsid w:val="5A619918"/>
    <w:rsid w:val="5C0EF60B"/>
    <w:rsid w:val="5C7F98E6"/>
    <w:rsid w:val="5D30BBF1"/>
    <w:rsid w:val="5F780F2E"/>
    <w:rsid w:val="5F87665F"/>
    <w:rsid w:val="60CEB5BE"/>
    <w:rsid w:val="6374C96F"/>
    <w:rsid w:val="64C8E109"/>
    <w:rsid w:val="66AAD160"/>
    <w:rsid w:val="678FF2F6"/>
    <w:rsid w:val="67B4A06A"/>
    <w:rsid w:val="6887493D"/>
    <w:rsid w:val="69091B9C"/>
    <w:rsid w:val="6CA824F8"/>
    <w:rsid w:val="6D6840B3"/>
    <w:rsid w:val="6EF6C53A"/>
    <w:rsid w:val="703143D1"/>
    <w:rsid w:val="71AEE774"/>
    <w:rsid w:val="722606FE"/>
    <w:rsid w:val="743FB84B"/>
    <w:rsid w:val="750ED700"/>
    <w:rsid w:val="759150EA"/>
    <w:rsid w:val="766687F5"/>
    <w:rsid w:val="78FFAD7B"/>
    <w:rsid w:val="79031332"/>
    <w:rsid w:val="7933FEE5"/>
    <w:rsid w:val="79C89FA4"/>
    <w:rsid w:val="7A952238"/>
    <w:rsid w:val="7F36719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41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Title">
    <w:name w:val="Title"/>
    <w:basedOn w:val="Normal"/>
    <w:uiPriority w:val="10"/>
    <w:qFormat/>
    <w:pPr>
      <w:spacing w:before="22"/>
      <w:ind w:left="100"/>
    </w:pPr>
    <w:rPr>
      <w:rFonts w:ascii="Calibri Light" w:eastAsia="Calibri Light" w:hAnsi="Calibri Light" w:cs="Calibri Light"/>
      <w:sz w:val="32"/>
      <w:szCs w:val="32"/>
    </w:rPr>
  </w:style>
  <w:style w:type="paragraph" w:styleId="ListParagraph">
    <w:name w:val="List Paragraph"/>
    <w:basedOn w:val="Normal"/>
    <w:uiPriority w:val="1"/>
    <w:qFormat/>
    <w:pPr>
      <w:spacing w:line="279" w:lineRule="exact"/>
      <w:ind w:left="820" w:hanging="360"/>
    </w:pPr>
  </w:style>
  <w:style w:type="paragraph" w:customStyle="1" w:styleId="TableParagraph">
    <w:name w:val="Table Paragraph"/>
    <w:basedOn w:val="Normal"/>
    <w:uiPriority w:val="1"/>
    <w:qFormat/>
  </w:style>
  <w:style w:type="paragraph" w:customStyle="1" w:styleId="2-SectionHeading">
    <w:name w:val="2-Section Heading"/>
    <w:qFormat/>
    <w:rsid w:val="004743B9"/>
    <w:pPr>
      <w:keepNext/>
      <w:widowControl/>
      <w:numPr>
        <w:numId w:val="3"/>
      </w:numPr>
      <w:autoSpaceDE/>
      <w:autoSpaceDN/>
      <w:spacing w:before="240" w:after="120"/>
      <w:outlineLvl w:val="0"/>
    </w:pPr>
    <w:rPr>
      <w:rFonts w:eastAsia="Times New Roman" w:cs="Arial"/>
      <w:b/>
      <w:snapToGrid w:val="0"/>
      <w:sz w:val="32"/>
      <w:szCs w:val="32"/>
      <w:lang w:val="en-AU" w:eastAsia="en-AU"/>
    </w:rPr>
  </w:style>
  <w:style w:type="paragraph" w:customStyle="1" w:styleId="3-BodyText">
    <w:name w:val="3-Body Text"/>
    <w:link w:val="3-BodyTextChar"/>
    <w:qFormat/>
    <w:rsid w:val="004743B9"/>
    <w:pPr>
      <w:widowControl/>
      <w:numPr>
        <w:ilvl w:val="1"/>
        <w:numId w:val="3"/>
      </w:numPr>
      <w:autoSpaceDE/>
      <w:autoSpaceDN/>
      <w:spacing w:after="120"/>
      <w:jc w:val="both"/>
    </w:pPr>
    <w:rPr>
      <w:sz w:val="24"/>
      <w:lang w:val="en-AU" w:eastAsia="en-AU"/>
    </w:rPr>
  </w:style>
  <w:style w:type="character" w:customStyle="1" w:styleId="3-BodyTextChar">
    <w:name w:val="3-Body Text Char"/>
    <w:basedOn w:val="DefaultParagraphFont"/>
    <w:link w:val="3-BodyText"/>
    <w:rsid w:val="004743B9"/>
    <w:rPr>
      <w:sz w:val="24"/>
      <w:lang w:val="en-AU" w:eastAsia="en-AU"/>
    </w:rPr>
  </w:style>
  <w:style w:type="paragraph" w:styleId="Header">
    <w:name w:val="header"/>
    <w:basedOn w:val="Normal"/>
    <w:link w:val="HeaderChar"/>
    <w:uiPriority w:val="99"/>
    <w:unhideWhenUsed/>
    <w:rsid w:val="00EB1808"/>
    <w:pPr>
      <w:tabs>
        <w:tab w:val="center" w:pos="4513"/>
        <w:tab w:val="right" w:pos="9026"/>
      </w:tabs>
    </w:pPr>
  </w:style>
  <w:style w:type="character" w:customStyle="1" w:styleId="HeaderChar">
    <w:name w:val="Header Char"/>
    <w:basedOn w:val="DefaultParagraphFont"/>
    <w:link w:val="Header"/>
    <w:uiPriority w:val="99"/>
    <w:rsid w:val="00EB1808"/>
    <w:rPr>
      <w:rFonts w:ascii="Calibri" w:eastAsia="Calibri" w:hAnsi="Calibri" w:cs="Calibri"/>
    </w:rPr>
  </w:style>
  <w:style w:type="paragraph" w:styleId="Footer">
    <w:name w:val="footer"/>
    <w:basedOn w:val="Normal"/>
    <w:link w:val="FooterChar"/>
    <w:uiPriority w:val="99"/>
    <w:unhideWhenUsed/>
    <w:rsid w:val="00EB1808"/>
    <w:pPr>
      <w:tabs>
        <w:tab w:val="center" w:pos="4513"/>
        <w:tab w:val="right" w:pos="9026"/>
      </w:tabs>
    </w:pPr>
  </w:style>
  <w:style w:type="character" w:customStyle="1" w:styleId="FooterChar">
    <w:name w:val="Footer Char"/>
    <w:basedOn w:val="DefaultParagraphFont"/>
    <w:link w:val="Footer"/>
    <w:uiPriority w:val="99"/>
    <w:rsid w:val="00EB1808"/>
    <w:rPr>
      <w:rFonts w:ascii="Calibri" w:eastAsia="Calibri" w:hAnsi="Calibri" w:cs="Calibri"/>
    </w:rPr>
  </w:style>
  <w:style w:type="paragraph" w:styleId="Revision">
    <w:name w:val="Revision"/>
    <w:hidden/>
    <w:uiPriority w:val="99"/>
    <w:semiHidden/>
    <w:rsid w:val="00D60307"/>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E031C2"/>
    <w:rPr>
      <w:sz w:val="16"/>
      <w:szCs w:val="16"/>
    </w:rPr>
  </w:style>
  <w:style w:type="paragraph" w:styleId="CommentText">
    <w:name w:val="annotation text"/>
    <w:basedOn w:val="Normal"/>
    <w:link w:val="CommentTextChar"/>
    <w:uiPriority w:val="99"/>
    <w:unhideWhenUsed/>
    <w:rsid w:val="00E031C2"/>
    <w:rPr>
      <w:sz w:val="20"/>
      <w:szCs w:val="20"/>
    </w:rPr>
  </w:style>
  <w:style w:type="character" w:customStyle="1" w:styleId="CommentTextChar">
    <w:name w:val="Comment Text Char"/>
    <w:basedOn w:val="DefaultParagraphFont"/>
    <w:link w:val="CommentText"/>
    <w:uiPriority w:val="99"/>
    <w:rsid w:val="00E031C2"/>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E031C2"/>
    <w:rPr>
      <w:b/>
      <w:bCs/>
    </w:rPr>
  </w:style>
  <w:style w:type="character" w:customStyle="1" w:styleId="CommentSubjectChar">
    <w:name w:val="Comment Subject Char"/>
    <w:basedOn w:val="CommentTextChar"/>
    <w:link w:val="CommentSubject"/>
    <w:uiPriority w:val="99"/>
    <w:semiHidden/>
    <w:rsid w:val="00E031C2"/>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2024-11-28T03:28:00Z</dcterms:created>
  <dcterms:modified xsi:type="dcterms:W3CDTF">2024-12-03T23:14:00Z</dcterms:modified>
</cp:coreProperties>
</file>