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8437" w14:textId="77777777" w:rsidR="006A7831" w:rsidRPr="002E3C03" w:rsidRDefault="006A7831" w:rsidP="006A7831">
      <w:pPr>
        <w:pStyle w:val="Heading2"/>
        <w:spacing w:after="0"/>
        <w:rPr>
          <w:rFonts w:ascii="Calibri" w:hAnsi="Calibri" w:cs="Calibri"/>
          <w:bCs/>
        </w:rPr>
      </w:pPr>
      <w:r w:rsidRPr="002E3C03">
        <w:rPr>
          <w:rFonts w:ascii="Calibri" w:hAnsi="Calibri" w:cs="Calibri"/>
          <w:bCs/>
        </w:rPr>
        <w:t xml:space="preserve">Update from the Pharmaceutical Benefits Advisory Committee </w:t>
      </w:r>
    </w:p>
    <w:p w14:paraId="7800DC3D" w14:textId="7D0D3DEF" w:rsidR="006A7831" w:rsidRPr="004C3C80" w:rsidRDefault="006A7831" w:rsidP="006A7831">
      <w:pPr>
        <w:pStyle w:val="Heading3"/>
        <w:spacing w:before="0"/>
        <w:rPr>
          <w:rFonts w:ascii="Calibri" w:hAnsi="Calibri" w:cs="Calibri"/>
          <w:sz w:val="32"/>
          <w:szCs w:val="32"/>
        </w:rPr>
      </w:pPr>
      <w:r w:rsidRPr="004C3C80">
        <w:rPr>
          <w:rFonts w:ascii="Calibri" w:hAnsi="Calibri" w:cs="Calibri"/>
          <w:sz w:val="32"/>
          <w:szCs w:val="32"/>
        </w:rPr>
        <w:t>July 2026</w:t>
      </w:r>
    </w:p>
    <w:p w14:paraId="14AA53DA" w14:textId="77777777" w:rsidR="006A7831" w:rsidRPr="006A7831" w:rsidRDefault="006A7831" w:rsidP="006A7831"/>
    <w:p w14:paraId="36D1D29E" w14:textId="51265C6D" w:rsidR="00314141" w:rsidRPr="003F6A96" w:rsidRDefault="004624DD" w:rsidP="61697F32">
      <w:pPr>
        <w:spacing w:after="0" w:line="300" w:lineRule="auto"/>
        <w:rPr>
          <w:rFonts w:ascii="Calibri" w:hAnsi="Calibri" w:cs="Calibri"/>
          <w:sz w:val="24"/>
          <w:szCs w:val="24"/>
        </w:rPr>
      </w:pPr>
      <w:r w:rsidRPr="61697F32">
        <w:rPr>
          <w:rFonts w:ascii="Calibri" w:hAnsi="Calibri" w:cs="Calibri"/>
          <w:sz w:val="24"/>
          <w:szCs w:val="24"/>
        </w:rPr>
        <w:t>The</w:t>
      </w:r>
      <w:r w:rsidR="000E5589" w:rsidRPr="61697F32">
        <w:rPr>
          <w:rFonts w:ascii="Calibri" w:hAnsi="Calibri" w:cs="Calibri"/>
          <w:sz w:val="24"/>
          <w:szCs w:val="24"/>
        </w:rPr>
        <w:t xml:space="preserve"> PBAC held </w:t>
      </w:r>
      <w:r w:rsidR="003B6B87" w:rsidRPr="61697F32">
        <w:rPr>
          <w:rFonts w:ascii="Calibri" w:hAnsi="Calibri" w:cs="Calibri"/>
          <w:sz w:val="24"/>
          <w:szCs w:val="24"/>
        </w:rPr>
        <w:t>a</w:t>
      </w:r>
      <w:r w:rsidR="000E5589" w:rsidRPr="61697F32">
        <w:rPr>
          <w:rFonts w:ascii="Calibri" w:hAnsi="Calibri" w:cs="Calibri"/>
          <w:sz w:val="24"/>
          <w:szCs w:val="24"/>
        </w:rPr>
        <w:t xml:space="preserve"> </w:t>
      </w:r>
      <w:r w:rsidR="003F6A96" w:rsidRPr="61697F32">
        <w:rPr>
          <w:rFonts w:ascii="Calibri" w:hAnsi="Calibri" w:cs="Calibri"/>
          <w:sz w:val="24"/>
          <w:szCs w:val="24"/>
        </w:rPr>
        <w:t>3-day</w:t>
      </w:r>
      <w:r w:rsidR="005701EC" w:rsidRPr="61697F32">
        <w:rPr>
          <w:rFonts w:ascii="Calibri" w:hAnsi="Calibri" w:cs="Calibri"/>
          <w:sz w:val="24"/>
          <w:szCs w:val="24"/>
        </w:rPr>
        <w:t xml:space="preserve"> </w:t>
      </w:r>
      <w:r w:rsidR="00D2604D" w:rsidRPr="61697F32">
        <w:rPr>
          <w:rFonts w:ascii="Calibri" w:hAnsi="Calibri" w:cs="Calibri"/>
          <w:sz w:val="24"/>
          <w:szCs w:val="24"/>
        </w:rPr>
        <w:t>m</w:t>
      </w:r>
      <w:r w:rsidR="000E5589" w:rsidRPr="61697F32">
        <w:rPr>
          <w:rFonts w:ascii="Calibri" w:hAnsi="Calibri" w:cs="Calibri"/>
          <w:sz w:val="24"/>
          <w:szCs w:val="24"/>
        </w:rPr>
        <w:t xml:space="preserve">eeting </w:t>
      </w:r>
      <w:r w:rsidR="00997364" w:rsidRPr="61697F32">
        <w:rPr>
          <w:rFonts w:ascii="Calibri" w:hAnsi="Calibri" w:cs="Calibri"/>
          <w:sz w:val="24"/>
          <w:szCs w:val="24"/>
        </w:rPr>
        <w:t xml:space="preserve">from </w:t>
      </w:r>
      <w:r w:rsidR="004B4AC0" w:rsidRPr="3E6ACE7E">
        <w:rPr>
          <w:rFonts w:ascii="Calibri" w:hAnsi="Calibri" w:cs="Calibri"/>
          <w:sz w:val="24"/>
          <w:szCs w:val="24"/>
        </w:rPr>
        <w:t>8</w:t>
      </w:r>
      <w:r w:rsidR="2E0ECE0E" w:rsidRPr="3E6ACE7E">
        <w:rPr>
          <w:rFonts w:ascii="Calibri" w:hAnsi="Calibri" w:cs="Calibri"/>
          <w:sz w:val="24"/>
          <w:szCs w:val="24"/>
        </w:rPr>
        <w:t xml:space="preserve"> to </w:t>
      </w:r>
      <w:r w:rsidR="004B4AC0" w:rsidRPr="61697F32">
        <w:rPr>
          <w:rFonts w:ascii="Calibri" w:hAnsi="Calibri" w:cs="Calibri"/>
          <w:sz w:val="24"/>
          <w:szCs w:val="24"/>
        </w:rPr>
        <w:t>10 July 2026</w:t>
      </w:r>
      <w:r w:rsidR="00B02EF9" w:rsidRPr="61697F32">
        <w:rPr>
          <w:rFonts w:ascii="Calibri" w:hAnsi="Calibri" w:cs="Calibri"/>
          <w:sz w:val="24"/>
          <w:szCs w:val="24"/>
        </w:rPr>
        <w:t>.</w:t>
      </w:r>
      <w:r w:rsidR="703FACA2" w:rsidRPr="61697F32">
        <w:rPr>
          <w:rFonts w:ascii="Calibri" w:hAnsi="Calibri" w:cs="Calibri"/>
          <w:sz w:val="24"/>
          <w:szCs w:val="24"/>
        </w:rPr>
        <w:t xml:space="preserve"> </w:t>
      </w:r>
      <w:r w:rsidR="002919AD" w:rsidRPr="61697F32">
        <w:rPr>
          <w:rFonts w:ascii="Calibri" w:hAnsi="Calibri" w:cs="Calibri"/>
          <w:sz w:val="24"/>
          <w:szCs w:val="24"/>
        </w:rPr>
        <w:t>This meeting</w:t>
      </w:r>
      <w:r w:rsidR="002E3B9D" w:rsidRPr="61697F32">
        <w:rPr>
          <w:rFonts w:ascii="Calibri" w:hAnsi="Calibri" w:cs="Calibri"/>
          <w:sz w:val="24"/>
          <w:szCs w:val="24"/>
        </w:rPr>
        <w:t xml:space="preserve"> covered</w:t>
      </w:r>
      <w:r w:rsidR="00314141" w:rsidRPr="61697F32">
        <w:rPr>
          <w:rFonts w:ascii="Calibri" w:hAnsi="Calibri" w:cs="Calibri"/>
          <w:sz w:val="24"/>
          <w:szCs w:val="24"/>
        </w:rPr>
        <w:t xml:space="preserve"> </w:t>
      </w:r>
      <w:r w:rsidR="009F129E" w:rsidRPr="61697F32">
        <w:rPr>
          <w:rFonts w:ascii="Calibri" w:hAnsi="Calibri" w:cs="Calibri"/>
          <w:sz w:val="24"/>
          <w:szCs w:val="24"/>
        </w:rPr>
        <w:t>a</w:t>
      </w:r>
      <w:r w:rsidR="00314141" w:rsidRPr="61697F32">
        <w:rPr>
          <w:rFonts w:ascii="Calibri" w:hAnsi="Calibri" w:cs="Calibri"/>
          <w:sz w:val="24"/>
          <w:szCs w:val="24"/>
        </w:rPr>
        <w:t xml:space="preserve"> final total of 78 items, of which 25 required external evaluation. The submissions requiring external evaluation included 13 cost effectiveness/cost utility analyses, and 9 cost </w:t>
      </w:r>
      <w:r w:rsidR="00314141" w:rsidRPr="3E6ACE7E">
        <w:rPr>
          <w:rFonts w:ascii="Calibri" w:hAnsi="Calibri" w:cs="Calibri"/>
          <w:sz w:val="24"/>
          <w:szCs w:val="24"/>
        </w:rPr>
        <w:t>minimi</w:t>
      </w:r>
      <w:r w:rsidR="117076F6" w:rsidRPr="3E6ACE7E">
        <w:rPr>
          <w:rFonts w:ascii="Calibri" w:hAnsi="Calibri" w:cs="Calibri"/>
          <w:sz w:val="24"/>
          <w:szCs w:val="24"/>
        </w:rPr>
        <w:t>s</w:t>
      </w:r>
      <w:r w:rsidR="00314141" w:rsidRPr="3E6ACE7E">
        <w:rPr>
          <w:rFonts w:ascii="Calibri" w:hAnsi="Calibri" w:cs="Calibri"/>
          <w:sz w:val="24"/>
          <w:szCs w:val="24"/>
        </w:rPr>
        <w:t>ation</w:t>
      </w:r>
      <w:r w:rsidR="00314141" w:rsidRPr="61697F32">
        <w:rPr>
          <w:rFonts w:ascii="Calibri" w:hAnsi="Calibri" w:cs="Calibri"/>
          <w:sz w:val="24"/>
          <w:szCs w:val="24"/>
        </w:rPr>
        <w:t xml:space="preserve"> analyses.</w:t>
      </w:r>
    </w:p>
    <w:p w14:paraId="0B11C271" w14:textId="435D2CB6" w:rsidR="006A7831" w:rsidRDefault="001E6C28" w:rsidP="61697F32">
      <w:pPr>
        <w:spacing w:after="0" w:line="300" w:lineRule="auto"/>
      </w:pPr>
      <w:r w:rsidRPr="61697F32">
        <w:rPr>
          <w:rFonts w:ascii="Calibri" w:hAnsi="Calibri" w:cs="Calibri"/>
          <w:sz w:val="24"/>
          <w:szCs w:val="24"/>
        </w:rPr>
        <w:t xml:space="preserve">Agenda </w:t>
      </w:r>
      <w:r w:rsidR="00DC45A3" w:rsidRPr="61697F32">
        <w:rPr>
          <w:rFonts w:ascii="Calibri" w:hAnsi="Calibri" w:cs="Calibri"/>
          <w:sz w:val="24"/>
          <w:szCs w:val="24"/>
        </w:rPr>
        <w:t>items</w:t>
      </w:r>
      <w:r w:rsidR="00EF30AD" w:rsidRPr="61697F32">
        <w:rPr>
          <w:rFonts w:ascii="Calibri" w:hAnsi="Calibri" w:cs="Calibri"/>
          <w:sz w:val="24"/>
          <w:szCs w:val="24"/>
        </w:rPr>
        <w:t xml:space="preserve"> </w:t>
      </w:r>
      <w:r w:rsidR="005701EC" w:rsidRPr="61697F32">
        <w:rPr>
          <w:rFonts w:ascii="Calibri" w:hAnsi="Calibri" w:cs="Calibri"/>
          <w:sz w:val="24"/>
          <w:szCs w:val="24"/>
        </w:rPr>
        <w:t>includ</w:t>
      </w:r>
      <w:r w:rsidR="00B8098D" w:rsidRPr="61697F32">
        <w:rPr>
          <w:rFonts w:ascii="Calibri" w:hAnsi="Calibri" w:cs="Calibri"/>
          <w:sz w:val="24"/>
          <w:szCs w:val="24"/>
        </w:rPr>
        <w:t>ed</w:t>
      </w:r>
      <w:r w:rsidR="00EF30AD" w:rsidRPr="61697F32">
        <w:rPr>
          <w:rFonts w:ascii="Calibri" w:hAnsi="Calibri" w:cs="Calibri"/>
          <w:sz w:val="24"/>
          <w:szCs w:val="24"/>
        </w:rPr>
        <w:t xml:space="preserve"> </w:t>
      </w:r>
      <w:r w:rsidR="005701EC" w:rsidRPr="61697F32">
        <w:rPr>
          <w:rFonts w:ascii="Calibri" w:hAnsi="Calibri" w:cs="Calibri"/>
          <w:sz w:val="24"/>
          <w:szCs w:val="24"/>
        </w:rPr>
        <w:t xml:space="preserve">a number of </w:t>
      </w:r>
      <w:r w:rsidR="003676B5" w:rsidRPr="61697F32">
        <w:rPr>
          <w:rFonts w:ascii="Calibri" w:hAnsi="Calibri" w:cs="Calibri"/>
          <w:sz w:val="24"/>
          <w:szCs w:val="24"/>
        </w:rPr>
        <w:t>non-submission</w:t>
      </w:r>
      <w:r w:rsidR="005701EC" w:rsidRPr="61697F32">
        <w:rPr>
          <w:rFonts w:ascii="Calibri" w:hAnsi="Calibri" w:cs="Calibri"/>
          <w:sz w:val="24"/>
          <w:szCs w:val="24"/>
        </w:rPr>
        <w:t xml:space="preserve"> items </w:t>
      </w:r>
      <w:r w:rsidR="00CE2DE9" w:rsidRPr="61697F32">
        <w:rPr>
          <w:rFonts w:ascii="Calibri" w:hAnsi="Calibri" w:cs="Calibri"/>
          <w:sz w:val="24"/>
          <w:szCs w:val="24"/>
        </w:rPr>
        <w:t>to</w:t>
      </w:r>
      <w:r w:rsidR="00B962B9" w:rsidRPr="61697F32">
        <w:rPr>
          <w:rFonts w:ascii="Calibri" w:hAnsi="Calibri" w:cs="Calibri"/>
          <w:sz w:val="24"/>
          <w:szCs w:val="24"/>
        </w:rPr>
        <w:t xml:space="preserve"> consider</w:t>
      </w:r>
      <w:r w:rsidR="00CE2DE9" w:rsidRPr="61697F32">
        <w:rPr>
          <w:rFonts w:ascii="Calibri" w:hAnsi="Calibri" w:cs="Calibri"/>
          <w:sz w:val="24"/>
          <w:szCs w:val="24"/>
        </w:rPr>
        <w:t xml:space="preserve"> </w:t>
      </w:r>
      <w:r w:rsidR="006C4743" w:rsidRPr="61697F32">
        <w:rPr>
          <w:rFonts w:ascii="Calibri" w:hAnsi="Calibri" w:cs="Calibri"/>
          <w:sz w:val="24"/>
          <w:szCs w:val="24"/>
        </w:rPr>
        <w:t xml:space="preserve">listing changes arising from </w:t>
      </w:r>
      <w:r w:rsidR="007774DE" w:rsidRPr="61697F32">
        <w:rPr>
          <w:rFonts w:ascii="Calibri" w:hAnsi="Calibri" w:cs="Calibri"/>
          <w:sz w:val="24"/>
          <w:szCs w:val="24"/>
        </w:rPr>
        <w:t xml:space="preserve">recent </w:t>
      </w:r>
      <w:r w:rsidR="00CE2DE9" w:rsidRPr="61697F32">
        <w:rPr>
          <w:rFonts w:ascii="Calibri" w:hAnsi="Calibri" w:cs="Calibri"/>
          <w:sz w:val="24"/>
          <w:szCs w:val="24"/>
        </w:rPr>
        <w:t xml:space="preserve">commercial decisions </w:t>
      </w:r>
      <w:r w:rsidR="006C4743" w:rsidRPr="61697F32">
        <w:rPr>
          <w:rFonts w:ascii="Calibri" w:hAnsi="Calibri" w:cs="Calibri"/>
          <w:sz w:val="24"/>
          <w:szCs w:val="24"/>
        </w:rPr>
        <w:t xml:space="preserve">of various </w:t>
      </w:r>
      <w:r w:rsidR="006A7831" w:rsidRPr="61697F32">
        <w:rPr>
          <w:rFonts w:ascii="Calibri" w:hAnsi="Calibri" w:cs="Calibri"/>
          <w:sz w:val="24"/>
          <w:szCs w:val="24"/>
        </w:rPr>
        <w:t>s</w:t>
      </w:r>
      <w:r w:rsidR="009B0827" w:rsidRPr="61697F32">
        <w:rPr>
          <w:rFonts w:ascii="Calibri" w:hAnsi="Calibri" w:cs="Calibri"/>
          <w:sz w:val="24"/>
          <w:szCs w:val="24"/>
        </w:rPr>
        <w:t>ponsors</w:t>
      </w:r>
      <w:r w:rsidR="004E6E3D" w:rsidRPr="61697F32">
        <w:rPr>
          <w:rFonts w:ascii="Calibri" w:hAnsi="Calibri" w:cs="Calibri"/>
          <w:sz w:val="24"/>
          <w:szCs w:val="24"/>
        </w:rPr>
        <w:t>, matters</w:t>
      </w:r>
      <w:r w:rsidR="00FD5E94" w:rsidRPr="61697F32">
        <w:rPr>
          <w:rFonts w:ascii="Calibri" w:hAnsi="Calibri" w:cs="Calibri"/>
          <w:sz w:val="24"/>
          <w:szCs w:val="24"/>
        </w:rPr>
        <w:t xml:space="preserve"> related to </w:t>
      </w:r>
      <w:r w:rsidR="00816DEE" w:rsidRPr="61697F32">
        <w:rPr>
          <w:rFonts w:ascii="Calibri" w:hAnsi="Calibri" w:cs="Calibri"/>
          <w:sz w:val="24"/>
          <w:szCs w:val="24"/>
        </w:rPr>
        <w:t xml:space="preserve">ongoing </w:t>
      </w:r>
      <w:r w:rsidR="0070159F" w:rsidRPr="61697F32">
        <w:rPr>
          <w:rFonts w:ascii="Calibri" w:hAnsi="Calibri" w:cs="Calibri"/>
          <w:sz w:val="24"/>
          <w:szCs w:val="24"/>
        </w:rPr>
        <w:t xml:space="preserve">consideration of </w:t>
      </w:r>
      <w:r w:rsidR="00394436" w:rsidRPr="61697F32">
        <w:rPr>
          <w:rFonts w:ascii="Calibri" w:hAnsi="Calibri" w:cs="Calibri"/>
          <w:sz w:val="24"/>
          <w:szCs w:val="24"/>
        </w:rPr>
        <w:t xml:space="preserve">Designated Registered Nurse prescribing </w:t>
      </w:r>
      <w:r w:rsidR="001C1283" w:rsidRPr="61697F32">
        <w:rPr>
          <w:rFonts w:ascii="Calibri" w:hAnsi="Calibri" w:cs="Calibri"/>
          <w:sz w:val="24"/>
          <w:szCs w:val="24"/>
        </w:rPr>
        <w:t>for</w:t>
      </w:r>
      <w:r w:rsidR="00394436" w:rsidRPr="61697F32">
        <w:rPr>
          <w:rFonts w:ascii="Calibri" w:hAnsi="Calibri" w:cs="Calibri"/>
          <w:sz w:val="24"/>
          <w:szCs w:val="24"/>
        </w:rPr>
        <w:t xml:space="preserve"> </w:t>
      </w:r>
      <w:r w:rsidR="001834EE" w:rsidRPr="61697F32">
        <w:rPr>
          <w:rFonts w:ascii="Calibri" w:hAnsi="Calibri" w:cs="Calibri"/>
          <w:sz w:val="24"/>
          <w:szCs w:val="24"/>
        </w:rPr>
        <w:t xml:space="preserve">several therapeutic groups of </w:t>
      </w:r>
      <w:r w:rsidR="006A7831" w:rsidRPr="61697F32">
        <w:rPr>
          <w:rFonts w:ascii="Calibri" w:hAnsi="Calibri" w:cs="Calibri"/>
          <w:sz w:val="24"/>
          <w:szCs w:val="24"/>
        </w:rPr>
        <w:t>Pharmaceutical Benefits Scheme (PBS) listed</w:t>
      </w:r>
      <w:r w:rsidR="00D44BF7" w:rsidRPr="61697F32">
        <w:rPr>
          <w:rFonts w:ascii="Calibri" w:hAnsi="Calibri" w:cs="Calibri"/>
          <w:sz w:val="24"/>
          <w:szCs w:val="24"/>
        </w:rPr>
        <w:t xml:space="preserve"> </w:t>
      </w:r>
      <w:r w:rsidR="001834EE" w:rsidRPr="61697F32">
        <w:rPr>
          <w:rFonts w:ascii="Calibri" w:hAnsi="Calibri" w:cs="Calibri"/>
          <w:sz w:val="24"/>
          <w:szCs w:val="24"/>
        </w:rPr>
        <w:t>medicines</w:t>
      </w:r>
      <w:r w:rsidR="00B651DC" w:rsidRPr="61697F32">
        <w:rPr>
          <w:rFonts w:ascii="Calibri" w:hAnsi="Calibri" w:cs="Calibri"/>
          <w:sz w:val="24"/>
          <w:szCs w:val="24"/>
        </w:rPr>
        <w:t xml:space="preserve">, and </w:t>
      </w:r>
      <w:r w:rsidR="009D7009" w:rsidRPr="61697F32">
        <w:rPr>
          <w:rFonts w:ascii="Calibri" w:hAnsi="Calibri" w:cs="Calibri"/>
          <w:sz w:val="24"/>
          <w:szCs w:val="24"/>
        </w:rPr>
        <w:t xml:space="preserve">referrals from the </w:t>
      </w:r>
      <w:r w:rsidR="00B0240F" w:rsidRPr="61697F32">
        <w:rPr>
          <w:rFonts w:ascii="Calibri" w:hAnsi="Calibri" w:cs="Calibri"/>
          <w:sz w:val="24"/>
          <w:szCs w:val="24"/>
        </w:rPr>
        <w:t xml:space="preserve">Department for matters related to </w:t>
      </w:r>
      <w:r w:rsidR="00551416" w:rsidRPr="61697F32">
        <w:rPr>
          <w:rFonts w:ascii="Calibri" w:hAnsi="Calibri" w:cs="Calibri"/>
          <w:sz w:val="24"/>
          <w:szCs w:val="24"/>
        </w:rPr>
        <w:t xml:space="preserve">implementation of </w:t>
      </w:r>
      <w:r w:rsidR="006A7831" w:rsidRPr="61697F32">
        <w:rPr>
          <w:rFonts w:ascii="Calibri" w:hAnsi="Calibri" w:cs="Calibri"/>
          <w:sz w:val="24"/>
          <w:szCs w:val="24"/>
        </w:rPr>
        <w:t>p</w:t>
      </w:r>
      <w:r w:rsidR="00551416" w:rsidRPr="61697F32">
        <w:rPr>
          <w:rFonts w:ascii="Calibri" w:hAnsi="Calibri" w:cs="Calibri"/>
          <w:sz w:val="24"/>
          <w:szCs w:val="24"/>
        </w:rPr>
        <w:t xml:space="preserve">ricing </w:t>
      </w:r>
      <w:r w:rsidR="002A09C4" w:rsidRPr="61697F32">
        <w:rPr>
          <w:rFonts w:ascii="Calibri" w:hAnsi="Calibri" w:cs="Calibri"/>
          <w:sz w:val="24"/>
          <w:szCs w:val="24"/>
        </w:rPr>
        <w:t>policy measures</w:t>
      </w:r>
      <w:r w:rsidR="007E3074" w:rsidRPr="61697F32">
        <w:rPr>
          <w:rFonts w:ascii="Calibri" w:hAnsi="Calibri" w:cs="Calibri"/>
          <w:sz w:val="24"/>
          <w:szCs w:val="24"/>
        </w:rPr>
        <w:t>.</w:t>
      </w:r>
    </w:p>
    <w:p w14:paraId="070717E7" w14:textId="289703E2" w:rsidR="61697F32" w:rsidRDefault="61697F32" w:rsidP="61697F32">
      <w:pPr>
        <w:spacing w:after="0" w:line="300" w:lineRule="auto"/>
        <w:rPr>
          <w:rFonts w:ascii="Calibri" w:hAnsi="Calibri" w:cs="Calibri"/>
          <w:sz w:val="24"/>
          <w:szCs w:val="24"/>
        </w:rPr>
      </w:pPr>
    </w:p>
    <w:p w14:paraId="050749D7" w14:textId="5F8CF875" w:rsidR="006A7831" w:rsidRDefault="006A7831" w:rsidP="006A7831">
      <w:pPr>
        <w:rPr>
          <w:rFonts w:ascii="Calibri" w:hAnsi="Calibri" w:cs="Calibri"/>
          <w:b/>
          <w:bCs/>
          <w:sz w:val="24"/>
          <w:szCs w:val="24"/>
        </w:rPr>
      </w:pPr>
      <w:r w:rsidRPr="006A7831">
        <w:rPr>
          <w:rFonts w:ascii="Calibri" w:hAnsi="Calibri" w:cs="Calibri"/>
          <w:sz w:val="24"/>
          <w:szCs w:val="24"/>
        </w:rPr>
        <w:t xml:space="preserve">Outcomes from this PBAC meeting will be available on the PBS website on </w:t>
      </w:r>
      <w:r w:rsidRPr="3E6ACE7E">
        <w:rPr>
          <w:rFonts w:ascii="Calibri" w:hAnsi="Calibri" w:cs="Calibri"/>
          <w:sz w:val="24"/>
          <w:szCs w:val="24"/>
        </w:rPr>
        <w:t>21</w:t>
      </w:r>
      <w:r w:rsidRPr="3E6ACE7E">
        <w:rPr>
          <w:rFonts w:ascii="Calibri" w:hAnsi="Calibri" w:cs="Calibri"/>
          <w:sz w:val="24"/>
          <w:szCs w:val="24"/>
          <w:vertAlign w:val="superscript"/>
        </w:rPr>
        <w:t xml:space="preserve"> </w:t>
      </w:r>
      <w:r w:rsidRPr="3E6ACE7E">
        <w:rPr>
          <w:rFonts w:ascii="Calibri" w:hAnsi="Calibri" w:cs="Calibri"/>
          <w:sz w:val="24"/>
          <w:szCs w:val="24"/>
        </w:rPr>
        <w:t>August 2026.</w:t>
      </w:r>
    </w:p>
    <w:p w14:paraId="7E08D373" w14:textId="77777777" w:rsidR="003F6A96" w:rsidRPr="006A7831" w:rsidRDefault="003F6A96" w:rsidP="006A7831">
      <w:pPr>
        <w:rPr>
          <w:rFonts w:ascii="Calibri" w:hAnsi="Calibri" w:cs="Calibri"/>
          <w:sz w:val="24"/>
          <w:szCs w:val="24"/>
        </w:rPr>
      </w:pPr>
    </w:p>
    <w:p w14:paraId="763A5591" w14:textId="183B9935" w:rsidR="003F6A96" w:rsidRPr="003F6A96" w:rsidRDefault="003F6A96" w:rsidP="00594D7D">
      <w:pPr>
        <w:rPr>
          <w:rFonts w:ascii="Calibri" w:hAnsi="Calibri" w:cs="Calibri"/>
          <w:b/>
          <w:bCs/>
          <w:sz w:val="24"/>
          <w:szCs w:val="24"/>
        </w:rPr>
      </w:pPr>
      <w:r w:rsidRPr="003F6A96">
        <w:rPr>
          <w:rFonts w:ascii="Calibri" w:hAnsi="Calibri" w:cs="Calibri"/>
          <w:b/>
          <w:bCs/>
          <w:sz w:val="24"/>
          <w:szCs w:val="24"/>
        </w:rPr>
        <w:t>PBAC Metrics</w:t>
      </w:r>
      <w:r>
        <w:rPr>
          <w:rFonts w:ascii="Calibri" w:hAnsi="Calibri" w:cs="Calibri"/>
          <w:b/>
          <w:bCs/>
          <w:sz w:val="24"/>
          <w:szCs w:val="24"/>
        </w:rPr>
        <w:t xml:space="preserve"> – July 2026</w:t>
      </w:r>
    </w:p>
    <w:p w14:paraId="526B5042" w14:textId="76105E5B" w:rsidR="001824EC" w:rsidRPr="006A7831" w:rsidRDefault="00C04B93" w:rsidP="001824EC">
      <w:pPr>
        <w:rPr>
          <w:rFonts w:ascii="Calibri" w:hAnsi="Calibri" w:cs="Calibri"/>
          <w:sz w:val="24"/>
          <w:szCs w:val="24"/>
        </w:rPr>
      </w:pPr>
      <w:r w:rsidRPr="46F19573">
        <w:rPr>
          <w:rFonts w:ascii="Calibri" w:hAnsi="Calibri" w:cs="Calibri"/>
          <w:sz w:val="24"/>
          <w:szCs w:val="24"/>
        </w:rPr>
        <w:t xml:space="preserve">The PBAC noted </w:t>
      </w:r>
      <w:r w:rsidR="00D40CAE" w:rsidRPr="46F19573">
        <w:rPr>
          <w:rFonts w:ascii="Calibri" w:hAnsi="Calibri" w:cs="Calibri"/>
          <w:sz w:val="24"/>
          <w:szCs w:val="24"/>
        </w:rPr>
        <w:t xml:space="preserve">that of </w:t>
      </w:r>
      <w:r w:rsidR="001824EC" w:rsidRPr="46F19573">
        <w:rPr>
          <w:rFonts w:ascii="Calibri" w:hAnsi="Calibri" w:cs="Calibri"/>
          <w:sz w:val="24"/>
          <w:szCs w:val="24"/>
        </w:rPr>
        <w:t>the Category 1, Category 2, and Standard and Early re-entry items considered by the PBAC</w:t>
      </w:r>
      <w:r w:rsidR="6B44D6A7" w:rsidRPr="46F19573">
        <w:rPr>
          <w:rFonts w:ascii="Calibri" w:hAnsi="Calibri" w:cs="Calibri"/>
          <w:sz w:val="24"/>
          <w:szCs w:val="24"/>
        </w:rPr>
        <w:t xml:space="preserve"> at the July PBAC meeting</w:t>
      </w:r>
      <w:r w:rsidR="001824EC" w:rsidRPr="46F19573">
        <w:rPr>
          <w:rFonts w:ascii="Calibri" w:hAnsi="Calibri" w:cs="Calibri"/>
          <w:sz w:val="24"/>
          <w:szCs w:val="24"/>
        </w:rPr>
        <w:t xml:space="preserve">, the median time </w:t>
      </w:r>
      <w:r w:rsidR="001824EC" w:rsidRPr="46F19573">
        <w:rPr>
          <w:rFonts w:ascii="Calibri" w:hAnsi="Calibri" w:cs="Calibri"/>
          <w:b/>
          <w:bCs/>
          <w:sz w:val="24"/>
          <w:szCs w:val="24"/>
        </w:rPr>
        <w:t>between T</w:t>
      </w:r>
      <w:r w:rsidR="006A7831" w:rsidRPr="46F19573">
        <w:rPr>
          <w:rFonts w:ascii="Calibri" w:hAnsi="Calibri" w:cs="Calibri"/>
          <w:b/>
          <w:bCs/>
          <w:sz w:val="24"/>
          <w:szCs w:val="24"/>
        </w:rPr>
        <w:t>herapeutic Goods Administration (TGA)</w:t>
      </w:r>
      <w:r w:rsidR="001824EC" w:rsidRPr="46F19573">
        <w:rPr>
          <w:rFonts w:ascii="Calibri" w:hAnsi="Calibri" w:cs="Calibri"/>
          <w:b/>
          <w:bCs/>
          <w:sz w:val="24"/>
          <w:szCs w:val="24"/>
        </w:rPr>
        <w:t xml:space="preserve"> </w:t>
      </w:r>
      <w:r w:rsidR="1D226A35" w:rsidRPr="3E6ACE7E">
        <w:rPr>
          <w:rFonts w:ascii="Calibri" w:hAnsi="Calibri" w:cs="Calibri"/>
          <w:b/>
          <w:bCs/>
          <w:sz w:val="24"/>
          <w:szCs w:val="24"/>
        </w:rPr>
        <w:t>l</w:t>
      </w:r>
      <w:r w:rsidR="001824EC" w:rsidRPr="3E6ACE7E">
        <w:rPr>
          <w:rFonts w:ascii="Calibri" w:hAnsi="Calibri" w:cs="Calibri"/>
          <w:b/>
          <w:bCs/>
          <w:sz w:val="24"/>
          <w:szCs w:val="24"/>
        </w:rPr>
        <w:t>odgement</w:t>
      </w:r>
      <w:r w:rsidR="001824EC" w:rsidRPr="46F19573">
        <w:rPr>
          <w:rFonts w:ascii="Calibri" w:hAnsi="Calibri" w:cs="Calibri"/>
          <w:b/>
          <w:bCs/>
          <w:sz w:val="24"/>
          <w:szCs w:val="24"/>
        </w:rPr>
        <w:t xml:space="preserve"> for </w:t>
      </w:r>
      <w:r w:rsidR="001824EC" w:rsidRPr="3E6ACE7E">
        <w:rPr>
          <w:rFonts w:ascii="Calibri" w:hAnsi="Calibri" w:cs="Calibri"/>
          <w:b/>
          <w:bCs/>
          <w:sz w:val="24"/>
          <w:szCs w:val="24"/>
        </w:rPr>
        <w:t>A</w:t>
      </w:r>
      <w:r w:rsidR="006A7831" w:rsidRPr="3E6ACE7E">
        <w:rPr>
          <w:rFonts w:ascii="Calibri" w:hAnsi="Calibri" w:cs="Calibri"/>
          <w:b/>
          <w:bCs/>
          <w:sz w:val="24"/>
          <w:szCs w:val="24"/>
        </w:rPr>
        <w:t>ustralia</w:t>
      </w:r>
      <w:r w:rsidR="07261694" w:rsidRPr="3E6ACE7E">
        <w:rPr>
          <w:rFonts w:ascii="Calibri" w:hAnsi="Calibri" w:cs="Calibri"/>
          <w:b/>
          <w:bCs/>
          <w:sz w:val="24"/>
          <w:szCs w:val="24"/>
        </w:rPr>
        <w:t>n</w:t>
      </w:r>
      <w:r w:rsidR="006A7831" w:rsidRPr="46F19573">
        <w:rPr>
          <w:rFonts w:ascii="Calibri" w:hAnsi="Calibri" w:cs="Calibri"/>
          <w:b/>
          <w:bCs/>
          <w:sz w:val="24"/>
          <w:szCs w:val="24"/>
        </w:rPr>
        <w:t xml:space="preserve"> </w:t>
      </w:r>
      <w:r w:rsidR="001824EC" w:rsidRPr="46F19573">
        <w:rPr>
          <w:rFonts w:ascii="Calibri" w:hAnsi="Calibri" w:cs="Calibri"/>
          <w:b/>
          <w:bCs/>
          <w:sz w:val="24"/>
          <w:szCs w:val="24"/>
        </w:rPr>
        <w:t>R</w:t>
      </w:r>
      <w:r w:rsidR="006A7831" w:rsidRPr="46F19573">
        <w:rPr>
          <w:rFonts w:ascii="Calibri" w:hAnsi="Calibri" w:cs="Calibri"/>
          <w:b/>
          <w:bCs/>
          <w:sz w:val="24"/>
          <w:szCs w:val="24"/>
        </w:rPr>
        <w:t xml:space="preserve">egister of Therapeutic </w:t>
      </w:r>
      <w:r w:rsidR="001824EC" w:rsidRPr="46F19573">
        <w:rPr>
          <w:rFonts w:ascii="Calibri" w:hAnsi="Calibri" w:cs="Calibri"/>
          <w:b/>
          <w:bCs/>
          <w:sz w:val="24"/>
          <w:szCs w:val="24"/>
        </w:rPr>
        <w:t>G</w:t>
      </w:r>
      <w:r w:rsidR="006A7831" w:rsidRPr="46F19573">
        <w:rPr>
          <w:rFonts w:ascii="Calibri" w:hAnsi="Calibri" w:cs="Calibri"/>
          <w:b/>
          <w:bCs/>
          <w:sz w:val="24"/>
          <w:szCs w:val="24"/>
        </w:rPr>
        <w:t>oods (ARTG)</w:t>
      </w:r>
      <w:r w:rsidR="001824EC" w:rsidRPr="46F19573">
        <w:rPr>
          <w:rFonts w:ascii="Calibri" w:hAnsi="Calibri" w:cs="Calibri"/>
          <w:b/>
          <w:bCs/>
          <w:sz w:val="24"/>
          <w:szCs w:val="24"/>
        </w:rPr>
        <w:t xml:space="preserve"> listing, and the sponsor’s first PBAC submission </w:t>
      </w:r>
      <w:r w:rsidR="001824EC" w:rsidRPr="46F19573">
        <w:rPr>
          <w:rFonts w:ascii="Calibri" w:hAnsi="Calibri" w:cs="Calibri"/>
          <w:sz w:val="24"/>
          <w:szCs w:val="24"/>
        </w:rPr>
        <w:t>was 265 days for items that were recommended, 383 days for items not recommended, and 168 days for items that were deferred.</w:t>
      </w:r>
    </w:p>
    <w:p w14:paraId="43C7B90C" w14:textId="77777777" w:rsidR="006A7831" w:rsidRPr="006A7831" w:rsidRDefault="006A7831" w:rsidP="001824EC">
      <w:pPr>
        <w:rPr>
          <w:rFonts w:ascii="Calibri" w:hAnsi="Calibri" w:cs="Calibri"/>
          <w:sz w:val="24"/>
          <w:szCs w:val="24"/>
        </w:rPr>
      </w:pPr>
    </w:p>
    <w:tbl>
      <w:tblPr>
        <w:tblW w:w="8647" w:type="dxa"/>
        <w:shd w:val="clear" w:color="auto" w:fill="FFFFFF"/>
        <w:tblLayout w:type="fixed"/>
        <w:tblCellMar>
          <w:left w:w="0" w:type="dxa"/>
          <w:right w:w="0" w:type="dxa"/>
        </w:tblCellMar>
        <w:tblLook w:val="04A0" w:firstRow="1" w:lastRow="0" w:firstColumn="1" w:lastColumn="0" w:noHBand="0" w:noVBand="1"/>
      </w:tblPr>
      <w:tblGrid>
        <w:gridCol w:w="2554"/>
        <w:gridCol w:w="1218"/>
        <w:gridCol w:w="1219"/>
        <w:gridCol w:w="1218"/>
        <w:gridCol w:w="1219"/>
        <w:gridCol w:w="1219"/>
      </w:tblGrid>
      <w:tr w:rsidR="001824EC" w:rsidRPr="006A7831" w14:paraId="7D41572F" w14:textId="77777777" w:rsidTr="003F6A96">
        <w:trPr>
          <w:trHeight w:val="330"/>
        </w:trPr>
        <w:tc>
          <w:tcPr>
            <w:tcW w:w="2554" w:type="dxa"/>
            <w:shd w:val="clear" w:color="auto" w:fill="FFFFFF"/>
            <w:noWrap/>
            <w:tcMar>
              <w:top w:w="15" w:type="dxa"/>
              <w:left w:w="108" w:type="dxa"/>
              <w:bottom w:w="15" w:type="dxa"/>
              <w:right w:w="108" w:type="dxa"/>
            </w:tcMar>
            <w:vAlign w:val="bottom"/>
            <w:hideMark/>
          </w:tcPr>
          <w:p w14:paraId="79F2D083" w14:textId="77777777" w:rsidR="001824EC" w:rsidRPr="006A7831" w:rsidRDefault="001824EC" w:rsidP="001824EC">
            <w:pPr>
              <w:rPr>
                <w:rFonts w:ascii="Calibri" w:hAnsi="Calibri" w:cs="Calibri"/>
                <w:sz w:val="24"/>
                <w:szCs w:val="24"/>
              </w:rPr>
            </w:pPr>
          </w:p>
        </w:tc>
        <w:tc>
          <w:tcPr>
            <w:tcW w:w="6093" w:type="dxa"/>
            <w:gridSpan w:val="5"/>
            <w:tcBorders>
              <w:top w:val="single" w:sz="8" w:space="0" w:color="auto"/>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bottom"/>
            <w:hideMark/>
          </w:tcPr>
          <w:p w14:paraId="733617F0"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Time from TGA submission to PBAC submission (days)</w:t>
            </w:r>
          </w:p>
        </w:tc>
      </w:tr>
      <w:tr w:rsidR="001824EC" w:rsidRPr="006A7831" w14:paraId="061F09C1" w14:textId="77777777" w:rsidTr="003F6A96">
        <w:trPr>
          <w:trHeight w:val="330"/>
        </w:trPr>
        <w:tc>
          <w:tcPr>
            <w:tcW w:w="2554" w:type="dxa"/>
            <w:tcBorders>
              <w:top w:val="nil"/>
              <w:left w:val="nil"/>
              <w:bottom w:val="single" w:sz="8" w:space="0" w:color="auto"/>
              <w:right w:val="single" w:sz="8" w:space="0" w:color="auto"/>
            </w:tcBorders>
            <w:shd w:val="clear" w:color="auto" w:fill="FFFFFF"/>
            <w:noWrap/>
            <w:tcMar>
              <w:top w:w="15" w:type="dxa"/>
              <w:left w:w="108" w:type="dxa"/>
              <w:bottom w:w="15" w:type="dxa"/>
              <w:right w:w="108" w:type="dxa"/>
            </w:tcMar>
            <w:vAlign w:val="bottom"/>
            <w:hideMark/>
          </w:tcPr>
          <w:p w14:paraId="4EBA8FCC" w14:textId="77777777" w:rsidR="001824EC" w:rsidRPr="006A7831" w:rsidRDefault="001824EC" w:rsidP="001824EC">
            <w:pPr>
              <w:rPr>
                <w:rFonts w:ascii="Calibri" w:hAnsi="Calibri" w:cs="Calibri"/>
                <w:sz w:val="24"/>
                <w:szCs w:val="24"/>
              </w:rPr>
            </w:pPr>
          </w:p>
        </w:tc>
        <w:tc>
          <w:tcPr>
            <w:tcW w:w="1218" w:type="dxa"/>
            <w:tcBorders>
              <w:top w:val="nil"/>
              <w:left w:val="nil"/>
              <w:bottom w:val="single" w:sz="8" w:space="0" w:color="auto"/>
              <w:right w:val="nil"/>
            </w:tcBorders>
            <w:shd w:val="clear" w:color="auto" w:fill="FFFFFF"/>
            <w:noWrap/>
            <w:tcMar>
              <w:top w:w="15" w:type="dxa"/>
              <w:left w:w="108" w:type="dxa"/>
              <w:bottom w:w="15" w:type="dxa"/>
              <w:right w:w="108" w:type="dxa"/>
            </w:tcMar>
            <w:vAlign w:val="bottom"/>
            <w:hideMark/>
          </w:tcPr>
          <w:p w14:paraId="662B6A56"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Min</w:t>
            </w:r>
          </w:p>
        </w:tc>
        <w:tc>
          <w:tcPr>
            <w:tcW w:w="1219" w:type="dxa"/>
            <w:tcBorders>
              <w:top w:val="single" w:sz="8" w:space="0" w:color="auto"/>
              <w:left w:val="nil"/>
              <w:bottom w:val="single" w:sz="8" w:space="0" w:color="auto"/>
              <w:right w:val="nil"/>
            </w:tcBorders>
            <w:shd w:val="clear" w:color="auto" w:fill="FFFFFF"/>
            <w:noWrap/>
            <w:tcMar>
              <w:top w:w="15" w:type="dxa"/>
              <w:left w:w="108" w:type="dxa"/>
              <w:bottom w:w="15" w:type="dxa"/>
              <w:right w:w="108" w:type="dxa"/>
            </w:tcMar>
            <w:vAlign w:val="bottom"/>
            <w:hideMark/>
          </w:tcPr>
          <w:p w14:paraId="2A9B4E4B"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Q1</w:t>
            </w:r>
          </w:p>
        </w:tc>
        <w:tc>
          <w:tcPr>
            <w:tcW w:w="1218" w:type="dxa"/>
            <w:tcBorders>
              <w:top w:val="single" w:sz="8" w:space="0" w:color="auto"/>
              <w:left w:val="nil"/>
              <w:bottom w:val="single" w:sz="8" w:space="0" w:color="auto"/>
              <w:right w:val="nil"/>
            </w:tcBorders>
            <w:shd w:val="clear" w:color="auto" w:fill="FFFFFF"/>
            <w:noWrap/>
            <w:tcMar>
              <w:top w:w="15" w:type="dxa"/>
              <w:left w:w="108" w:type="dxa"/>
              <w:bottom w:w="15" w:type="dxa"/>
              <w:right w:w="108" w:type="dxa"/>
            </w:tcMar>
            <w:vAlign w:val="bottom"/>
            <w:hideMark/>
          </w:tcPr>
          <w:p w14:paraId="2317600D"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Median</w:t>
            </w:r>
          </w:p>
        </w:tc>
        <w:tc>
          <w:tcPr>
            <w:tcW w:w="1219" w:type="dxa"/>
            <w:tcBorders>
              <w:top w:val="single" w:sz="8" w:space="0" w:color="auto"/>
              <w:left w:val="nil"/>
              <w:bottom w:val="single" w:sz="8" w:space="0" w:color="auto"/>
              <w:right w:val="nil"/>
            </w:tcBorders>
            <w:shd w:val="clear" w:color="auto" w:fill="FFFFFF"/>
            <w:noWrap/>
            <w:tcMar>
              <w:top w:w="15" w:type="dxa"/>
              <w:left w:w="108" w:type="dxa"/>
              <w:bottom w:w="15" w:type="dxa"/>
              <w:right w:w="108" w:type="dxa"/>
            </w:tcMar>
            <w:vAlign w:val="bottom"/>
            <w:hideMark/>
          </w:tcPr>
          <w:p w14:paraId="52CC8D2A"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Q3</w:t>
            </w:r>
          </w:p>
        </w:tc>
        <w:tc>
          <w:tcPr>
            <w:tcW w:w="1219" w:type="dxa"/>
            <w:tcBorders>
              <w:top w:val="single" w:sz="8" w:space="0" w:color="auto"/>
              <w:left w:val="nil"/>
              <w:bottom w:val="single" w:sz="8" w:space="0" w:color="auto"/>
              <w:right w:val="single" w:sz="8" w:space="0" w:color="auto"/>
            </w:tcBorders>
            <w:shd w:val="clear" w:color="auto" w:fill="FFFFFF"/>
            <w:noWrap/>
            <w:tcMar>
              <w:top w:w="15" w:type="dxa"/>
              <w:left w:w="108" w:type="dxa"/>
              <w:bottom w:w="15" w:type="dxa"/>
              <w:right w:w="108" w:type="dxa"/>
            </w:tcMar>
            <w:vAlign w:val="bottom"/>
            <w:hideMark/>
          </w:tcPr>
          <w:p w14:paraId="0C50782D" w14:textId="77777777" w:rsidR="001824EC" w:rsidRPr="006A7831" w:rsidRDefault="001824EC" w:rsidP="001824EC">
            <w:pPr>
              <w:rPr>
                <w:rFonts w:ascii="Calibri" w:hAnsi="Calibri" w:cs="Calibri"/>
                <w:sz w:val="24"/>
                <w:szCs w:val="24"/>
              </w:rPr>
            </w:pPr>
            <w:r w:rsidRPr="006A7831">
              <w:rPr>
                <w:rFonts w:ascii="Calibri" w:hAnsi="Calibri" w:cs="Calibri"/>
                <w:b/>
                <w:bCs/>
                <w:sz w:val="24"/>
                <w:szCs w:val="24"/>
              </w:rPr>
              <w:t>Max</w:t>
            </w:r>
          </w:p>
        </w:tc>
      </w:tr>
      <w:tr w:rsidR="001824EC" w:rsidRPr="006A7831" w14:paraId="57F482CB" w14:textId="77777777" w:rsidTr="003F6A96">
        <w:trPr>
          <w:trHeight w:val="330"/>
        </w:trPr>
        <w:tc>
          <w:tcPr>
            <w:tcW w:w="2554" w:type="dxa"/>
            <w:tcBorders>
              <w:top w:val="nil"/>
              <w:left w:val="single" w:sz="8" w:space="0" w:color="auto"/>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6FC5D573"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Recommended</w:t>
            </w:r>
          </w:p>
        </w:tc>
        <w:tc>
          <w:tcPr>
            <w:tcW w:w="1218" w:type="dxa"/>
            <w:tcBorders>
              <w:top w:val="nil"/>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139AA0A7"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43</w:t>
            </w:r>
          </w:p>
        </w:tc>
        <w:tc>
          <w:tcPr>
            <w:tcW w:w="1219" w:type="dxa"/>
            <w:tcBorders>
              <w:top w:val="nil"/>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2E11F485"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222</w:t>
            </w:r>
          </w:p>
        </w:tc>
        <w:tc>
          <w:tcPr>
            <w:tcW w:w="1218" w:type="dxa"/>
            <w:tcBorders>
              <w:top w:val="nil"/>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01DE6198"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265</w:t>
            </w:r>
          </w:p>
        </w:tc>
        <w:tc>
          <w:tcPr>
            <w:tcW w:w="1219" w:type="dxa"/>
            <w:tcBorders>
              <w:top w:val="nil"/>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4B52BE70"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470</w:t>
            </w:r>
          </w:p>
        </w:tc>
        <w:tc>
          <w:tcPr>
            <w:tcW w:w="1219" w:type="dxa"/>
            <w:tcBorders>
              <w:top w:val="nil"/>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4060ADB3"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1367</w:t>
            </w:r>
          </w:p>
        </w:tc>
      </w:tr>
      <w:tr w:rsidR="001824EC" w:rsidRPr="006A7831" w14:paraId="011848FA" w14:textId="77777777" w:rsidTr="003F6A96">
        <w:trPr>
          <w:trHeight w:val="330"/>
        </w:trPr>
        <w:tc>
          <w:tcPr>
            <w:tcW w:w="2554" w:type="dxa"/>
            <w:tcBorders>
              <w:top w:val="single" w:sz="4" w:space="0" w:color="auto"/>
              <w:left w:val="single" w:sz="4" w:space="0" w:color="auto"/>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5A4A8C9F"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Not recommended</w:t>
            </w:r>
          </w:p>
        </w:tc>
        <w:tc>
          <w:tcPr>
            <w:tcW w:w="1218" w:type="dxa"/>
            <w:tcBorders>
              <w:top w:val="single" w:sz="4" w:space="0" w:color="auto"/>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790198A8"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190</w:t>
            </w:r>
          </w:p>
        </w:tc>
        <w:tc>
          <w:tcPr>
            <w:tcW w:w="1219" w:type="dxa"/>
            <w:tcBorders>
              <w:top w:val="single" w:sz="4" w:space="0" w:color="auto"/>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4D4A709F"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229</w:t>
            </w:r>
          </w:p>
        </w:tc>
        <w:tc>
          <w:tcPr>
            <w:tcW w:w="1218" w:type="dxa"/>
            <w:tcBorders>
              <w:top w:val="single" w:sz="4" w:space="0" w:color="auto"/>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3BCF6CE3"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383</w:t>
            </w:r>
          </w:p>
        </w:tc>
        <w:tc>
          <w:tcPr>
            <w:tcW w:w="1219" w:type="dxa"/>
            <w:tcBorders>
              <w:top w:val="single" w:sz="4" w:space="0" w:color="auto"/>
              <w:left w:val="nil"/>
              <w:bottom w:val="single" w:sz="4" w:space="0" w:color="auto"/>
              <w:right w:val="single" w:sz="8" w:space="0" w:color="auto"/>
            </w:tcBorders>
            <w:shd w:val="clear" w:color="auto" w:fill="FFFFFF"/>
            <w:noWrap/>
            <w:tcMar>
              <w:top w:w="15" w:type="dxa"/>
              <w:left w:w="108" w:type="dxa"/>
              <w:bottom w:w="15" w:type="dxa"/>
              <w:right w:w="108" w:type="dxa"/>
            </w:tcMar>
            <w:vAlign w:val="bottom"/>
            <w:hideMark/>
          </w:tcPr>
          <w:p w14:paraId="1F91143D"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467</w:t>
            </w:r>
          </w:p>
        </w:tc>
        <w:tc>
          <w:tcPr>
            <w:tcW w:w="1219" w:type="dxa"/>
            <w:tcBorders>
              <w:top w:val="single" w:sz="4" w:space="0" w:color="auto"/>
              <w:left w:val="nil"/>
              <w:bottom w:val="single" w:sz="4" w:space="0" w:color="auto"/>
              <w:right w:val="single" w:sz="4" w:space="0" w:color="auto"/>
            </w:tcBorders>
            <w:shd w:val="clear" w:color="auto" w:fill="FFFFFF"/>
            <w:noWrap/>
            <w:tcMar>
              <w:top w:w="15" w:type="dxa"/>
              <w:left w:w="108" w:type="dxa"/>
              <w:bottom w:w="15" w:type="dxa"/>
              <w:right w:w="108" w:type="dxa"/>
            </w:tcMar>
            <w:vAlign w:val="bottom"/>
            <w:hideMark/>
          </w:tcPr>
          <w:p w14:paraId="1BC21E7C"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3606</w:t>
            </w:r>
          </w:p>
        </w:tc>
      </w:tr>
    </w:tbl>
    <w:p w14:paraId="1BB44EB4" w14:textId="77777777" w:rsidR="001824EC" w:rsidRPr="006A7831" w:rsidRDefault="001824EC" w:rsidP="001824EC">
      <w:pPr>
        <w:rPr>
          <w:rFonts w:ascii="Calibri" w:hAnsi="Calibri" w:cs="Calibri"/>
          <w:sz w:val="24"/>
          <w:szCs w:val="24"/>
        </w:rPr>
      </w:pPr>
      <w:r w:rsidRPr="006A7831">
        <w:rPr>
          <w:rFonts w:ascii="Calibri" w:hAnsi="Calibri" w:cs="Calibri"/>
          <w:sz w:val="24"/>
          <w:szCs w:val="24"/>
        </w:rPr>
        <w:t> </w:t>
      </w:r>
    </w:p>
    <w:p w14:paraId="63413C87" w14:textId="4EA86B2F" w:rsidR="003F6A96" w:rsidRDefault="00457B99" w:rsidP="00457B99">
      <w:pPr>
        <w:rPr>
          <w:rFonts w:ascii="Calibri" w:hAnsi="Calibri" w:cs="Calibri"/>
          <w:sz w:val="24"/>
          <w:szCs w:val="24"/>
        </w:rPr>
      </w:pPr>
      <w:r w:rsidRPr="006A7831">
        <w:rPr>
          <w:rFonts w:ascii="Calibri" w:hAnsi="Calibri" w:cs="Calibri"/>
          <w:sz w:val="24"/>
          <w:szCs w:val="24"/>
        </w:rPr>
        <w:t xml:space="preserve">The median time from the first PBAC submission to the outcome given at the July 2026 meeting was </w:t>
      </w:r>
      <w:r w:rsidR="002F3DEB" w:rsidRPr="006A7831">
        <w:rPr>
          <w:rFonts w:ascii="Calibri" w:hAnsi="Calibri" w:cs="Calibri"/>
          <w:sz w:val="24"/>
          <w:szCs w:val="24"/>
        </w:rPr>
        <w:t>one</w:t>
      </w:r>
      <w:r w:rsidRPr="006A7831">
        <w:rPr>
          <w:rFonts w:ascii="Calibri" w:hAnsi="Calibri" w:cs="Calibri"/>
          <w:sz w:val="24"/>
          <w:szCs w:val="24"/>
        </w:rPr>
        <w:t xml:space="preserve"> standard PBAC cycle for both recommended and not recommended items. Three quarters of submissions received an outcome within two submission cycles.</w:t>
      </w:r>
    </w:p>
    <w:p w14:paraId="1EDDEBDA" w14:textId="77777777" w:rsidR="003F6A96" w:rsidRDefault="003F6A96">
      <w:pPr>
        <w:rPr>
          <w:rFonts w:ascii="Calibri" w:hAnsi="Calibri" w:cs="Calibri"/>
          <w:sz w:val="24"/>
          <w:szCs w:val="24"/>
        </w:rPr>
      </w:pPr>
      <w:r w:rsidRPr="46F19573">
        <w:rPr>
          <w:rFonts w:ascii="Calibri" w:hAnsi="Calibri" w:cs="Calibri"/>
          <w:sz w:val="24"/>
          <w:szCs w:val="24"/>
        </w:rPr>
        <w:br w:type="page"/>
      </w:r>
    </w:p>
    <w:tbl>
      <w:tblPr>
        <w:tblW w:w="8637" w:type="dxa"/>
        <w:shd w:val="clear" w:color="auto" w:fill="FFFFFF"/>
        <w:tblLayout w:type="fixed"/>
        <w:tblCellMar>
          <w:left w:w="0" w:type="dxa"/>
          <w:right w:w="0" w:type="dxa"/>
        </w:tblCellMar>
        <w:tblLook w:val="04A0" w:firstRow="1" w:lastRow="0" w:firstColumn="1" w:lastColumn="0" w:noHBand="0" w:noVBand="1"/>
      </w:tblPr>
      <w:tblGrid>
        <w:gridCol w:w="2554"/>
        <w:gridCol w:w="1216"/>
        <w:gridCol w:w="1217"/>
        <w:gridCol w:w="1216"/>
        <w:gridCol w:w="1217"/>
        <w:gridCol w:w="1217"/>
      </w:tblGrid>
      <w:tr w:rsidR="00457B99" w:rsidRPr="006A7831" w14:paraId="57698FAF" w14:textId="77777777" w:rsidTr="61697F32">
        <w:trPr>
          <w:trHeight w:val="330"/>
        </w:trPr>
        <w:tc>
          <w:tcPr>
            <w:tcW w:w="255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3E35A72A" w14:textId="77777777" w:rsidR="00457B99" w:rsidRPr="006A7831" w:rsidRDefault="00457B99" w:rsidP="00457B99">
            <w:pPr>
              <w:rPr>
                <w:rFonts w:ascii="Calibri" w:hAnsi="Calibri" w:cs="Calibri"/>
                <w:sz w:val="24"/>
                <w:szCs w:val="24"/>
              </w:rPr>
            </w:pPr>
          </w:p>
        </w:tc>
        <w:tc>
          <w:tcPr>
            <w:tcW w:w="6083" w:type="dxa"/>
            <w:gridSpan w:val="5"/>
            <w:tcBorders>
              <w:top w:val="single" w:sz="8" w:space="0" w:color="auto"/>
              <w:left w:val="nil"/>
              <w:bottom w:val="single" w:sz="8" w:space="0" w:color="auto"/>
              <w:right w:val="single" w:sz="8" w:space="0" w:color="auto"/>
            </w:tcBorders>
            <w:shd w:val="clear" w:color="auto" w:fill="FFFFFF" w:themeFill="background1"/>
            <w:tcMar>
              <w:top w:w="15" w:type="dxa"/>
              <w:left w:w="108" w:type="dxa"/>
              <w:bottom w:w="15" w:type="dxa"/>
              <w:right w:w="108" w:type="dxa"/>
            </w:tcMar>
            <w:vAlign w:val="bottom"/>
            <w:hideMark/>
          </w:tcPr>
          <w:p w14:paraId="2B5AD9FD"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Time from first PBAC submission to outcome (PBAC cycles)</w:t>
            </w:r>
          </w:p>
        </w:tc>
      </w:tr>
      <w:tr w:rsidR="00457B99" w:rsidRPr="006A7831" w14:paraId="41543976" w14:textId="77777777" w:rsidTr="61697F32">
        <w:trPr>
          <w:trHeight w:val="330"/>
        </w:trPr>
        <w:tc>
          <w:tcPr>
            <w:tcW w:w="2554" w:type="dxa"/>
            <w:tcBorders>
              <w:top w:val="nil"/>
              <w:left w:val="single" w:sz="8" w:space="0" w:color="auto"/>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7B9FF13" w14:textId="77777777" w:rsidR="00457B99" w:rsidRPr="006A7831" w:rsidRDefault="00457B99" w:rsidP="00457B99">
            <w:pPr>
              <w:rPr>
                <w:rFonts w:ascii="Calibri" w:hAnsi="Calibri" w:cs="Calibri"/>
                <w:sz w:val="24"/>
                <w:szCs w:val="24"/>
              </w:rPr>
            </w:pPr>
          </w:p>
        </w:tc>
        <w:tc>
          <w:tcPr>
            <w:tcW w:w="1216" w:type="dxa"/>
            <w:tcBorders>
              <w:top w:val="nil"/>
              <w:left w:val="nil"/>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57B2EDC"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Min</w:t>
            </w:r>
          </w:p>
        </w:tc>
        <w:tc>
          <w:tcPr>
            <w:tcW w:w="1217" w:type="dxa"/>
            <w:tcBorders>
              <w:top w:val="nil"/>
              <w:left w:val="nil"/>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61C14ED0"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Q1</w:t>
            </w:r>
          </w:p>
        </w:tc>
        <w:tc>
          <w:tcPr>
            <w:tcW w:w="1216" w:type="dxa"/>
            <w:tcBorders>
              <w:top w:val="nil"/>
              <w:left w:val="nil"/>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4FF977CC"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Median</w:t>
            </w:r>
          </w:p>
        </w:tc>
        <w:tc>
          <w:tcPr>
            <w:tcW w:w="1217" w:type="dxa"/>
            <w:tcBorders>
              <w:top w:val="nil"/>
              <w:left w:val="nil"/>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3075BF14"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Q3</w:t>
            </w:r>
          </w:p>
        </w:tc>
        <w:tc>
          <w:tcPr>
            <w:tcW w:w="1217" w:type="dxa"/>
            <w:tcBorders>
              <w:top w:val="nil"/>
              <w:left w:val="nil"/>
              <w:bottom w:val="single" w:sz="8"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3030204F" w14:textId="77777777" w:rsidR="00457B99" w:rsidRPr="006A7831" w:rsidRDefault="00457B99" w:rsidP="00457B99">
            <w:pPr>
              <w:rPr>
                <w:rFonts w:ascii="Calibri" w:hAnsi="Calibri" w:cs="Calibri"/>
                <w:sz w:val="24"/>
                <w:szCs w:val="24"/>
              </w:rPr>
            </w:pPr>
            <w:r w:rsidRPr="006A7831">
              <w:rPr>
                <w:rFonts w:ascii="Calibri" w:hAnsi="Calibri" w:cs="Calibri"/>
                <w:b/>
                <w:bCs/>
                <w:sz w:val="24"/>
                <w:szCs w:val="24"/>
              </w:rPr>
              <w:t>Max</w:t>
            </w:r>
          </w:p>
        </w:tc>
      </w:tr>
      <w:tr w:rsidR="00457B99" w:rsidRPr="006A7831" w14:paraId="4AD9527C" w14:textId="77777777" w:rsidTr="61697F32">
        <w:trPr>
          <w:trHeight w:val="720"/>
        </w:trPr>
        <w:tc>
          <w:tcPr>
            <w:tcW w:w="2554" w:type="dxa"/>
            <w:tcBorders>
              <w:top w:val="nil"/>
              <w:left w:val="single" w:sz="8" w:space="0" w:color="auto"/>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572D37A3" w14:textId="77777777" w:rsidR="00457B99" w:rsidRPr="006A7831" w:rsidRDefault="00457B99" w:rsidP="00457B99">
            <w:pPr>
              <w:rPr>
                <w:rFonts w:ascii="Calibri" w:hAnsi="Calibri" w:cs="Calibri"/>
                <w:sz w:val="24"/>
                <w:szCs w:val="24"/>
              </w:rPr>
            </w:pPr>
            <w:r w:rsidRPr="006A7831">
              <w:rPr>
                <w:rFonts w:ascii="Calibri" w:hAnsi="Calibri" w:cs="Calibri"/>
                <w:sz w:val="24"/>
                <w:szCs w:val="24"/>
              </w:rPr>
              <w:t>Recommended</w:t>
            </w:r>
          </w:p>
        </w:tc>
        <w:tc>
          <w:tcPr>
            <w:tcW w:w="1216" w:type="dxa"/>
            <w:tcBorders>
              <w:top w:val="nil"/>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7CBC44E6"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7" w:type="dxa"/>
            <w:tcBorders>
              <w:top w:val="nil"/>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5DAC1FD8"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6" w:type="dxa"/>
            <w:tcBorders>
              <w:top w:val="nil"/>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2F4E77B6"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7" w:type="dxa"/>
            <w:tcBorders>
              <w:top w:val="nil"/>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70535D93"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3</w:t>
            </w:r>
          </w:p>
        </w:tc>
        <w:tc>
          <w:tcPr>
            <w:tcW w:w="1217" w:type="dxa"/>
            <w:tcBorders>
              <w:top w:val="nil"/>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4939D626"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14</w:t>
            </w:r>
          </w:p>
        </w:tc>
      </w:tr>
      <w:tr w:rsidR="00457B99" w:rsidRPr="006A7831" w14:paraId="67A95029" w14:textId="77777777" w:rsidTr="61697F32">
        <w:trPr>
          <w:trHeight w:val="345"/>
        </w:trPr>
        <w:tc>
          <w:tcPr>
            <w:tcW w:w="2554" w:type="dxa"/>
            <w:tcBorders>
              <w:top w:val="single" w:sz="4" w:space="0" w:color="auto"/>
              <w:left w:val="single" w:sz="4" w:space="0" w:color="auto"/>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E3E415B" w14:textId="77777777" w:rsidR="00457B99" w:rsidRPr="006A7831" w:rsidRDefault="00457B99" w:rsidP="00457B99">
            <w:pPr>
              <w:rPr>
                <w:rFonts w:ascii="Calibri" w:hAnsi="Calibri" w:cs="Calibri"/>
                <w:sz w:val="24"/>
                <w:szCs w:val="24"/>
              </w:rPr>
            </w:pPr>
            <w:r w:rsidRPr="006A7831">
              <w:rPr>
                <w:rFonts w:ascii="Calibri" w:hAnsi="Calibri" w:cs="Calibri"/>
                <w:sz w:val="24"/>
                <w:szCs w:val="24"/>
              </w:rPr>
              <w:t>Not recommended</w:t>
            </w:r>
          </w:p>
        </w:tc>
        <w:tc>
          <w:tcPr>
            <w:tcW w:w="1216" w:type="dxa"/>
            <w:tcBorders>
              <w:top w:val="single" w:sz="4" w:space="0" w:color="auto"/>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55DFF87"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7" w:type="dxa"/>
            <w:tcBorders>
              <w:top w:val="single" w:sz="4" w:space="0" w:color="auto"/>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2208BC1"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6" w:type="dxa"/>
            <w:tcBorders>
              <w:top w:val="single" w:sz="4" w:space="0" w:color="auto"/>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359E16F3"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w:t>
            </w:r>
          </w:p>
        </w:tc>
        <w:tc>
          <w:tcPr>
            <w:tcW w:w="1217" w:type="dxa"/>
            <w:tcBorders>
              <w:top w:val="single" w:sz="4" w:space="0" w:color="auto"/>
              <w:left w:val="nil"/>
              <w:bottom w:val="single" w:sz="4" w:space="0" w:color="auto"/>
              <w:right w:val="single" w:sz="8" w:space="0" w:color="auto"/>
            </w:tcBorders>
            <w:shd w:val="clear" w:color="auto" w:fill="FFFFFF" w:themeFill="background1"/>
            <w:noWrap/>
            <w:tcMar>
              <w:top w:w="15" w:type="dxa"/>
              <w:left w:w="108" w:type="dxa"/>
              <w:bottom w:w="15" w:type="dxa"/>
              <w:right w:w="108" w:type="dxa"/>
            </w:tcMar>
            <w:vAlign w:val="bottom"/>
            <w:hideMark/>
          </w:tcPr>
          <w:p w14:paraId="0CE325B9"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2</w:t>
            </w:r>
          </w:p>
        </w:tc>
        <w:tc>
          <w:tcPr>
            <w:tcW w:w="1217" w:type="dxa"/>
            <w:tcBorders>
              <w:top w:val="single" w:sz="4" w:space="0" w:color="auto"/>
              <w:left w:val="nil"/>
              <w:bottom w:val="single" w:sz="4" w:space="0" w:color="auto"/>
              <w:right w:val="single" w:sz="4" w:space="0" w:color="auto"/>
            </w:tcBorders>
            <w:shd w:val="clear" w:color="auto" w:fill="FFFFFF" w:themeFill="background1"/>
            <w:noWrap/>
            <w:tcMar>
              <w:top w:w="15" w:type="dxa"/>
              <w:left w:w="108" w:type="dxa"/>
              <w:bottom w:w="15" w:type="dxa"/>
              <w:right w:w="108" w:type="dxa"/>
            </w:tcMar>
            <w:vAlign w:val="bottom"/>
            <w:hideMark/>
          </w:tcPr>
          <w:p w14:paraId="012AF298" w14:textId="77777777" w:rsidR="00457B99" w:rsidRPr="006A7831" w:rsidRDefault="00457B99" w:rsidP="61697F32">
            <w:pPr>
              <w:rPr>
                <w:rFonts w:ascii="Calibri" w:hAnsi="Calibri" w:cs="Calibri"/>
                <w:sz w:val="24"/>
                <w:szCs w:val="24"/>
              </w:rPr>
            </w:pPr>
            <w:r w:rsidRPr="61697F32">
              <w:rPr>
                <w:rFonts w:ascii="Calibri" w:hAnsi="Calibri" w:cs="Calibri"/>
                <w:sz w:val="24"/>
                <w:szCs w:val="24"/>
              </w:rPr>
              <w:t>15</w:t>
            </w:r>
          </w:p>
        </w:tc>
      </w:tr>
    </w:tbl>
    <w:p w14:paraId="040F1579" w14:textId="77777777" w:rsidR="006A7831" w:rsidRDefault="006A7831" w:rsidP="006A7831">
      <w:pPr>
        <w:rPr>
          <w:rFonts w:ascii="Calibri" w:hAnsi="Calibri" w:cs="Calibri"/>
          <w:b/>
          <w:bCs/>
          <w:sz w:val="24"/>
          <w:szCs w:val="24"/>
        </w:rPr>
      </w:pPr>
    </w:p>
    <w:p w14:paraId="54E46595" w14:textId="75C43AC2" w:rsidR="006A7831" w:rsidRPr="006A7831" w:rsidRDefault="006A7831" w:rsidP="006A7831">
      <w:pPr>
        <w:rPr>
          <w:rFonts w:ascii="Calibri" w:hAnsi="Calibri" w:cs="Calibri"/>
          <w:b/>
          <w:bCs/>
          <w:sz w:val="24"/>
          <w:szCs w:val="24"/>
        </w:rPr>
      </w:pPr>
      <w:r w:rsidRPr="006A7831">
        <w:rPr>
          <w:rFonts w:ascii="Calibri" w:hAnsi="Calibri" w:cs="Calibri"/>
          <w:b/>
          <w:bCs/>
          <w:sz w:val="24"/>
          <w:szCs w:val="24"/>
        </w:rPr>
        <w:t>Out-of-session work</w:t>
      </w:r>
    </w:p>
    <w:p w14:paraId="0CE50623" w14:textId="2DDC7190" w:rsidR="006708E1" w:rsidRPr="006A7831" w:rsidRDefault="00415F90" w:rsidP="00594D7D">
      <w:pPr>
        <w:rPr>
          <w:rFonts w:ascii="Calibri" w:hAnsi="Calibri" w:cs="Calibri"/>
          <w:sz w:val="24"/>
          <w:szCs w:val="24"/>
        </w:rPr>
      </w:pPr>
      <w:r w:rsidRPr="61697F32">
        <w:rPr>
          <w:rFonts w:ascii="Calibri" w:hAnsi="Calibri" w:cs="Calibri"/>
          <w:sz w:val="24"/>
          <w:szCs w:val="24"/>
        </w:rPr>
        <w:t>PBAC out</w:t>
      </w:r>
      <w:r w:rsidR="749CD710" w:rsidRPr="203B7ED4">
        <w:rPr>
          <w:rFonts w:ascii="Calibri" w:hAnsi="Calibri" w:cs="Calibri"/>
          <w:sz w:val="24"/>
          <w:szCs w:val="24"/>
        </w:rPr>
        <w:t>-</w:t>
      </w:r>
      <w:r w:rsidRPr="61697F32">
        <w:rPr>
          <w:rFonts w:ascii="Calibri" w:hAnsi="Calibri" w:cs="Calibri"/>
          <w:sz w:val="24"/>
          <w:szCs w:val="24"/>
        </w:rPr>
        <w:t>of</w:t>
      </w:r>
      <w:r w:rsidR="03B75962" w:rsidRPr="2581CE81">
        <w:rPr>
          <w:rFonts w:ascii="Calibri" w:hAnsi="Calibri" w:cs="Calibri"/>
          <w:sz w:val="24"/>
          <w:szCs w:val="24"/>
        </w:rPr>
        <w:t>-</w:t>
      </w:r>
      <w:r w:rsidRPr="61697F32">
        <w:rPr>
          <w:rFonts w:ascii="Calibri" w:hAnsi="Calibri" w:cs="Calibri"/>
          <w:sz w:val="24"/>
          <w:szCs w:val="24"/>
        </w:rPr>
        <w:t xml:space="preserve">session work for the Committee Chairs </w:t>
      </w:r>
      <w:r w:rsidR="62315C36" w:rsidRPr="61697F32">
        <w:rPr>
          <w:rFonts w:ascii="Calibri" w:hAnsi="Calibri" w:cs="Calibri"/>
          <w:sz w:val="24"/>
          <w:szCs w:val="24"/>
        </w:rPr>
        <w:t xml:space="preserve">in </w:t>
      </w:r>
      <w:r w:rsidR="00361308" w:rsidRPr="61697F32">
        <w:rPr>
          <w:rFonts w:ascii="Calibri" w:hAnsi="Calibri" w:cs="Calibri"/>
          <w:sz w:val="24"/>
          <w:szCs w:val="24"/>
        </w:rPr>
        <w:t xml:space="preserve">this period </w:t>
      </w:r>
      <w:r w:rsidRPr="61697F32">
        <w:rPr>
          <w:rFonts w:ascii="Calibri" w:hAnsi="Calibri" w:cs="Calibri"/>
          <w:sz w:val="24"/>
          <w:szCs w:val="24"/>
        </w:rPr>
        <w:t>also included</w:t>
      </w:r>
      <w:r w:rsidR="002769CF" w:rsidRPr="61697F32">
        <w:rPr>
          <w:rFonts w:ascii="Calibri" w:hAnsi="Calibri" w:cs="Calibri"/>
          <w:sz w:val="24"/>
          <w:szCs w:val="24"/>
        </w:rPr>
        <w:t xml:space="preserve"> </w:t>
      </w:r>
      <w:r w:rsidR="00A03803" w:rsidRPr="61697F32">
        <w:rPr>
          <w:rFonts w:ascii="Calibri" w:hAnsi="Calibri" w:cs="Calibri"/>
          <w:sz w:val="24"/>
          <w:szCs w:val="24"/>
        </w:rPr>
        <w:t>several</w:t>
      </w:r>
      <w:r w:rsidR="002769CF" w:rsidRPr="61697F32">
        <w:rPr>
          <w:rFonts w:ascii="Calibri" w:hAnsi="Calibri" w:cs="Calibri"/>
          <w:sz w:val="24"/>
          <w:szCs w:val="24"/>
        </w:rPr>
        <w:t xml:space="preserve"> me</w:t>
      </w:r>
      <w:r w:rsidR="00761D18" w:rsidRPr="61697F32">
        <w:rPr>
          <w:rFonts w:ascii="Calibri" w:hAnsi="Calibri" w:cs="Calibri"/>
          <w:sz w:val="24"/>
          <w:szCs w:val="24"/>
        </w:rPr>
        <w:t xml:space="preserve">etings with </w:t>
      </w:r>
      <w:r w:rsidR="003C36EC" w:rsidRPr="61697F32">
        <w:rPr>
          <w:rFonts w:ascii="Calibri" w:hAnsi="Calibri" w:cs="Calibri"/>
          <w:sz w:val="24"/>
          <w:szCs w:val="24"/>
        </w:rPr>
        <w:t xml:space="preserve">stakeholders, including </w:t>
      </w:r>
      <w:r w:rsidR="0009081D" w:rsidRPr="61697F32">
        <w:rPr>
          <w:rFonts w:ascii="Calibri" w:hAnsi="Calibri" w:cs="Calibri"/>
          <w:sz w:val="24"/>
          <w:szCs w:val="24"/>
        </w:rPr>
        <w:t xml:space="preserve">patient group representatives, </w:t>
      </w:r>
      <w:r w:rsidR="0012495C" w:rsidRPr="61697F32">
        <w:rPr>
          <w:rFonts w:ascii="Calibri" w:hAnsi="Calibri" w:cs="Calibri"/>
          <w:sz w:val="24"/>
          <w:szCs w:val="24"/>
        </w:rPr>
        <w:t>clinical groups and industry representatives.</w:t>
      </w:r>
      <w:r w:rsidR="00A846F6" w:rsidRPr="61697F32">
        <w:rPr>
          <w:rFonts w:ascii="Calibri" w:hAnsi="Calibri" w:cs="Calibri"/>
          <w:sz w:val="24"/>
          <w:szCs w:val="24"/>
        </w:rPr>
        <w:t xml:space="preserve"> </w:t>
      </w:r>
      <w:r w:rsidR="00214C1A" w:rsidRPr="61697F32">
        <w:rPr>
          <w:rFonts w:ascii="Calibri" w:hAnsi="Calibri" w:cs="Calibri"/>
          <w:sz w:val="24"/>
          <w:szCs w:val="24"/>
        </w:rPr>
        <w:t xml:space="preserve">The focus </w:t>
      </w:r>
      <w:r w:rsidR="00A846F6" w:rsidRPr="61697F32">
        <w:rPr>
          <w:rFonts w:ascii="Calibri" w:hAnsi="Calibri" w:cs="Calibri"/>
          <w:sz w:val="24"/>
          <w:szCs w:val="24"/>
        </w:rPr>
        <w:t xml:space="preserve">of discussions included </w:t>
      </w:r>
    </w:p>
    <w:p w14:paraId="178B8344" w14:textId="421C41CC" w:rsidR="006708E1" w:rsidRPr="006A7831" w:rsidRDefault="00C063F1" w:rsidP="006708E1">
      <w:pPr>
        <w:pStyle w:val="ListParagraph"/>
        <w:numPr>
          <w:ilvl w:val="0"/>
          <w:numId w:val="2"/>
        </w:numPr>
        <w:rPr>
          <w:rFonts w:ascii="Calibri" w:hAnsi="Calibri" w:cs="Calibri"/>
          <w:sz w:val="24"/>
          <w:szCs w:val="24"/>
        </w:rPr>
      </w:pPr>
      <w:r w:rsidRPr="006A7831">
        <w:rPr>
          <w:rFonts w:ascii="Calibri" w:hAnsi="Calibri" w:cs="Calibri"/>
          <w:sz w:val="24"/>
          <w:szCs w:val="24"/>
        </w:rPr>
        <w:t xml:space="preserve">revision of </w:t>
      </w:r>
      <w:r w:rsidR="006708E1" w:rsidRPr="006A7831">
        <w:rPr>
          <w:rFonts w:ascii="Calibri" w:hAnsi="Calibri" w:cs="Calibri"/>
          <w:sz w:val="24"/>
          <w:szCs w:val="24"/>
        </w:rPr>
        <w:t xml:space="preserve">PBS </w:t>
      </w:r>
      <w:r w:rsidRPr="006A7831">
        <w:rPr>
          <w:rFonts w:ascii="Calibri" w:hAnsi="Calibri" w:cs="Calibri"/>
          <w:sz w:val="24"/>
          <w:szCs w:val="24"/>
        </w:rPr>
        <w:t xml:space="preserve">listing arrangements to resolve </w:t>
      </w:r>
      <w:r w:rsidR="006708E1" w:rsidRPr="006A7831">
        <w:rPr>
          <w:rFonts w:ascii="Calibri" w:hAnsi="Calibri" w:cs="Calibri"/>
          <w:sz w:val="24"/>
          <w:szCs w:val="24"/>
        </w:rPr>
        <w:t xml:space="preserve">unintended </w:t>
      </w:r>
      <w:r w:rsidRPr="006A7831">
        <w:rPr>
          <w:rFonts w:ascii="Calibri" w:hAnsi="Calibri" w:cs="Calibri"/>
          <w:sz w:val="24"/>
          <w:szCs w:val="24"/>
        </w:rPr>
        <w:t xml:space="preserve">implementation </w:t>
      </w:r>
      <w:r w:rsidR="00776023" w:rsidRPr="006A7831">
        <w:rPr>
          <w:rFonts w:ascii="Calibri" w:hAnsi="Calibri" w:cs="Calibri"/>
          <w:sz w:val="24"/>
          <w:szCs w:val="24"/>
        </w:rPr>
        <w:t xml:space="preserve">barriers, </w:t>
      </w:r>
    </w:p>
    <w:p w14:paraId="653830EC" w14:textId="5253439E" w:rsidR="00FE5E6D" w:rsidRPr="006A7831" w:rsidRDefault="00776023" w:rsidP="006708E1">
      <w:pPr>
        <w:pStyle w:val="ListParagraph"/>
        <w:numPr>
          <w:ilvl w:val="0"/>
          <w:numId w:val="2"/>
        </w:numPr>
        <w:rPr>
          <w:rFonts w:ascii="Calibri" w:hAnsi="Calibri" w:cs="Calibri"/>
          <w:sz w:val="24"/>
          <w:szCs w:val="24"/>
        </w:rPr>
      </w:pPr>
      <w:r w:rsidRPr="006A7831">
        <w:rPr>
          <w:rFonts w:ascii="Calibri" w:hAnsi="Calibri" w:cs="Calibri"/>
          <w:sz w:val="24"/>
          <w:szCs w:val="24"/>
        </w:rPr>
        <w:t xml:space="preserve">alignment </w:t>
      </w:r>
      <w:r w:rsidR="006708E1" w:rsidRPr="006A7831">
        <w:rPr>
          <w:rFonts w:ascii="Calibri" w:hAnsi="Calibri" w:cs="Calibri"/>
          <w:sz w:val="24"/>
          <w:szCs w:val="24"/>
        </w:rPr>
        <w:t xml:space="preserve">of </w:t>
      </w:r>
      <w:r w:rsidR="001818DA" w:rsidRPr="006A7831">
        <w:rPr>
          <w:rFonts w:ascii="Calibri" w:hAnsi="Calibri" w:cs="Calibri"/>
          <w:sz w:val="24"/>
          <w:szCs w:val="24"/>
        </w:rPr>
        <w:t xml:space="preserve">certain </w:t>
      </w:r>
      <w:r w:rsidR="006708E1" w:rsidRPr="006A7831">
        <w:rPr>
          <w:rFonts w:ascii="Calibri" w:hAnsi="Calibri" w:cs="Calibri"/>
          <w:sz w:val="24"/>
          <w:szCs w:val="24"/>
        </w:rPr>
        <w:t xml:space="preserve">PBS restrictions </w:t>
      </w:r>
      <w:r w:rsidRPr="006A7831">
        <w:rPr>
          <w:rFonts w:ascii="Calibri" w:hAnsi="Calibri" w:cs="Calibri"/>
          <w:sz w:val="24"/>
          <w:szCs w:val="24"/>
        </w:rPr>
        <w:t xml:space="preserve">with latest clinical consensus </w:t>
      </w:r>
      <w:r w:rsidR="00EF3958" w:rsidRPr="006A7831">
        <w:rPr>
          <w:rFonts w:ascii="Calibri" w:hAnsi="Calibri" w:cs="Calibri"/>
          <w:sz w:val="24"/>
          <w:szCs w:val="24"/>
        </w:rPr>
        <w:t>and practice</w:t>
      </w:r>
      <w:r w:rsidR="007862EB" w:rsidRPr="006A7831">
        <w:rPr>
          <w:rFonts w:ascii="Calibri" w:hAnsi="Calibri" w:cs="Calibri"/>
          <w:sz w:val="24"/>
          <w:szCs w:val="24"/>
        </w:rPr>
        <w:t>,</w:t>
      </w:r>
    </w:p>
    <w:p w14:paraId="74B83D58" w14:textId="462B76BF" w:rsidR="007862EB" w:rsidRPr="006A7831" w:rsidRDefault="00FA038A" w:rsidP="006708E1">
      <w:pPr>
        <w:pStyle w:val="ListParagraph"/>
        <w:numPr>
          <w:ilvl w:val="0"/>
          <w:numId w:val="2"/>
        </w:numPr>
        <w:rPr>
          <w:rFonts w:ascii="Calibri" w:hAnsi="Calibri" w:cs="Calibri"/>
          <w:sz w:val="24"/>
          <w:szCs w:val="24"/>
        </w:rPr>
      </w:pPr>
      <w:r w:rsidRPr="006A7831">
        <w:rPr>
          <w:rFonts w:ascii="Calibri" w:hAnsi="Calibri" w:cs="Calibri"/>
          <w:sz w:val="24"/>
          <w:szCs w:val="24"/>
        </w:rPr>
        <w:t xml:space="preserve">broadening </w:t>
      </w:r>
      <w:r w:rsidR="005213FC" w:rsidRPr="006A7831">
        <w:rPr>
          <w:rFonts w:ascii="Calibri" w:hAnsi="Calibri" w:cs="Calibri"/>
          <w:sz w:val="24"/>
          <w:szCs w:val="24"/>
        </w:rPr>
        <w:t>current listing arrangements</w:t>
      </w:r>
      <w:r w:rsidR="00300AD9" w:rsidRPr="006A7831">
        <w:rPr>
          <w:rFonts w:ascii="Calibri" w:hAnsi="Calibri" w:cs="Calibri"/>
          <w:sz w:val="24"/>
          <w:szCs w:val="24"/>
        </w:rPr>
        <w:t xml:space="preserve"> </w:t>
      </w:r>
      <w:r w:rsidR="005213FC" w:rsidRPr="006A7831">
        <w:rPr>
          <w:rFonts w:ascii="Calibri" w:hAnsi="Calibri" w:cs="Calibri"/>
          <w:sz w:val="24"/>
          <w:szCs w:val="24"/>
        </w:rPr>
        <w:t xml:space="preserve">to resolve </w:t>
      </w:r>
      <w:r w:rsidR="00E921D3" w:rsidRPr="006A7831">
        <w:rPr>
          <w:rFonts w:ascii="Calibri" w:hAnsi="Calibri" w:cs="Calibri"/>
          <w:sz w:val="24"/>
          <w:szCs w:val="24"/>
        </w:rPr>
        <w:t xml:space="preserve">unmet clinical need risks </w:t>
      </w:r>
      <w:r w:rsidR="00B22EB3" w:rsidRPr="006A7831">
        <w:rPr>
          <w:rFonts w:ascii="Calibri" w:hAnsi="Calibri" w:cs="Calibri"/>
          <w:sz w:val="24"/>
          <w:szCs w:val="24"/>
        </w:rPr>
        <w:t>as</w:t>
      </w:r>
      <w:r w:rsidR="00E921D3" w:rsidRPr="006A7831">
        <w:rPr>
          <w:rFonts w:ascii="Calibri" w:hAnsi="Calibri" w:cs="Calibri"/>
          <w:sz w:val="24"/>
          <w:szCs w:val="24"/>
        </w:rPr>
        <w:t xml:space="preserve"> </w:t>
      </w:r>
      <w:r w:rsidR="00330211" w:rsidRPr="006A7831">
        <w:rPr>
          <w:rFonts w:ascii="Calibri" w:hAnsi="Calibri" w:cs="Calibri"/>
          <w:sz w:val="24"/>
          <w:szCs w:val="24"/>
        </w:rPr>
        <w:t>some</w:t>
      </w:r>
      <w:r w:rsidR="00E921D3" w:rsidRPr="006A7831">
        <w:rPr>
          <w:rFonts w:ascii="Calibri" w:hAnsi="Calibri" w:cs="Calibri"/>
          <w:sz w:val="24"/>
          <w:szCs w:val="24"/>
        </w:rPr>
        <w:t xml:space="preserve"> medicines </w:t>
      </w:r>
      <w:r w:rsidR="006536EC" w:rsidRPr="006A7831">
        <w:rPr>
          <w:rFonts w:ascii="Calibri" w:hAnsi="Calibri" w:cs="Calibri"/>
          <w:sz w:val="24"/>
          <w:szCs w:val="24"/>
        </w:rPr>
        <w:t>are being removed</w:t>
      </w:r>
      <w:r w:rsidR="00E921D3" w:rsidRPr="006A7831">
        <w:rPr>
          <w:rFonts w:ascii="Calibri" w:hAnsi="Calibri" w:cs="Calibri"/>
          <w:sz w:val="24"/>
          <w:szCs w:val="24"/>
        </w:rPr>
        <w:t xml:space="preserve"> f</w:t>
      </w:r>
      <w:r w:rsidR="009E6209" w:rsidRPr="006A7831">
        <w:rPr>
          <w:rFonts w:ascii="Calibri" w:hAnsi="Calibri" w:cs="Calibri"/>
          <w:sz w:val="24"/>
          <w:szCs w:val="24"/>
        </w:rPr>
        <w:t>rom the PBS</w:t>
      </w:r>
      <w:r w:rsidR="00D0194D" w:rsidRPr="006A7831">
        <w:rPr>
          <w:rFonts w:ascii="Calibri" w:hAnsi="Calibri" w:cs="Calibri"/>
          <w:sz w:val="24"/>
          <w:szCs w:val="24"/>
        </w:rPr>
        <w:t xml:space="preserve"> by the </w:t>
      </w:r>
      <w:r w:rsidR="00DA110C">
        <w:rPr>
          <w:rFonts w:ascii="Calibri" w:hAnsi="Calibri" w:cs="Calibri"/>
          <w:sz w:val="24"/>
          <w:szCs w:val="24"/>
        </w:rPr>
        <w:t>s</w:t>
      </w:r>
      <w:r w:rsidR="00D0194D" w:rsidRPr="006A7831">
        <w:rPr>
          <w:rFonts w:ascii="Calibri" w:hAnsi="Calibri" w:cs="Calibri"/>
          <w:sz w:val="24"/>
          <w:szCs w:val="24"/>
        </w:rPr>
        <w:t>ponsor</w:t>
      </w:r>
      <w:r w:rsidR="00CF39EA" w:rsidRPr="006A7831">
        <w:rPr>
          <w:rFonts w:ascii="Calibri" w:hAnsi="Calibri" w:cs="Calibri"/>
          <w:sz w:val="24"/>
          <w:szCs w:val="24"/>
        </w:rPr>
        <w:t>,</w:t>
      </w:r>
    </w:p>
    <w:p w14:paraId="58ABA29B" w14:textId="12756C63" w:rsidR="003B3768" w:rsidRPr="006A7831" w:rsidRDefault="00600D58" w:rsidP="003B3768">
      <w:pPr>
        <w:pStyle w:val="ListParagraph"/>
        <w:numPr>
          <w:ilvl w:val="0"/>
          <w:numId w:val="2"/>
        </w:numPr>
        <w:rPr>
          <w:rFonts w:ascii="Calibri" w:hAnsi="Calibri" w:cs="Calibri"/>
          <w:sz w:val="24"/>
          <w:szCs w:val="24"/>
        </w:rPr>
      </w:pPr>
      <w:r w:rsidRPr="006A7831">
        <w:rPr>
          <w:rFonts w:ascii="Calibri" w:hAnsi="Calibri" w:cs="Calibri"/>
          <w:sz w:val="24"/>
          <w:szCs w:val="24"/>
        </w:rPr>
        <w:t xml:space="preserve">PBAC process and guidance advice </w:t>
      </w:r>
      <w:r w:rsidR="0009007C" w:rsidRPr="006A7831">
        <w:rPr>
          <w:rFonts w:ascii="Calibri" w:hAnsi="Calibri" w:cs="Calibri"/>
          <w:sz w:val="24"/>
          <w:szCs w:val="24"/>
        </w:rPr>
        <w:t>for referrals from other areas of the Department</w:t>
      </w:r>
      <w:r w:rsidR="18806C4A" w:rsidRPr="3E6ACE7E">
        <w:rPr>
          <w:rFonts w:ascii="Calibri" w:hAnsi="Calibri" w:cs="Calibri"/>
          <w:sz w:val="24"/>
          <w:szCs w:val="24"/>
        </w:rPr>
        <w:t>.</w:t>
      </w:r>
    </w:p>
    <w:p w14:paraId="5A6E2E7B" w14:textId="77777777" w:rsidR="0091791B" w:rsidRPr="006A7831" w:rsidRDefault="00993E70" w:rsidP="00993E70">
      <w:pPr>
        <w:rPr>
          <w:rFonts w:ascii="Calibri" w:hAnsi="Calibri" w:cs="Calibri"/>
          <w:sz w:val="24"/>
          <w:szCs w:val="24"/>
        </w:rPr>
      </w:pPr>
      <w:r w:rsidRPr="006A7831">
        <w:rPr>
          <w:rFonts w:ascii="Calibri" w:hAnsi="Calibri" w:cs="Calibri"/>
          <w:sz w:val="24"/>
          <w:szCs w:val="24"/>
        </w:rPr>
        <w:t xml:space="preserve">The PBAC </w:t>
      </w:r>
      <w:r w:rsidR="00272DDE" w:rsidRPr="006A7831">
        <w:rPr>
          <w:rFonts w:ascii="Calibri" w:hAnsi="Calibri" w:cs="Calibri"/>
          <w:sz w:val="24"/>
          <w:szCs w:val="24"/>
        </w:rPr>
        <w:t xml:space="preserve">has </w:t>
      </w:r>
      <w:r w:rsidR="00767F32" w:rsidRPr="006A7831">
        <w:rPr>
          <w:rFonts w:ascii="Calibri" w:hAnsi="Calibri" w:cs="Calibri"/>
          <w:sz w:val="24"/>
          <w:szCs w:val="24"/>
        </w:rPr>
        <w:t xml:space="preserve">also </w:t>
      </w:r>
      <w:r w:rsidR="008A5C60" w:rsidRPr="006A7831">
        <w:rPr>
          <w:rFonts w:ascii="Calibri" w:hAnsi="Calibri" w:cs="Calibri"/>
          <w:sz w:val="24"/>
          <w:szCs w:val="24"/>
        </w:rPr>
        <w:t>note</w:t>
      </w:r>
      <w:r w:rsidR="00272DDE" w:rsidRPr="006A7831">
        <w:rPr>
          <w:rFonts w:ascii="Calibri" w:hAnsi="Calibri" w:cs="Calibri"/>
          <w:sz w:val="24"/>
          <w:szCs w:val="24"/>
        </w:rPr>
        <w:t>d</w:t>
      </w:r>
      <w:r w:rsidRPr="006A7831">
        <w:rPr>
          <w:rFonts w:ascii="Calibri" w:hAnsi="Calibri" w:cs="Calibri"/>
          <w:sz w:val="24"/>
          <w:szCs w:val="24"/>
        </w:rPr>
        <w:t xml:space="preserve"> </w:t>
      </w:r>
      <w:r w:rsidR="00E242DC" w:rsidRPr="006A7831">
        <w:rPr>
          <w:rFonts w:ascii="Calibri" w:hAnsi="Calibri" w:cs="Calibri"/>
          <w:sz w:val="24"/>
          <w:szCs w:val="24"/>
        </w:rPr>
        <w:t xml:space="preserve">ongoing </w:t>
      </w:r>
      <w:r w:rsidRPr="006A7831">
        <w:rPr>
          <w:rFonts w:ascii="Calibri" w:hAnsi="Calibri" w:cs="Calibri"/>
          <w:sz w:val="24"/>
          <w:szCs w:val="24"/>
        </w:rPr>
        <w:t xml:space="preserve">reports </w:t>
      </w:r>
      <w:r w:rsidR="00E242DC" w:rsidRPr="006A7831">
        <w:rPr>
          <w:rFonts w:ascii="Calibri" w:hAnsi="Calibri" w:cs="Calibri"/>
          <w:sz w:val="24"/>
          <w:szCs w:val="24"/>
        </w:rPr>
        <w:t xml:space="preserve">about </w:t>
      </w:r>
      <w:r w:rsidRPr="006A7831">
        <w:rPr>
          <w:rFonts w:ascii="Calibri" w:hAnsi="Calibri" w:cs="Calibri"/>
          <w:sz w:val="24"/>
          <w:szCs w:val="24"/>
        </w:rPr>
        <w:t xml:space="preserve">sponsor-provided access to </w:t>
      </w:r>
      <w:r w:rsidR="00292456" w:rsidRPr="006A7831">
        <w:rPr>
          <w:rFonts w:ascii="Calibri" w:hAnsi="Calibri" w:cs="Calibri"/>
          <w:sz w:val="24"/>
          <w:szCs w:val="24"/>
        </w:rPr>
        <w:t>certain medicines not listed on the PBS, and confusion about the status of thes</w:t>
      </w:r>
      <w:r w:rsidR="00896172" w:rsidRPr="006A7831">
        <w:rPr>
          <w:rFonts w:ascii="Calibri" w:hAnsi="Calibri" w:cs="Calibri"/>
          <w:sz w:val="24"/>
          <w:szCs w:val="24"/>
        </w:rPr>
        <w:t xml:space="preserve">e programs in terms of direct cost to patients, inequity for patients not able to </w:t>
      </w:r>
      <w:r w:rsidR="00D71BBB" w:rsidRPr="006A7831">
        <w:rPr>
          <w:rFonts w:ascii="Calibri" w:hAnsi="Calibri" w:cs="Calibri"/>
          <w:sz w:val="24"/>
          <w:szCs w:val="24"/>
        </w:rPr>
        <w:t xml:space="preserve">cover direct costs for access, and </w:t>
      </w:r>
      <w:r w:rsidR="000342B7" w:rsidRPr="006A7831">
        <w:rPr>
          <w:rFonts w:ascii="Calibri" w:hAnsi="Calibri" w:cs="Calibri"/>
          <w:sz w:val="24"/>
          <w:szCs w:val="24"/>
        </w:rPr>
        <w:t xml:space="preserve">variability of access across the country with limited sites / prescribing access </w:t>
      </w:r>
      <w:r w:rsidR="001733F5" w:rsidRPr="006A7831">
        <w:rPr>
          <w:rFonts w:ascii="Calibri" w:hAnsi="Calibri" w:cs="Calibri"/>
          <w:sz w:val="24"/>
          <w:szCs w:val="24"/>
        </w:rPr>
        <w:t xml:space="preserve">for all eligible patients. </w:t>
      </w:r>
    </w:p>
    <w:p w14:paraId="73D82B97" w14:textId="6CF8BC75" w:rsidR="00993E70" w:rsidRPr="006A7831" w:rsidRDefault="00993E70" w:rsidP="00993E70">
      <w:pPr>
        <w:rPr>
          <w:rFonts w:ascii="Calibri" w:hAnsi="Calibri" w:cs="Calibri"/>
          <w:sz w:val="24"/>
          <w:szCs w:val="24"/>
        </w:rPr>
      </w:pPr>
      <w:r w:rsidRPr="006A7831">
        <w:rPr>
          <w:rFonts w:ascii="Calibri" w:hAnsi="Calibri" w:cs="Calibri"/>
          <w:sz w:val="24"/>
          <w:szCs w:val="24"/>
        </w:rPr>
        <w:t xml:space="preserve">The committee undertook to write to </w:t>
      </w:r>
      <w:r w:rsidR="001733F5" w:rsidRPr="006A7831">
        <w:rPr>
          <w:rFonts w:ascii="Calibri" w:hAnsi="Calibri" w:cs="Calibri"/>
          <w:sz w:val="24"/>
          <w:szCs w:val="24"/>
        </w:rPr>
        <w:t xml:space="preserve">relevant </w:t>
      </w:r>
      <w:r w:rsidR="004B302C" w:rsidRPr="006A7831">
        <w:rPr>
          <w:rFonts w:ascii="Calibri" w:hAnsi="Calibri" w:cs="Calibri"/>
          <w:sz w:val="24"/>
          <w:szCs w:val="24"/>
        </w:rPr>
        <w:t xml:space="preserve">stakeholder groups </w:t>
      </w:r>
      <w:r w:rsidRPr="006A7831">
        <w:rPr>
          <w:rFonts w:ascii="Calibri" w:hAnsi="Calibri" w:cs="Calibri"/>
          <w:sz w:val="24"/>
          <w:szCs w:val="24"/>
        </w:rPr>
        <w:t>about the need for guidance for clinicians regarding the need for informed financial consent before patients are placed on access schemes especially in circumstances where the financial exposure is unclear and potentially dynamic</w:t>
      </w:r>
      <w:r w:rsidR="004B302C" w:rsidRPr="006A7831">
        <w:rPr>
          <w:rFonts w:ascii="Calibri" w:hAnsi="Calibri" w:cs="Calibri"/>
          <w:sz w:val="24"/>
          <w:szCs w:val="24"/>
        </w:rPr>
        <w:t>, and the importance of</w:t>
      </w:r>
      <w:r w:rsidRPr="006A7831">
        <w:rPr>
          <w:rFonts w:ascii="Calibri" w:hAnsi="Calibri" w:cs="Calibri"/>
          <w:sz w:val="24"/>
          <w:szCs w:val="24"/>
        </w:rPr>
        <w:t xml:space="preserve"> patients fully understand</w:t>
      </w:r>
      <w:r w:rsidR="0080198F" w:rsidRPr="006A7831">
        <w:rPr>
          <w:rFonts w:ascii="Calibri" w:hAnsi="Calibri" w:cs="Calibri"/>
          <w:sz w:val="24"/>
          <w:szCs w:val="24"/>
        </w:rPr>
        <w:t>ing</w:t>
      </w:r>
      <w:r w:rsidRPr="006A7831">
        <w:rPr>
          <w:rFonts w:ascii="Calibri" w:hAnsi="Calibri" w:cs="Calibri"/>
          <w:sz w:val="24"/>
          <w:szCs w:val="24"/>
        </w:rPr>
        <w:t xml:space="preserve"> </w:t>
      </w:r>
      <w:r w:rsidR="008F01B5" w:rsidRPr="006A7831">
        <w:rPr>
          <w:rFonts w:ascii="Calibri" w:hAnsi="Calibri" w:cs="Calibri"/>
          <w:sz w:val="24"/>
          <w:szCs w:val="24"/>
        </w:rPr>
        <w:t xml:space="preserve">other </w:t>
      </w:r>
      <w:r w:rsidRPr="006A7831">
        <w:rPr>
          <w:rFonts w:ascii="Calibri" w:hAnsi="Calibri" w:cs="Calibri"/>
          <w:sz w:val="24"/>
          <w:szCs w:val="24"/>
        </w:rPr>
        <w:t xml:space="preserve">conditions of Patient </w:t>
      </w:r>
      <w:r w:rsidR="0080198F" w:rsidRPr="006A7831">
        <w:rPr>
          <w:rFonts w:ascii="Calibri" w:hAnsi="Calibri" w:cs="Calibri"/>
          <w:sz w:val="24"/>
          <w:szCs w:val="24"/>
        </w:rPr>
        <w:t>Access</w:t>
      </w:r>
      <w:r w:rsidRPr="006A7831">
        <w:rPr>
          <w:rFonts w:ascii="Calibri" w:hAnsi="Calibri" w:cs="Calibri"/>
          <w:sz w:val="24"/>
          <w:szCs w:val="24"/>
        </w:rPr>
        <w:t xml:space="preserve"> Programs</w:t>
      </w:r>
      <w:r w:rsidR="008F01B5" w:rsidRPr="006A7831">
        <w:rPr>
          <w:rFonts w:ascii="Calibri" w:hAnsi="Calibri" w:cs="Calibri"/>
          <w:sz w:val="24"/>
          <w:szCs w:val="24"/>
        </w:rPr>
        <w:t>,</w:t>
      </w:r>
      <w:r w:rsidR="0088524C" w:rsidRPr="006A7831">
        <w:rPr>
          <w:rFonts w:ascii="Calibri" w:hAnsi="Calibri" w:cs="Calibri"/>
          <w:sz w:val="24"/>
          <w:szCs w:val="24"/>
        </w:rPr>
        <w:t xml:space="preserve"> </w:t>
      </w:r>
      <w:r w:rsidR="007E35FB" w:rsidRPr="006A7831">
        <w:rPr>
          <w:rFonts w:ascii="Calibri" w:hAnsi="Calibri" w:cs="Calibri"/>
          <w:sz w:val="24"/>
          <w:szCs w:val="24"/>
        </w:rPr>
        <w:t>in regard to</w:t>
      </w:r>
      <w:r w:rsidR="0088524C" w:rsidRPr="006A7831">
        <w:rPr>
          <w:rFonts w:ascii="Calibri" w:hAnsi="Calibri" w:cs="Calibri"/>
          <w:sz w:val="24"/>
          <w:szCs w:val="24"/>
        </w:rPr>
        <w:t xml:space="preserve"> </w:t>
      </w:r>
      <w:r w:rsidR="00D013A9" w:rsidRPr="006A7831">
        <w:rPr>
          <w:rFonts w:ascii="Calibri" w:hAnsi="Calibri" w:cs="Calibri"/>
          <w:sz w:val="24"/>
          <w:szCs w:val="24"/>
        </w:rPr>
        <w:t xml:space="preserve">program duration and </w:t>
      </w:r>
      <w:r w:rsidR="00C830D2" w:rsidRPr="006A7831">
        <w:rPr>
          <w:rFonts w:ascii="Calibri" w:hAnsi="Calibri" w:cs="Calibri"/>
          <w:sz w:val="24"/>
          <w:szCs w:val="24"/>
        </w:rPr>
        <w:t>longer-term</w:t>
      </w:r>
      <w:r w:rsidR="00D013A9" w:rsidRPr="006A7831">
        <w:rPr>
          <w:rFonts w:ascii="Calibri" w:hAnsi="Calibri" w:cs="Calibri"/>
          <w:sz w:val="24"/>
          <w:szCs w:val="24"/>
        </w:rPr>
        <w:t xml:space="preserve"> treatment transitions</w:t>
      </w:r>
      <w:r w:rsidRPr="006A7831">
        <w:rPr>
          <w:rFonts w:ascii="Calibri" w:hAnsi="Calibri" w:cs="Calibri"/>
          <w:sz w:val="24"/>
          <w:szCs w:val="24"/>
        </w:rPr>
        <w:t>.</w:t>
      </w:r>
    </w:p>
    <w:p w14:paraId="59E52DF5" w14:textId="23F6C990" w:rsidR="006A7831" w:rsidRPr="006A7831" w:rsidRDefault="006A7831" w:rsidP="006A7831">
      <w:pPr>
        <w:rPr>
          <w:rFonts w:ascii="Calibri" w:hAnsi="Calibri" w:cs="Calibri"/>
          <w:b/>
          <w:bCs/>
          <w:sz w:val="24"/>
          <w:szCs w:val="24"/>
        </w:rPr>
      </w:pPr>
      <w:r w:rsidRPr="006A7831">
        <w:rPr>
          <w:rFonts w:ascii="Calibri" w:hAnsi="Calibri" w:cs="Calibri"/>
          <w:b/>
          <w:bCs/>
          <w:sz w:val="24"/>
          <w:szCs w:val="24"/>
        </w:rPr>
        <w:t>Upcoming PBAC meeting</w:t>
      </w:r>
    </w:p>
    <w:p w14:paraId="5A01BFD8" w14:textId="26BD0753" w:rsidR="00CF0BE2" w:rsidRPr="006A7831" w:rsidRDefault="00CF0BE2" w:rsidP="000632FC">
      <w:pPr>
        <w:rPr>
          <w:rFonts w:ascii="Calibri" w:hAnsi="Calibri" w:cs="Calibri"/>
          <w:sz w:val="24"/>
          <w:szCs w:val="24"/>
        </w:rPr>
      </w:pPr>
      <w:r w:rsidRPr="61697F32">
        <w:rPr>
          <w:rFonts w:ascii="Calibri" w:hAnsi="Calibri" w:cs="Calibri"/>
          <w:sz w:val="24"/>
          <w:szCs w:val="24"/>
        </w:rPr>
        <w:t xml:space="preserve">The </w:t>
      </w:r>
      <w:r w:rsidR="0087439D" w:rsidRPr="61697F32">
        <w:rPr>
          <w:rFonts w:ascii="Calibri" w:hAnsi="Calibri" w:cs="Calibri"/>
          <w:sz w:val="24"/>
          <w:szCs w:val="24"/>
        </w:rPr>
        <w:t xml:space="preserve">next </w:t>
      </w:r>
      <w:r w:rsidRPr="61697F32">
        <w:rPr>
          <w:rFonts w:ascii="Calibri" w:hAnsi="Calibri" w:cs="Calibri"/>
          <w:sz w:val="24"/>
          <w:szCs w:val="24"/>
        </w:rPr>
        <w:t xml:space="preserve">PBAC </w:t>
      </w:r>
      <w:r w:rsidR="0087439D" w:rsidRPr="61697F32">
        <w:rPr>
          <w:rFonts w:ascii="Calibri" w:hAnsi="Calibri" w:cs="Calibri"/>
          <w:sz w:val="24"/>
          <w:szCs w:val="24"/>
        </w:rPr>
        <w:t xml:space="preserve">meeting is </w:t>
      </w:r>
      <w:r w:rsidR="005702B3" w:rsidRPr="61697F32">
        <w:rPr>
          <w:rFonts w:ascii="Calibri" w:hAnsi="Calibri" w:cs="Calibri"/>
          <w:sz w:val="24"/>
          <w:szCs w:val="24"/>
        </w:rPr>
        <w:t>the</w:t>
      </w:r>
      <w:r w:rsidR="00341F00" w:rsidRPr="61697F32">
        <w:rPr>
          <w:rFonts w:ascii="Calibri" w:hAnsi="Calibri" w:cs="Calibri"/>
          <w:sz w:val="24"/>
          <w:szCs w:val="24"/>
        </w:rPr>
        <w:t xml:space="preserve"> Intracycle </w:t>
      </w:r>
      <w:r w:rsidR="000E7935" w:rsidRPr="61697F32">
        <w:rPr>
          <w:rFonts w:ascii="Calibri" w:hAnsi="Calibri" w:cs="Calibri"/>
          <w:sz w:val="24"/>
          <w:szCs w:val="24"/>
        </w:rPr>
        <w:t xml:space="preserve">meeting </w:t>
      </w:r>
      <w:r w:rsidR="669F885A" w:rsidRPr="2793D8AE">
        <w:rPr>
          <w:rFonts w:ascii="Calibri" w:hAnsi="Calibri" w:cs="Calibri"/>
          <w:sz w:val="24"/>
          <w:szCs w:val="24"/>
        </w:rPr>
        <w:t xml:space="preserve">scheduled </w:t>
      </w:r>
      <w:r w:rsidR="669F885A" w:rsidRPr="11D96153">
        <w:rPr>
          <w:rFonts w:ascii="Calibri" w:hAnsi="Calibri" w:cs="Calibri"/>
          <w:sz w:val="24"/>
          <w:szCs w:val="24"/>
        </w:rPr>
        <w:t>for</w:t>
      </w:r>
      <w:r w:rsidR="0087439D" w:rsidRPr="61697F32">
        <w:rPr>
          <w:rFonts w:ascii="Calibri" w:hAnsi="Calibri" w:cs="Calibri"/>
          <w:sz w:val="24"/>
          <w:szCs w:val="24"/>
        </w:rPr>
        <w:t xml:space="preserve"> </w:t>
      </w:r>
      <w:r w:rsidR="000E7935" w:rsidRPr="61697F32">
        <w:rPr>
          <w:rFonts w:ascii="Calibri" w:hAnsi="Calibri" w:cs="Calibri"/>
          <w:sz w:val="24"/>
          <w:szCs w:val="24"/>
        </w:rPr>
        <w:t xml:space="preserve">4 September </w:t>
      </w:r>
      <w:r w:rsidR="001E084D" w:rsidRPr="61697F32">
        <w:rPr>
          <w:rFonts w:ascii="Calibri" w:hAnsi="Calibri" w:cs="Calibri"/>
          <w:sz w:val="24"/>
          <w:szCs w:val="24"/>
        </w:rPr>
        <w:t>2026.</w:t>
      </w:r>
    </w:p>
    <w:p w14:paraId="787146A4" w14:textId="77777777" w:rsidR="006A7831" w:rsidRDefault="006A7831" w:rsidP="006A7831">
      <w:pPr>
        <w:rPr>
          <w:rFonts w:ascii="Calibri" w:hAnsi="Calibri" w:cs="Calibri"/>
          <w:sz w:val="24"/>
          <w:szCs w:val="24"/>
        </w:rPr>
      </w:pPr>
    </w:p>
    <w:p w14:paraId="2CAFF87E" w14:textId="77777777" w:rsidR="006A7831" w:rsidRPr="006A7831" w:rsidRDefault="006A7831" w:rsidP="006A7831">
      <w:pPr>
        <w:widowControl w:val="0"/>
        <w:spacing w:before="120" w:after="0" w:line="273" w:lineRule="auto"/>
        <w:rPr>
          <w:rFonts w:ascii="Calibri" w:eastAsia="Google Sans" w:hAnsi="Calibri" w:cs="Calibri"/>
          <w:color w:val="1F1F1F"/>
          <w:kern w:val="0"/>
          <w:sz w:val="24"/>
          <w:szCs w:val="24"/>
          <w:lang w:eastAsia="en-AU"/>
          <w14:ligatures w14:val="none"/>
        </w:rPr>
      </w:pPr>
      <w:r w:rsidRPr="006A7831">
        <w:rPr>
          <w:rFonts w:ascii="Calibri" w:eastAsia="Google Sans" w:hAnsi="Calibri" w:cs="Calibri"/>
          <w:b/>
          <w:bCs/>
          <w:color w:val="1F1F1F"/>
          <w:kern w:val="0"/>
          <w:sz w:val="24"/>
          <w:szCs w:val="24"/>
          <w:lang w:eastAsia="en-AU"/>
          <w14:ligatures w14:val="none"/>
        </w:rPr>
        <w:t>Professor Robyn Ward AM</w:t>
      </w:r>
      <w:r w:rsidRPr="006A7831">
        <w:rPr>
          <w:rFonts w:ascii="Calibri" w:eastAsia="Google Sans" w:hAnsi="Calibri" w:cs="Calibri"/>
          <w:color w:val="1F1F1F"/>
          <w:kern w:val="0"/>
          <w:sz w:val="24"/>
          <w:szCs w:val="24"/>
          <w:lang w:eastAsia="en-AU"/>
          <w14:ligatures w14:val="none"/>
        </w:rPr>
        <w:t xml:space="preserve"> </w:t>
      </w:r>
    </w:p>
    <w:p w14:paraId="75DCB770" w14:textId="77777777" w:rsidR="006A7831" w:rsidRPr="006A7831" w:rsidRDefault="006A7831" w:rsidP="006A7831">
      <w:pPr>
        <w:rPr>
          <w:rFonts w:ascii="Calibri" w:hAnsi="Calibri" w:cs="Calibri"/>
          <w:b/>
          <w:bCs/>
          <w:sz w:val="24"/>
          <w:szCs w:val="24"/>
        </w:rPr>
      </w:pPr>
      <w:r w:rsidRPr="006A7831">
        <w:rPr>
          <w:rFonts w:ascii="Calibri" w:hAnsi="Calibri" w:cs="Calibri"/>
          <w:sz w:val="24"/>
          <w:szCs w:val="24"/>
        </w:rPr>
        <w:t>Chair, Pharmaceutical Benefits Advisory Committee</w:t>
      </w:r>
    </w:p>
    <w:p w14:paraId="2F763056" w14:textId="77777777" w:rsidR="006A7831" w:rsidRPr="006A7831" w:rsidRDefault="006A7831" w:rsidP="006A7831">
      <w:pPr>
        <w:widowControl w:val="0"/>
        <w:spacing w:before="120" w:after="0" w:line="273" w:lineRule="auto"/>
        <w:rPr>
          <w:rFonts w:ascii="Calibri" w:eastAsia="Google Sans" w:hAnsi="Calibri" w:cs="Calibri"/>
          <w:b/>
          <w:bCs/>
          <w:color w:val="1F1F1F"/>
          <w:kern w:val="0"/>
          <w:sz w:val="24"/>
          <w:szCs w:val="24"/>
          <w:lang w:eastAsia="en-AU"/>
          <w14:ligatures w14:val="none"/>
        </w:rPr>
      </w:pPr>
      <w:r w:rsidRPr="006A7831">
        <w:rPr>
          <w:rFonts w:ascii="Calibri" w:eastAsia="Google Sans" w:hAnsi="Calibri" w:cs="Calibri"/>
          <w:b/>
          <w:bCs/>
          <w:color w:val="1F1F1F"/>
          <w:kern w:val="0"/>
          <w:sz w:val="24"/>
          <w:szCs w:val="24"/>
          <w:lang w:eastAsia="en-AU"/>
          <w14:ligatures w14:val="none"/>
        </w:rPr>
        <w:t xml:space="preserve">Ms Jo Watson </w:t>
      </w:r>
    </w:p>
    <w:p w14:paraId="4C38AF6F" w14:textId="02F24B7F" w:rsidR="00594D7D" w:rsidRPr="006A7831" w:rsidRDefault="006A7831" w:rsidP="00594D7D">
      <w:pPr>
        <w:rPr>
          <w:sz w:val="24"/>
          <w:szCs w:val="24"/>
        </w:rPr>
      </w:pPr>
      <w:r w:rsidRPr="006A7831">
        <w:rPr>
          <w:rFonts w:ascii="Calibri" w:hAnsi="Calibri" w:cs="Calibri"/>
          <w:sz w:val="24"/>
          <w:szCs w:val="24"/>
        </w:rPr>
        <w:t>Deputy Chair, Pharmaceutical Benefits Advisory Committee</w:t>
      </w:r>
    </w:p>
    <w:sectPr w:rsidR="00594D7D" w:rsidRPr="006A783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23A1" w14:textId="77777777" w:rsidR="00C148BD" w:rsidRDefault="00C148BD" w:rsidP="004B4AC0">
      <w:pPr>
        <w:spacing w:after="0" w:line="240" w:lineRule="auto"/>
      </w:pPr>
      <w:r>
        <w:separator/>
      </w:r>
    </w:p>
  </w:endnote>
  <w:endnote w:type="continuationSeparator" w:id="0">
    <w:p w14:paraId="13E34B8C" w14:textId="77777777" w:rsidR="00C148BD" w:rsidRDefault="00C148BD" w:rsidP="004B4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oogle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B88" w14:textId="30E34937" w:rsidR="00AC1A65" w:rsidRDefault="00AC1A65">
    <w:pPr>
      <w:pStyle w:val="Footer"/>
    </w:pPr>
    <w:r>
      <w:rPr>
        <w:noProof/>
      </w:rPr>
      <mc:AlternateContent>
        <mc:Choice Requires="wps">
          <w:drawing>
            <wp:anchor distT="0" distB="0" distL="0" distR="0" simplePos="0" relativeHeight="251662336" behindDoc="0" locked="0" layoutInCell="1" allowOverlap="1" wp14:anchorId="1A7C8C43" wp14:editId="4F1BC0E3">
              <wp:simplePos x="635" y="635"/>
              <wp:positionH relativeFrom="page">
                <wp:align>center</wp:align>
              </wp:positionH>
              <wp:positionV relativeFrom="page">
                <wp:align>bottom</wp:align>
              </wp:positionV>
              <wp:extent cx="622300" cy="391160"/>
              <wp:effectExtent l="0" t="0" r="6350" b="0"/>
              <wp:wrapNone/>
              <wp:docPr id="68200937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574DEC" w14:textId="75551EE3"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7C8C43" id="_x0000_t202" coordsize="21600,21600" o:spt="202" path="m,l,21600r21600,l21600,xe">
              <v:stroke joinstyle="miter"/>
              <v:path gradientshapeok="t" o:connecttype="rect"/>
            </v:shapetype>
            <v:shape id="Text Box 11"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09574DEC" w14:textId="75551EE3"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7879" w14:textId="4A3B00E5" w:rsidR="00AC1A65" w:rsidRDefault="00AC1A65">
    <w:pPr>
      <w:pStyle w:val="Footer"/>
    </w:pPr>
    <w:r>
      <w:rPr>
        <w:noProof/>
      </w:rPr>
      <mc:AlternateContent>
        <mc:Choice Requires="wps">
          <w:drawing>
            <wp:anchor distT="0" distB="0" distL="0" distR="0" simplePos="0" relativeHeight="251663360" behindDoc="0" locked="0" layoutInCell="1" allowOverlap="1" wp14:anchorId="549E2E2D" wp14:editId="38EE7AEB">
              <wp:simplePos x="914400" y="10073640"/>
              <wp:positionH relativeFrom="page">
                <wp:align>center</wp:align>
              </wp:positionH>
              <wp:positionV relativeFrom="page">
                <wp:align>bottom</wp:align>
              </wp:positionV>
              <wp:extent cx="622300" cy="391160"/>
              <wp:effectExtent l="0" t="0" r="6350" b="0"/>
              <wp:wrapNone/>
              <wp:docPr id="14700220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64E9D90" w14:textId="70FF7B45"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E2E2D" id="_x0000_t202" coordsize="21600,21600" o:spt="202" path="m,l,21600r21600,l21600,xe">
              <v:stroke joinstyle="miter"/>
              <v:path gradientshapeok="t" o:connecttype="rect"/>
            </v:shapetype>
            <v:shape id="Text Box 12" o:spid="_x0000_s1029"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64E9D90" w14:textId="70FF7B45"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4569" w14:textId="4A2DE3C8" w:rsidR="00AC1A65" w:rsidRDefault="00AC1A65">
    <w:pPr>
      <w:pStyle w:val="Footer"/>
    </w:pPr>
    <w:r>
      <w:rPr>
        <w:noProof/>
      </w:rPr>
      <mc:AlternateContent>
        <mc:Choice Requires="wps">
          <w:drawing>
            <wp:anchor distT="0" distB="0" distL="0" distR="0" simplePos="0" relativeHeight="251661312" behindDoc="0" locked="0" layoutInCell="1" allowOverlap="1" wp14:anchorId="5D884A18" wp14:editId="7498CFB3">
              <wp:simplePos x="635" y="635"/>
              <wp:positionH relativeFrom="page">
                <wp:align>center</wp:align>
              </wp:positionH>
              <wp:positionV relativeFrom="page">
                <wp:align>bottom</wp:align>
              </wp:positionV>
              <wp:extent cx="622300" cy="391160"/>
              <wp:effectExtent l="0" t="0" r="6350" b="0"/>
              <wp:wrapNone/>
              <wp:docPr id="200934756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70D53B7" w14:textId="455164B4"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84A18" id="_x0000_t202" coordsize="21600,21600" o:spt="202" path="m,l,21600r21600,l21600,xe">
              <v:stroke joinstyle="miter"/>
              <v:path gradientshapeok="t" o:connecttype="rect"/>
            </v:shapetype>
            <v:shape id="Text Box 10"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270D53B7" w14:textId="455164B4"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4D874" w14:textId="77777777" w:rsidR="00C148BD" w:rsidRDefault="00C148BD" w:rsidP="004B4AC0">
      <w:pPr>
        <w:spacing w:after="0" w:line="240" w:lineRule="auto"/>
      </w:pPr>
      <w:r>
        <w:separator/>
      </w:r>
    </w:p>
  </w:footnote>
  <w:footnote w:type="continuationSeparator" w:id="0">
    <w:p w14:paraId="0A2BC288" w14:textId="77777777" w:rsidR="00C148BD" w:rsidRDefault="00C148BD" w:rsidP="004B4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ACB3" w14:textId="6CB169D9" w:rsidR="00AC1A65" w:rsidRDefault="00AC1A65">
    <w:pPr>
      <w:pStyle w:val="Header"/>
    </w:pPr>
    <w:r>
      <w:rPr>
        <w:noProof/>
      </w:rPr>
      <mc:AlternateContent>
        <mc:Choice Requires="wps">
          <w:drawing>
            <wp:anchor distT="0" distB="0" distL="0" distR="0" simplePos="0" relativeHeight="251659264" behindDoc="0" locked="0" layoutInCell="1" allowOverlap="1" wp14:anchorId="6D368CE3" wp14:editId="4BB376A7">
              <wp:simplePos x="635" y="635"/>
              <wp:positionH relativeFrom="page">
                <wp:align>center</wp:align>
              </wp:positionH>
              <wp:positionV relativeFrom="page">
                <wp:align>top</wp:align>
              </wp:positionV>
              <wp:extent cx="622300" cy="391160"/>
              <wp:effectExtent l="0" t="0" r="6350" b="8890"/>
              <wp:wrapNone/>
              <wp:docPr id="142586695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A068B49" w14:textId="181A6A8E"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368CE3" id="_x0000_t202" coordsize="21600,21600" o:spt="202" path="m,l,21600r21600,l21600,xe">
              <v:stroke joinstyle="miter"/>
              <v:path gradientshapeok="t" o:connecttype="rect"/>
            </v:shapetype>
            <v:shape id="Text Box 8"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6A068B49" w14:textId="181A6A8E"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0B3D" w14:textId="12362FBA" w:rsidR="00AC1A65" w:rsidRDefault="00AC1A65">
    <w:pPr>
      <w:pStyle w:val="Header"/>
    </w:pPr>
    <w:r>
      <w:rPr>
        <w:noProof/>
      </w:rPr>
      <mc:AlternateContent>
        <mc:Choice Requires="wps">
          <w:drawing>
            <wp:anchor distT="0" distB="0" distL="0" distR="0" simplePos="0" relativeHeight="251660288" behindDoc="0" locked="0" layoutInCell="1" allowOverlap="1" wp14:anchorId="43D19D34" wp14:editId="16474884">
              <wp:simplePos x="914400" y="449580"/>
              <wp:positionH relativeFrom="page">
                <wp:align>center</wp:align>
              </wp:positionH>
              <wp:positionV relativeFrom="page">
                <wp:align>top</wp:align>
              </wp:positionV>
              <wp:extent cx="622300" cy="391160"/>
              <wp:effectExtent l="0" t="0" r="6350" b="8890"/>
              <wp:wrapNone/>
              <wp:docPr id="52161821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785F933" w14:textId="59B5E1E8"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D19D34" id="_x0000_t202" coordsize="21600,21600" o:spt="202" path="m,l,21600r21600,l21600,xe">
              <v:stroke joinstyle="miter"/>
              <v:path gradientshapeok="t" o:connecttype="rect"/>
            </v:shapetype>
            <v:shape id="Text Box 9"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2785F933" w14:textId="59B5E1E8"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7AC2" w14:textId="2F953808" w:rsidR="00AC1A65" w:rsidRDefault="00AC1A65">
    <w:pPr>
      <w:pStyle w:val="Header"/>
    </w:pPr>
    <w:r>
      <w:rPr>
        <w:noProof/>
      </w:rPr>
      <mc:AlternateContent>
        <mc:Choice Requires="wps">
          <w:drawing>
            <wp:anchor distT="0" distB="0" distL="0" distR="0" simplePos="0" relativeHeight="251658240" behindDoc="0" locked="0" layoutInCell="1" allowOverlap="1" wp14:anchorId="0A934CC6" wp14:editId="667F9C16">
              <wp:simplePos x="635" y="635"/>
              <wp:positionH relativeFrom="page">
                <wp:align>center</wp:align>
              </wp:positionH>
              <wp:positionV relativeFrom="page">
                <wp:align>top</wp:align>
              </wp:positionV>
              <wp:extent cx="622300" cy="391160"/>
              <wp:effectExtent l="0" t="0" r="6350" b="8890"/>
              <wp:wrapNone/>
              <wp:docPr id="191166410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26C4CD5" w14:textId="0FCC2A73"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934CC6" id="_x0000_t202" coordsize="21600,21600" o:spt="202" path="m,l,21600r21600,l21600,xe">
              <v:stroke joinstyle="miter"/>
              <v:path gradientshapeok="t" o:connecttype="rect"/>
            </v:shapetype>
            <v:shape id="Text Box 7"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026C4CD5" w14:textId="0FCC2A73" w:rsidR="00AC1A65" w:rsidRPr="00AC1A65" w:rsidRDefault="00AC1A65" w:rsidP="00AC1A65">
                    <w:pPr>
                      <w:spacing w:after="0"/>
                      <w:rPr>
                        <w:rFonts w:ascii="Aptos" w:eastAsia="Aptos" w:hAnsi="Aptos" w:cs="Aptos"/>
                        <w:noProof/>
                        <w:color w:val="FF0000"/>
                        <w:sz w:val="24"/>
                        <w:szCs w:val="24"/>
                      </w:rPr>
                    </w:pPr>
                    <w:r w:rsidRPr="00AC1A6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57534"/>
    <w:multiLevelType w:val="hybridMultilevel"/>
    <w:tmpl w:val="B4A4A416"/>
    <w:lvl w:ilvl="0" w:tplc="FF342AF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5A64FDD"/>
    <w:multiLevelType w:val="hybridMultilevel"/>
    <w:tmpl w:val="29F89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9528973">
    <w:abstractNumId w:val="0"/>
  </w:num>
  <w:num w:numId="2" w16cid:durableId="210641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7D"/>
    <w:rsid w:val="000342B7"/>
    <w:rsid w:val="00052714"/>
    <w:rsid w:val="000632FC"/>
    <w:rsid w:val="00064824"/>
    <w:rsid w:val="0007303D"/>
    <w:rsid w:val="00077557"/>
    <w:rsid w:val="0009007C"/>
    <w:rsid w:val="0009081D"/>
    <w:rsid w:val="000A29CA"/>
    <w:rsid w:val="000B39D1"/>
    <w:rsid w:val="000C0AF1"/>
    <w:rsid w:val="000E44E6"/>
    <w:rsid w:val="000E5589"/>
    <w:rsid w:val="000E7935"/>
    <w:rsid w:val="0012495C"/>
    <w:rsid w:val="00133B30"/>
    <w:rsid w:val="00142203"/>
    <w:rsid w:val="001733F5"/>
    <w:rsid w:val="001818DA"/>
    <w:rsid w:val="001824EC"/>
    <w:rsid w:val="001834EE"/>
    <w:rsid w:val="001B2944"/>
    <w:rsid w:val="001C1283"/>
    <w:rsid w:val="001C3873"/>
    <w:rsid w:val="001D680F"/>
    <w:rsid w:val="001E084D"/>
    <w:rsid w:val="001E6C28"/>
    <w:rsid w:val="00200DC9"/>
    <w:rsid w:val="00214C1A"/>
    <w:rsid w:val="00241C21"/>
    <w:rsid w:val="00263B8A"/>
    <w:rsid w:val="00271CFB"/>
    <w:rsid w:val="00272DDE"/>
    <w:rsid w:val="002769CF"/>
    <w:rsid w:val="0028638C"/>
    <w:rsid w:val="002919AD"/>
    <w:rsid w:val="00292456"/>
    <w:rsid w:val="002A09C4"/>
    <w:rsid w:val="002A381E"/>
    <w:rsid w:val="002A5C11"/>
    <w:rsid w:val="002A7D15"/>
    <w:rsid w:val="002D1650"/>
    <w:rsid w:val="002D4D30"/>
    <w:rsid w:val="002E3B9D"/>
    <w:rsid w:val="002F3DEB"/>
    <w:rsid w:val="00300AD9"/>
    <w:rsid w:val="00305FD4"/>
    <w:rsid w:val="00314141"/>
    <w:rsid w:val="00330135"/>
    <w:rsid w:val="00330211"/>
    <w:rsid w:val="00340116"/>
    <w:rsid w:val="00341F00"/>
    <w:rsid w:val="003450C1"/>
    <w:rsid w:val="00361308"/>
    <w:rsid w:val="003676B5"/>
    <w:rsid w:val="00375F73"/>
    <w:rsid w:val="003800A8"/>
    <w:rsid w:val="00390696"/>
    <w:rsid w:val="00394436"/>
    <w:rsid w:val="003B3768"/>
    <w:rsid w:val="003B6B87"/>
    <w:rsid w:val="003C36EC"/>
    <w:rsid w:val="003F6A96"/>
    <w:rsid w:val="00414B72"/>
    <w:rsid w:val="00415F90"/>
    <w:rsid w:val="00420B26"/>
    <w:rsid w:val="00422677"/>
    <w:rsid w:val="00425363"/>
    <w:rsid w:val="00445A23"/>
    <w:rsid w:val="00453001"/>
    <w:rsid w:val="00457B99"/>
    <w:rsid w:val="004624DD"/>
    <w:rsid w:val="00477150"/>
    <w:rsid w:val="004871D4"/>
    <w:rsid w:val="004A1361"/>
    <w:rsid w:val="004A17CB"/>
    <w:rsid w:val="004A6630"/>
    <w:rsid w:val="004B1AF7"/>
    <w:rsid w:val="004B302C"/>
    <w:rsid w:val="004B4AC0"/>
    <w:rsid w:val="004B6742"/>
    <w:rsid w:val="004C32DF"/>
    <w:rsid w:val="004C3C80"/>
    <w:rsid w:val="004D4E90"/>
    <w:rsid w:val="004E6E3D"/>
    <w:rsid w:val="004F171A"/>
    <w:rsid w:val="004F18D5"/>
    <w:rsid w:val="00506E3A"/>
    <w:rsid w:val="0051035D"/>
    <w:rsid w:val="00515287"/>
    <w:rsid w:val="005211E2"/>
    <w:rsid w:val="005213FC"/>
    <w:rsid w:val="00551416"/>
    <w:rsid w:val="00552BAD"/>
    <w:rsid w:val="00554745"/>
    <w:rsid w:val="00555B8F"/>
    <w:rsid w:val="005701EC"/>
    <w:rsid w:val="005702B3"/>
    <w:rsid w:val="00585773"/>
    <w:rsid w:val="0059277B"/>
    <w:rsid w:val="00594D7D"/>
    <w:rsid w:val="005A1B89"/>
    <w:rsid w:val="005F6FBE"/>
    <w:rsid w:val="00600D58"/>
    <w:rsid w:val="006274A8"/>
    <w:rsid w:val="00632F8B"/>
    <w:rsid w:val="006354FC"/>
    <w:rsid w:val="006536EC"/>
    <w:rsid w:val="00657901"/>
    <w:rsid w:val="006708E1"/>
    <w:rsid w:val="00672204"/>
    <w:rsid w:val="0067788B"/>
    <w:rsid w:val="00691694"/>
    <w:rsid w:val="00693009"/>
    <w:rsid w:val="006975F2"/>
    <w:rsid w:val="00697D8E"/>
    <w:rsid w:val="006A0B5F"/>
    <w:rsid w:val="006A6E9F"/>
    <w:rsid w:val="006A7831"/>
    <w:rsid w:val="006C200B"/>
    <w:rsid w:val="006C4743"/>
    <w:rsid w:val="006D3637"/>
    <w:rsid w:val="006E5A94"/>
    <w:rsid w:val="0070159F"/>
    <w:rsid w:val="0070555B"/>
    <w:rsid w:val="0072223D"/>
    <w:rsid w:val="00761D18"/>
    <w:rsid w:val="00767F32"/>
    <w:rsid w:val="0077370D"/>
    <w:rsid w:val="00776023"/>
    <w:rsid w:val="007774DE"/>
    <w:rsid w:val="00777D3F"/>
    <w:rsid w:val="007853BF"/>
    <w:rsid w:val="007862EB"/>
    <w:rsid w:val="007E3074"/>
    <w:rsid w:val="007E35FB"/>
    <w:rsid w:val="007F71CE"/>
    <w:rsid w:val="0080198F"/>
    <w:rsid w:val="00814344"/>
    <w:rsid w:val="00816DEE"/>
    <w:rsid w:val="0082626B"/>
    <w:rsid w:val="008474FD"/>
    <w:rsid w:val="00873C10"/>
    <w:rsid w:val="008742F8"/>
    <w:rsid w:val="0087439D"/>
    <w:rsid w:val="00875C1A"/>
    <w:rsid w:val="0088524C"/>
    <w:rsid w:val="00896172"/>
    <w:rsid w:val="008A2431"/>
    <w:rsid w:val="008A5C60"/>
    <w:rsid w:val="008C373E"/>
    <w:rsid w:val="008E3F7D"/>
    <w:rsid w:val="008F01B5"/>
    <w:rsid w:val="008F3226"/>
    <w:rsid w:val="00914B8E"/>
    <w:rsid w:val="0091791B"/>
    <w:rsid w:val="00917D34"/>
    <w:rsid w:val="009500B4"/>
    <w:rsid w:val="00973038"/>
    <w:rsid w:val="00993E70"/>
    <w:rsid w:val="00997364"/>
    <w:rsid w:val="009A5FB8"/>
    <w:rsid w:val="009A7F99"/>
    <w:rsid w:val="009B0827"/>
    <w:rsid w:val="009C7F49"/>
    <w:rsid w:val="009D7009"/>
    <w:rsid w:val="009E5DE9"/>
    <w:rsid w:val="009E6209"/>
    <w:rsid w:val="009F129E"/>
    <w:rsid w:val="009F23D6"/>
    <w:rsid w:val="00A03803"/>
    <w:rsid w:val="00A4402A"/>
    <w:rsid w:val="00A535A9"/>
    <w:rsid w:val="00A57F0E"/>
    <w:rsid w:val="00A63458"/>
    <w:rsid w:val="00A63FD6"/>
    <w:rsid w:val="00A846F6"/>
    <w:rsid w:val="00A922BE"/>
    <w:rsid w:val="00AB0BEE"/>
    <w:rsid w:val="00AC1A65"/>
    <w:rsid w:val="00AC586C"/>
    <w:rsid w:val="00B0240F"/>
    <w:rsid w:val="00B02EF9"/>
    <w:rsid w:val="00B14035"/>
    <w:rsid w:val="00B14933"/>
    <w:rsid w:val="00B22EB3"/>
    <w:rsid w:val="00B241B0"/>
    <w:rsid w:val="00B6330D"/>
    <w:rsid w:val="00B646CD"/>
    <w:rsid w:val="00B651DC"/>
    <w:rsid w:val="00B8098D"/>
    <w:rsid w:val="00B848A8"/>
    <w:rsid w:val="00B866C3"/>
    <w:rsid w:val="00B962B9"/>
    <w:rsid w:val="00BA0838"/>
    <w:rsid w:val="00BD1766"/>
    <w:rsid w:val="00BD68AD"/>
    <w:rsid w:val="00BE273F"/>
    <w:rsid w:val="00C04B93"/>
    <w:rsid w:val="00C063F1"/>
    <w:rsid w:val="00C13910"/>
    <w:rsid w:val="00C148BD"/>
    <w:rsid w:val="00C25EA9"/>
    <w:rsid w:val="00C26225"/>
    <w:rsid w:val="00C3361A"/>
    <w:rsid w:val="00C43D7C"/>
    <w:rsid w:val="00C47E16"/>
    <w:rsid w:val="00C62761"/>
    <w:rsid w:val="00C830D2"/>
    <w:rsid w:val="00C85EB8"/>
    <w:rsid w:val="00CB0629"/>
    <w:rsid w:val="00CB1B75"/>
    <w:rsid w:val="00CB26FE"/>
    <w:rsid w:val="00CC1E82"/>
    <w:rsid w:val="00CE2DE9"/>
    <w:rsid w:val="00CE6B9A"/>
    <w:rsid w:val="00CF0BE2"/>
    <w:rsid w:val="00CF39EA"/>
    <w:rsid w:val="00D013A9"/>
    <w:rsid w:val="00D0194D"/>
    <w:rsid w:val="00D120AA"/>
    <w:rsid w:val="00D13B34"/>
    <w:rsid w:val="00D141C1"/>
    <w:rsid w:val="00D2604D"/>
    <w:rsid w:val="00D40CAE"/>
    <w:rsid w:val="00D44BF7"/>
    <w:rsid w:val="00D71BBB"/>
    <w:rsid w:val="00D74C41"/>
    <w:rsid w:val="00D85366"/>
    <w:rsid w:val="00D96592"/>
    <w:rsid w:val="00D97B13"/>
    <w:rsid w:val="00DA110C"/>
    <w:rsid w:val="00DA5F81"/>
    <w:rsid w:val="00DA711D"/>
    <w:rsid w:val="00DB17F9"/>
    <w:rsid w:val="00DC45A3"/>
    <w:rsid w:val="00DD3C98"/>
    <w:rsid w:val="00DD510A"/>
    <w:rsid w:val="00DE20CC"/>
    <w:rsid w:val="00DE2D57"/>
    <w:rsid w:val="00E03802"/>
    <w:rsid w:val="00E04953"/>
    <w:rsid w:val="00E06F93"/>
    <w:rsid w:val="00E16ECE"/>
    <w:rsid w:val="00E17365"/>
    <w:rsid w:val="00E242DC"/>
    <w:rsid w:val="00E617F1"/>
    <w:rsid w:val="00E921D3"/>
    <w:rsid w:val="00E96571"/>
    <w:rsid w:val="00EB2CCA"/>
    <w:rsid w:val="00EC0EDA"/>
    <w:rsid w:val="00EC7048"/>
    <w:rsid w:val="00EF2BD0"/>
    <w:rsid w:val="00EF30AD"/>
    <w:rsid w:val="00EF38FA"/>
    <w:rsid w:val="00EF3958"/>
    <w:rsid w:val="00F26CA1"/>
    <w:rsid w:val="00F32BA7"/>
    <w:rsid w:val="00F51B2D"/>
    <w:rsid w:val="00F77CC0"/>
    <w:rsid w:val="00F817B1"/>
    <w:rsid w:val="00FA038A"/>
    <w:rsid w:val="00FA24CB"/>
    <w:rsid w:val="00FA74BC"/>
    <w:rsid w:val="00FB722E"/>
    <w:rsid w:val="00FD5E94"/>
    <w:rsid w:val="00FE5E6D"/>
    <w:rsid w:val="00FF45DA"/>
    <w:rsid w:val="03B75962"/>
    <w:rsid w:val="0487D3DC"/>
    <w:rsid w:val="04BA202A"/>
    <w:rsid w:val="071C0CB7"/>
    <w:rsid w:val="07261694"/>
    <w:rsid w:val="09470BA5"/>
    <w:rsid w:val="0B84FD70"/>
    <w:rsid w:val="0CED8D9E"/>
    <w:rsid w:val="117076F6"/>
    <w:rsid w:val="11D96153"/>
    <w:rsid w:val="18806C4A"/>
    <w:rsid w:val="1ADA93E3"/>
    <w:rsid w:val="1D226A35"/>
    <w:rsid w:val="203B7ED4"/>
    <w:rsid w:val="24E67288"/>
    <w:rsid w:val="2581CE81"/>
    <w:rsid w:val="2793D8AE"/>
    <w:rsid w:val="2E0ECE0E"/>
    <w:rsid w:val="2E5495C5"/>
    <w:rsid w:val="3A9A41DE"/>
    <w:rsid w:val="3E6ACE7E"/>
    <w:rsid w:val="45424F73"/>
    <w:rsid w:val="46F19573"/>
    <w:rsid w:val="4EDF4D97"/>
    <w:rsid w:val="61697F32"/>
    <w:rsid w:val="62315C36"/>
    <w:rsid w:val="669F885A"/>
    <w:rsid w:val="66FC2865"/>
    <w:rsid w:val="6B44D6A7"/>
    <w:rsid w:val="703FACA2"/>
    <w:rsid w:val="7156AD61"/>
    <w:rsid w:val="749CD710"/>
    <w:rsid w:val="74CC1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584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D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D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D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D7D"/>
    <w:rPr>
      <w:rFonts w:eastAsiaTheme="majorEastAsia" w:cstheme="majorBidi"/>
      <w:color w:val="272727" w:themeColor="text1" w:themeTint="D8"/>
    </w:rPr>
  </w:style>
  <w:style w:type="paragraph" w:styleId="Title">
    <w:name w:val="Title"/>
    <w:basedOn w:val="Normal"/>
    <w:next w:val="Normal"/>
    <w:link w:val="TitleChar"/>
    <w:uiPriority w:val="10"/>
    <w:qFormat/>
    <w:rsid w:val="00594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D7D"/>
    <w:pPr>
      <w:spacing w:before="160"/>
      <w:jc w:val="center"/>
    </w:pPr>
    <w:rPr>
      <w:i/>
      <w:iCs/>
      <w:color w:val="404040" w:themeColor="text1" w:themeTint="BF"/>
    </w:rPr>
  </w:style>
  <w:style w:type="character" w:customStyle="1" w:styleId="QuoteChar">
    <w:name w:val="Quote Char"/>
    <w:basedOn w:val="DefaultParagraphFont"/>
    <w:link w:val="Quote"/>
    <w:uiPriority w:val="29"/>
    <w:rsid w:val="00594D7D"/>
    <w:rPr>
      <w:i/>
      <w:iCs/>
      <w:color w:val="404040" w:themeColor="text1" w:themeTint="BF"/>
    </w:rPr>
  </w:style>
  <w:style w:type="paragraph" w:styleId="ListParagraph">
    <w:name w:val="List Paragraph"/>
    <w:basedOn w:val="Normal"/>
    <w:uiPriority w:val="34"/>
    <w:qFormat/>
    <w:rsid w:val="00594D7D"/>
    <w:pPr>
      <w:ind w:left="720"/>
      <w:contextualSpacing/>
    </w:pPr>
  </w:style>
  <w:style w:type="character" w:styleId="IntenseEmphasis">
    <w:name w:val="Intense Emphasis"/>
    <w:basedOn w:val="DefaultParagraphFont"/>
    <w:uiPriority w:val="21"/>
    <w:qFormat/>
    <w:rsid w:val="00594D7D"/>
    <w:rPr>
      <w:i/>
      <w:iCs/>
      <w:color w:val="0F4761" w:themeColor="accent1" w:themeShade="BF"/>
    </w:rPr>
  </w:style>
  <w:style w:type="paragraph" w:styleId="IntenseQuote">
    <w:name w:val="Intense Quote"/>
    <w:basedOn w:val="Normal"/>
    <w:next w:val="Normal"/>
    <w:link w:val="IntenseQuoteChar"/>
    <w:uiPriority w:val="30"/>
    <w:qFormat/>
    <w:rsid w:val="00594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D7D"/>
    <w:rPr>
      <w:i/>
      <w:iCs/>
      <w:color w:val="0F4761" w:themeColor="accent1" w:themeShade="BF"/>
    </w:rPr>
  </w:style>
  <w:style w:type="character" w:styleId="IntenseReference">
    <w:name w:val="Intense Reference"/>
    <w:basedOn w:val="DefaultParagraphFont"/>
    <w:uiPriority w:val="32"/>
    <w:qFormat/>
    <w:rsid w:val="00594D7D"/>
    <w:rPr>
      <w:b/>
      <w:bCs/>
      <w:smallCaps/>
      <w:color w:val="0F4761" w:themeColor="accent1" w:themeShade="BF"/>
      <w:spacing w:val="5"/>
    </w:rPr>
  </w:style>
  <w:style w:type="paragraph" w:styleId="NormalWeb">
    <w:name w:val="Normal (Web)"/>
    <w:basedOn w:val="Normal"/>
    <w:uiPriority w:val="99"/>
    <w:semiHidden/>
    <w:unhideWhenUsed/>
    <w:rsid w:val="00314141"/>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F6A96"/>
    <w:rPr>
      <w:sz w:val="16"/>
      <w:szCs w:val="16"/>
    </w:rPr>
  </w:style>
  <w:style w:type="paragraph" w:styleId="CommentText">
    <w:name w:val="annotation text"/>
    <w:basedOn w:val="Normal"/>
    <w:link w:val="CommentTextChar"/>
    <w:uiPriority w:val="99"/>
    <w:unhideWhenUsed/>
    <w:rsid w:val="003F6A96"/>
    <w:pPr>
      <w:spacing w:line="240" w:lineRule="auto"/>
    </w:pPr>
    <w:rPr>
      <w:sz w:val="20"/>
      <w:szCs w:val="20"/>
    </w:rPr>
  </w:style>
  <w:style w:type="character" w:customStyle="1" w:styleId="CommentTextChar">
    <w:name w:val="Comment Text Char"/>
    <w:basedOn w:val="DefaultParagraphFont"/>
    <w:link w:val="CommentText"/>
    <w:uiPriority w:val="99"/>
    <w:rsid w:val="003F6A96"/>
    <w:rPr>
      <w:sz w:val="20"/>
      <w:szCs w:val="20"/>
    </w:rPr>
  </w:style>
  <w:style w:type="paragraph" w:styleId="CommentSubject">
    <w:name w:val="annotation subject"/>
    <w:basedOn w:val="CommentText"/>
    <w:next w:val="CommentText"/>
    <w:link w:val="CommentSubjectChar"/>
    <w:uiPriority w:val="99"/>
    <w:semiHidden/>
    <w:unhideWhenUsed/>
    <w:rsid w:val="003F6A96"/>
    <w:rPr>
      <w:b/>
      <w:bCs/>
    </w:rPr>
  </w:style>
  <w:style w:type="character" w:customStyle="1" w:styleId="CommentSubjectChar">
    <w:name w:val="Comment Subject Char"/>
    <w:basedOn w:val="CommentTextChar"/>
    <w:link w:val="CommentSubject"/>
    <w:uiPriority w:val="99"/>
    <w:semiHidden/>
    <w:rsid w:val="003F6A96"/>
    <w:rPr>
      <w:b/>
      <w:bCs/>
      <w:sz w:val="20"/>
      <w:szCs w:val="20"/>
    </w:rPr>
  </w:style>
  <w:style w:type="paragraph" w:styleId="Header">
    <w:name w:val="header"/>
    <w:basedOn w:val="Normal"/>
    <w:link w:val="HeaderChar"/>
    <w:uiPriority w:val="99"/>
    <w:unhideWhenUsed/>
    <w:rsid w:val="004B4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AC0"/>
  </w:style>
  <w:style w:type="paragraph" w:styleId="Footer">
    <w:name w:val="footer"/>
    <w:basedOn w:val="Normal"/>
    <w:link w:val="FooterChar"/>
    <w:uiPriority w:val="99"/>
    <w:unhideWhenUsed/>
    <w:rsid w:val="004B4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3052</Characters>
  <Application>Microsoft Office Word</Application>
  <DocSecurity>0</DocSecurity>
  <Lines>98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2026-08-12T04:05:00Z</dcterms:created>
  <dcterms:modified xsi:type="dcterms:W3CDTF">2026-08-12T04:06:00Z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71f1adea,54fd00c8,1f17432a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77c435e9,28a6a323,579ec175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2026-08-12T04:06:21Z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569319db-1f8d-4592-805f-0a4b67b549ab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