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3976" w14:textId="12953619" w:rsidR="006816B7" w:rsidRDefault="00D708E1" w:rsidP="006816B7">
      <w:pPr>
        <w:pStyle w:val="Heading1"/>
        <w:spacing w:after="0"/>
        <w:jc w:val="center"/>
      </w:pPr>
      <w:r>
        <w:t>M</w:t>
      </w:r>
      <w:r w:rsidR="004933B7">
        <w:t xml:space="preserve">yasthenia </w:t>
      </w:r>
      <w:r w:rsidR="006816B7">
        <w:t>G</w:t>
      </w:r>
      <w:r w:rsidR="004933B7">
        <w:t xml:space="preserve">ravis </w:t>
      </w:r>
      <w:r w:rsidR="006816B7">
        <w:t>S</w:t>
      </w:r>
      <w:r w:rsidR="004933B7">
        <w:t xml:space="preserve">takeholder </w:t>
      </w:r>
      <w:r w:rsidR="006816B7">
        <w:t>M</w:t>
      </w:r>
      <w:r w:rsidR="004933B7">
        <w:t>eeting</w:t>
      </w:r>
      <w:r>
        <w:t xml:space="preserve"> </w:t>
      </w:r>
    </w:p>
    <w:p w14:paraId="43B354AB" w14:textId="18F7F5BC" w:rsidR="004933B7" w:rsidRDefault="006816B7" w:rsidP="004933B7">
      <w:pPr>
        <w:pStyle w:val="Heading1"/>
        <w:jc w:val="center"/>
      </w:pPr>
      <w:r>
        <w:t>O</w:t>
      </w:r>
      <w:r w:rsidR="00D708E1">
        <w:t xml:space="preserve">utcome </w:t>
      </w:r>
      <w:r>
        <w:t>S</w:t>
      </w:r>
      <w:r w:rsidR="00D708E1">
        <w:t>tatement</w:t>
      </w:r>
    </w:p>
    <w:p w14:paraId="1CF94342" w14:textId="65CF6211" w:rsidR="00151A70" w:rsidRPr="00151A70" w:rsidRDefault="004933B7" w:rsidP="00151A70">
      <w:pPr>
        <w:pStyle w:val="Heading1"/>
        <w:jc w:val="center"/>
      </w:pPr>
      <w:r>
        <w:t>Friday 3 May 2024</w:t>
      </w:r>
    </w:p>
    <w:p w14:paraId="552EEBCC" w14:textId="182545CA" w:rsidR="004933B7" w:rsidRDefault="004933B7" w:rsidP="004933B7">
      <w:pPr>
        <w:pStyle w:val="Heading2"/>
      </w:pPr>
      <w:r>
        <w:t>Attendees</w:t>
      </w:r>
    </w:p>
    <w:p w14:paraId="75755B94" w14:textId="524B8757" w:rsidR="007343D3" w:rsidRPr="007343D3" w:rsidRDefault="007343D3" w:rsidP="004933B7">
      <w:r>
        <w:t>Members of the Pharmaceutical Benefits Advisory Committee (PBAC) and the Economic Sub-Committee, clinicians with expertise in the management of generalised myasthenia gravis (gMG), representatives from health consumer organisations, Alexion Pharmaceuticals Australasia Pty Ltd (the sponsor of ravulizumab</w:t>
      </w:r>
      <w:r w:rsidR="007B42A0">
        <w:t>)</w:t>
      </w:r>
      <w:r>
        <w:t>, UCB Australia Pty Ltd (the sponsor of zilucoplan) and the Department of Health and Aged Care were in attendance.</w:t>
      </w:r>
    </w:p>
    <w:p w14:paraId="563D5F0A" w14:textId="312A2482" w:rsidR="00B9715C" w:rsidRDefault="00B9715C" w:rsidP="00B9715C">
      <w:pPr>
        <w:jc w:val="both"/>
        <w:rPr>
          <w:rFonts w:cstheme="minorHAnsi"/>
        </w:rPr>
      </w:pPr>
      <w:r w:rsidRPr="0060156D">
        <w:rPr>
          <w:rFonts w:cstheme="minorHAnsi"/>
        </w:rPr>
        <w:t>Non-departmental attendees undertook confidentiality declarations and provided conflict of interest statements.</w:t>
      </w:r>
    </w:p>
    <w:p w14:paraId="2E3C5437" w14:textId="620A281C" w:rsidR="004933B7" w:rsidRDefault="00D5767F" w:rsidP="004933B7">
      <w:pPr>
        <w:pStyle w:val="Heading2"/>
      </w:pPr>
      <w:r>
        <w:t xml:space="preserve">Purpose of </w:t>
      </w:r>
      <w:r w:rsidR="004933B7">
        <w:t>meeting</w:t>
      </w:r>
    </w:p>
    <w:p w14:paraId="4DB278C8" w14:textId="5D452E53" w:rsidR="00FC17B3" w:rsidRDefault="00FC17B3" w:rsidP="00F95ECF">
      <w:pPr>
        <w:jc w:val="both"/>
      </w:pPr>
      <w:r>
        <w:t xml:space="preserve">Following the </w:t>
      </w:r>
      <w:r w:rsidR="007B42A0">
        <w:t>February</w:t>
      </w:r>
      <w:r>
        <w:t xml:space="preserve"> 202</w:t>
      </w:r>
      <w:r w:rsidR="00F95ECF">
        <w:t>4</w:t>
      </w:r>
      <w:r w:rsidR="004643D5">
        <w:t xml:space="preserve"> </w:t>
      </w:r>
      <w:r w:rsidR="00436E32">
        <w:t>ESC</w:t>
      </w:r>
      <w:r w:rsidR="004643D5">
        <w:t xml:space="preserve"> </w:t>
      </w:r>
      <w:r w:rsidR="007B42A0">
        <w:t xml:space="preserve">consideration of </w:t>
      </w:r>
      <w:r w:rsidR="004643D5">
        <w:t xml:space="preserve">ravulizumab </w:t>
      </w:r>
      <w:r w:rsidR="00D708E1">
        <w:t xml:space="preserve">for the treatment of </w:t>
      </w:r>
      <w:r w:rsidR="005626CF">
        <w:t xml:space="preserve">generalised </w:t>
      </w:r>
      <w:r w:rsidR="00D708E1">
        <w:t>myasthenia gravis (</w:t>
      </w:r>
      <w:r w:rsidR="005626CF">
        <w:t>g</w:t>
      </w:r>
      <w:r w:rsidR="00D708E1">
        <w:t>MG)</w:t>
      </w:r>
      <w:r w:rsidR="0087496B">
        <w:t xml:space="preserve">, </w:t>
      </w:r>
      <w:r w:rsidR="004643D5">
        <w:t>the Chair of the P</w:t>
      </w:r>
      <w:r w:rsidR="0087496B">
        <w:t xml:space="preserve">BAC </w:t>
      </w:r>
      <w:r w:rsidR="00DE4639">
        <w:t xml:space="preserve">considered that it would be appropriate for a stakeholder meeting to be convened to better understand </w:t>
      </w:r>
      <w:r w:rsidR="00D708E1">
        <w:t xml:space="preserve">the </w:t>
      </w:r>
      <w:r w:rsidR="00C46CF0">
        <w:t xml:space="preserve">appropriate place in therapy for </w:t>
      </w:r>
      <w:r w:rsidR="00F95ECF">
        <w:t xml:space="preserve">new </w:t>
      </w:r>
      <w:r w:rsidR="001B79A2">
        <w:t>agents</w:t>
      </w:r>
      <w:r w:rsidR="00597491">
        <w:t xml:space="preserve"> </w:t>
      </w:r>
      <w:r w:rsidR="00F95ECF">
        <w:t xml:space="preserve">for gMG </w:t>
      </w:r>
      <w:r w:rsidR="00597491">
        <w:t>and</w:t>
      </w:r>
      <w:r w:rsidR="00B54F29">
        <w:t xml:space="preserve"> how these agents will </w:t>
      </w:r>
      <w:r w:rsidR="00597491">
        <w:t xml:space="preserve">likely </w:t>
      </w:r>
      <w:r w:rsidR="00B54F29">
        <w:t xml:space="preserve">be used </w:t>
      </w:r>
      <w:r w:rsidR="00597491">
        <w:t>in clinical practice.</w:t>
      </w:r>
      <w:r w:rsidR="005626CF">
        <w:t xml:space="preserve"> </w:t>
      </w:r>
    </w:p>
    <w:p w14:paraId="1E9D6FEC" w14:textId="648B442E" w:rsidR="000F245E" w:rsidRPr="00FC17B3" w:rsidRDefault="000F245E" w:rsidP="00F95ECF">
      <w:pPr>
        <w:jc w:val="both"/>
      </w:pPr>
      <w:r>
        <w:t>The following points were identified as areas of discussion:</w:t>
      </w:r>
    </w:p>
    <w:p w14:paraId="0592DF74" w14:textId="3BCC2CB4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jc w:val="both"/>
      </w:pPr>
      <w:r w:rsidRPr="004933B7">
        <w:t>From a patient perspective, what are the key limitations of existing therapies (corticosteroids, immunosuppressants, IVIg/PLEX, rituximab)?</w:t>
      </w:r>
    </w:p>
    <w:p w14:paraId="6E930FB3" w14:textId="77777777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ind w:left="357" w:hanging="357"/>
        <w:jc w:val="both"/>
      </w:pPr>
      <w:r w:rsidRPr="004933B7">
        <w:t>What do patients want from the newer myasthenia gravis treatments (ravulizumab, zilucoplan, efgartigimod, rozanolixizumab)?</w:t>
      </w:r>
    </w:p>
    <w:p w14:paraId="4347DD87" w14:textId="28099033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ind w:left="357" w:hanging="357"/>
        <w:jc w:val="both"/>
      </w:pPr>
      <w:r w:rsidRPr="004933B7">
        <w:t>What is likely to be the primary role (</w:t>
      </w:r>
      <w:r w:rsidR="00853D66">
        <w:t>i.e. place in therapy</w:t>
      </w:r>
      <w:r w:rsidRPr="004933B7">
        <w:t>) of the newer agents in Australian clinical practice?</w:t>
      </w:r>
    </w:p>
    <w:p w14:paraId="17D26B7A" w14:textId="77777777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ind w:left="357" w:hanging="357"/>
        <w:jc w:val="both"/>
      </w:pPr>
      <w:r w:rsidRPr="004933B7">
        <w:t>Should the newer agents be used as chronic or time-limited therapies?</w:t>
      </w:r>
    </w:p>
    <w:p w14:paraId="71A64E03" w14:textId="3D63FE7A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ind w:left="357" w:hanging="357"/>
        <w:jc w:val="both"/>
      </w:pPr>
      <w:r w:rsidRPr="004933B7">
        <w:t>Should patients who discontinue therapy be allowed to re-initiate therapy with the same or different agent?</w:t>
      </w:r>
    </w:p>
    <w:p w14:paraId="140BBE6E" w14:textId="1A25DEA6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ind w:left="357" w:hanging="357"/>
        <w:jc w:val="both"/>
      </w:pPr>
      <w:r w:rsidRPr="004933B7">
        <w:t xml:space="preserve">What are appropriate initiation criteria for </w:t>
      </w:r>
      <w:r w:rsidR="00CD3C48">
        <w:t xml:space="preserve">the </w:t>
      </w:r>
      <w:r w:rsidRPr="004933B7">
        <w:t xml:space="preserve">newer </w:t>
      </w:r>
      <w:r w:rsidR="00CD3C48">
        <w:t>agents</w:t>
      </w:r>
      <w:r w:rsidRPr="004933B7">
        <w:t>, particularly</w:t>
      </w:r>
      <w:r w:rsidR="00560EBD">
        <w:t xml:space="preserve"> regarding</w:t>
      </w:r>
      <w:r w:rsidRPr="004933B7">
        <w:t xml:space="preserve"> functional impairment and prior therapy criteria?</w:t>
      </w:r>
    </w:p>
    <w:p w14:paraId="219546D2" w14:textId="0C146EDD" w:rsidR="004933B7" w:rsidRPr="004933B7" w:rsidRDefault="004933B7" w:rsidP="00F95ECF">
      <w:pPr>
        <w:pStyle w:val="ListParagraph"/>
        <w:numPr>
          <w:ilvl w:val="0"/>
          <w:numId w:val="1"/>
        </w:numPr>
        <w:spacing w:after="160"/>
        <w:ind w:left="357" w:hanging="357"/>
        <w:jc w:val="both"/>
      </w:pPr>
      <w:r w:rsidRPr="004933B7">
        <w:t>What are appropriate continuation criteria for</w:t>
      </w:r>
      <w:r w:rsidR="00CD3C48">
        <w:t xml:space="preserve"> the</w:t>
      </w:r>
      <w:r w:rsidRPr="004933B7">
        <w:t xml:space="preserve"> newer </w:t>
      </w:r>
      <w:r w:rsidR="00CD3C48">
        <w:t>agents</w:t>
      </w:r>
      <w:r w:rsidRPr="004933B7">
        <w:t>, particularly</w:t>
      </w:r>
      <w:r w:rsidR="00560EBD">
        <w:t xml:space="preserve"> regarding </w:t>
      </w:r>
      <w:r w:rsidRPr="004933B7">
        <w:t>treatment response?</w:t>
      </w:r>
    </w:p>
    <w:p w14:paraId="09C26635" w14:textId="53635D51" w:rsidR="00246576" w:rsidRDefault="00246576" w:rsidP="00F95ECF">
      <w:pPr>
        <w:pStyle w:val="Heading2"/>
      </w:pPr>
      <w:r>
        <w:t>Meeting discussion</w:t>
      </w:r>
    </w:p>
    <w:p w14:paraId="6479616E" w14:textId="7730F7CB" w:rsidR="00246576" w:rsidRPr="00EE5536" w:rsidRDefault="00EE5536" w:rsidP="00F95ECF">
      <w:pPr>
        <w:jc w:val="both"/>
        <w:rPr>
          <w:u w:val="single"/>
        </w:rPr>
      </w:pPr>
      <w:r w:rsidRPr="00EE5536">
        <w:rPr>
          <w:u w:val="single"/>
        </w:rPr>
        <w:t>Patient perspective</w:t>
      </w:r>
    </w:p>
    <w:p w14:paraId="6D25325F" w14:textId="3150322E" w:rsidR="00EE5536" w:rsidRDefault="000C2E73" w:rsidP="00F95ECF">
      <w:pPr>
        <w:pStyle w:val="ListParagraph"/>
        <w:numPr>
          <w:ilvl w:val="0"/>
          <w:numId w:val="3"/>
        </w:numPr>
        <w:jc w:val="both"/>
      </w:pPr>
      <w:r>
        <w:t>The consumer representatives discussed</w:t>
      </w:r>
      <w:r w:rsidR="005626CF">
        <w:t xml:space="preserve"> generalised </w:t>
      </w:r>
      <w:r>
        <w:t>myasthenia gravis (</w:t>
      </w:r>
      <w:r w:rsidR="005626CF">
        <w:t>g</w:t>
      </w:r>
      <w:r>
        <w:t>MG) from the p</w:t>
      </w:r>
      <w:r w:rsidR="00412551">
        <w:t>atient perspective</w:t>
      </w:r>
      <w:r w:rsidR="00432DE0">
        <w:t>, including the lived experience, unmet need</w:t>
      </w:r>
      <w:r w:rsidR="00C85959">
        <w:t xml:space="preserve">s, current and new treatments. </w:t>
      </w:r>
    </w:p>
    <w:p w14:paraId="32567B1A" w14:textId="2EFDFF23" w:rsidR="001D3186" w:rsidRDefault="001D3186" w:rsidP="00D9505A">
      <w:pPr>
        <w:pStyle w:val="ListParagraph"/>
        <w:numPr>
          <w:ilvl w:val="0"/>
          <w:numId w:val="3"/>
        </w:numPr>
        <w:jc w:val="both"/>
      </w:pPr>
      <w:r>
        <w:t xml:space="preserve">The consumer representatives </w:t>
      </w:r>
      <w:r w:rsidR="008018CD">
        <w:t>outlined</w:t>
      </w:r>
      <w:r w:rsidR="00910391">
        <w:t xml:space="preserve"> that </w:t>
      </w:r>
      <w:r w:rsidR="005626CF">
        <w:t>g</w:t>
      </w:r>
      <w:r w:rsidR="00DD3A10">
        <w:t xml:space="preserve">MG </w:t>
      </w:r>
      <w:r w:rsidR="00431123">
        <w:t xml:space="preserve">places a substantial </w:t>
      </w:r>
      <w:r w:rsidR="00DD3A10">
        <w:t>burden</w:t>
      </w:r>
      <w:r w:rsidR="00D9505A">
        <w:t xml:space="preserve"> on people living with MG particularly when symptoms are not well-controlled including during disease fluctuations (</w:t>
      </w:r>
      <w:proofErr w:type="gramStart"/>
      <w:r w:rsidR="00D9505A">
        <w:t>e.g.</w:t>
      </w:r>
      <w:proofErr w:type="gramEnd"/>
      <w:r w:rsidR="00D9505A">
        <w:t xml:space="preserve"> </w:t>
      </w:r>
      <w:r w:rsidR="00D9505A">
        <w:lastRenderedPageBreak/>
        <w:t>in a recent survey by Myasthenia Alliance Australia, 47% of the respondents did not fe</w:t>
      </w:r>
      <w:r w:rsidR="001314C3">
        <w:t>e</w:t>
      </w:r>
      <w:r w:rsidR="00D9505A">
        <w:t xml:space="preserve">l their MG symptoms were well controlled by current treatments). </w:t>
      </w:r>
      <w:r w:rsidR="007343D3">
        <w:t>C</w:t>
      </w:r>
      <w:r w:rsidR="00D9505A">
        <w:t xml:space="preserve">urrent treatment regimens can be intrusive, </w:t>
      </w:r>
      <w:r w:rsidR="00946B22">
        <w:t xml:space="preserve">time-consuming, </w:t>
      </w:r>
      <w:r w:rsidR="00D9505A">
        <w:t>and can</w:t>
      </w:r>
      <w:r w:rsidR="00946B22">
        <w:t xml:space="preserve"> have a range of </w:t>
      </w:r>
      <w:r w:rsidR="006C444C">
        <w:t>undesirable adverse events</w:t>
      </w:r>
      <w:r w:rsidR="00BE0168">
        <w:t>.</w:t>
      </w:r>
      <w:r w:rsidR="007343D3">
        <w:t xml:space="preserve"> Further, quality of life and participation in the workforce and society can be significantly impacted and this impact can extend to a </w:t>
      </w:r>
      <w:r w:rsidR="008018CD">
        <w:t>patient’s</w:t>
      </w:r>
      <w:r w:rsidR="007343D3">
        <w:t xml:space="preserve"> family.</w:t>
      </w:r>
    </w:p>
    <w:p w14:paraId="52C1C069" w14:textId="6BBBE9F1" w:rsidR="0027137A" w:rsidRDefault="00881A4E" w:rsidP="00F95ECF">
      <w:pPr>
        <w:pStyle w:val="ListParagraph"/>
        <w:numPr>
          <w:ilvl w:val="0"/>
          <w:numId w:val="3"/>
        </w:numPr>
        <w:jc w:val="both"/>
      </w:pPr>
      <w:r>
        <w:t>Patients would like access to</w:t>
      </w:r>
      <w:r w:rsidR="00720A10">
        <w:t xml:space="preserve"> safe and manageable treatments that</w:t>
      </w:r>
      <w:r w:rsidR="008133A0">
        <w:t xml:space="preserve"> </w:t>
      </w:r>
      <w:r w:rsidR="00B73467">
        <w:t>provide more comprehensive relief of symptoms, induce remission and provide options for those with refractory disease</w:t>
      </w:r>
      <w:r w:rsidR="00822526">
        <w:t>.</w:t>
      </w:r>
    </w:p>
    <w:p w14:paraId="61C30487" w14:textId="3A837714" w:rsidR="00BE0168" w:rsidRDefault="00D12DFB" w:rsidP="00F95ECF">
      <w:pPr>
        <w:pStyle w:val="ListParagraph"/>
        <w:numPr>
          <w:ilvl w:val="0"/>
          <w:numId w:val="3"/>
        </w:numPr>
        <w:jc w:val="both"/>
      </w:pPr>
      <w:r>
        <w:t xml:space="preserve">The consumer representatives highlighted that </w:t>
      </w:r>
      <w:r w:rsidR="0009041E">
        <w:t xml:space="preserve">ideally clinicians would be able to offer </w:t>
      </w:r>
      <w:r w:rsidR="007D12CE">
        <w:t xml:space="preserve">access </w:t>
      </w:r>
      <w:r w:rsidR="0009041E">
        <w:t xml:space="preserve">to </w:t>
      </w:r>
      <w:r w:rsidR="007D12CE">
        <w:t xml:space="preserve">newer medications </w:t>
      </w:r>
      <w:r w:rsidR="0009041E">
        <w:t xml:space="preserve">based on individual patient needs and benefits, </w:t>
      </w:r>
      <w:r w:rsidR="007D12CE">
        <w:t xml:space="preserve">for all </w:t>
      </w:r>
      <w:r w:rsidR="00426664">
        <w:t>disease severities (i.e. from mild to severe disease)</w:t>
      </w:r>
      <w:r w:rsidR="005626CF">
        <w:t xml:space="preserve"> and for all disease settings (i.e. </w:t>
      </w:r>
      <w:r w:rsidR="007343D3">
        <w:t xml:space="preserve">at diagnosis, </w:t>
      </w:r>
      <w:r w:rsidR="005626CF">
        <w:t>for exacerbations</w:t>
      </w:r>
      <w:r w:rsidR="007343D3">
        <w:t xml:space="preserve"> or myasthenia crisis</w:t>
      </w:r>
      <w:r w:rsidR="005626CF">
        <w:t>, remission induction and in those patients who are refractory to current treatments)</w:t>
      </w:r>
      <w:r w:rsidR="007E4F05">
        <w:t xml:space="preserve">. Further, </w:t>
      </w:r>
      <w:r w:rsidR="00426664">
        <w:t>the assessment processes should not be complex</w:t>
      </w:r>
      <w:r w:rsidR="0057144F">
        <w:t xml:space="preserve"> or </w:t>
      </w:r>
      <w:r w:rsidR="00426664">
        <w:t>burden</w:t>
      </w:r>
      <w:r w:rsidR="0057144F">
        <w:t>some</w:t>
      </w:r>
      <w:r w:rsidR="00426664">
        <w:t xml:space="preserve"> to either the patient or the clinician</w:t>
      </w:r>
      <w:r w:rsidR="001C315F">
        <w:t xml:space="preserve"> and should </w:t>
      </w:r>
      <w:r w:rsidR="0057144F">
        <w:t>provide</w:t>
      </w:r>
      <w:r w:rsidR="00DB4082">
        <w:t xml:space="preserve"> </w:t>
      </w:r>
      <w:r w:rsidR="001C315F">
        <w:t xml:space="preserve">meaningful and wholistic </w:t>
      </w:r>
      <w:r w:rsidR="002C72BB">
        <w:t xml:space="preserve">evaluation </w:t>
      </w:r>
      <w:r w:rsidR="00EE3A62">
        <w:t>to allow equitable access</w:t>
      </w:r>
      <w:r w:rsidR="00F968EB">
        <w:t>.</w:t>
      </w:r>
    </w:p>
    <w:p w14:paraId="4075F92F" w14:textId="16A67C73" w:rsidR="00EE3A62" w:rsidRDefault="00D1127E" w:rsidP="00F95ECF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7343D3">
        <w:t>collaborative approach</w:t>
      </w:r>
      <w:r>
        <w:t xml:space="preserve"> </w:t>
      </w:r>
      <w:r w:rsidR="00E15282">
        <w:t xml:space="preserve">between </w:t>
      </w:r>
      <w:r w:rsidR="005626CF">
        <w:t>g</w:t>
      </w:r>
      <w:r w:rsidR="00E15282">
        <w:t>MG patients</w:t>
      </w:r>
      <w:r w:rsidR="006635B2">
        <w:t>,</w:t>
      </w:r>
      <w:r w:rsidR="00E15282">
        <w:t xml:space="preserve"> clinicians</w:t>
      </w:r>
      <w:r w:rsidR="006635B2">
        <w:t xml:space="preserve"> and the patient support </w:t>
      </w:r>
      <w:r w:rsidR="009765A1">
        <w:t>groups</w:t>
      </w:r>
      <w:r w:rsidR="00E15282">
        <w:t xml:space="preserve"> </w:t>
      </w:r>
      <w:proofErr w:type="gramStart"/>
      <w:r w:rsidR="00E15282">
        <w:t>was</w:t>
      </w:r>
      <w:proofErr w:type="gramEnd"/>
      <w:r w:rsidR="00E15282">
        <w:t xml:space="preserve"> highlighted</w:t>
      </w:r>
      <w:r w:rsidR="006635B2">
        <w:t>.</w:t>
      </w:r>
    </w:p>
    <w:p w14:paraId="449B0587" w14:textId="77777777" w:rsidR="00EE3A62" w:rsidRDefault="00EE3A62" w:rsidP="00F95ECF">
      <w:pPr>
        <w:jc w:val="both"/>
      </w:pPr>
    </w:p>
    <w:p w14:paraId="3D7BC224" w14:textId="00F2409B" w:rsidR="00EE3A62" w:rsidRDefault="002514E1" w:rsidP="00F95ECF">
      <w:pPr>
        <w:jc w:val="both"/>
        <w:rPr>
          <w:u w:val="single"/>
        </w:rPr>
      </w:pPr>
      <w:r w:rsidRPr="002514E1">
        <w:rPr>
          <w:u w:val="single"/>
        </w:rPr>
        <w:t>The current situation</w:t>
      </w:r>
    </w:p>
    <w:p w14:paraId="18E728D6" w14:textId="7D568125" w:rsidR="005626CF" w:rsidRDefault="005626CF" w:rsidP="00F95ECF">
      <w:pPr>
        <w:pStyle w:val="ListParagraph"/>
        <w:numPr>
          <w:ilvl w:val="0"/>
          <w:numId w:val="4"/>
        </w:numPr>
        <w:jc w:val="both"/>
      </w:pPr>
      <w:r>
        <w:t>It was noted that this discussion related only to the acetylcholine receptor-antibody (</w:t>
      </w:r>
      <w:proofErr w:type="spellStart"/>
      <w:r>
        <w:t>AChR</w:t>
      </w:r>
      <w:proofErr w:type="spellEnd"/>
      <w:r>
        <w:t>+) form of the disease.</w:t>
      </w:r>
    </w:p>
    <w:p w14:paraId="23059344" w14:textId="6131AE71" w:rsidR="002514E1" w:rsidRDefault="006D6E20" w:rsidP="00F95ECF">
      <w:pPr>
        <w:pStyle w:val="ListParagraph"/>
        <w:numPr>
          <w:ilvl w:val="0"/>
          <w:numId w:val="4"/>
        </w:numPr>
        <w:jc w:val="both"/>
      </w:pPr>
      <w:r>
        <w:t xml:space="preserve">The clinicians described </w:t>
      </w:r>
      <w:r w:rsidR="00B85F08">
        <w:t xml:space="preserve">that </w:t>
      </w:r>
      <w:r w:rsidR="007343D3">
        <w:t xml:space="preserve">before diagnosis </w:t>
      </w:r>
      <w:r w:rsidR="00B85F08">
        <w:t xml:space="preserve">the typical </w:t>
      </w:r>
      <w:r w:rsidR="005626CF">
        <w:t>g</w:t>
      </w:r>
      <w:r w:rsidR="00B85F08">
        <w:t xml:space="preserve">MG patient would experience </w:t>
      </w:r>
      <w:r w:rsidR="00871851">
        <w:t>a</w:t>
      </w:r>
      <w:r w:rsidR="00F13906">
        <w:t xml:space="preserve"> period of symptom worsening</w:t>
      </w:r>
      <w:r w:rsidR="00871851">
        <w:t xml:space="preserve">. It was noted that the majority of disability is experienced in the first few </w:t>
      </w:r>
      <w:proofErr w:type="gramStart"/>
      <w:r w:rsidR="00871851">
        <w:t>years</w:t>
      </w:r>
      <w:proofErr w:type="gramEnd"/>
      <w:r w:rsidR="00871851">
        <w:t xml:space="preserve"> post-diagnosis while attempts are made to induce remission.</w:t>
      </w:r>
      <w:r w:rsidR="007343D3">
        <w:t xml:space="preserve"> Patients experience large impacts on their quality of life, as noted above, during this period.</w:t>
      </w:r>
    </w:p>
    <w:p w14:paraId="45BB5971" w14:textId="162E7EDD" w:rsidR="007343D3" w:rsidRDefault="007343D3" w:rsidP="00F95ECF">
      <w:pPr>
        <w:pStyle w:val="ListParagraph"/>
        <w:numPr>
          <w:ilvl w:val="0"/>
          <w:numId w:val="4"/>
        </w:numPr>
        <w:jc w:val="both"/>
      </w:pPr>
      <w:r>
        <w:t xml:space="preserve">It was noted that gMG is unlike other conditions such as multiple sclerosis or rheumatoid arthritis where disability accrues over time, </w:t>
      </w:r>
      <w:r w:rsidR="00B535F7">
        <w:t xml:space="preserve">as in gMG </w:t>
      </w:r>
      <w:r>
        <w:t>the neuromuscular junction can repair.</w:t>
      </w:r>
    </w:p>
    <w:p w14:paraId="10556B6F" w14:textId="3A82ED53" w:rsidR="00871851" w:rsidRDefault="00871851" w:rsidP="00F95ECF">
      <w:pPr>
        <w:pStyle w:val="ListParagraph"/>
        <w:numPr>
          <w:ilvl w:val="0"/>
          <w:numId w:val="4"/>
        </w:numPr>
        <w:jc w:val="both"/>
      </w:pPr>
      <w:r>
        <w:t>Although there are ongoing complexities for patients, it was noted that at present approximately 70% of patients experience on-treatment remission, and that 30% are treatment refractory.</w:t>
      </w:r>
    </w:p>
    <w:p w14:paraId="3AA4C889" w14:textId="390BD780" w:rsidR="00871851" w:rsidRDefault="00152B0D" w:rsidP="00F95ECF">
      <w:pPr>
        <w:pStyle w:val="ListParagraph"/>
        <w:numPr>
          <w:ilvl w:val="0"/>
          <w:numId w:val="4"/>
        </w:numPr>
        <w:jc w:val="both"/>
      </w:pPr>
      <w:r>
        <w:t>I</w:t>
      </w:r>
      <w:r w:rsidR="00871851">
        <w:t>t was noted that the majority of patients will respond/achieve remission with the classic treatment options (</w:t>
      </w:r>
      <w:proofErr w:type="gramStart"/>
      <w:r w:rsidR="00871851">
        <w:t>i.e.</w:t>
      </w:r>
      <w:proofErr w:type="gramEnd"/>
      <w:r w:rsidR="00871851">
        <w:t xml:space="preserve"> pyridostigmine and/or corticosteroids and/or non-steroid immunosuppressants).</w:t>
      </w:r>
      <w:r w:rsidR="00B439A3">
        <w:t xml:space="preserve"> Although, some patients require high doses of steroids to achieve remission.</w:t>
      </w:r>
    </w:p>
    <w:p w14:paraId="352689E9" w14:textId="16571BA0" w:rsidR="00871851" w:rsidRDefault="00152B0D" w:rsidP="00F95ECF">
      <w:pPr>
        <w:pStyle w:val="ListParagraph"/>
        <w:numPr>
          <w:ilvl w:val="0"/>
          <w:numId w:val="4"/>
        </w:numPr>
        <w:jc w:val="both"/>
      </w:pPr>
      <w:r>
        <w:t xml:space="preserve"> Some</w:t>
      </w:r>
      <w:r w:rsidR="00871851">
        <w:t xml:space="preserve"> patients require combination therapy of the classic treatment options </w:t>
      </w:r>
      <w:r w:rsidR="00A27D82">
        <w:t xml:space="preserve">from early on </w:t>
      </w:r>
      <w:r w:rsidR="005626CF">
        <w:t>and, often,</w:t>
      </w:r>
      <w:r w:rsidR="00871851">
        <w:t xml:space="preserve"> bridging therapies to provide relief from symptoms whilst remission induction occurs. It was stated that it can take up to two years for the non-steroid immunosuppressants </w:t>
      </w:r>
      <w:r w:rsidR="00B535F7">
        <w:t xml:space="preserve">to </w:t>
      </w:r>
      <w:r w:rsidR="00871851">
        <w:t>induce remission.</w:t>
      </w:r>
    </w:p>
    <w:p w14:paraId="340496BB" w14:textId="7A0ABD14" w:rsidR="00871851" w:rsidRDefault="00871851" w:rsidP="00F95ECF">
      <w:pPr>
        <w:pStyle w:val="ListParagraph"/>
        <w:numPr>
          <w:ilvl w:val="0"/>
          <w:numId w:val="4"/>
        </w:numPr>
        <w:jc w:val="both"/>
      </w:pPr>
      <w:r>
        <w:t xml:space="preserve">It was noted that at present, the only bridging therapies available </w:t>
      </w:r>
      <w:r w:rsidR="005626CF">
        <w:t>are intravenous immunoglobulin (</w:t>
      </w:r>
      <w:r>
        <w:t>I</w:t>
      </w:r>
      <w:r w:rsidR="005626CF">
        <w:t>V</w:t>
      </w:r>
      <w:r>
        <w:t>I</w:t>
      </w:r>
      <w:r w:rsidR="005626CF">
        <w:t>g)</w:t>
      </w:r>
      <w:r>
        <w:t xml:space="preserve"> and plasma exchange (PLEX). The evidence for rituximab in this setting </w:t>
      </w:r>
      <w:r w:rsidR="00A27D26">
        <w:t>i</w:t>
      </w:r>
      <w:r>
        <w:t xml:space="preserve">s poor. </w:t>
      </w:r>
      <w:r w:rsidR="005626CF">
        <w:t>Clinicians advised that the</w:t>
      </w:r>
      <w:r>
        <w:t xml:space="preserve"> availability of PLEX was not equitable as it is available</w:t>
      </w:r>
      <w:r w:rsidR="00152B0D">
        <w:t xml:space="preserve"> mostly</w:t>
      </w:r>
      <w:r w:rsidR="00291712">
        <w:t xml:space="preserve"> in</w:t>
      </w:r>
      <w:r w:rsidR="00152B0D">
        <w:t xml:space="preserve"> metropolitan hospitals</w:t>
      </w:r>
      <w:r>
        <w:t xml:space="preserve"> across Australia. </w:t>
      </w:r>
      <w:r w:rsidR="005626CF">
        <w:t xml:space="preserve">In addition, PLEX treatment is very intensive. </w:t>
      </w:r>
      <w:r>
        <w:t>For I</w:t>
      </w:r>
      <w:r w:rsidR="005626CF">
        <w:t>VIg</w:t>
      </w:r>
      <w:r>
        <w:t xml:space="preserve">, there is only limited long-term evidence </w:t>
      </w:r>
      <w:r w:rsidR="005626CF">
        <w:t>of</w:t>
      </w:r>
      <w:r>
        <w:t xml:space="preserve"> its benefit, the dosing schedule is demanding</w:t>
      </w:r>
      <w:r w:rsidR="005626CF">
        <w:t>,</w:t>
      </w:r>
      <w:r>
        <w:t xml:space="preserve"> </w:t>
      </w:r>
      <w:r w:rsidR="005626CF">
        <w:t xml:space="preserve">it is expensive, </w:t>
      </w:r>
      <w:r>
        <w:t>and it is associated with safety issues</w:t>
      </w:r>
      <w:r w:rsidR="005626CF">
        <w:t xml:space="preserve"> and side effects</w:t>
      </w:r>
      <w:r>
        <w:t>.</w:t>
      </w:r>
    </w:p>
    <w:p w14:paraId="16187E22" w14:textId="5BB220C8" w:rsidR="00871851" w:rsidRDefault="00871851" w:rsidP="00F95ECF">
      <w:pPr>
        <w:pStyle w:val="ListParagraph"/>
        <w:numPr>
          <w:ilvl w:val="0"/>
          <w:numId w:val="4"/>
        </w:numPr>
        <w:jc w:val="both"/>
      </w:pPr>
      <w:r>
        <w:t xml:space="preserve">The </w:t>
      </w:r>
      <w:r w:rsidR="005626CF">
        <w:t xml:space="preserve">clinicians stated that the </w:t>
      </w:r>
      <w:r>
        <w:t>adverse events associated with the long-term use of high dose corticosteroids are well known.</w:t>
      </w:r>
      <w:r w:rsidR="007343D3">
        <w:t xml:space="preserve"> In addition, some patients cannot tolerate or are contraindicated to corticosteroids.</w:t>
      </w:r>
    </w:p>
    <w:p w14:paraId="1AEBE77E" w14:textId="77777777" w:rsidR="00871851" w:rsidRDefault="00871851" w:rsidP="00F95ECF">
      <w:pPr>
        <w:jc w:val="both"/>
      </w:pPr>
    </w:p>
    <w:p w14:paraId="13BBBEF9" w14:textId="346F5DB2" w:rsidR="005626CF" w:rsidRDefault="005626CF" w:rsidP="006816B7">
      <w:pPr>
        <w:keepNext/>
        <w:keepLines/>
        <w:jc w:val="both"/>
        <w:rPr>
          <w:u w:val="single"/>
        </w:rPr>
      </w:pPr>
      <w:r w:rsidRPr="005626CF">
        <w:rPr>
          <w:u w:val="single"/>
        </w:rPr>
        <w:lastRenderedPageBreak/>
        <w:t>New treatments</w:t>
      </w:r>
    </w:p>
    <w:p w14:paraId="1D30D143" w14:textId="2F015DEB" w:rsidR="005626CF" w:rsidRDefault="005626CF" w:rsidP="006816B7">
      <w:pPr>
        <w:pStyle w:val="ListParagraph"/>
        <w:keepNext/>
        <w:keepLines/>
        <w:numPr>
          <w:ilvl w:val="0"/>
          <w:numId w:val="7"/>
        </w:numPr>
        <w:jc w:val="both"/>
      </w:pPr>
      <w:r>
        <w:t xml:space="preserve">It was noted that there are currently </w:t>
      </w:r>
      <w:r w:rsidR="007343D3">
        <w:t xml:space="preserve">two </w:t>
      </w:r>
      <w:r>
        <w:t>new therapies (ravulizumab and zilucoplan</w:t>
      </w:r>
      <w:r w:rsidR="007343D3">
        <w:t>, also known as complement inhibitors</w:t>
      </w:r>
      <w:r>
        <w:t>)</w:t>
      </w:r>
      <w:r w:rsidR="007343D3">
        <w:t xml:space="preserve"> </w:t>
      </w:r>
      <w:r>
        <w:t xml:space="preserve">that </w:t>
      </w:r>
      <w:r w:rsidR="007343D3">
        <w:t xml:space="preserve">are being considered by </w:t>
      </w:r>
      <w:r w:rsidR="00B535F7">
        <w:t xml:space="preserve">the </w:t>
      </w:r>
      <w:r w:rsidR="007343D3">
        <w:t>PBAC. Two additional therapies (efgartigimod and rosanolixizumb) are currently being considered by Australian an</w:t>
      </w:r>
      <w:r>
        <w:t xml:space="preserve">d/or international regulators – see Attachment </w:t>
      </w:r>
      <w:r w:rsidR="00496BBE">
        <w:t>1</w:t>
      </w:r>
      <w:r>
        <w:t>.</w:t>
      </w:r>
    </w:p>
    <w:p w14:paraId="3223952F" w14:textId="3E51E54F" w:rsidR="0073145D" w:rsidRDefault="00B535F7" w:rsidP="00F95ECF">
      <w:pPr>
        <w:pStyle w:val="ListParagraph"/>
        <w:numPr>
          <w:ilvl w:val="0"/>
          <w:numId w:val="7"/>
        </w:numPr>
        <w:jc w:val="both"/>
      </w:pPr>
      <w:r>
        <w:t>T</w:t>
      </w:r>
      <w:r w:rsidR="005626CF">
        <w:t xml:space="preserve">hese new agents have </w:t>
      </w:r>
      <w:r>
        <w:t xml:space="preserve">not </w:t>
      </w:r>
      <w:r w:rsidR="005626CF">
        <w:t>yet be</w:t>
      </w:r>
      <w:r>
        <w:t>en</w:t>
      </w:r>
      <w:r w:rsidR="005626CF">
        <w:t xml:space="preserve"> incorporated into </w:t>
      </w:r>
      <w:r w:rsidR="00171267">
        <w:t xml:space="preserve">key </w:t>
      </w:r>
      <w:r w:rsidR="005626CF">
        <w:t xml:space="preserve">treatment guidelines, </w:t>
      </w:r>
      <w:r w:rsidR="00171267">
        <w:t xml:space="preserve">and </w:t>
      </w:r>
      <w:r w:rsidR="005626CF">
        <w:t>the manner in which they would likely be used in the Australian setting was discussed.</w:t>
      </w:r>
    </w:p>
    <w:p w14:paraId="09AA1AAF" w14:textId="4BA42689" w:rsidR="005626CF" w:rsidRDefault="00A27D26" w:rsidP="00447D26">
      <w:pPr>
        <w:pStyle w:val="ListParagraph"/>
        <w:numPr>
          <w:ilvl w:val="0"/>
          <w:numId w:val="7"/>
        </w:numPr>
        <w:jc w:val="both"/>
      </w:pPr>
      <w:r>
        <w:t xml:space="preserve">The </w:t>
      </w:r>
      <w:r w:rsidR="00447D26">
        <w:t xml:space="preserve">new therapies </w:t>
      </w:r>
      <w:r w:rsidR="0071344C">
        <w:t xml:space="preserve">appear to </w:t>
      </w:r>
      <w:r w:rsidR="00447D26">
        <w:t xml:space="preserve">have a relatively rapid onset of action, and </w:t>
      </w:r>
      <w:r>
        <w:t xml:space="preserve">the clinicians present at the meeting </w:t>
      </w:r>
      <w:r w:rsidR="00447D26">
        <w:t xml:space="preserve">considered </w:t>
      </w:r>
      <w:r w:rsidR="0073145D">
        <w:t xml:space="preserve">complement inhibitors </w:t>
      </w:r>
      <w:r w:rsidR="00447D26">
        <w:t xml:space="preserve">should </w:t>
      </w:r>
      <w:r w:rsidR="0073145D">
        <w:t xml:space="preserve">be </w:t>
      </w:r>
      <w:r>
        <w:t xml:space="preserve">available to be </w:t>
      </w:r>
      <w:r w:rsidR="0073145D">
        <w:t>used</w:t>
      </w:r>
      <w:r w:rsidR="002F7BD4">
        <w:t xml:space="preserve"> early</w:t>
      </w:r>
      <w:r w:rsidR="008A73E4">
        <w:t xml:space="preserve"> in combination with standard therapy</w:t>
      </w:r>
      <w:r w:rsidR="00447D26" w:rsidRPr="00447D26">
        <w:t xml:space="preserve"> </w:t>
      </w:r>
      <w:r w:rsidR="00081B79">
        <w:t xml:space="preserve">i.e. </w:t>
      </w:r>
      <w:r w:rsidR="00447D26">
        <w:t>as a bridging therapy</w:t>
      </w:r>
      <w:r w:rsidR="004712D8">
        <w:t>, with</w:t>
      </w:r>
      <w:r w:rsidR="00291712">
        <w:t xml:space="preserve"> </w:t>
      </w:r>
      <w:bookmarkStart w:id="0" w:name="_Hlk167351175"/>
      <w:r w:rsidR="00291712">
        <w:t>specific patient criteri</w:t>
      </w:r>
      <w:r>
        <w:t>a</w:t>
      </w:r>
      <w:r w:rsidR="00291712">
        <w:t xml:space="preserve"> to be determined</w:t>
      </w:r>
      <w:bookmarkEnd w:id="0"/>
      <w:r w:rsidR="004712D8">
        <w:t xml:space="preserve"> (e.g. </w:t>
      </w:r>
      <w:r w:rsidR="00100D03">
        <w:t xml:space="preserve">a hypothetical case study of a typical patient who could benefit from the new therapies was discussed which took into account the </w:t>
      </w:r>
      <w:r w:rsidR="004712D8">
        <w:t>patient’s response to standard therapy</w:t>
      </w:r>
      <w:r w:rsidR="00291712">
        <w:t>)</w:t>
      </w:r>
      <w:r w:rsidR="00447D26">
        <w:t xml:space="preserve">. </w:t>
      </w:r>
      <w:r>
        <w:t xml:space="preserve">The clinicians </w:t>
      </w:r>
      <w:r w:rsidR="00447D26">
        <w:t xml:space="preserve">noted </w:t>
      </w:r>
      <w:r w:rsidR="00081B79">
        <w:t xml:space="preserve">that </w:t>
      </w:r>
      <w:r w:rsidR="00447D26">
        <w:t xml:space="preserve">there is </w:t>
      </w:r>
      <w:r w:rsidR="002D75F9">
        <w:t xml:space="preserve">also </w:t>
      </w:r>
      <w:r w:rsidR="00447D26">
        <w:t>a role for complement inhibitors</w:t>
      </w:r>
      <w:r w:rsidR="003A34C0">
        <w:t xml:space="preserve"> later in the disease course in </w:t>
      </w:r>
      <w:r w:rsidR="00917165">
        <w:t>refractory patients</w:t>
      </w:r>
      <w:r w:rsidR="008A73E4">
        <w:t xml:space="preserve"> and</w:t>
      </w:r>
      <w:r w:rsidR="003A34C0">
        <w:t xml:space="preserve"> in</w:t>
      </w:r>
      <w:r w:rsidR="008A73E4">
        <w:t xml:space="preserve"> patients requiring rescue therapy</w:t>
      </w:r>
      <w:r w:rsidR="003A34C0">
        <w:t xml:space="preserve"> for myasthenic crisis</w:t>
      </w:r>
      <w:r w:rsidR="00917165">
        <w:t xml:space="preserve">. </w:t>
      </w:r>
    </w:p>
    <w:p w14:paraId="16225FA5" w14:textId="31D3E5D3" w:rsidR="008A73E4" w:rsidRDefault="001F55CC" w:rsidP="008A73E4">
      <w:pPr>
        <w:pStyle w:val="ListParagraph"/>
        <w:numPr>
          <w:ilvl w:val="0"/>
          <w:numId w:val="7"/>
        </w:numPr>
        <w:jc w:val="both"/>
      </w:pPr>
      <w:r>
        <w:t>The clinicians considered there</w:t>
      </w:r>
      <w:r w:rsidR="003A34C0">
        <w:t xml:space="preserve"> should be</w:t>
      </w:r>
      <w:r w:rsidR="008A73E4">
        <w:t xml:space="preserve"> robust stopping rules to prevent ongoing use. </w:t>
      </w:r>
      <w:r w:rsidR="00DB7F49">
        <w:t>It was noted that it would be harder to cease treatment in refractory patients.</w:t>
      </w:r>
    </w:p>
    <w:p w14:paraId="4725C622" w14:textId="3C843FF6" w:rsidR="00EA12AF" w:rsidRDefault="001F55CC" w:rsidP="00F95ECF">
      <w:pPr>
        <w:pStyle w:val="ListParagraph"/>
        <w:numPr>
          <w:ilvl w:val="0"/>
          <w:numId w:val="7"/>
        </w:numPr>
        <w:jc w:val="both"/>
      </w:pPr>
      <w:r>
        <w:t>The clinicians outlined the following p</w:t>
      </w:r>
      <w:r w:rsidR="00EA12AF">
        <w:t xml:space="preserve">otential </w:t>
      </w:r>
      <w:r w:rsidR="00081B79">
        <w:t>stopping rules when used</w:t>
      </w:r>
      <w:r w:rsidR="00EA12AF">
        <w:t xml:space="preserve"> early in disease:</w:t>
      </w:r>
    </w:p>
    <w:p w14:paraId="77778E64" w14:textId="29BCB2D8" w:rsidR="005626CF" w:rsidRDefault="005626CF" w:rsidP="0071344C">
      <w:pPr>
        <w:pStyle w:val="ListParagraph"/>
        <w:numPr>
          <w:ilvl w:val="1"/>
          <w:numId w:val="7"/>
        </w:numPr>
        <w:jc w:val="both"/>
      </w:pPr>
      <w:r>
        <w:t>Given that it appears that these agents work quickly, it was stated that it would be possible to determine whether they were having an effect within 12 weeks.</w:t>
      </w:r>
    </w:p>
    <w:p w14:paraId="4AF51DC4" w14:textId="0D2782BA" w:rsidR="0073145D" w:rsidRDefault="005626CF" w:rsidP="0071344C">
      <w:pPr>
        <w:pStyle w:val="ListParagraph"/>
        <w:numPr>
          <w:ilvl w:val="1"/>
          <w:numId w:val="7"/>
        </w:numPr>
        <w:jc w:val="both"/>
      </w:pPr>
      <w:r>
        <w:t xml:space="preserve">If it was established that an agent was effective in improving symptoms, patients </w:t>
      </w:r>
      <w:r w:rsidR="0073145D">
        <w:t>c</w:t>
      </w:r>
      <w:r>
        <w:t xml:space="preserve">ould remain on treatment for 12 months, as it usually takes at least 12 to </w:t>
      </w:r>
      <w:r w:rsidR="0073145D">
        <w:t xml:space="preserve">24 </w:t>
      </w:r>
      <w:r>
        <w:t xml:space="preserve">months for the </w:t>
      </w:r>
      <w:r w:rsidR="0073145D">
        <w:t xml:space="preserve">standard </w:t>
      </w:r>
      <w:r>
        <w:t xml:space="preserve">disease modifying agents to have an effect. </w:t>
      </w:r>
    </w:p>
    <w:p w14:paraId="777A1C3D" w14:textId="0C4D0219" w:rsidR="005626CF" w:rsidRDefault="005626CF" w:rsidP="0071344C">
      <w:pPr>
        <w:pStyle w:val="ListParagraph"/>
        <w:numPr>
          <w:ilvl w:val="1"/>
          <w:numId w:val="7"/>
        </w:numPr>
        <w:jc w:val="both"/>
      </w:pPr>
      <w:r>
        <w:t xml:space="preserve">At 12 months, treatment with the complement inhibitors </w:t>
      </w:r>
      <w:r w:rsidR="00AE5E42">
        <w:t>sh</w:t>
      </w:r>
      <w:r>
        <w:t xml:space="preserve">ould be ceased. If the patient </w:t>
      </w:r>
      <w:r w:rsidR="00BC6FBB">
        <w:t>deteriorate</w:t>
      </w:r>
      <w:r w:rsidR="007343D3">
        <w:t>d</w:t>
      </w:r>
      <w:r>
        <w:t xml:space="preserve">, </w:t>
      </w:r>
      <w:r w:rsidR="00BC6FBB">
        <w:t>the complement inhibitor</w:t>
      </w:r>
      <w:r>
        <w:t xml:space="preserve"> would be restarted</w:t>
      </w:r>
      <w:r w:rsidR="00BC6FBB">
        <w:t>, with 6-monthly rechallenges up to 2 years of total treatment. At that point treatment with the complement inhibitor would cease.</w:t>
      </w:r>
    </w:p>
    <w:p w14:paraId="1CA4F696" w14:textId="77777777" w:rsidR="0016049F" w:rsidRPr="00264C7F" w:rsidRDefault="0016049F" w:rsidP="0016049F">
      <w:pPr>
        <w:pStyle w:val="ListParagraph"/>
        <w:numPr>
          <w:ilvl w:val="0"/>
          <w:numId w:val="7"/>
        </w:numPr>
        <w:jc w:val="both"/>
      </w:pPr>
      <w:r>
        <w:t xml:space="preserve">The clinicians proposed that patients may access re-treatment with a complement inhibitor if the disease is refractory, or if the </w:t>
      </w:r>
      <w:r w:rsidRPr="00264C7F">
        <w:t>patient experiences an exacerbation or is at risk of a myasthenia crisis.</w:t>
      </w:r>
    </w:p>
    <w:p w14:paraId="7F94A211" w14:textId="55D0CEA2" w:rsidR="0016049F" w:rsidRPr="00264C7F" w:rsidRDefault="0016049F" w:rsidP="0016049F">
      <w:pPr>
        <w:pStyle w:val="ListParagraph"/>
        <w:numPr>
          <w:ilvl w:val="0"/>
          <w:numId w:val="7"/>
        </w:numPr>
        <w:jc w:val="both"/>
      </w:pPr>
      <w:r w:rsidRPr="00264C7F">
        <w:t xml:space="preserve">The clinicians stated that in </w:t>
      </w:r>
      <w:r w:rsidR="00264C7F">
        <w:t xml:space="preserve">the event of </w:t>
      </w:r>
      <w:r w:rsidRPr="00264C7F">
        <w:t xml:space="preserve">an exacerbation or </w:t>
      </w:r>
      <w:r w:rsidR="00264C7F" w:rsidRPr="00264C7F">
        <w:t xml:space="preserve">in a patient who </w:t>
      </w:r>
      <w:r w:rsidRPr="00264C7F">
        <w:t xml:space="preserve">is at risk of a myasthenia crisis, the complement inhibitors could be used as a rescue therapy in place of IVIg and PLEX. </w:t>
      </w:r>
    </w:p>
    <w:p w14:paraId="041A749E" w14:textId="32D49298" w:rsidR="0016049F" w:rsidRPr="00264C7F" w:rsidRDefault="0016049F" w:rsidP="0016049F">
      <w:pPr>
        <w:pStyle w:val="ListParagraph"/>
        <w:numPr>
          <w:ilvl w:val="1"/>
          <w:numId w:val="7"/>
        </w:numPr>
        <w:jc w:val="both"/>
      </w:pPr>
      <w:r w:rsidRPr="00264C7F">
        <w:t xml:space="preserve">At this stage the complement inhibitors and </w:t>
      </w:r>
      <w:proofErr w:type="spellStart"/>
      <w:r w:rsidRPr="00264C7F">
        <w:t>FcR</w:t>
      </w:r>
      <w:r w:rsidR="00264C7F" w:rsidRPr="00264C7F">
        <w:t>N</w:t>
      </w:r>
      <w:r w:rsidRPr="00264C7F">
        <w:t>s</w:t>
      </w:r>
      <w:proofErr w:type="spellEnd"/>
      <w:r w:rsidRPr="00264C7F">
        <w:t xml:space="preserve"> have not been trialled or widely used in the context of an actual crisis (</w:t>
      </w:r>
      <w:proofErr w:type="gramStart"/>
      <w:r w:rsidR="00264C7F" w:rsidRPr="00264C7F">
        <w:t>e.g.</w:t>
      </w:r>
      <w:proofErr w:type="gramEnd"/>
      <w:r w:rsidR="00264C7F" w:rsidRPr="00264C7F">
        <w:t xml:space="preserve"> in </w:t>
      </w:r>
      <w:r w:rsidRPr="00264C7F">
        <w:t>patient</w:t>
      </w:r>
      <w:r w:rsidR="00264C7F" w:rsidRPr="00264C7F">
        <w:t>s</w:t>
      </w:r>
      <w:r w:rsidRPr="00264C7F">
        <w:t xml:space="preserve"> </w:t>
      </w:r>
      <w:r w:rsidR="00264C7F" w:rsidRPr="00264C7F">
        <w:t>admitted to</w:t>
      </w:r>
      <w:r w:rsidRPr="00264C7F">
        <w:t xml:space="preserve"> ICU, </w:t>
      </w:r>
      <w:r w:rsidR="00264C7F" w:rsidRPr="00264C7F">
        <w:t xml:space="preserve">who would </w:t>
      </w:r>
      <w:r w:rsidRPr="00264C7F">
        <w:t>often</w:t>
      </w:r>
      <w:r w:rsidR="00264C7F" w:rsidRPr="00264C7F">
        <w:t xml:space="preserve"> be</w:t>
      </w:r>
      <w:r w:rsidRPr="00264C7F">
        <w:t xml:space="preserve"> intubated</w:t>
      </w:r>
      <w:r w:rsidR="00264C7F" w:rsidRPr="00264C7F">
        <w:t xml:space="preserve"> in this context</w:t>
      </w:r>
      <w:r w:rsidRPr="00264C7F">
        <w:t>)</w:t>
      </w:r>
      <w:r w:rsidR="00264C7F" w:rsidRPr="00264C7F">
        <w:t>.</w:t>
      </w:r>
    </w:p>
    <w:p w14:paraId="480BE9D6" w14:textId="420C8B2C" w:rsidR="005626CF" w:rsidRDefault="005626CF" w:rsidP="00F95ECF">
      <w:pPr>
        <w:pStyle w:val="ListParagraph"/>
        <w:numPr>
          <w:ilvl w:val="0"/>
          <w:numId w:val="7"/>
        </w:numPr>
        <w:jc w:val="both"/>
      </w:pPr>
      <w:r w:rsidRPr="00264C7F">
        <w:t>The clinicians stated that it is hoped that these new treatment options will enable a greater proportion of moderate to severe disease patients to achieve remission. In addition, it</w:t>
      </w:r>
      <w:r>
        <w:t xml:space="preserve"> is hoped that the use of the newer agents would reduce the need for </w:t>
      </w:r>
      <w:r w:rsidR="00EA12AF">
        <w:t xml:space="preserve">high dose and/or </w:t>
      </w:r>
      <w:r>
        <w:t>long-term corticosteroid use.</w:t>
      </w:r>
      <w:r w:rsidR="00140EC1">
        <w:t xml:space="preserve"> The treatments are expected to reduce the need for IVIg and PLEX which are complex</w:t>
      </w:r>
      <w:r w:rsidR="00AD5248">
        <w:t xml:space="preserve"> and burdensome</w:t>
      </w:r>
      <w:r w:rsidR="00140EC1">
        <w:t xml:space="preserve"> to administer</w:t>
      </w:r>
      <w:r w:rsidR="00AD5248">
        <w:t>.</w:t>
      </w:r>
    </w:p>
    <w:p w14:paraId="78A05B01" w14:textId="7F008F9F" w:rsidR="00871851" w:rsidRDefault="005626CF" w:rsidP="0073145D">
      <w:pPr>
        <w:pStyle w:val="ListParagraph"/>
        <w:numPr>
          <w:ilvl w:val="0"/>
          <w:numId w:val="7"/>
        </w:numPr>
        <w:jc w:val="both"/>
      </w:pPr>
      <w:r>
        <w:t xml:space="preserve">In all disease settings, the clinicians </w:t>
      </w:r>
      <w:r w:rsidR="002F610A">
        <w:t xml:space="preserve">and consumer representatives </w:t>
      </w:r>
      <w:r>
        <w:t>stated that patients would have to be assessed for treatment response via measures that provided a robust, yet wholistic reflection, of the disease state. It was suggested that this would likely consist of the Myasthenia Gravis-Activities of Daily Living (MG-ADL) and/or Myasthenia Gravis Composite (MGC) score tools.</w:t>
      </w:r>
    </w:p>
    <w:p w14:paraId="0EFDAD93" w14:textId="77777777" w:rsidR="00871851" w:rsidRDefault="00871851" w:rsidP="00F95ECF">
      <w:pPr>
        <w:jc w:val="both"/>
      </w:pPr>
    </w:p>
    <w:p w14:paraId="0237919B" w14:textId="77777777" w:rsidR="005626CF" w:rsidRPr="007847CE" w:rsidRDefault="005626CF" w:rsidP="00F95ECF">
      <w:pPr>
        <w:pStyle w:val="Heading2"/>
      </w:pPr>
      <w:r w:rsidRPr="007847CE">
        <w:t xml:space="preserve">Conclusion </w:t>
      </w:r>
    </w:p>
    <w:p w14:paraId="28D9A7C0" w14:textId="77777777" w:rsidR="005626CF" w:rsidRPr="004B09D1" w:rsidRDefault="005626CF" w:rsidP="00F95ECF">
      <w:pPr>
        <w:jc w:val="both"/>
        <w:rPr>
          <w:rFonts w:ascii="Calibri" w:hAnsi="Calibri" w:cs="Calibri"/>
        </w:rPr>
      </w:pPr>
      <w:r w:rsidRPr="004B09D1">
        <w:rPr>
          <w:rFonts w:ascii="Calibri" w:hAnsi="Calibri" w:cs="Calibri"/>
        </w:rPr>
        <w:t xml:space="preserve">The PBAC Chair thanked </w:t>
      </w:r>
      <w:r>
        <w:rPr>
          <w:rFonts w:ascii="Calibri" w:hAnsi="Calibri" w:cs="Calibri"/>
        </w:rPr>
        <w:t>stakeholders</w:t>
      </w:r>
      <w:r w:rsidRPr="004B09D1">
        <w:rPr>
          <w:rFonts w:ascii="Calibri" w:hAnsi="Calibri" w:cs="Calibri"/>
        </w:rPr>
        <w:t xml:space="preserve"> for their time in attending the meeting and the advice provided.</w:t>
      </w:r>
    </w:p>
    <w:p w14:paraId="412310D4" w14:textId="77777777" w:rsidR="005626CF" w:rsidRDefault="005626CF">
      <w:pPr>
        <w:rPr>
          <w:b/>
          <w:bCs/>
        </w:rPr>
      </w:pPr>
      <w:r>
        <w:rPr>
          <w:b/>
          <w:bCs/>
        </w:rPr>
        <w:br w:type="page"/>
      </w:r>
    </w:p>
    <w:p w14:paraId="454D3AAE" w14:textId="3A1EF067" w:rsidR="00871851" w:rsidRPr="005626CF" w:rsidRDefault="005626CF" w:rsidP="005626CF">
      <w:pPr>
        <w:keepNext/>
        <w:rPr>
          <w:b/>
          <w:bCs/>
        </w:rPr>
      </w:pPr>
      <w:r w:rsidRPr="005626CF">
        <w:rPr>
          <w:b/>
          <w:bCs/>
        </w:rPr>
        <w:lastRenderedPageBreak/>
        <w:t xml:space="preserve">Attachment </w:t>
      </w:r>
      <w:r w:rsidR="00496BBE">
        <w:rPr>
          <w:b/>
          <w:bCs/>
        </w:rPr>
        <w:t>1</w:t>
      </w:r>
      <w:r w:rsidRPr="005626CF">
        <w:rPr>
          <w:b/>
          <w:bCs/>
        </w:rPr>
        <w:t xml:space="preserve"> – New MG therapies that have been considered by Australian and/or international regulators</w:t>
      </w:r>
    </w:p>
    <w:tbl>
      <w:tblPr>
        <w:tblStyle w:val="TableGrid"/>
        <w:tblW w:w="0" w:type="auto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3492"/>
      </w:tblGrid>
      <w:tr w:rsidR="005626CF" w14:paraId="41C7DA60" w14:textId="77777777" w:rsidTr="005626CF">
        <w:trPr>
          <w:cantSplit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1E26" w14:textId="77777777" w:rsidR="005626CF" w:rsidRDefault="005626CF" w:rsidP="005626CF">
            <w:pPr>
              <w:pStyle w:val="COMTableheadingrow"/>
              <w:rPr>
                <w:lang w:val="en-AU" w:eastAsia="en-US"/>
              </w:rPr>
            </w:pPr>
            <w:r>
              <w:rPr>
                <w:szCs w:val="20"/>
                <w:lang w:val="en-AU" w:eastAsia="en-US"/>
              </w:rPr>
              <w:t>Drug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6714" w14:textId="77777777" w:rsidR="005626CF" w:rsidRDefault="005626CF" w:rsidP="005626CF">
            <w:pPr>
              <w:pStyle w:val="COMTableheadingrow"/>
              <w:jc w:val="center"/>
              <w:rPr>
                <w:lang w:val="en-AU" w:eastAsia="en-US"/>
              </w:rPr>
            </w:pPr>
            <w:r>
              <w:rPr>
                <w:szCs w:val="20"/>
                <w:lang w:val="en-AU" w:eastAsia="en-US"/>
              </w:rPr>
              <w:t>Class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AD8" w14:textId="77777777" w:rsidR="005626CF" w:rsidRDefault="005626CF" w:rsidP="005626CF">
            <w:pPr>
              <w:pStyle w:val="COMTableheadingrow"/>
              <w:jc w:val="center"/>
              <w:rPr>
                <w:szCs w:val="20"/>
                <w:lang w:val="en-AU" w:eastAsia="en-US"/>
              </w:rPr>
            </w:pPr>
            <w:r>
              <w:rPr>
                <w:szCs w:val="20"/>
                <w:lang w:val="en-AU" w:eastAsia="en-US"/>
              </w:rPr>
              <w:t>Administration</w:t>
            </w:r>
          </w:p>
          <w:p w14:paraId="0E9B45D8" w14:textId="77777777" w:rsidR="005626CF" w:rsidRDefault="005626CF" w:rsidP="005626CF">
            <w:pPr>
              <w:pStyle w:val="COMTableheadingrow"/>
              <w:jc w:val="center"/>
              <w:rPr>
                <w:lang w:val="en-AU" w:eastAsia="en-US"/>
              </w:rPr>
            </w:pPr>
            <w:r>
              <w:rPr>
                <w:szCs w:val="20"/>
                <w:lang w:val="en-AU" w:eastAsia="en-US"/>
              </w:rPr>
              <w:t>(maintenance dosing)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2F3B" w14:textId="77777777" w:rsidR="005626CF" w:rsidRDefault="005626CF" w:rsidP="005626CF">
            <w:pPr>
              <w:pStyle w:val="COMTableheadingrow"/>
              <w:jc w:val="center"/>
              <w:rPr>
                <w:lang w:val="en-AU" w:eastAsia="en-US"/>
              </w:rPr>
            </w:pPr>
            <w:r>
              <w:rPr>
                <w:szCs w:val="20"/>
                <w:lang w:val="en-AU" w:eastAsia="en-US"/>
              </w:rPr>
              <w:t>Regulatory status</w:t>
            </w:r>
          </w:p>
        </w:tc>
      </w:tr>
      <w:tr w:rsidR="005626CF" w14:paraId="0DE20676" w14:textId="77777777" w:rsidTr="005626C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7D1A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Efgartigimod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1B52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FcRn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>-targeted immunosuppression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090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Cyclical administration, IV infusion once weekly for 4 weeks, variable duration between cycles based on response.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41C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 approved for the treatment of gMG in adult patients who are anti-</w:t>
            </w:r>
            <w:proofErr w:type="spellStart"/>
            <w:r>
              <w:rPr>
                <w:sz w:val="20"/>
                <w:szCs w:val="20"/>
              </w:rPr>
              <w:t>AChR</w:t>
            </w:r>
            <w:proofErr w:type="spellEnd"/>
            <w:r>
              <w:rPr>
                <w:sz w:val="20"/>
                <w:szCs w:val="20"/>
              </w:rPr>
              <w:t xml:space="preserve"> antibody positive in December 2021 (intravenous infusion) and in June 2023 (subcutaneous injection).</w:t>
            </w:r>
          </w:p>
          <w:p w14:paraId="201CD9F3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 xml:space="preserve">EMA approved in August 2022 as an add-on to standard therapy for the treatment of adult patients with 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gMG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who are anti-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AChR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antibody positive.</w:t>
            </w:r>
          </w:p>
        </w:tc>
      </w:tr>
      <w:tr w:rsidR="005626CF" w14:paraId="1E002CE3" w14:textId="77777777" w:rsidTr="005626C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5C6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Ravulizumab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CA7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C5-targeted immunosuppression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26B3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IV infusion every 8 weeks (requires supplemental dosing with rescue IVIg/PLEX).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674E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TGA approved in May 2023 as an add-on to standard therapy for the treatment of adult patients with </w:t>
            </w:r>
            <w:proofErr w:type="spellStart"/>
            <w:r>
              <w:rPr>
                <w:sz w:val="20"/>
                <w:szCs w:val="20"/>
              </w:rPr>
              <w:t>gMG</w:t>
            </w:r>
            <w:proofErr w:type="spellEnd"/>
            <w:r>
              <w:rPr>
                <w:sz w:val="20"/>
                <w:szCs w:val="20"/>
              </w:rPr>
              <w:t xml:space="preserve"> who are anti-</w:t>
            </w:r>
            <w:proofErr w:type="spellStart"/>
            <w:r>
              <w:rPr>
                <w:sz w:val="20"/>
                <w:szCs w:val="20"/>
              </w:rPr>
              <w:t>AChR</w:t>
            </w:r>
            <w:proofErr w:type="spellEnd"/>
            <w:r>
              <w:rPr>
                <w:sz w:val="20"/>
                <w:szCs w:val="20"/>
              </w:rPr>
              <w:t xml:space="preserve"> antibody positive.</w:t>
            </w:r>
          </w:p>
          <w:p w14:paraId="070C2A14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FDA approved in April 2022 for the treatment of adult patients with </w:t>
            </w:r>
            <w:proofErr w:type="spellStart"/>
            <w:r>
              <w:rPr>
                <w:sz w:val="20"/>
                <w:szCs w:val="20"/>
              </w:rPr>
              <w:t>gMG</w:t>
            </w:r>
            <w:proofErr w:type="spellEnd"/>
            <w:r>
              <w:rPr>
                <w:sz w:val="20"/>
                <w:szCs w:val="20"/>
              </w:rPr>
              <w:t xml:space="preserve"> who are anti-</w:t>
            </w:r>
            <w:proofErr w:type="spellStart"/>
            <w:r>
              <w:rPr>
                <w:sz w:val="20"/>
                <w:szCs w:val="20"/>
              </w:rPr>
              <w:t>AChR</w:t>
            </w:r>
            <w:proofErr w:type="spellEnd"/>
            <w:r>
              <w:rPr>
                <w:sz w:val="20"/>
                <w:szCs w:val="20"/>
              </w:rPr>
              <w:t xml:space="preserve"> antibody positive.</w:t>
            </w:r>
          </w:p>
          <w:p w14:paraId="78B6F5CA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 xml:space="preserve">EMA approved in September 2022 as an add-on to standard therapy for the treatment of adult patients with 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gMG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who are anti-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AChR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antibody positive.</w:t>
            </w:r>
          </w:p>
        </w:tc>
      </w:tr>
      <w:tr w:rsidR="005626CF" w14:paraId="16504B2F" w14:textId="77777777" w:rsidTr="005626C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C687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Rozanolixizumab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626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FcRn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>-targeted immunosuppression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6FA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Cyclical administration, IV infusion once weekly for 6 weeks, variable duration between cycles based on response.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9AC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to TGA in November 2023 for the treatment of gMG.</w:t>
            </w:r>
          </w:p>
          <w:p w14:paraId="6666B0E8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 approved in March 2024 for the treatment of gMG in adult patients who are anti-</w:t>
            </w:r>
            <w:proofErr w:type="spellStart"/>
            <w:r>
              <w:rPr>
                <w:sz w:val="20"/>
                <w:szCs w:val="20"/>
              </w:rPr>
              <w:t>AChR</w:t>
            </w:r>
            <w:proofErr w:type="spellEnd"/>
            <w:r>
              <w:rPr>
                <w:sz w:val="20"/>
                <w:szCs w:val="20"/>
              </w:rPr>
              <w:t xml:space="preserve"> or anti-</w:t>
            </w:r>
            <w:proofErr w:type="spellStart"/>
            <w:r>
              <w:rPr>
                <w:sz w:val="20"/>
                <w:szCs w:val="20"/>
              </w:rPr>
              <w:t>MuSK</w:t>
            </w:r>
            <w:proofErr w:type="spellEnd"/>
            <w:r>
              <w:rPr>
                <w:sz w:val="20"/>
                <w:szCs w:val="20"/>
              </w:rPr>
              <w:t xml:space="preserve"> antibody positive.</w:t>
            </w:r>
          </w:p>
          <w:p w14:paraId="0C9DA1AE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EMA approved in January 2024 as an add-on to standard therapy for the treatment of gMG in adult patients who are anti-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AChR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or anti-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MuSK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antibody positive.</w:t>
            </w:r>
          </w:p>
        </w:tc>
      </w:tr>
      <w:tr w:rsidR="005626CF" w14:paraId="4D88973A" w14:textId="77777777" w:rsidTr="005626C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BAE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Zilucoplan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F21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C5-targeted immunosuppression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250" w14:textId="657FA509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Subcutaneous injection daily (does not require supplemental dosing with rescue IVIg/PLEX).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824A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to TGA in July 2023 for the treatment of adult patients with gMG.</w:t>
            </w:r>
          </w:p>
          <w:p w14:paraId="70F20195" w14:textId="77777777" w:rsidR="005626CF" w:rsidRDefault="005626CF" w:rsidP="005626CF">
            <w:pPr>
              <w:pStyle w:val="COMTab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 approved in October 2023 for the treatment of gMG in adult patients who are anti-</w:t>
            </w:r>
            <w:proofErr w:type="spellStart"/>
            <w:r>
              <w:rPr>
                <w:sz w:val="20"/>
                <w:szCs w:val="20"/>
              </w:rPr>
              <w:t>AChR</w:t>
            </w:r>
            <w:proofErr w:type="spellEnd"/>
            <w:r>
              <w:rPr>
                <w:sz w:val="20"/>
                <w:szCs w:val="20"/>
              </w:rPr>
              <w:t xml:space="preserve"> antibody positive.</w:t>
            </w:r>
          </w:p>
          <w:p w14:paraId="0F33B3E2" w14:textId="77777777" w:rsidR="005626CF" w:rsidRDefault="005626CF" w:rsidP="005626CF">
            <w:pPr>
              <w:pStyle w:val="COMTableheadingrow"/>
              <w:rPr>
                <w:b w:val="0"/>
                <w:bCs/>
                <w:lang w:val="en-AU" w:eastAsia="en-US"/>
              </w:rPr>
            </w:pPr>
            <w:r>
              <w:rPr>
                <w:b w:val="0"/>
                <w:bCs/>
                <w:szCs w:val="20"/>
                <w:lang w:val="en-AU" w:eastAsia="en-US"/>
              </w:rPr>
              <w:t>EMA approved in December 2023 as an add-on to standard therapy for the treatment of gMG in adult patients who are anti-</w:t>
            </w:r>
            <w:proofErr w:type="spellStart"/>
            <w:r>
              <w:rPr>
                <w:b w:val="0"/>
                <w:bCs/>
                <w:szCs w:val="20"/>
                <w:lang w:val="en-AU" w:eastAsia="en-US"/>
              </w:rPr>
              <w:t>AChR</w:t>
            </w:r>
            <w:proofErr w:type="spellEnd"/>
            <w:r>
              <w:rPr>
                <w:b w:val="0"/>
                <w:bCs/>
                <w:szCs w:val="20"/>
                <w:lang w:val="en-AU" w:eastAsia="en-US"/>
              </w:rPr>
              <w:t xml:space="preserve"> antibody positive.</w:t>
            </w:r>
          </w:p>
        </w:tc>
      </w:tr>
    </w:tbl>
    <w:p w14:paraId="0C1E79C5" w14:textId="77777777" w:rsidR="005626CF" w:rsidRDefault="005626CF" w:rsidP="005626CF">
      <w:pPr>
        <w:pStyle w:val="COMTablefooter"/>
        <w:rPr>
          <w:rFonts w:cs="Calibri"/>
          <w:kern w:val="2"/>
          <w14:ligatures w14:val="standardContextual"/>
        </w:rPr>
      </w:pPr>
      <w:r>
        <w:t>Source: EMA, FDA and TGA drug databases</w:t>
      </w:r>
    </w:p>
    <w:p w14:paraId="08322B0C" w14:textId="77777777" w:rsidR="005626CF" w:rsidRDefault="005626CF" w:rsidP="005626CF">
      <w:pPr>
        <w:pStyle w:val="COMTablefooter"/>
      </w:pPr>
      <w:r>
        <w:t xml:space="preserve">Abbreviations: </w:t>
      </w:r>
      <w:proofErr w:type="spellStart"/>
      <w:r>
        <w:t>AChR</w:t>
      </w:r>
      <w:proofErr w:type="spellEnd"/>
      <w:r>
        <w:t xml:space="preserve">, acetylcholine receptor; C5, complement component 5; EMA, European Medicines Agency; </w:t>
      </w:r>
      <w:proofErr w:type="spellStart"/>
      <w:r>
        <w:t>FcRN</w:t>
      </w:r>
      <w:proofErr w:type="spellEnd"/>
      <w:r>
        <w:t xml:space="preserve">, Neonatal fragment crystallisable receptor; FDA, US Food and Drug Administration; gMG, generalised myasthenia gravis; IV, intravenous; IVIg, intravenous immunoglobulin; </w:t>
      </w:r>
      <w:proofErr w:type="spellStart"/>
      <w:r>
        <w:t>MuSK</w:t>
      </w:r>
      <w:proofErr w:type="spellEnd"/>
      <w:r>
        <w:t>, muscle-specific kinase; PLEX, plasma exchange; TGA, Therapeutic Goods Administration</w:t>
      </w:r>
    </w:p>
    <w:p w14:paraId="68A558B7" w14:textId="77777777" w:rsidR="005626CF" w:rsidRDefault="005626CF" w:rsidP="005626CF"/>
    <w:sectPr w:rsidR="005626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52B1" w14:textId="77777777" w:rsidR="006816B7" w:rsidRDefault="006816B7" w:rsidP="006816B7">
      <w:pPr>
        <w:spacing w:after="0" w:line="240" w:lineRule="auto"/>
      </w:pPr>
      <w:r>
        <w:separator/>
      </w:r>
    </w:p>
  </w:endnote>
  <w:endnote w:type="continuationSeparator" w:id="0">
    <w:p w14:paraId="19E895E6" w14:textId="77777777" w:rsidR="006816B7" w:rsidRDefault="006816B7" w:rsidP="0068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978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14051" w14:textId="4053343C" w:rsidR="006816B7" w:rsidRDefault="00681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6D839" w14:textId="77777777" w:rsidR="006816B7" w:rsidRDefault="0068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7175" w14:textId="77777777" w:rsidR="006816B7" w:rsidRDefault="006816B7" w:rsidP="006816B7">
      <w:pPr>
        <w:spacing w:after="0" w:line="240" w:lineRule="auto"/>
      </w:pPr>
      <w:r>
        <w:separator/>
      </w:r>
    </w:p>
  </w:footnote>
  <w:footnote w:type="continuationSeparator" w:id="0">
    <w:p w14:paraId="05510151" w14:textId="77777777" w:rsidR="006816B7" w:rsidRDefault="006816B7" w:rsidP="0068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4CE"/>
    <w:multiLevelType w:val="hybridMultilevel"/>
    <w:tmpl w:val="2FAC4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85F70"/>
    <w:multiLevelType w:val="hybridMultilevel"/>
    <w:tmpl w:val="24B6E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E1937"/>
    <w:multiLevelType w:val="hybridMultilevel"/>
    <w:tmpl w:val="88E06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3AC9"/>
    <w:multiLevelType w:val="hybridMultilevel"/>
    <w:tmpl w:val="894EEA5A"/>
    <w:lvl w:ilvl="0" w:tplc="F31C2F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20D622B"/>
    <w:multiLevelType w:val="hybridMultilevel"/>
    <w:tmpl w:val="5B1CC78E"/>
    <w:lvl w:ilvl="0" w:tplc="2D965A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1C03"/>
    <w:multiLevelType w:val="hybridMultilevel"/>
    <w:tmpl w:val="ACF83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42D59"/>
    <w:multiLevelType w:val="hybridMultilevel"/>
    <w:tmpl w:val="D8E09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B65C8B"/>
    <w:multiLevelType w:val="hybridMultilevel"/>
    <w:tmpl w:val="2ABAA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40B4E"/>
    <w:multiLevelType w:val="hybridMultilevel"/>
    <w:tmpl w:val="9E5A8C66"/>
    <w:lvl w:ilvl="0" w:tplc="E87A17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99597">
    <w:abstractNumId w:val="0"/>
  </w:num>
  <w:num w:numId="2" w16cid:durableId="368727543">
    <w:abstractNumId w:val="3"/>
  </w:num>
  <w:num w:numId="3" w16cid:durableId="1284464446">
    <w:abstractNumId w:val="7"/>
  </w:num>
  <w:num w:numId="4" w16cid:durableId="1468425487">
    <w:abstractNumId w:val="6"/>
  </w:num>
  <w:num w:numId="5" w16cid:durableId="2068409001">
    <w:abstractNumId w:val="4"/>
  </w:num>
  <w:num w:numId="6" w16cid:durableId="853033407">
    <w:abstractNumId w:val="1"/>
  </w:num>
  <w:num w:numId="7" w16cid:durableId="256866785">
    <w:abstractNumId w:val="5"/>
  </w:num>
  <w:num w:numId="8" w16cid:durableId="1787505329">
    <w:abstractNumId w:val="2"/>
  </w:num>
  <w:num w:numId="9" w16cid:durableId="432363522">
    <w:abstractNumId w:val="8"/>
  </w:num>
  <w:num w:numId="10" w16cid:durableId="696085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B7"/>
    <w:rsid w:val="0003434C"/>
    <w:rsid w:val="00081B79"/>
    <w:rsid w:val="0009041E"/>
    <w:rsid w:val="000C0DC4"/>
    <w:rsid w:val="000C2E73"/>
    <w:rsid w:val="000F245E"/>
    <w:rsid w:val="00100D03"/>
    <w:rsid w:val="00123D8F"/>
    <w:rsid w:val="0012554E"/>
    <w:rsid w:val="001314C3"/>
    <w:rsid w:val="00140EC1"/>
    <w:rsid w:val="0014387B"/>
    <w:rsid w:val="00151A70"/>
    <w:rsid w:val="00152B0D"/>
    <w:rsid w:val="0016049F"/>
    <w:rsid w:val="00171267"/>
    <w:rsid w:val="00195425"/>
    <w:rsid w:val="00196933"/>
    <w:rsid w:val="001B53DB"/>
    <w:rsid w:val="001B79A2"/>
    <w:rsid w:val="001C315F"/>
    <w:rsid w:val="001D3186"/>
    <w:rsid w:val="001D7A6B"/>
    <w:rsid w:val="001E577B"/>
    <w:rsid w:val="001F55CC"/>
    <w:rsid w:val="00226DFB"/>
    <w:rsid w:val="00246576"/>
    <w:rsid w:val="002514E1"/>
    <w:rsid w:val="00264C7F"/>
    <w:rsid w:val="002657AB"/>
    <w:rsid w:val="0027137A"/>
    <w:rsid w:val="00274EB8"/>
    <w:rsid w:val="00291712"/>
    <w:rsid w:val="002A3839"/>
    <w:rsid w:val="002C72BB"/>
    <w:rsid w:val="002D622B"/>
    <w:rsid w:val="002D75F9"/>
    <w:rsid w:val="002E4D59"/>
    <w:rsid w:val="002F610A"/>
    <w:rsid w:val="002F741A"/>
    <w:rsid w:val="002F776D"/>
    <w:rsid w:val="002F7BD4"/>
    <w:rsid w:val="003033CC"/>
    <w:rsid w:val="003739B1"/>
    <w:rsid w:val="00376A47"/>
    <w:rsid w:val="003A34C0"/>
    <w:rsid w:val="003C67CB"/>
    <w:rsid w:val="003F031C"/>
    <w:rsid w:val="00412551"/>
    <w:rsid w:val="00416EBD"/>
    <w:rsid w:val="00426664"/>
    <w:rsid w:val="00431123"/>
    <w:rsid w:val="00432DE0"/>
    <w:rsid w:val="00436E32"/>
    <w:rsid w:val="00447D26"/>
    <w:rsid w:val="004643D5"/>
    <w:rsid w:val="004712D8"/>
    <w:rsid w:val="004807ED"/>
    <w:rsid w:val="004933B7"/>
    <w:rsid w:val="00496BBE"/>
    <w:rsid w:val="004E2333"/>
    <w:rsid w:val="004F2422"/>
    <w:rsid w:val="004F728C"/>
    <w:rsid w:val="00506E81"/>
    <w:rsid w:val="00516170"/>
    <w:rsid w:val="00560EBD"/>
    <w:rsid w:val="005626CF"/>
    <w:rsid w:val="0057144F"/>
    <w:rsid w:val="00597491"/>
    <w:rsid w:val="005B06F3"/>
    <w:rsid w:val="005B0A7D"/>
    <w:rsid w:val="005C64C1"/>
    <w:rsid w:val="005D5819"/>
    <w:rsid w:val="005F2177"/>
    <w:rsid w:val="00605916"/>
    <w:rsid w:val="00652393"/>
    <w:rsid w:val="006635B2"/>
    <w:rsid w:val="00670819"/>
    <w:rsid w:val="006816B7"/>
    <w:rsid w:val="00684840"/>
    <w:rsid w:val="006A3494"/>
    <w:rsid w:val="006C1865"/>
    <w:rsid w:val="006C444C"/>
    <w:rsid w:val="006C48E7"/>
    <w:rsid w:val="006D6E20"/>
    <w:rsid w:val="006F46B9"/>
    <w:rsid w:val="0071344C"/>
    <w:rsid w:val="00720A10"/>
    <w:rsid w:val="0073145D"/>
    <w:rsid w:val="007343D3"/>
    <w:rsid w:val="00791504"/>
    <w:rsid w:val="007B42A0"/>
    <w:rsid w:val="007B7E2A"/>
    <w:rsid w:val="007C474B"/>
    <w:rsid w:val="007D12CE"/>
    <w:rsid w:val="007E1956"/>
    <w:rsid w:val="007E1DE2"/>
    <w:rsid w:val="007E4F05"/>
    <w:rsid w:val="008018CD"/>
    <w:rsid w:val="008133A0"/>
    <w:rsid w:val="00816694"/>
    <w:rsid w:val="00822526"/>
    <w:rsid w:val="00853D66"/>
    <w:rsid w:val="00871851"/>
    <w:rsid w:val="0087496B"/>
    <w:rsid w:val="00876B19"/>
    <w:rsid w:val="00881A4E"/>
    <w:rsid w:val="008A0D9E"/>
    <w:rsid w:val="008A73E4"/>
    <w:rsid w:val="008B2A5D"/>
    <w:rsid w:val="008F2599"/>
    <w:rsid w:val="00910391"/>
    <w:rsid w:val="00917165"/>
    <w:rsid w:val="00946B22"/>
    <w:rsid w:val="009760D7"/>
    <w:rsid w:val="009765A1"/>
    <w:rsid w:val="00982EE7"/>
    <w:rsid w:val="009A0B86"/>
    <w:rsid w:val="00A27D26"/>
    <w:rsid w:val="00A27D82"/>
    <w:rsid w:val="00A57641"/>
    <w:rsid w:val="00AD49AA"/>
    <w:rsid w:val="00AD5248"/>
    <w:rsid w:val="00AE5E42"/>
    <w:rsid w:val="00B04489"/>
    <w:rsid w:val="00B13808"/>
    <w:rsid w:val="00B200F3"/>
    <w:rsid w:val="00B439A3"/>
    <w:rsid w:val="00B535F7"/>
    <w:rsid w:val="00B54F29"/>
    <w:rsid w:val="00B73467"/>
    <w:rsid w:val="00B85F08"/>
    <w:rsid w:val="00B9715C"/>
    <w:rsid w:val="00BA14F5"/>
    <w:rsid w:val="00BC6FBB"/>
    <w:rsid w:val="00BE0168"/>
    <w:rsid w:val="00C1071F"/>
    <w:rsid w:val="00C46CF0"/>
    <w:rsid w:val="00C85959"/>
    <w:rsid w:val="00C97208"/>
    <w:rsid w:val="00CA4270"/>
    <w:rsid w:val="00CD3C48"/>
    <w:rsid w:val="00CE169A"/>
    <w:rsid w:val="00D1127E"/>
    <w:rsid w:val="00D12DFB"/>
    <w:rsid w:val="00D22DED"/>
    <w:rsid w:val="00D53F0B"/>
    <w:rsid w:val="00D5520C"/>
    <w:rsid w:val="00D5767F"/>
    <w:rsid w:val="00D708E1"/>
    <w:rsid w:val="00D76651"/>
    <w:rsid w:val="00D9505A"/>
    <w:rsid w:val="00DB355A"/>
    <w:rsid w:val="00DB4082"/>
    <w:rsid w:val="00DB7F49"/>
    <w:rsid w:val="00DC71F0"/>
    <w:rsid w:val="00DD3A10"/>
    <w:rsid w:val="00DD6392"/>
    <w:rsid w:val="00DD6699"/>
    <w:rsid w:val="00DE4639"/>
    <w:rsid w:val="00E07B59"/>
    <w:rsid w:val="00E15282"/>
    <w:rsid w:val="00E210FB"/>
    <w:rsid w:val="00E7404B"/>
    <w:rsid w:val="00E75E67"/>
    <w:rsid w:val="00EA12AF"/>
    <w:rsid w:val="00EC112A"/>
    <w:rsid w:val="00EE3A62"/>
    <w:rsid w:val="00EE5536"/>
    <w:rsid w:val="00F13906"/>
    <w:rsid w:val="00F71896"/>
    <w:rsid w:val="00F95ECF"/>
    <w:rsid w:val="00F968EB"/>
    <w:rsid w:val="00FA3D9A"/>
    <w:rsid w:val="00FC17B3"/>
    <w:rsid w:val="4742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66E1"/>
  <w15:chartTrackingRefBased/>
  <w15:docId w15:val="{9509523C-B97C-4A6C-9384-C2410531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B7"/>
    <w:pPr>
      <w:keepNext/>
      <w:spacing w:after="240" w:line="240" w:lineRule="auto"/>
      <w:jc w:val="both"/>
      <w:outlineLvl w:val="0"/>
    </w:pPr>
    <w:rPr>
      <w:rFonts w:ascii="Calibri" w:hAnsi="Calibri" w:cs="Arial"/>
      <w:b/>
      <w:bCs/>
      <w:i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3B7"/>
    <w:pPr>
      <w:keepNext/>
      <w:spacing w:after="240" w:line="240" w:lineRule="auto"/>
      <w:jc w:val="both"/>
      <w:outlineLvl w:val="1"/>
    </w:pPr>
    <w:rPr>
      <w:rFonts w:ascii="Calibri" w:hAnsi="Calibri" w:cs="Arial"/>
      <w:b/>
      <w:i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B7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93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3B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33B7"/>
    <w:rPr>
      <w:rFonts w:ascii="Calibri" w:hAnsi="Calibri" w:cs="Arial"/>
      <w:b/>
      <w:bCs/>
      <w:iCs/>
      <w:kern w:val="2"/>
      <w:sz w:val="32"/>
      <w:szCs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933B7"/>
    <w:rPr>
      <w:rFonts w:ascii="Calibri" w:hAnsi="Calibri" w:cs="Arial"/>
      <w:b/>
      <w:i/>
      <w:kern w:val="2"/>
      <w:sz w:val="28"/>
      <w:szCs w:val="28"/>
      <w14:ligatures w14:val="standardContextual"/>
    </w:rPr>
  </w:style>
  <w:style w:type="character" w:customStyle="1" w:styleId="COMTablefooterChar">
    <w:name w:val="COM Table footer Char"/>
    <w:link w:val="COMTablefooter"/>
    <w:locked/>
    <w:rsid w:val="00871851"/>
    <w:rPr>
      <w:rFonts w:ascii="Arial Narrow" w:hAnsi="Arial Narrow" w:cs="Arial"/>
      <w:sz w:val="18"/>
    </w:rPr>
  </w:style>
  <w:style w:type="paragraph" w:customStyle="1" w:styleId="COMTablefooter">
    <w:name w:val="COM Table footer"/>
    <w:basedOn w:val="Normal"/>
    <w:next w:val="Normal"/>
    <w:link w:val="COMTablefooterChar"/>
    <w:qFormat/>
    <w:rsid w:val="00871851"/>
    <w:pPr>
      <w:snapToGrid w:val="0"/>
      <w:spacing w:after="120" w:line="240" w:lineRule="auto"/>
      <w:contextualSpacing/>
      <w:jc w:val="both"/>
    </w:pPr>
    <w:rPr>
      <w:rFonts w:ascii="Arial Narrow" w:hAnsi="Arial Narrow" w:cs="Arial"/>
      <w:sz w:val="18"/>
    </w:rPr>
  </w:style>
  <w:style w:type="character" w:customStyle="1" w:styleId="COMTabletextChar">
    <w:name w:val="COM Table text Char"/>
    <w:basedOn w:val="DefaultParagraphFont"/>
    <w:link w:val="COMTabletext"/>
    <w:locked/>
    <w:rsid w:val="005626CF"/>
    <w:rPr>
      <w:rFonts w:ascii="Arial Narrow" w:eastAsiaTheme="majorEastAsia" w:hAnsi="Arial Narrow" w:cstheme="majorBidi"/>
      <w:bCs/>
      <w:szCs w:val="24"/>
    </w:rPr>
  </w:style>
  <w:style w:type="paragraph" w:customStyle="1" w:styleId="COMTabletext">
    <w:name w:val="COM Table text"/>
    <w:link w:val="COMTabletextChar"/>
    <w:qFormat/>
    <w:rsid w:val="005626CF"/>
    <w:pPr>
      <w:keepNext/>
      <w:spacing w:after="0" w:line="240" w:lineRule="auto"/>
    </w:pPr>
    <w:rPr>
      <w:rFonts w:ascii="Arial Narrow" w:eastAsiaTheme="majorEastAsia" w:hAnsi="Arial Narrow" w:cstheme="majorBidi"/>
      <w:bCs/>
      <w:szCs w:val="24"/>
    </w:rPr>
  </w:style>
  <w:style w:type="paragraph" w:customStyle="1" w:styleId="COMTableheadingrow">
    <w:name w:val="COM Table heading row"/>
    <w:qFormat/>
    <w:rsid w:val="005626CF"/>
    <w:pPr>
      <w:keepNext/>
      <w:spacing w:after="0" w:line="240" w:lineRule="auto"/>
    </w:pPr>
    <w:rPr>
      <w:rFonts w:ascii="Arial Narrow" w:eastAsiaTheme="majorEastAsia" w:hAnsi="Arial Narrow" w:cs="Times New Roman"/>
      <w:b/>
      <w:sz w:val="20"/>
      <w:szCs w:val="24"/>
      <w:lang w:val="en-US" w:eastAsia="en-AU"/>
    </w:rPr>
  </w:style>
  <w:style w:type="table" w:styleId="TableGrid">
    <w:name w:val="Table Grid"/>
    <w:basedOn w:val="TableNormal"/>
    <w:uiPriority w:val="39"/>
    <w:rsid w:val="005626C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5ECF"/>
    <w:pPr>
      <w:spacing w:after="0" w:line="240" w:lineRule="auto"/>
    </w:pPr>
  </w:style>
  <w:style w:type="paragraph" w:customStyle="1" w:styleId="Default">
    <w:name w:val="Default"/>
    <w:rsid w:val="00D95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B7"/>
  </w:style>
  <w:style w:type="paragraph" w:styleId="Footer">
    <w:name w:val="footer"/>
    <w:basedOn w:val="Normal"/>
    <w:link w:val="FooterChar"/>
    <w:uiPriority w:val="99"/>
    <w:unhideWhenUsed/>
    <w:rsid w:val="0068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CA1F-E48A-4579-B45F-2066024D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Lang</dc:creator>
  <cp:keywords/>
  <dc:description/>
  <cp:lastModifiedBy>DONOHUE, Maria</cp:lastModifiedBy>
  <cp:revision>4</cp:revision>
  <dcterms:created xsi:type="dcterms:W3CDTF">2024-05-30T01:33:00Z</dcterms:created>
  <dcterms:modified xsi:type="dcterms:W3CDTF">2024-05-30T01:44:00Z</dcterms:modified>
</cp:coreProperties>
</file>