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F848" w14:textId="77777777" w:rsidR="00784EF2" w:rsidRPr="00784EF2" w:rsidRDefault="00784EF2" w:rsidP="00784EF2">
      <w:pPr>
        <w:rPr>
          <w:rFonts w:ascii="Arial" w:hAnsi="Arial" w:cs="Arial"/>
          <w:sz w:val="18"/>
          <w:szCs w:val="18"/>
        </w:rPr>
      </w:pPr>
      <w:r w:rsidRPr="00784EF2">
        <w:rPr>
          <w:rFonts w:ascii="Arial" w:hAnsi="Arial" w:cs="Arial"/>
          <w:sz w:val="18"/>
          <w:szCs w:val="18"/>
        </w:rPr>
        <w:t>The PBAC outcomes and recommendations are presented in alphabetical order by drug name.</w:t>
      </w:r>
    </w:p>
    <w:p w14:paraId="0B00CF08" w14:textId="77777777" w:rsidR="00784EF2" w:rsidRPr="00784EF2" w:rsidRDefault="00784EF2" w:rsidP="00784EF2">
      <w:pPr>
        <w:rPr>
          <w:rFonts w:ascii="Arial" w:hAnsi="Arial" w:cs="Arial"/>
          <w:sz w:val="18"/>
          <w:szCs w:val="18"/>
        </w:rPr>
      </w:pPr>
    </w:p>
    <w:p w14:paraId="03A169D4" w14:textId="39131689" w:rsidR="00280050" w:rsidRDefault="00784EF2" w:rsidP="00784EF2">
      <w:pPr>
        <w:rPr>
          <w:rFonts w:ascii="Arial" w:hAnsi="Arial" w:cs="Arial"/>
          <w:i/>
          <w:iCs/>
          <w:sz w:val="18"/>
          <w:szCs w:val="18"/>
        </w:rPr>
      </w:pPr>
      <w:r w:rsidRPr="00784EF2">
        <w:rPr>
          <w:rFonts w:ascii="Arial" w:hAnsi="Arial" w:cs="Arial"/>
          <w:i/>
          <w:iCs/>
          <w:sz w:val="18"/>
          <w:szCs w:val="18"/>
        </w:rPr>
        <w:t>Submission items</w:t>
      </w:r>
    </w:p>
    <w:tbl>
      <w:tblPr>
        <w:tblStyle w:val="TableGrid"/>
        <w:tblW w:w="5000" w:type="pct"/>
        <w:tblLook w:val="04A0" w:firstRow="1" w:lastRow="0" w:firstColumn="1" w:lastColumn="0" w:noHBand="0" w:noVBand="1"/>
      </w:tblPr>
      <w:tblGrid>
        <w:gridCol w:w="3168"/>
        <w:gridCol w:w="1857"/>
        <w:gridCol w:w="3651"/>
        <w:gridCol w:w="1844"/>
        <w:gridCol w:w="4868"/>
      </w:tblGrid>
      <w:tr w:rsidR="00784EF2" w:rsidRPr="000A3B17" w14:paraId="41527F63" w14:textId="77777777" w:rsidTr="00683B8E">
        <w:trPr>
          <w:tblHeader/>
        </w:trPr>
        <w:tc>
          <w:tcPr>
            <w:tcW w:w="1041" w:type="pct"/>
            <w:vAlign w:val="center"/>
          </w:tcPr>
          <w:p w14:paraId="5ABDE6DC" w14:textId="113165C5" w:rsidR="00784EF2" w:rsidRPr="000A3B17" w:rsidRDefault="00784EF2" w:rsidP="00784EF2">
            <w:pPr>
              <w:jc w:val="center"/>
              <w:rPr>
                <w:rFonts w:ascii="Arial" w:hAnsi="Arial" w:cs="Arial"/>
                <w:i/>
                <w:iCs/>
                <w:sz w:val="20"/>
                <w:szCs w:val="20"/>
              </w:rPr>
            </w:pPr>
            <w:r w:rsidRPr="000A3B17">
              <w:rPr>
                <w:rFonts w:ascii="Arial" w:hAnsi="Arial" w:cs="Arial"/>
                <w:b/>
                <w:sz w:val="20"/>
                <w:szCs w:val="20"/>
              </w:rPr>
              <w:t>DRUG NAME, FORM(S), STRENGTH(S), SPONSOR, TYPE OF SUBMISSION</w:t>
            </w:r>
          </w:p>
        </w:tc>
        <w:tc>
          <w:tcPr>
            <w:tcW w:w="615" w:type="pct"/>
            <w:vAlign w:val="center"/>
          </w:tcPr>
          <w:p w14:paraId="424E648E" w14:textId="2F19FD60" w:rsidR="00784EF2" w:rsidRPr="000A3B17" w:rsidRDefault="00784EF2" w:rsidP="00784EF2">
            <w:pPr>
              <w:jc w:val="center"/>
              <w:rPr>
                <w:rFonts w:ascii="Arial" w:hAnsi="Arial" w:cs="Arial"/>
                <w:i/>
                <w:iCs/>
                <w:sz w:val="20"/>
                <w:szCs w:val="20"/>
              </w:rPr>
            </w:pPr>
            <w:r w:rsidRPr="000A3B17">
              <w:rPr>
                <w:rFonts w:ascii="Arial" w:hAnsi="Arial" w:cs="Arial"/>
                <w:b/>
                <w:snapToGrid w:val="0"/>
                <w:sz w:val="20"/>
                <w:szCs w:val="20"/>
              </w:rPr>
              <w:t>DRUG TYPE AND USE</w:t>
            </w:r>
          </w:p>
        </w:tc>
        <w:tc>
          <w:tcPr>
            <w:tcW w:w="1198" w:type="pct"/>
            <w:vAlign w:val="center"/>
          </w:tcPr>
          <w:p w14:paraId="5474853C" w14:textId="131A184E" w:rsidR="00784EF2" w:rsidRPr="000A3B17" w:rsidRDefault="00784EF2" w:rsidP="000A3B17">
            <w:pPr>
              <w:jc w:val="center"/>
              <w:rPr>
                <w:rFonts w:ascii="Arial" w:hAnsi="Arial" w:cs="Arial"/>
                <w:i/>
                <w:iCs/>
                <w:sz w:val="20"/>
                <w:szCs w:val="20"/>
              </w:rPr>
            </w:pPr>
            <w:r w:rsidRPr="000A3B17">
              <w:rPr>
                <w:rFonts w:ascii="Arial" w:hAnsi="Arial" w:cs="Arial"/>
                <w:b/>
                <w:snapToGrid w:val="0"/>
                <w:sz w:val="20"/>
                <w:szCs w:val="20"/>
              </w:rPr>
              <w:t>LISTING REQUESTED BY SPONSOR / PURPOSE OF SUBMISSION</w:t>
            </w:r>
          </w:p>
        </w:tc>
        <w:tc>
          <w:tcPr>
            <w:tcW w:w="2146" w:type="pct"/>
            <w:gridSpan w:val="2"/>
            <w:vAlign w:val="center"/>
          </w:tcPr>
          <w:p w14:paraId="15282CFC" w14:textId="6B23264D" w:rsidR="00784EF2" w:rsidRPr="000A3B17" w:rsidRDefault="00784EF2" w:rsidP="00784EF2">
            <w:pPr>
              <w:jc w:val="center"/>
              <w:rPr>
                <w:rFonts w:ascii="Arial" w:hAnsi="Arial" w:cs="Arial"/>
                <w:i/>
                <w:iCs/>
                <w:sz w:val="20"/>
                <w:szCs w:val="20"/>
              </w:rPr>
            </w:pPr>
            <w:r w:rsidRPr="000A3B17">
              <w:rPr>
                <w:rFonts w:ascii="Arial" w:hAnsi="Arial" w:cs="Arial"/>
                <w:b/>
                <w:snapToGrid w:val="0"/>
                <w:sz w:val="20"/>
                <w:szCs w:val="20"/>
              </w:rPr>
              <w:t>PBAC OUTCOME</w:t>
            </w:r>
          </w:p>
        </w:tc>
      </w:tr>
      <w:tr w:rsidR="00683B8E" w:rsidRPr="000A3B17" w14:paraId="41260496" w14:textId="77777777" w:rsidTr="00683B8E">
        <w:tc>
          <w:tcPr>
            <w:tcW w:w="1041" w:type="pct"/>
            <w:vAlign w:val="center"/>
          </w:tcPr>
          <w:p w14:paraId="14EDC984" w14:textId="64314E84" w:rsidR="00826E4C" w:rsidRPr="000A3B17" w:rsidRDefault="00826E4C" w:rsidP="00E2798D">
            <w:pPr>
              <w:jc w:val="center"/>
              <w:rPr>
                <w:rFonts w:ascii="Arial" w:hAnsi="Arial" w:cs="Arial"/>
                <w:i/>
                <w:iCs/>
              </w:rPr>
            </w:pPr>
            <w:r w:rsidRPr="000A3B17">
              <w:rPr>
                <w:rFonts w:ascii="Arial" w:hAnsi="Arial" w:cs="Arial"/>
                <w:color w:val="000000"/>
              </w:rPr>
              <w:t>ADALIMUMAB</w:t>
            </w:r>
            <w:r w:rsidRPr="000A3B17">
              <w:rPr>
                <w:rFonts w:ascii="Arial" w:hAnsi="Arial" w:cs="Arial"/>
                <w:color w:val="000000"/>
              </w:rPr>
              <w:br/>
            </w:r>
            <w:r w:rsidRPr="000A3B17">
              <w:rPr>
                <w:rFonts w:ascii="Arial" w:hAnsi="Arial" w:cs="Arial"/>
                <w:color w:val="000000"/>
              </w:rPr>
              <w:br/>
              <w:t>Injection 20 mg in 0.2 mL pre-filled syringe</w:t>
            </w:r>
            <w:r w:rsidRPr="000A3B17">
              <w:rPr>
                <w:rFonts w:ascii="Arial" w:hAnsi="Arial" w:cs="Arial"/>
                <w:color w:val="000000"/>
              </w:rPr>
              <w:br/>
              <w:t>Injection 40 mg in 0.4 mL pre-filled syringe</w:t>
            </w:r>
            <w:r w:rsidRPr="000A3B17">
              <w:rPr>
                <w:rFonts w:ascii="Arial" w:hAnsi="Arial" w:cs="Arial"/>
                <w:color w:val="000000"/>
              </w:rPr>
              <w:br/>
              <w:t>Injection 40 mg in 0.4 mL pre-filled pen</w:t>
            </w:r>
            <w:r w:rsidRPr="000A3B17">
              <w:rPr>
                <w:rFonts w:ascii="Arial" w:hAnsi="Arial" w:cs="Arial"/>
                <w:color w:val="000000"/>
              </w:rPr>
              <w:br/>
              <w:t>Injection 80 mg in 0.8 mL pre-filled syringe</w:t>
            </w:r>
            <w:r w:rsidRPr="000A3B17">
              <w:rPr>
                <w:rFonts w:ascii="Arial" w:hAnsi="Arial" w:cs="Arial"/>
                <w:color w:val="000000"/>
              </w:rPr>
              <w:br/>
              <w:t>Injection 80 mg in 0.8 mL pre-filled pen</w:t>
            </w:r>
            <w:r w:rsidRPr="000A3B17">
              <w:rPr>
                <w:rFonts w:ascii="Arial" w:hAnsi="Arial" w:cs="Arial"/>
                <w:color w:val="000000"/>
              </w:rPr>
              <w:br/>
            </w:r>
            <w:r w:rsidRPr="000A3B17">
              <w:rPr>
                <w:rFonts w:ascii="Arial" w:hAnsi="Arial" w:cs="Arial"/>
                <w:color w:val="000000"/>
              </w:rPr>
              <w:br/>
              <w:t>Humira</w:t>
            </w:r>
            <w:r w:rsidR="00F03FCF" w:rsidRPr="00E2798D">
              <w:rPr>
                <w:rFonts w:ascii="Arial" w:hAnsi="Arial" w:cs="Arial"/>
                <w:color w:val="000000"/>
                <w:vertAlign w:val="superscript"/>
              </w:rPr>
              <w:t>®</w:t>
            </w:r>
            <w:r w:rsidRPr="000A3B17">
              <w:rPr>
                <w:rFonts w:ascii="Arial" w:hAnsi="Arial" w:cs="Arial"/>
                <w:color w:val="000000"/>
              </w:rPr>
              <w:br/>
            </w:r>
            <w:r w:rsidRPr="000A3B17">
              <w:rPr>
                <w:rFonts w:ascii="Arial" w:hAnsi="Arial" w:cs="Arial"/>
                <w:color w:val="000000"/>
              </w:rPr>
              <w:br/>
              <w:t>ABBVIE PTY LTD</w:t>
            </w:r>
            <w:r w:rsidRPr="000A3B17">
              <w:rPr>
                <w:rFonts w:ascii="Arial" w:hAnsi="Arial" w:cs="Arial"/>
                <w:color w:val="000000"/>
              </w:rPr>
              <w:br/>
            </w:r>
            <w:r w:rsidRPr="000A3B17">
              <w:rPr>
                <w:rFonts w:ascii="Arial" w:hAnsi="Arial" w:cs="Arial"/>
                <w:color w:val="000000"/>
              </w:rPr>
              <w:br/>
              <w:t>(Matters Outstanding)</w:t>
            </w:r>
          </w:p>
        </w:tc>
        <w:tc>
          <w:tcPr>
            <w:tcW w:w="615" w:type="pct"/>
            <w:vAlign w:val="center"/>
          </w:tcPr>
          <w:p w14:paraId="01588A8C" w14:textId="424A48AE" w:rsidR="00826E4C" w:rsidRPr="000A3B17" w:rsidRDefault="00826E4C" w:rsidP="00E2798D">
            <w:pPr>
              <w:jc w:val="center"/>
              <w:rPr>
                <w:rFonts w:ascii="Arial" w:hAnsi="Arial" w:cs="Arial"/>
                <w:i/>
                <w:iCs/>
              </w:rPr>
            </w:pPr>
            <w:r w:rsidRPr="000A3B17">
              <w:rPr>
                <w:rFonts w:ascii="Arial" w:hAnsi="Arial" w:cs="Arial"/>
                <w:color w:val="000000"/>
              </w:rPr>
              <w:t>Immune-mediated inflammatory diseases (IMID)</w:t>
            </w:r>
          </w:p>
        </w:tc>
        <w:tc>
          <w:tcPr>
            <w:tcW w:w="1198" w:type="pct"/>
            <w:vAlign w:val="center"/>
          </w:tcPr>
          <w:p w14:paraId="3CC7DC2D" w14:textId="23952347" w:rsidR="00826E4C" w:rsidRPr="000A3B17" w:rsidRDefault="00826E4C" w:rsidP="000A3B17">
            <w:pPr>
              <w:jc w:val="left"/>
              <w:rPr>
                <w:rFonts w:ascii="Arial" w:hAnsi="Arial" w:cs="Arial"/>
                <w:i/>
                <w:iCs/>
              </w:rPr>
            </w:pPr>
            <w:r w:rsidRPr="000A3B17">
              <w:rPr>
                <w:rFonts w:ascii="Arial" w:hAnsi="Arial" w:cs="Arial"/>
                <w:color w:val="000000"/>
              </w:rPr>
              <w:t>To consider:</w:t>
            </w:r>
            <w:r w:rsidRPr="000A3B17">
              <w:rPr>
                <w:rFonts w:ascii="Arial" w:hAnsi="Arial" w:cs="Arial"/>
                <w:color w:val="000000"/>
              </w:rPr>
              <w:br/>
              <w:t>- advice provided by clinical groups on the current Pharmaceutical Benefits Scheme (PBS) listings and eligibility criteria for adalimumab (Humira) and whether they reflect current evidence and practice in the management of paediatric immune-mediated inflammatory disease (IMID).</w:t>
            </w:r>
            <w:r w:rsidRPr="000A3B17">
              <w:rPr>
                <w:rFonts w:ascii="Arial" w:hAnsi="Arial" w:cs="Arial"/>
                <w:color w:val="000000"/>
              </w:rPr>
              <w:br/>
              <w:t>- revised PBS listings of Humira proposed for paediatric IMID conditions for which there is evidence for the use of adalimumab.</w:t>
            </w:r>
          </w:p>
        </w:tc>
        <w:tc>
          <w:tcPr>
            <w:tcW w:w="553" w:type="pct"/>
            <w:vAlign w:val="center"/>
          </w:tcPr>
          <w:p w14:paraId="6714B43F" w14:textId="583503EA" w:rsidR="00826E4C" w:rsidRPr="000A3B17" w:rsidRDefault="00826E4C" w:rsidP="00826E4C">
            <w:pPr>
              <w:rPr>
                <w:rFonts w:ascii="Arial" w:hAnsi="Arial" w:cs="Arial"/>
                <w:i/>
                <w:iCs/>
              </w:rPr>
            </w:pPr>
            <w:r w:rsidRPr="000A3B17">
              <w:rPr>
                <w:rFonts w:ascii="Arial" w:hAnsi="Arial" w:cs="Arial"/>
                <w:color w:val="000000"/>
              </w:rPr>
              <w:t>Recommended</w:t>
            </w:r>
          </w:p>
        </w:tc>
        <w:tc>
          <w:tcPr>
            <w:tcW w:w="1593" w:type="pct"/>
            <w:vAlign w:val="center"/>
          </w:tcPr>
          <w:p w14:paraId="5A56707B" w14:textId="149356C5" w:rsidR="00826E4C" w:rsidRPr="00683B8E" w:rsidRDefault="00826E4C" w:rsidP="00E2798D">
            <w:pPr>
              <w:keepNext/>
              <w:keepLines/>
              <w:widowControl w:val="0"/>
              <w:jc w:val="left"/>
              <w:rPr>
                <w:rFonts w:ascii="Arial" w:hAnsi="Arial" w:cs="Arial"/>
                <w:color w:val="000000"/>
              </w:rPr>
            </w:pPr>
            <w:r w:rsidRPr="000A3B17">
              <w:rPr>
                <w:rFonts w:ascii="Arial" w:hAnsi="Arial" w:cs="Arial"/>
                <w:color w:val="000000"/>
              </w:rPr>
              <w:t>The PBAC recommended new listings for adalimumab for enthesitis/spondylitis related juvenile idiopathic arthritis (JIA) and chronic plaque psoriasis for paediatric patients, and recommended changes to the current listings for adalimumab for moderate to severe ulcerative colitis, severe Crohn disease and JIA for paediatric patients to reflect current evidence and practice in managing these conditions.</w:t>
            </w:r>
            <w:r w:rsidR="00351E46" w:rsidRPr="000A3B17">
              <w:rPr>
                <w:rFonts w:ascii="Arial" w:hAnsi="Arial" w:cs="Arial"/>
                <w:color w:val="000000"/>
              </w:rPr>
              <w:t xml:space="preserve"> The PBAC recalled that at its March 2024 meeting it had requested that advice be sought from clinical groups on the current PBS listings for adalimumab for paediatric patients, and that these listings be revised where necessary to reflect current evidence and</w:t>
            </w:r>
            <w:r w:rsidR="00683B8E" w:rsidRPr="000A3B17">
              <w:rPr>
                <w:rFonts w:ascii="Arial" w:hAnsi="Arial" w:cs="Arial"/>
                <w:color w:val="000000"/>
              </w:rPr>
              <w:t xml:space="preserve"> practice based on this advice. </w:t>
            </w:r>
            <w:r w:rsidR="00683B8E" w:rsidRPr="000A3B17">
              <w:rPr>
                <w:rFonts w:ascii="Arial" w:hAnsi="Arial" w:cs="Arial"/>
                <w:color w:val="000000"/>
              </w:rPr>
              <w:br/>
            </w:r>
            <w:r w:rsidR="00683B8E" w:rsidRPr="000A3B17">
              <w:rPr>
                <w:rFonts w:ascii="Arial" w:hAnsi="Arial" w:cs="Arial"/>
                <w:color w:val="000000"/>
              </w:rPr>
              <w:br/>
              <w:t>The PBAC acknowledged the comprehensive advice received from clinical groups and clinicians from rheumatology, gastroenterology and dermatology specialties. Based on this advice, the PBAC recommended:</w:t>
            </w:r>
          </w:p>
        </w:tc>
      </w:tr>
      <w:tr w:rsidR="00683B8E" w:rsidRPr="000A3B17" w14:paraId="09698500" w14:textId="77777777" w:rsidTr="00683B8E">
        <w:tc>
          <w:tcPr>
            <w:tcW w:w="1041" w:type="pct"/>
          </w:tcPr>
          <w:p w14:paraId="6A8AC987" w14:textId="77777777" w:rsidR="00826E4C" w:rsidRPr="000A3B17" w:rsidRDefault="00826E4C" w:rsidP="00784EF2">
            <w:pPr>
              <w:rPr>
                <w:rFonts w:ascii="Arial" w:hAnsi="Arial" w:cs="Arial"/>
                <w:i/>
                <w:iCs/>
              </w:rPr>
            </w:pPr>
          </w:p>
        </w:tc>
        <w:tc>
          <w:tcPr>
            <w:tcW w:w="615" w:type="pct"/>
          </w:tcPr>
          <w:p w14:paraId="6962347B" w14:textId="77777777" w:rsidR="00826E4C" w:rsidRPr="000A3B17" w:rsidRDefault="00826E4C" w:rsidP="00784EF2">
            <w:pPr>
              <w:rPr>
                <w:rFonts w:ascii="Arial" w:hAnsi="Arial" w:cs="Arial"/>
                <w:i/>
                <w:iCs/>
              </w:rPr>
            </w:pPr>
          </w:p>
        </w:tc>
        <w:tc>
          <w:tcPr>
            <w:tcW w:w="1198" w:type="pct"/>
          </w:tcPr>
          <w:p w14:paraId="778436DC" w14:textId="77777777" w:rsidR="00826E4C" w:rsidRPr="000A3B17" w:rsidRDefault="00826E4C" w:rsidP="000A3B17">
            <w:pPr>
              <w:jc w:val="left"/>
              <w:rPr>
                <w:rFonts w:ascii="Arial" w:hAnsi="Arial" w:cs="Arial"/>
                <w:i/>
                <w:iCs/>
              </w:rPr>
            </w:pPr>
          </w:p>
        </w:tc>
        <w:tc>
          <w:tcPr>
            <w:tcW w:w="553" w:type="pct"/>
          </w:tcPr>
          <w:p w14:paraId="1A26F6E9" w14:textId="77777777" w:rsidR="00826E4C" w:rsidRPr="000A3B17" w:rsidRDefault="00826E4C" w:rsidP="00784EF2">
            <w:pPr>
              <w:rPr>
                <w:rFonts w:ascii="Arial" w:hAnsi="Arial" w:cs="Arial"/>
                <w:i/>
                <w:iCs/>
              </w:rPr>
            </w:pPr>
          </w:p>
        </w:tc>
        <w:tc>
          <w:tcPr>
            <w:tcW w:w="1593" w:type="pct"/>
          </w:tcPr>
          <w:p w14:paraId="5362C19B" w14:textId="77777777" w:rsidR="00351E46" w:rsidRPr="000A3B17" w:rsidRDefault="00351E46" w:rsidP="00351E46">
            <w:pPr>
              <w:pStyle w:val="ListParagraph"/>
              <w:keepNext/>
              <w:keepLines/>
              <w:widowControl w:val="0"/>
              <w:numPr>
                <w:ilvl w:val="0"/>
                <w:numId w:val="6"/>
              </w:numPr>
              <w:spacing w:after="0"/>
              <w:contextualSpacing/>
              <w:jc w:val="left"/>
              <w:rPr>
                <w:rFonts w:ascii="Arial" w:hAnsi="Arial"/>
                <w:color w:val="000000"/>
              </w:rPr>
            </w:pPr>
            <w:r w:rsidRPr="000A3B17">
              <w:rPr>
                <w:rFonts w:ascii="Arial" w:hAnsi="Arial"/>
                <w:color w:val="000000"/>
              </w:rPr>
              <w:t>new listings for adalimumab for enthesitis/spondylitis related JIA and chronic plaque psoriasis for paediatric patients.</w:t>
            </w:r>
          </w:p>
          <w:p w14:paraId="0EAA2C21" w14:textId="77777777" w:rsidR="00351E46" w:rsidRPr="000A3B17" w:rsidRDefault="00351E46" w:rsidP="00351E46">
            <w:pPr>
              <w:pStyle w:val="ListParagraph"/>
              <w:keepNext/>
              <w:keepLines/>
              <w:widowControl w:val="0"/>
              <w:numPr>
                <w:ilvl w:val="0"/>
                <w:numId w:val="6"/>
              </w:numPr>
              <w:spacing w:after="0"/>
              <w:contextualSpacing/>
              <w:jc w:val="left"/>
              <w:rPr>
                <w:rFonts w:ascii="Arial" w:hAnsi="Arial"/>
                <w:color w:val="000000"/>
              </w:rPr>
            </w:pPr>
            <w:r w:rsidRPr="000A3B17">
              <w:rPr>
                <w:rFonts w:ascii="Arial" w:hAnsi="Arial"/>
                <w:color w:val="000000"/>
              </w:rPr>
              <w:t>the current PBS listings for adalimumab for moderate to severe ulcerative colitis and severe Crohn disease be changed to allow dose escalation and more flexible dosing.</w:t>
            </w:r>
          </w:p>
          <w:p w14:paraId="316BB924" w14:textId="77777777" w:rsidR="00351E46" w:rsidRPr="000A3B17" w:rsidRDefault="00351E46" w:rsidP="00351E46">
            <w:pPr>
              <w:pStyle w:val="ListParagraph"/>
              <w:keepNext/>
              <w:keepLines/>
              <w:widowControl w:val="0"/>
              <w:numPr>
                <w:ilvl w:val="0"/>
                <w:numId w:val="6"/>
              </w:numPr>
              <w:spacing w:after="0"/>
              <w:contextualSpacing/>
              <w:jc w:val="left"/>
              <w:rPr>
                <w:rFonts w:ascii="Arial" w:hAnsi="Arial"/>
                <w:color w:val="000000"/>
              </w:rPr>
            </w:pPr>
            <w:r w:rsidRPr="000A3B17">
              <w:rPr>
                <w:rFonts w:ascii="Arial" w:hAnsi="Arial"/>
                <w:color w:val="000000"/>
              </w:rPr>
              <w:t>the clinical criteria for adalimumab for paediatric patients with severe Crohn disease be changed to facilitate access to paediatric patients with extensive small bowel disease.</w:t>
            </w:r>
          </w:p>
          <w:p w14:paraId="0CAA7B0A" w14:textId="77777777" w:rsidR="00351E46" w:rsidRPr="000A3B17" w:rsidRDefault="00351E46" w:rsidP="00351E46">
            <w:pPr>
              <w:pStyle w:val="ListParagraph"/>
              <w:keepNext/>
              <w:keepLines/>
              <w:widowControl w:val="0"/>
              <w:numPr>
                <w:ilvl w:val="0"/>
                <w:numId w:val="6"/>
              </w:numPr>
              <w:spacing w:after="0"/>
              <w:contextualSpacing/>
              <w:jc w:val="left"/>
              <w:rPr>
                <w:rFonts w:ascii="Arial" w:hAnsi="Arial"/>
                <w:color w:val="000000"/>
              </w:rPr>
            </w:pPr>
            <w:r w:rsidRPr="000A3B17">
              <w:rPr>
                <w:rFonts w:ascii="Arial" w:hAnsi="Arial"/>
                <w:color w:val="000000"/>
              </w:rPr>
              <w:t>changes to the clinical criteria of the current PBS listings for adalimumab for severe active JIA to include a reduced methotrexate dose (15 mg per square metre) as prior treatment, and changes to the Prescribing Instructions for the criteria indicating failure to achieve an adequate response.</w:t>
            </w:r>
          </w:p>
          <w:p w14:paraId="033EE3C3" w14:textId="77777777" w:rsidR="00351E46" w:rsidRPr="000A3B17" w:rsidRDefault="00351E46" w:rsidP="00351E46">
            <w:pPr>
              <w:pStyle w:val="ListParagraph"/>
              <w:keepNext/>
              <w:keepLines/>
              <w:widowControl w:val="0"/>
              <w:numPr>
                <w:ilvl w:val="0"/>
                <w:numId w:val="6"/>
              </w:numPr>
              <w:spacing w:after="0"/>
              <w:contextualSpacing/>
              <w:jc w:val="left"/>
              <w:rPr>
                <w:rFonts w:ascii="Arial" w:hAnsi="Arial"/>
                <w:color w:val="000000"/>
              </w:rPr>
            </w:pPr>
            <w:r w:rsidRPr="000A3B17">
              <w:rPr>
                <w:rFonts w:ascii="Arial" w:hAnsi="Arial"/>
                <w:color w:val="000000"/>
              </w:rPr>
              <w:t>that subsequent continuing treatment PBS listings for adalimumab for all conditions for paediatric patients be changed to Authority Required (STREAMLINED) listings.</w:t>
            </w:r>
          </w:p>
          <w:p w14:paraId="1EB45B00" w14:textId="77777777" w:rsidR="00351E46" w:rsidRPr="000A3B17" w:rsidRDefault="00351E46" w:rsidP="00351E46">
            <w:pPr>
              <w:keepNext/>
              <w:keepLines/>
              <w:widowControl w:val="0"/>
              <w:rPr>
                <w:rFonts w:ascii="Arial" w:hAnsi="Arial" w:cs="Arial"/>
                <w:color w:val="000000"/>
              </w:rPr>
            </w:pPr>
          </w:p>
          <w:p w14:paraId="64FB760F" w14:textId="77777777" w:rsidR="00E2798D" w:rsidRDefault="00E2798D" w:rsidP="00E2798D">
            <w:pPr>
              <w:jc w:val="left"/>
              <w:rPr>
                <w:rFonts w:ascii="Arial" w:hAnsi="Arial" w:cs="Arial"/>
                <w:color w:val="000000" w:themeColor="text1"/>
              </w:rPr>
            </w:pPr>
          </w:p>
          <w:p w14:paraId="26399082" w14:textId="4F17F414" w:rsidR="00826E4C" w:rsidRPr="000A3B17" w:rsidRDefault="00351E46" w:rsidP="00E2798D">
            <w:pPr>
              <w:jc w:val="left"/>
              <w:rPr>
                <w:rFonts w:ascii="Arial" w:hAnsi="Arial" w:cs="Arial"/>
                <w:i/>
                <w:iCs/>
              </w:rPr>
            </w:pPr>
            <w:r w:rsidRPr="000A3B17">
              <w:rPr>
                <w:rFonts w:ascii="Arial" w:hAnsi="Arial" w:cs="Arial"/>
                <w:color w:val="000000" w:themeColor="text1"/>
              </w:rPr>
              <w:lastRenderedPageBreak/>
              <w:t>The PBAC advised that these new and revised listings were acceptable at the current price.</w:t>
            </w:r>
            <w:r w:rsidRPr="000A3B17">
              <w:rPr>
                <w:rFonts w:ascii="Arial" w:hAnsi="Arial" w:cs="Arial"/>
              </w:rPr>
              <w:br/>
            </w:r>
            <w:r w:rsidRPr="000A3B17">
              <w:rPr>
                <w:rFonts w:ascii="Arial" w:hAnsi="Arial" w:cs="Arial"/>
              </w:rPr>
              <w:br/>
            </w:r>
            <w:r w:rsidRPr="000A3B17">
              <w:rPr>
                <w:rFonts w:ascii="Arial" w:hAnsi="Arial" w:cs="Arial"/>
                <w:color w:val="000000" w:themeColor="text1"/>
              </w:rPr>
              <w:t>The PBAC recommended that, for current PBS listings for adalimumab where changes have been recommended, biosimilars currently listed for these indications be included in these revised listings. The PBAC recommended that, for the recommended new listings for adalimumab for paediatric patients, biosimilars that are TGA-registered for these indications be included in these listings.</w:t>
            </w:r>
            <w:r w:rsidRPr="000A3B17">
              <w:rPr>
                <w:rFonts w:ascii="Arial" w:hAnsi="Arial" w:cs="Arial"/>
              </w:rPr>
              <w:br/>
            </w:r>
            <w:r w:rsidRPr="000A3B17">
              <w:rPr>
                <w:rFonts w:ascii="Arial" w:hAnsi="Arial" w:cs="Arial"/>
              </w:rPr>
              <w:br/>
            </w:r>
            <w:r w:rsidRPr="000A3B17">
              <w:rPr>
                <w:rFonts w:ascii="Arial" w:hAnsi="Arial" w:cs="Arial"/>
                <w:color w:val="000000" w:themeColor="text1"/>
              </w:rPr>
              <w:t>The PBAC recommended the changes to the severe Crohn disease listing to support access for patients who have extensive small bowel disease be flowed on to infliximab listings, and that the changes to the severe JIA listing be flowed on to etanercept, tocilizumab and tofacitinib listings, for the same indications for paediatric patients.</w:t>
            </w:r>
          </w:p>
        </w:tc>
      </w:tr>
      <w:tr w:rsidR="00683B8E" w:rsidRPr="000A3B17" w14:paraId="20F865CA" w14:textId="77777777" w:rsidTr="00E2798D">
        <w:trPr>
          <w:cantSplit/>
        </w:trPr>
        <w:tc>
          <w:tcPr>
            <w:tcW w:w="1041" w:type="pct"/>
            <w:vAlign w:val="center"/>
          </w:tcPr>
          <w:p w14:paraId="30200633" w14:textId="2BB2B58D" w:rsidR="009F2937" w:rsidRPr="000A3B17" w:rsidRDefault="009F2937" w:rsidP="00E2798D">
            <w:pPr>
              <w:jc w:val="center"/>
              <w:rPr>
                <w:rFonts w:ascii="Arial" w:hAnsi="Arial" w:cs="Arial"/>
                <w:i/>
                <w:iCs/>
              </w:rPr>
            </w:pPr>
            <w:r w:rsidRPr="000A3B17">
              <w:rPr>
                <w:rFonts w:ascii="Arial" w:hAnsi="Arial" w:cs="Arial"/>
                <w:color w:val="000000"/>
              </w:rPr>
              <w:lastRenderedPageBreak/>
              <w:t>ARIPIPRAZOLE</w:t>
            </w:r>
            <w:r w:rsidRPr="000A3B17">
              <w:rPr>
                <w:rFonts w:ascii="Arial" w:hAnsi="Arial" w:cs="Arial"/>
                <w:color w:val="000000"/>
              </w:rPr>
              <w:br/>
            </w:r>
            <w:r w:rsidRPr="000A3B17">
              <w:rPr>
                <w:rFonts w:ascii="Arial" w:hAnsi="Arial" w:cs="Arial"/>
                <w:color w:val="000000"/>
              </w:rPr>
              <w:br/>
              <w:t>I.M. injection (modified release) 720 mg in 2.4 mL pre-filled syringe,</w:t>
            </w:r>
            <w:r w:rsidRPr="000A3B17">
              <w:rPr>
                <w:rFonts w:ascii="Arial" w:hAnsi="Arial" w:cs="Arial"/>
                <w:color w:val="000000"/>
              </w:rPr>
              <w:br/>
              <w:t>I.M. injection (modified release) 960 mg in 3.2 mL pre-filled syringe</w:t>
            </w:r>
            <w:r w:rsidRPr="000A3B17">
              <w:rPr>
                <w:rFonts w:ascii="Arial" w:hAnsi="Arial" w:cs="Arial"/>
                <w:color w:val="000000"/>
              </w:rPr>
              <w:br/>
            </w:r>
            <w:r w:rsidRPr="000A3B17">
              <w:rPr>
                <w:rFonts w:ascii="Arial" w:hAnsi="Arial" w:cs="Arial"/>
                <w:color w:val="000000"/>
              </w:rPr>
              <w:br/>
              <w:t>Abilify Asimtufii®</w:t>
            </w:r>
            <w:r w:rsidRPr="000A3B17">
              <w:rPr>
                <w:rFonts w:ascii="Arial" w:hAnsi="Arial" w:cs="Arial"/>
                <w:color w:val="000000"/>
              </w:rPr>
              <w:br/>
            </w:r>
            <w:r w:rsidRPr="000A3B17">
              <w:rPr>
                <w:rFonts w:ascii="Arial" w:hAnsi="Arial" w:cs="Arial"/>
                <w:color w:val="000000"/>
              </w:rPr>
              <w:br/>
              <w:t>Lundbeck Australia Pty Ltd</w:t>
            </w:r>
            <w:r w:rsidRPr="000A3B17">
              <w:rPr>
                <w:rFonts w:ascii="Arial" w:hAnsi="Arial" w:cs="Arial"/>
                <w:color w:val="000000"/>
              </w:rPr>
              <w:br/>
            </w:r>
            <w:r w:rsidRPr="000A3B17">
              <w:rPr>
                <w:rFonts w:ascii="Arial" w:hAnsi="Arial" w:cs="Arial"/>
                <w:color w:val="000000"/>
              </w:rPr>
              <w:br/>
              <w:t>(New listing)</w:t>
            </w:r>
          </w:p>
        </w:tc>
        <w:tc>
          <w:tcPr>
            <w:tcW w:w="615" w:type="pct"/>
            <w:vAlign w:val="center"/>
          </w:tcPr>
          <w:p w14:paraId="579AAB04" w14:textId="01EBBA31" w:rsidR="009F2937" w:rsidRPr="000A3B17" w:rsidRDefault="009F2937" w:rsidP="00E2798D">
            <w:pPr>
              <w:jc w:val="center"/>
              <w:rPr>
                <w:rFonts w:ascii="Arial" w:hAnsi="Arial" w:cs="Arial"/>
                <w:i/>
                <w:iCs/>
              </w:rPr>
            </w:pPr>
            <w:r w:rsidRPr="000A3B17">
              <w:rPr>
                <w:rFonts w:ascii="Arial" w:hAnsi="Arial" w:cs="Arial"/>
                <w:color w:val="000000"/>
              </w:rPr>
              <w:t>Long acting injectable form of aripiprazole for schizophrenia</w:t>
            </w:r>
          </w:p>
        </w:tc>
        <w:tc>
          <w:tcPr>
            <w:tcW w:w="1198" w:type="pct"/>
            <w:vAlign w:val="center"/>
          </w:tcPr>
          <w:p w14:paraId="639FA625" w14:textId="4B52A6B8" w:rsidR="009F2937" w:rsidRPr="000A3B17" w:rsidRDefault="009F2937" w:rsidP="000A3B17">
            <w:pPr>
              <w:jc w:val="left"/>
              <w:rPr>
                <w:rFonts w:ascii="Arial" w:hAnsi="Arial" w:cs="Arial"/>
                <w:i/>
                <w:iCs/>
              </w:rPr>
            </w:pPr>
            <w:r w:rsidRPr="000A3B17">
              <w:rPr>
                <w:rFonts w:ascii="Arial" w:hAnsi="Arial" w:cs="Arial"/>
                <w:color w:val="000000"/>
              </w:rPr>
              <w:t>To request a General Schedule Authority Required (STREAMLINED) listing for the maintenance treatment of schizophrenia.</w:t>
            </w:r>
          </w:p>
        </w:tc>
        <w:tc>
          <w:tcPr>
            <w:tcW w:w="553" w:type="pct"/>
            <w:vAlign w:val="center"/>
          </w:tcPr>
          <w:p w14:paraId="6A2CA019" w14:textId="3CD2AE2C" w:rsidR="009F2937" w:rsidRPr="000A3B17" w:rsidRDefault="009F2937" w:rsidP="009F2937">
            <w:pPr>
              <w:rPr>
                <w:rFonts w:ascii="Arial" w:hAnsi="Arial" w:cs="Arial"/>
                <w:i/>
                <w:iCs/>
              </w:rPr>
            </w:pPr>
            <w:r w:rsidRPr="000A3B17">
              <w:rPr>
                <w:rFonts w:ascii="Arial" w:hAnsi="Arial" w:cs="Arial"/>
                <w:color w:val="000000"/>
              </w:rPr>
              <w:t>Recommended</w:t>
            </w:r>
          </w:p>
        </w:tc>
        <w:tc>
          <w:tcPr>
            <w:tcW w:w="1593" w:type="pct"/>
            <w:vAlign w:val="center"/>
          </w:tcPr>
          <w:p w14:paraId="7EB5D6A5" w14:textId="7970A9D8" w:rsidR="009F2937" w:rsidRPr="000A3B17" w:rsidRDefault="009F2937" w:rsidP="00E2798D">
            <w:pPr>
              <w:jc w:val="left"/>
              <w:rPr>
                <w:rFonts w:ascii="Arial" w:hAnsi="Arial" w:cs="Arial"/>
                <w:i/>
                <w:iCs/>
              </w:rPr>
            </w:pPr>
            <w:r w:rsidRPr="000A3B17">
              <w:rPr>
                <w:rFonts w:ascii="Arial" w:hAnsi="Arial" w:cs="Arial"/>
                <w:color w:val="000000"/>
              </w:rPr>
              <w:t>The PBAC recommended the General Schedule, Authority Required (STREAMLINED) listing of aripiprazole once per 2-month injection (A2M) for the maintenance treatment of schizophrenia in patients who are stabilised on the once monthly formulation of aripiprazole (AOM). The PBAC’s recommendation for listing was based on, among other matters, its assessment that the cost effectiveness of A2M would be acceptable if it were cost minimised to AOM. The PBAC advised the equi-effective doses were: 1 injection of A2M 960 mg = 2 injections of AOM 400 mg; and 1 injection of A2M 720 mg = 2 injections of AOM 300 mg.</w:t>
            </w:r>
          </w:p>
        </w:tc>
      </w:tr>
      <w:tr w:rsidR="009F2937" w:rsidRPr="000A3B17" w14:paraId="67EA00B4" w14:textId="77777777" w:rsidTr="00683B8E">
        <w:tc>
          <w:tcPr>
            <w:tcW w:w="1041" w:type="pct"/>
            <w:vAlign w:val="center"/>
          </w:tcPr>
          <w:p w14:paraId="310E3FC2" w14:textId="69DA0118" w:rsidR="009F2937" w:rsidRPr="000A3B17" w:rsidRDefault="009F2937" w:rsidP="00E2798D">
            <w:pPr>
              <w:jc w:val="center"/>
              <w:rPr>
                <w:rFonts w:ascii="Arial" w:hAnsi="Arial" w:cs="Arial"/>
                <w:i/>
                <w:iCs/>
              </w:rPr>
            </w:pPr>
            <w:r w:rsidRPr="000A3B17">
              <w:rPr>
                <w:rFonts w:ascii="Arial" w:hAnsi="Arial" w:cs="Arial"/>
                <w:color w:val="000000"/>
              </w:rPr>
              <w:t>ESKETAMINE</w:t>
            </w:r>
            <w:r w:rsidRPr="000A3B17">
              <w:rPr>
                <w:rFonts w:ascii="Arial" w:hAnsi="Arial" w:cs="Arial"/>
                <w:color w:val="000000"/>
              </w:rPr>
              <w:br/>
            </w:r>
            <w:r w:rsidRPr="000A3B17">
              <w:rPr>
                <w:rFonts w:ascii="Arial" w:hAnsi="Arial" w:cs="Arial"/>
                <w:color w:val="000000"/>
              </w:rPr>
              <w:br/>
              <w:t>Nasal spray solution 28 mg in 0.2 mL (2 actuations)</w:t>
            </w:r>
            <w:r w:rsidRPr="000A3B17">
              <w:rPr>
                <w:rFonts w:ascii="Arial" w:hAnsi="Arial" w:cs="Arial"/>
                <w:color w:val="000000"/>
              </w:rPr>
              <w:br/>
            </w:r>
            <w:r w:rsidRPr="000A3B17">
              <w:rPr>
                <w:rFonts w:ascii="Arial" w:hAnsi="Arial" w:cs="Arial"/>
                <w:color w:val="000000"/>
              </w:rPr>
              <w:br/>
              <w:t>Spravato</w:t>
            </w:r>
            <w:r w:rsidR="006823DD" w:rsidRPr="00E2798D">
              <w:rPr>
                <w:rFonts w:ascii="Arial" w:hAnsi="Arial" w:cs="Arial"/>
                <w:color w:val="000000"/>
                <w:vertAlign w:val="superscript"/>
              </w:rPr>
              <w:t>®</w:t>
            </w:r>
            <w:r w:rsidRPr="000A3B17">
              <w:rPr>
                <w:rFonts w:ascii="Arial" w:hAnsi="Arial" w:cs="Arial"/>
                <w:color w:val="000000"/>
              </w:rPr>
              <w:br/>
            </w:r>
            <w:r w:rsidRPr="000A3B17">
              <w:rPr>
                <w:rFonts w:ascii="Arial" w:hAnsi="Arial" w:cs="Arial"/>
                <w:color w:val="000000"/>
              </w:rPr>
              <w:br/>
              <w:t>JANSSEN-CILAG PTY LTD</w:t>
            </w:r>
            <w:r w:rsidRPr="000A3B17">
              <w:rPr>
                <w:rFonts w:ascii="Arial" w:hAnsi="Arial" w:cs="Arial"/>
                <w:color w:val="000000"/>
              </w:rPr>
              <w:br/>
            </w:r>
            <w:r w:rsidRPr="000A3B17">
              <w:rPr>
                <w:rFonts w:ascii="Arial" w:hAnsi="Arial" w:cs="Arial"/>
                <w:color w:val="000000"/>
              </w:rPr>
              <w:br/>
              <w:t>(Matters Outstanding)</w:t>
            </w:r>
          </w:p>
        </w:tc>
        <w:tc>
          <w:tcPr>
            <w:tcW w:w="615" w:type="pct"/>
            <w:vAlign w:val="center"/>
          </w:tcPr>
          <w:p w14:paraId="0AB0B1A6" w14:textId="3C18DE6D" w:rsidR="009F2937" w:rsidRPr="000A3B17" w:rsidRDefault="009F2937" w:rsidP="00E2798D">
            <w:pPr>
              <w:jc w:val="center"/>
              <w:rPr>
                <w:rFonts w:ascii="Arial" w:hAnsi="Arial" w:cs="Arial"/>
                <w:i/>
                <w:iCs/>
              </w:rPr>
            </w:pPr>
            <w:r w:rsidRPr="000A3B17">
              <w:rPr>
                <w:rFonts w:ascii="Arial" w:hAnsi="Arial" w:cs="Arial"/>
                <w:color w:val="000000"/>
              </w:rPr>
              <w:t>Treatment resistant depression</w:t>
            </w:r>
          </w:p>
        </w:tc>
        <w:tc>
          <w:tcPr>
            <w:tcW w:w="1198" w:type="pct"/>
            <w:vAlign w:val="center"/>
          </w:tcPr>
          <w:p w14:paraId="379BDB50" w14:textId="2119DA16" w:rsidR="009F2937" w:rsidRPr="000A3B17" w:rsidRDefault="009F2937" w:rsidP="000A3B17">
            <w:pPr>
              <w:jc w:val="left"/>
              <w:rPr>
                <w:rFonts w:ascii="Arial" w:hAnsi="Arial" w:cs="Arial"/>
                <w:i/>
                <w:iCs/>
              </w:rPr>
            </w:pPr>
            <w:r w:rsidRPr="000A3B17">
              <w:rPr>
                <w:rFonts w:ascii="Arial" w:hAnsi="Arial" w:cs="Arial"/>
                <w:color w:val="000000"/>
              </w:rPr>
              <w:t>Deferred resubmission to request a Section 100 (Highly Specialised Drug Program) Authority Required (Telephone/Online) listing for the treatment of treatment resistant depression.</w:t>
            </w:r>
          </w:p>
        </w:tc>
        <w:tc>
          <w:tcPr>
            <w:tcW w:w="553" w:type="pct"/>
            <w:vAlign w:val="center"/>
          </w:tcPr>
          <w:p w14:paraId="713953C4" w14:textId="77D03357" w:rsidR="009F2937" w:rsidRPr="000A3B17" w:rsidRDefault="009F2937" w:rsidP="009F2937">
            <w:pPr>
              <w:rPr>
                <w:rFonts w:ascii="Arial" w:hAnsi="Arial" w:cs="Arial"/>
                <w:i/>
                <w:iCs/>
              </w:rPr>
            </w:pPr>
            <w:r w:rsidRPr="000A3B17">
              <w:rPr>
                <w:rFonts w:ascii="Arial" w:hAnsi="Arial" w:cs="Arial"/>
                <w:color w:val="000000"/>
              </w:rPr>
              <w:t>Recommended</w:t>
            </w:r>
          </w:p>
        </w:tc>
        <w:tc>
          <w:tcPr>
            <w:tcW w:w="1593" w:type="pct"/>
            <w:vAlign w:val="center"/>
          </w:tcPr>
          <w:p w14:paraId="3F4F7FE3" w14:textId="094E7709" w:rsidR="009F2937" w:rsidRPr="000A3B17" w:rsidRDefault="009F2937" w:rsidP="00E2798D">
            <w:pPr>
              <w:jc w:val="left"/>
              <w:rPr>
                <w:rFonts w:ascii="Arial" w:hAnsi="Arial" w:cs="Arial"/>
                <w:i/>
                <w:iCs/>
              </w:rPr>
            </w:pPr>
            <w:r w:rsidRPr="000A3B17">
              <w:rPr>
                <w:rFonts w:ascii="Arial" w:hAnsi="Arial" w:cs="Arial"/>
                <w:color w:val="000000"/>
              </w:rPr>
              <w:t xml:space="preserve">The PBAC recommended the General Schedule and Section 100 (Highly Specialised Drugs Program – Public and Private Hospitals), authority required (telephone/online) listings of esketamine for treatment-resistant major depression in patients who have failed at least two prior oral anti-depressant drugs (OADs). In making this recommendation, the PBAC considered the additional changes to the restriction and financial estimates had adequately addressed its concerns raised at the July 2024 meeting. The PBAC noted consultation with the Royal Australian and </w:t>
            </w:r>
            <w:r w:rsidRPr="000A3B17">
              <w:rPr>
                <w:rFonts w:ascii="Arial" w:hAnsi="Arial" w:cs="Arial"/>
                <w:color w:val="000000"/>
              </w:rPr>
              <w:lastRenderedPageBreak/>
              <w:t>New Zealand College of Psychiatrists (RANZCP) led to a revised restriction that resulted in a more practical wording that supports use in the intended population. The PBAC considered the revised financial estimates provided a more reasonable basis for expenditure caps in the proposed Risk Sharing Arrangement. The PBAC reiterated its previous consideration that, given the uncertainty with how esketamine would be used in practice (particularly in terms of use beyond 12 months and the extent of retreatment), it was appropriate for utilisation to be monitored following the listing.</w:t>
            </w:r>
          </w:p>
        </w:tc>
      </w:tr>
      <w:tr w:rsidR="00683B8E" w:rsidRPr="000A3B17" w14:paraId="2AED7277" w14:textId="77777777" w:rsidTr="004654DC">
        <w:trPr>
          <w:trHeight w:val="5242"/>
        </w:trPr>
        <w:tc>
          <w:tcPr>
            <w:tcW w:w="1041" w:type="pct"/>
            <w:vAlign w:val="center"/>
          </w:tcPr>
          <w:p w14:paraId="4E3A9256" w14:textId="1328FC18" w:rsidR="009F2937" w:rsidRPr="000A3B17" w:rsidRDefault="009F2937" w:rsidP="00AA1D91">
            <w:pPr>
              <w:jc w:val="center"/>
              <w:rPr>
                <w:rFonts w:ascii="Arial" w:hAnsi="Arial" w:cs="Arial"/>
                <w:color w:val="000000"/>
              </w:rPr>
            </w:pPr>
            <w:r w:rsidRPr="000A3B17">
              <w:rPr>
                <w:rFonts w:ascii="Arial" w:hAnsi="Arial" w:cs="Arial"/>
                <w:color w:val="000000"/>
              </w:rPr>
              <w:lastRenderedPageBreak/>
              <w:t>NIVOLUMAB</w:t>
            </w:r>
            <w:r w:rsidRPr="000A3B17">
              <w:rPr>
                <w:rFonts w:ascii="Arial" w:hAnsi="Arial" w:cs="Arial"/>
                <w:color w:val="000000"/>
              </w:rPr>
              <w:br/>
            </w:r>
            <w:r w:rsidRPr="000A3B17">
              <w:rPr>
                <w:rFonts w:ascii="Arial" w:hAnsi="Arial" w:cs="Arial"/>
                <w:color w:val="000000"/>
              </w:rPr>
              <w:br/>
              <w:t>Injection concentrate for I.V. infusion 40 mg in 4 mL</w:t>
            </w:r>
            <w:r w:rsidRPr="000A3B17">
              <w:rPr>
                <w:rFonts w:ascii="Arial" w:hAnsi="Arial" w:cs="Arial"/>
                <w:color w:val="000000"/>
              </w:rPr>
              <w:br/>
              <w:t>Injection concentrate for I.V. infusion 100 mg in 10</w:t>
            </w:r>
            <w:r w:rsidR="00672DE7">
              <w:rPr>
                <w:rFonts w:ascii="Arial" w:hAnsi="Arial" w:cs="Arial"/>
                <w:color w:val="000000"/>
              </w:rPr>
              <w:t> </w:t>
            </w:r>
            <w:r w:rsidRPr="000A3B17">
              <w:rPr>
                <w:rFonts w:ascii="Arial" w:hAnsi="Arial" w:cs="Arial"/>
                <w:color w:val="000000"/>
              </w:rPr>
              <w:t>mL</w:t>
            </w:r>
            <w:r w:rsidRPr="000A3B17">
              <w:rPr>
                <w:rFonts w:ascii="Arial" w:hAnsi="Arial" w:cs="Arial"/>
                <w:color w:val="000000"/>
              </w:rPr>
              <w:br/>
            </w:r>
            <w:r w:rsidRPr="000A3B17">
              <w:rPr>
                <w:rFonts w:ascii="Arial" w:hAnsi="Arial" w:cs="Arial"/>
                <w:color w:val="000000"/>
              </w:rPr>
              <w:br/>
              <w:t>Opdivo</w:t>
            </w:r>
            <w:r w:rsidR="002F1C8A" w:rsidRPr="00E2798D">
              <w:rPr>
                <w:rFonts w:ascii="Arial" w:hAnsi="Arial" w:cs="Arial"/>
                <w:color w:val="000000"/>
                <w:vertAlign w:val="superscript"/>
              </w:rPr>
              <w:t>®</w:t>
            </w:r>
            <w:r w:rsidRPr="000A3B17">
              <w:rPr>
                <w:rFonts w:ascii="Arial" w:hAnsi="Arial" w:cs="Arial"/>
                <w:color w:val="000000"/>
              </w:rPr>
              <w:br/>
            </w:r>
            <w:r w:rsidRPr="000A3B17">
              <w:rPr>
                <w:rFonts w:ascii="Arial" w:hAnsi="Arial" w:cs="Arial"/>
                <w:color w:val="000000"/>
              </w:rPr>
              <w:br/>
              <w:t>BRISTOL-MYERS SQUIBB AUSTRALIA PTY LTD</w:t>
            </w:r>
            <w:r w:rsidRPr="000A3B17">
              <w:rPr>
                <w:rFonts w:ascii="Arial" w:hAnsi="Arial" w:cs="Arial"/>
                <w:color w:val="000000"/>
              </w:rPr>
              <w:br/>
            </w:r>
            <w:r w:rsidRPr="000A3B17">
              <w:rPr>
                <w:rFonts w:ascii="Arial" w:hAnsi="Arial" w:cs="Arial"/>
                <w:color w:val="000000"/>
              </w:rPr>
              <w:br/>
              <w:t>(Change to recommended listing)</w:t>
            </w:r>
          </w:p>
        </w:tc>
        <w:tc>
          <w:tcPr>
            <w:tcW w:w="615" w:type="pct"/>
            <w:vAlign w:val="center"/>
          </w:tcPr>
          <w:p w14:paraId="380CD3D2" w14:textId="77777777" w:rsidR="009F2937" w:rsidRPr="000A3B17" w:rsidRDefault="009F2937" w:rsidP="00AA1D91">
            <w:pPr>
              <w:pStyle w:val="ListParagraph"/>
              <w:widowControl w:val="0"/>
              <w:ind w:left="0"/>
              <w:jc w:val="center"/>
              <w:rPr>
                <w:rFonts w:ascii="Arial" w:hAnsi="Arial"/>
                <w:color w:val="000000"/>
              </w:rPr>
            </w:pPr>
            <w:r w:rsidRPr="000A3B17">
              <w:rPr>
                <w:rFonts w:ascii="Arial" w:hAnsi="Arial"/>
                <w:color w:val="000000"/>
              </w:rPr>
              <w:t>Non-small cell lung cancer (NSCLC)</w:t>
            </w:r>
          </w:p>
        </w:tc>
        <w:tc>
          <w:tcPr>
            <w:tcW w:w="1198" w:type="pct"/>
            <w:vAlign w:val="center"/>
          </w:tcPr>
          <w:p w14:paraId="5F26EC50" w14:textId="77777777" w:rsidR="009F2937" w:rsidRPr="000A3B17" w:rsidRDefault="009F2937" w:rsidP="000A3B17">
            <w:pPr>
              <w:pStyle w:val="ListParagraph"/>
              <w:widowControl w:val="0"/>
              <w:ind w:left="0"/>
              <w:jc w:val="left"/>
              <w:rPr>
                <w:rFonts w:ascii="Arial" w:hAnsi="Arial"/>
                <w:color w:val="000000"/>
              </w:rPr>
            </w:pPr>
            <w:r w:rsidRPr="000A3B17">
              <w:rPr>
                <w:rFonts w:ascii="Arial" w:hAnsi="Arial"/>
                <w:color w:val="000000"/>
              </w:rPr>
              <w:t>To request a Section 100 (Efficient Funding of Chemotherapy Program) Authority Required (STREAMLINED) listing for the perioperative treatment of NSCLC.</w:t>
            </w:r>
          </w:p>
        </w:tc>
        <w:tc>
          <w:tcPr>
            <w:tcW w:w="553" w:type="pct"/>
            <w:vAlign w:val="center"/>
          </w:tcPr>
          <w:p w14:paraId="7344AEC6" w14:textId="77777777" w:rsidR="009F2937" w:rsidRPr="000A3B17" w:rsidRDefault="009F2937" w:rsidP="00683B8E">
            <w:pPr>
              <w:pStyle w:val="ListParagraph"/>
              <w:widowControl w:val="0"/>
              <w:numPr>
                <w:ilvl w:val="0"/>
                <w:numId w:val="0"/>
              </w:numPr>
              <w:jc w:val="center"/>
              <w:rPr>
                <w:rFonts w:ascii="Arial" w:hAnsi="Arial"/>
                <w:color w:val="000000"/>
              </w:rPr>
            </w:pPr>
            <w:r w:rsidRPr="000A3B17">
              <w:rPr>
                <w:rFonts w:ascii="Arial" w:hAnsi="Arial"/>
                <w:color w:val="000000"/>
              </w:rPr>
              <w:t>Not recommended</w:t>
            </w:r>
          </w:p>
        </w:tc>
        <w:tc>
          <w:tcPr>
            <w:tcW w:w="1593" w:type="pct"/>
          </w:tcPr>
          <w:p w14:paraId="2CF1C97B" w14:textId="77777777" w:rsidR="009F2937" w:rsidRPr="000A3B17" w:rsidRDefault="009F2937" w:rsidP="00E2798D">
            <w:pPr>
              <w:pStyle w:val="ListParagraph"/>
              <w:widowControl w:val="0"/>
              <w:ind w:left="0"/>
              <w:jc w:val="left"/>
              <w:rPr>
                <w:rFonts w:ascii="Arial" w:hAnsi="Arial"/>
                <w:color w:val="000000"/>
              </w:rPr>
            </w:pPr>
            <w:r w:rsidRPr="000A3B17">
              <w:rPr>
                <w:rFonts w:ascii="Arial" w:hAnsi="Arial"/>
                <w:color w:val="000000"/>
              </w:rPr>
              <w:t>The PBAC did not recommend the listing of nivolumab for the perioperative treatment of patients with resectable non-small cell lung cancer (NSCLC).  The PBAC noted the perioperative use of nivolumab consisted of up to 4 doses prior to surgery in combination with chemotherapy (neoadjuvant treatment) and up to 12 months of treatment post-surgery as monotherapy (adjuvant treatment). The PBAC considered the appropriate comparator was neoadjuvant nivolumab (up to 3 doses prior to surgery in combination with chemotherapy) which is currently PBS listed.  The PBAC considered that the additional doses of nivolumab in the adjuvant setting provided no clear clinical benefit compared to the comparator, however led to inferior safety and increased treatment burden for patients.</w:t>
            </w:r>
          </w:p>
          <w:p w14:paraId="5C97DD48" w14:textId="77777777" w:rsidR="009F2937" w:rsidRPr="00E2798D" w:rsidRDefault="009F2937" w:rsidP="00E2798D">
            <w:pPr>
              <w:pStyle w:val="ListParagraph"/>
              <w:widowControl w:val="0"/>
              <w:ind w:left="0"/>
              <w:rPr>
                <w:rFonts w:ascii="Arial" w:hAnsi="Arial"/>
                <w:color w:val="000000"/>
                <w:u w:val="single"/>
              </w:rPr>
            </w:pPr>
            <w:r w:rsidRPr="00E2798D">
              <w:rPr>
                <w:rFonts w:ascii="Arial" w:hAnsi="Arial"/>
                <w:color w:val="000000"/>
                <w:u w:val="single"/>
              </w:rPr>
              <w:t>Sponsor’s Comment:</w:t>
            </w:r>
          </w:p>
          <w:p w14:paraId="4910F756" w14:textId="77777777" w:rsidR="009F2937" w:rsidRPr="000A3B17" w:rsidRDefault="009F2937" w:rsidP="00E2798D">
            <w:pPr>
              <w:pStyle w:val="ListParagraph"/>
              <w:widowControl w:val="0"/>
              <w:ind w:left="0"/>
              <w:jc w:val="left"/>
              <w:rPr>
                <w:rFonts w:ascii="Arial" w:hAnsi="Arial"/>
                <w:color w:val="000000"/>
              </w:rPr>
            </w:pPr>
            <w:r w:rsidRPr="000A3B17">
              <w:rPr>
                <w:rFonts w:ascii="Arial" w:hAnsi="Arial"/>
                <w:color w:val="000000"/>
              </w:rPr>
              <w:t>Bristol-Myers Squibb Australia is extremely disappointed with the PBAC’s not recommended outcome for this submission. BMSA has requested a post-PBAC meeting to look for a pathway forward for this important advance in treatment options for NSCLC patients.</w:t>
            </w:r>
          </w:p>
        </w:tc>
      </w:tr>
    </w:tbl>
    <w:p w14:paraId="20A4AC13" w14:textId="016EEDA9" w:rsidR="008141C9" w:rsidRDefault="008141C9" w:rsidP="0022436A">
      <w:pPr>
        <w:keepNext/>
        <w:keepLines/>
        <w:rPr>
          <w:rFonts w:ascii="Arial" w:hAnsi="Arial" w:cs="Arial"/>
          <w:i/>
          <w:iCs/>
          <w:sz w:val="18"/>
          <w:szCs w:val="18"/>
        </w:rPr>
      </w:pPr>
      <w:r>
        <w:rPr>
          <w:rFonts w:ascii="Arial" w:hAnsi="Arial" w:cs="Arial"/>
          <w:i/>
          <w:iCs/>
          <w:sz w:val="18"/>
          <w:szCs w:val="18"/>
        </w:rPr>
        <w:lastRenderedPageBreak/>
        <w:t>Non-s</w:t>
      </w:r>
      <w:r w:rsidRPr="00784EF2">
        <w:rPr>
          <w:rFonts w:ascii="Arial" w:hAnsi="Arial" w:cs="Arial"/>
          <w:i/>
          <w:iCs/>
          <w:sz w:val="18"/>
          <w:szCs w:val="18"/>
        </w:rPr>
        <w:t>ubmission items</w:t>
      </w:r>
    </w:p>
    <w:p w14:paraId="3ACF4DC3" w14:textId="77777777" w:rsidR="000A3B17" w:rsidRDefault="000A3B17" w:rsidP="0022436A">
      <w:pPr>
        <w:keepNext/>
        <w:keepLines/>
        <w:rPr>
          <w:rFonts w:ascii="Arial" w:hAnsi="Arial" w:cs="Arial"/>
          <w:i/>
          <w:iCs/>
          <w:sz w:val="18"/>
          <w:szCs w:val="18"/>
        </w:rPr>
      </w:pPr>
    </w:p>
    <w:tbl>
      <w:tblPr>
        <w:tblStyle w:val="TableGrid"/>
        <w:tblW w:w="5000" w:type="pct"/>
        <w:tblLook w:val="04A0" w:firstRow="1" w:lastRow="0" w:firstColumn="1" w:lastColumn="0" w:noHBand="0" w:noVBand="1"/>
      </w:tblPr>
      <w:tblGrid>
        <w:gridCol w:w="2271"/>
        <w:gridCol w:w="2037"/>
        <w:gridCol w:w="3552"/>
        <w:gridCol w:w="2010"/>
        <w:gridCol w:w="5518"/>
      </w:tblGrid>
      <w:tr w:rsidR="000047D7" w:rsidRPr="007C090B" w14:paraId="2510900C" w14:textId="77777777" w:rsidTr="00683B8E">
        <w:tc>
          <w:tcPr>
            <w:tcW w:w="738" w:type="pct"/>
            <w:vAlign w:val="center"/>
          </w:tcPr>
          <w:p w14:paraId="7BC85CA3" w14:textId="3D87855B" w:rsidR="000047D7" w:rsidRPr="00683B8E" w:rsidRDefault="000047D7" w:rsidP="0022436A">
            <w:pPr>
              <w:keepNext/>
              <w:keepLines/>
              <w:jc w:val="center"/>
              <w:rPr>
                <w:rFonts w:ascii="Arial" w:hAnsi="Arial" w:cs="Arial"/>
                <w:b/>
                <w:sz w:val="20"/>
                <w:szCs w:val="20"/>
                <w:lang w:val="en-US"/>
              </w:rPr>
            </w:pPr>
            <w:r w:rsidRPr="00683B8E">
              <w:rPr>
                <w:rFonts w:ascii="Arial" w:hAnsi="Arial" w:cs="Arial"/>
                <w:b/>
                <w:sz w:val="20"/>
                <w:szCs w:val="20"/>
              </w:rPr>
              <w:t>DRUG NAME, FORM(S), STRENGTH(S), SPONSOR, TYPE OF SUBMISSION</w:t>
            </w:r>
          </w:p>
        </w:tc>
        <w:tc>
          <w:tcPr>
            <w:tcW w:w="662" w:type="pct"/>
            <w:vAlign w:val="center"/>
          </w:tcPr>
          <w:p w14:paraId="5096E09C" w14:textId="1313CF79" w:rsidR="000047D7" w:rsidRPr="00683B8E" w:rsidRDefault="000047D7" w:rsidP="0022436A">
            <w:pPr>
              <w:keepNext/>
              <w:keepLines/>
              <w:jc w:val="center"/>
              <w:rPr>
                <w:rFonts w:ascii="Arial" w:hAnsi="Arial" w:cs="Arial"/>
                <w:b/>
                <w:sz w:val="20"/>
                <w:szCs w:val="20"/>
                <w:lang w:val="en-US"/>
              </w:rPr>
            </w:pPr>
            <w:r w:rsidRPr="00683B8E">
              <w:rPr>
                <w:rFonts w:ascii="Arial" w:hAnsi="Arial" w:cs="Arial"/>
                <w:b/>
                <w:sz w:val="20"/>
                <w:szCs w:val="20"/>
              </w:rPr>
              <w:t>DRUG TYPE AND USE</w:t>
            </w:r>
          </w:p>
        </w:tc>
        <w:tc>
          <w:tcPr>
            <w:tcW w:w="1154" w:type="pct"/>
            <w:vAlign w:val="center"/>
          </w:tcPr>
          <w:p w14:paraId="4733A334" w14:textId="7A0B1F82" w:rsidR="000047D7" w:rsidRPr="00683B8E" w:rsidRDefault="000047D7" w:rsidP="0022436A">
            <w:pPr>
              <w:keepNext/>
              <w:keepLines/>
              <w:jc w:val="center"/>
              <w:rPr>
                <w:rFonts w:ascii="Arial" w:hAnsi="Arial" w:cs="Arial"/>
                <w:b/>
                <w:sz w:val="20"/>
                <w:szCs w:val="20"/>
                <w:lang w:val="en-US"/>
              </w:rPr>
            </w:pPr>
            <w:r w:rsidRPr="00683B8E">
              <w:rPr>
                <w:rFonts w:ascii="Arial" w:hAnsi="Arial" w:cs="Arial"/>
                <w:b/>
                <w:sz w:val="20"/>
                <w:szCs w:val="20"/>
              </w:rPr>
              <w:t>LISTING REQUESTED BY SPONSOR / PURPOSE OF SUBMISSION</w:t>
            </w:r>
          </w:p>
        </w:tc>
        <w:tc>
          <w:tcPr>
            <w:tcW w:w="2447" w:type="pct"/>
            <w:gridSpan w:val="2"/>
            <w:vAlign w:val="center"/>
          </w:tcPr>
          <w:p w14:paraId="2308D643" w14:textId="17C4B42B" w:rsidR="000047D7" w:rsidRPr="00683B8E" w:rsidRDefault="000047D7" w:rsidP="0022436A">
            <w:pPr>
              <w:keepNext/>
              <w:keepLines/>
              <w:jc w:val="center"/>
              <w:rPr>
                <w:rFonts w:ascii="Arial" w:hAnsi="Arial" w:cs="Arial"/>
                <w:b/>
                <w:sz w:val="20"/>
                <w:szCs w:val="20"/>
                <w:lang w:val="en-US"/>
              </w:rPr>
            </w:pPr>
            <w:r w:rsidRPr="00683B8E">
              <w:rPr>
                <w:rFonts w:ascii="Arial" w:hAnsi="Arial" w:cs="Arial"/>
                <w:b/>
                <w:sz w:val="20"/>
                <w:szCs w:val="20"/>
              </w:rPr>
              <w:t>PBAC OUTCOME</w:t>
            </w:r>
          </w:p>
        </w:tc>
      </w:tr>
      <w:tr w:rsidR="000047D7" w:rsidRPr="007C090B" w14:paraId="5D74A23B" w14:textId="77777777" w:rsidTr="00683B8E">
        <w:tc>
          <w:tcPr>
            <w:tcW w:w="738" w:type="pct"/>
            <w:vAlign w:val="center"/>
          </w:tcPr>
          <w:p w14:paraId="0772EFAF" w14:textId="6C510F1F" w:rsidR="000047D7" w:rsidRPr="00683B8E" w:rsidRDefault="000047D7" w:rsidP="00BA7706">
            <w:pPr>
              <w:suppressLineNumbers/>
              <w:jc w:val="center"/>
              <w:rPr>
                <w:rFonts w:ascii="Arial" w:hAnsi="Arial" w:cs="Arial"/>
                <w:b/>
                <w:lang w:val="en-US"/>
              </w:rPr>
            </w:pPr>
            <w:r w:rsidRPr="00683B8E">
              <w:rPr>
                <w:rFonts w:ascii="Arial" w:hAnsi="Arial" w:cs="Arial"/>
                <w:color w:val="000000"/>
              </w:rPr>
              <w:t>Utilisation analysis of antihypertensives</w:t>
            </w:r>
            <w:r w:rsidRPr="00683B8E">
              <w:rPr>
                <w:rFonts w:ascii="Arial" w:hAnsi="Arial" w:cs="Arial"/>
                <w:color w:val="000000"/>
              </w:rPr>
              <w:br/>
            </w:r>
            <w:r w:rsidRPr="00683B8E">
              <w:rPr>
                <w:rFonts w:ascii="Arial" w:hAnsi="Arial" w:cs="Arial"/>
                <w:color w:val="000000"/>
              </w:rPr>
              <w:br/>
              <w:t>Multiple sponsors</w:t>
            </w:r>
            <w:r w:rsidRPr="00683B8E">
              <w:rPr>
                <w:rFonts w:ascii="Arial" w:hAnsi="Arial" w:cs="Arial"/>
                <w:color w:val="000000"/>
              </w:rPr>
              <w:br/>
            </w:r>
            <w:r w:rsidRPr="00683B8E">
              <w:rPr>
                <w:rFonts w:ascii="Arial" w:hAnsi="Arial" w:cs="Arial"/>
                <w:color w:val="000000"/>
              </w:rPr>
              <w:br/>
              <w:t>(PBS review)</w:t>
            </w:r>
          </w:p>
        </w:tc>
        <w:tc>
          <w:tcPr>
            <w:tcW w:w="662" w:type="pct"/>
            <w:vAlign w:val="center"/>
          </w:tcPr>
          <w:p w14:paraId="5F61BF73" w14:textId="7CBE12FE" w:rsidR="000047D7" w:rsidRPr="00683B8E" w:rsidRDefault="000047D7" w:rsidP="006C7B97">
            <w:pPr>
              <w:suppressLineNumbers/>
              <w:jc w:val="center"/>
              <w:rPr>
                <w:rFonts w:ascii="Arial" w:hAnsi="Arial" w:cs="Arial"/>
                <w:b/>
                <w:lang w:val="en-US"/>
              </w:rPr>
            </w:pPr>
            <w:r w:rsidRPr="00683B8E">
              <w:rPr>
                <w:rFonts w:ascii="Arial" w:hAnsi="Arial" w:cs="Arial"/>
                <w:color w:val="000000"/>
              </w:rPr>
              <w:t>Hypertension</w:t>
            </w:r>
          </w:p>
        </w:tc>
        <w:tc>
          <w:tcPr>
            <w:tcW w:w="1154" w:type="pct"/>
            <w:vAlign w:val="center"/>
          </w:tcPr>
          <w:p w14:paraId="43FA856E" w14:textId="22EB887F" w:rsidR="000047D7" w:rsidRPr="00683B8E" w:rsidRDefault="000047D7" w:rsidP="006C7B97">
            <w:pPr>
              <w:suppressLineNumbers/>
              <w:jc w:val="left"/>
              <w:rPr>
                <w:rFonts w:ascii="Arial" w:hAnsi="Arial" w:cs="Arial"/>
                <w:b/>
                <w:lang w:val="en-US"/>
              </w:rPr>
            </w:pPr>
            <w:r w:rsidRPr="00683B8E">
              <w:rPr>
                <w:rFonts w:ascii="Arial" w:hAnsi="Arial" w:cs="Arial"/>
                <w:color w:val="000000"/>
              </w:rPr>
              <w:t>To provide the PBAC with a utilisation analysis of PBS-listed antihypertensives and to request that the PBAC consider the appropriateness of the current PBS restrictions for antihypertensive fixed dose combinations.</w:t>
            </w:r>
          </w:p>
        </w:tc>
        <w:tc>
          <w:tcPr>
            <w:tcW w:w="653" w:type="pct"/>
            <w:vAlign w:val="center"/>
          </w:tcPr>
          <w:p w14:paraId="69234AFA" w14:textId="40E02B1B" w:rsidR="000047D7" w:rsidRPr="00683B8E" w:rsidRDefault="000047D7" w:rsidP="006C7B97">
            <w:pPr>
              <w:suppressLineNumbers/>
              <w:rPr>
                <w:rFonts w:ascii="Arial" w:hAnsi="Arial" w:cs="Arial"/>
                <w:b/>
                <w:lang w:val="en-US"/>
              </w:rPr>
            </w:pPr>
            <w:r w:rsidRPr="00683B8E">
              <w:rPr>
                <w:rFonts w:ascii="Arial" w:hAnsi="Arial" w:cs="Arial"/>
              </w:rPr>
              <w:t>Recommended</w:t>
            </w:r>
          </w:p>
        </w:tc>
        <w:tc>
          <w:tcPr>
            <w:tcW w:w="1794" w:type="pct"/>
            <w:vAlign w:val="center"/>
          </w:tcPr>
          <w:p w14:paraId="77A435C1" w14:textId="77777777" w:rsidR="000047D7" w:rsidRPr="00683B8E" w:rsidRDefault="007479B4" w:rsidP="00BA7706">
            <w:pPr>
              <w:suppressLineNumbers/>
              <w:jc w:val="left"/>
              <w:rPr>
                <w:rFonts w:ascii="Arial" w:hAnsi="Arial" w:cs="Arial"/>
                <w:b/>
                <w:lang w:val="en-US"/>
              </w:rPr>
            </w:pPr>
            <w:r w:rsidRPr="00683B8E">
              <w:rPr>
                <w:rFonts w:ascii="Arial" w:hAnsi="Arial" w:cs="Arial"/>
              </w:rPr>
              <w:t>The PBAC noted the report on antihypertensive utilisation through the PBS, which included a costing analysis and literature review. The PBAC recommended changing PBS restrictions for all antihypertensive dual therapy fixed dose combinations (FDCs) to unrestricted benefit listings. The PBAC recommended that 60-day prescription items should remain Restricted Benefit listings</w:t>
            </w:r>
            <w:r w:rsidR="0013329B" w:rsidRPr="00683B8E">
              <w:rPr>
                <w:rFonts w:ascii="Arial" w:hAnsi="Arial" w:cs="Arial"/>
              </w:rPr>
              <w:t xml:space="preserve"> with a single clinical criterion requiring the patient’s condition to be stable.  The PBAC did not recommend any changes in PBS restrictions for triple therapy antihypertensive FDC’s.</w:t>
            </w:r>
            <w:r w:rsidR="0013329B" w:rsidRPr="00683B8E">
              <w:rPr>
                <w:rFonts w:ascii="Arial" w:hAnsi="Arial" w:cs="Arial"/>
              </w:rPr>
              <w:br/>
            </w:r>
          </w:p>
          <w:p w14:paraId="7CDDA0F4" w14:textId="798D3D03" w:rsidR="00683B8E" w:rsidRPr="00AA671A" w:rsidRDefault="0013329B" w:rsidP="00AA671A">
            <w:pPr>
              <w:suppressLineNumbers/>
              <w:jc w:val="left"/>
              <w:rPr>
                <w:rFonts w:ascii="Arial" w:hAnsi="Arial" w:cs="Arial"/>
              </w:rPr>
            </w:pPr>
            <w:r w:rsidRPr="00683B8E">
              <w:rPr>
                <w:rFonts w:ascii="Arial" w:hAnsi="Arial" w:cs="Arial"/>
              </w:rPr>
              <w:t xml:space="preserve">The PBAC considered that the recommended restriction changes were likely to result in cost savings for the PBS and consumers. However, the PBAC considered the reported savings to be overestimated, as prescriber behaviour is likely to be guided by Australian clinical guidelines which do not currently contain a recommendation for initiating therapy with low dose dual antihypertensive therapy for most patients. The PBAC noted the Department’s intention to revise the financial estimates, and that these would be </w:t>
            </w:r>
            <w:r w:rsidR="00683B8E" w:rsidRPr="00683B8E">
              <w:rPr>
                <w:rFonts w:ascii="Arial" w:hAnsi="Arial" w:cs="Arial"/>
              </w:rPr>
              <w:t>brought back to the PBAC for consideration if a cost to the PBS was estimated</w:t>
            </w:r>
            <w:r w:rsidR="00683B8E">
              <w:rPr>
                <w:rFonts w:ascii="Arial" w:hAnsi="Arial" w:cs="Arial"/>
              </w:rPr>
              <w:t>.</w:t>
            </w:r>
          </w:p>
        </w:tc>
      </w:tr>
      <w:tr w:rsidR="004C58D2" w:rsidRPr="007C090B" w14:paraId="59458F34" w14:textId="77777777" w:rsidTr="00683B8E">
        <w:trPr>
          <w:cantSplit/>
        </w:trPr>
        <w:tc>
          <w:tcPr>
            <w:tcW w:w="738" w:type="pct"/>
            <w:vAlign w:val="center"/>
          </w:tcPr>
          <w:p w14:paraId="579F3EBC" w14:textId="77777777" w:rsidR="004C58D2" w:rsidRPr="007C090B" w:rsidRDefault="004C58D2" w:rsidP="0022436A">
            <w:pPr>
              <w:rPr>
                <w:rFonts w:ascii="Arial" w:hAnsi="Arial" w:cs="Arial"/>
                <w:color w:val="000000"/>
                <w:sz w:val="22"/>
                <w:szCs w:val="22"/>
              </w:rPr>
            </w:pPr>
          </w:p>
        </w:tc>
        <w:tc>
          <w:tcPr>
            <w:tcW w:w="662" w:type="pct"/>
            <w:vAlign w:val="center"/>
          </w:tcPr>
          <w:p w14:paraId="133689E4" w14:textId="77777777" w:rsidR="004C58D2" w:rsidRPr="007C090B" w:rsidRDefault="004C58D2" w:rsidP="0022436A">
            <w:pPr>
              <w:rPr>
                <w:rFonts w:ascii="Arial" w:hAnsi="Arial" w:cs="Arial"/>
                <w:color w:val="000000"/>
                <w:sz w:val="22"/>
                <w:szCs w:val="22"/>
              </w:rPr>
            </w:pPr>
          </w:p>
        </w:tc>
        <w:tc>
          <w:tcPr>
            <w:tcW w:w="1154" w:type="pct"/>
            <w:vAlign w:val="center"/>
          </w:tcPr>
          <w:p w14:paraId="2E54B045" w14:textId="77777777" w:rsidR="004C58D2" w:rsidRPr="007C090B" w:rsidRDefault="004C58D2" w:rsidP="0022436A">
            <w:pPr>
              <w:rPr>
                <w:rFonts w:ascii="Arial" w:hAnsi="Arial" w:cs="Arial"/>
                <w:color w:val="000000"/>
                <w:sz w:val="22"/>
                <w:szCs w:val="22"/>
              </w:rPr>
            </w:pPr>
          </w:p>
        </w:tc>
        <w:tc>
          <w:tcPr>
            <w:tcW w:w="653" w:type="pct"/>
            <w:vAlign w:val="center"/>
          </w:tcPr>
          <w:p w14:paraId="01FB02A3" w14:textId="77777777" w:rsidR="004C58D2" w:rsidRPr="00683B8E" w:rsidRDefault="004C58D2" w:rsidP="0022436A">
            <w:pPr>
              <w:rPr>
                <w:rFonts w:ascii="Arial" w:hAnsi="Arial" w:cs="Arial"/>
              </w:rPr>
            </w:pPr>
          </w:p>
        </w:tc>
        <w:tc>
          <w:tcPr>
            <w:tcW w:w="1794" w:type="pct"/>
            <w:vAlign w:val="center"/>
          </w:tcPr>
          <w:p w14:paraId="15A0EA34" w14:textId="3F08FA4E" w:rsidR="004C58D2" w:rsidRPr="00683B8E" w:rsidRDefault="0022436A" w:rsidP="0022436A">
            <w:pPr>
              <w:rPr>
                <w:rFonts w:ascii="Arial" w:hAnsi="Arial" w:cs="Arial"/>
              </w:rPr>
            </w:pPr>
            <w:r w:rsidRPr="00683B8E">
              <w:rPr>
                <w:rFonts w:ascii="Arial" w:hAnsi="Arial" w:cs="Arial"/>
              </w:rPr>
              <w:t>The PBAC highlighted several quality use of medicines issues identified in the report. The PBAC considered that it would be valuable to communicate the report findings to prescribers and consumers through relevant publications and peak bodies.</w:t>
            </w:r>
          </w:p>
        </w:tc>
      </w:tr>
    </w:tbl>
    <w:p w14:paraId="011467E4" w14:textId="7B46248E" w:rsidR="009F2937" w:rsidRDefault="009F2937" w:rsidP="0022436A">
      <w:pPr>
        <w:rPr>
          <w:rFonts w:ascii="Arial" w:hAnsi="Arial" w:cs="Arial"/>
          <w:b/>
          <w:sz w:val="18"/>
          <w:szCs w:val="18"/>
          <w:lang w:val="en-US"/>
        </w:rPr>
      </w:pPr>
    </w:p>
    <w:p w14:paraId="0CC468E2" w14:textId="77777777" w:rsidR="008141C9" w:rsidRDefault="008141C9" w:rsidP="0022436A">
      <w:pPr>
        <w:jc w:val="left"/>
        <w:rPr>
          <w:rFonts w:ascii="Arial" w:hAnsi="Arial" w:cs="Arial"/>
          <w:b/>
          <w:bCs/>
          <w:lang w:val="en-US"/>
        </w:rPr>
      </w:pPr>
    </w:p>
    <w:p w14:paraId="78BB8990" w14:textId="4D994A4E" w:rsidR="008141C9" w:rsidRDefault="008141C9" w:rsidP="0022436A">
      <w:pPr>
        <w:jc w:val="left"/>
        <w:rPr>
          <w:rFonts w:ascii="Arial" w:hAnsi="Arial" w:cs="Arial"/>
          <w:b/>
          <w:bCs/>
          <w:lang w:val="en-US"/>
        </w:rPr>
      </w:pPr>
      <w:r>
        <w:rPr>
          <w:rFonts w:ascii="Arial" w:hAnsi="Arial" w:cs="Arial"/>
          <w:b/>
          <w:bCs/>
          <w:lang w:val="en-US"/>
        </w:rPr>
        <w:br w:type="page"/>
      </w:r>
    </w:p>
    <w:p w14:paraId="06E25632" w14:textId="4CF54742" w:rsidR="009F2937" w:rsidRPr="007C090B" w:rsidDel="008F66B5" w:rsidRDefault="009F2937" w:rsidP="009F2937">
      <w:pPr>
        <w:keepNext/>
        <w:keepLines/>
        <w:suppressLineNumbers/>
        <w:rPr>
          <w:rFonts w:ascii="Arial" w:hAnsi="Arial" w:cs="Arial"/>
          <w:b/>
          <w:bCs/>
          <w:sz w:val="20"/>
          <w:szCs w:val="20"/>
          <w:lang w:val="en-US"/>
        </w:rPr>
      </w:pPr>
      <w:r w:rsidRPr="007C090B">
        <w:rPr>
          <w:rFonts w:ascii="Arial" w:hAnsi="Arial" w:cs="Arial"/>
          <w:b/>
          <w:bCs/>
          <w:sz w:val="20"/>
          <w:szCs w:val="20"/>
          <w:lang w:val="en-US"/>
        </w:rPr>
        <w:lastRenderedPageBreak/>
        <w:t>Submission category types</w:t>
      </w:r>
    </w:p>
    <w:p w14:paraId="34117C44" w14:textId="77777777" w:rsidR="009F2937" w:rsidRPr="007C090B" w:rsidDel="008F66B5" w:rsidRDefault="009F2937" w:rsidP="009F2937">
      <w:pPr>
        <w:keepNext/>
        <w:keepLines/>
        <w:suppressLineNumbers/>
        <w:rPr>
          <w:rFonts w:ascii="Arial" w:hAnsi="Arial" w:cs="Arial"/>
          <w:b/>
          <w:bCs/>
          <w:sz w:val="20"/>
          <w:szCs w:val="20"/>
          <w:lang w:val="en-US"/>
        </w:rPr>
      </w:pPr>
    </w:p>
    <w:tbl>
      <w:tblPr>
        <w:tblStyle w:val="TableGrid"/>
        <w:tblW w:w="5000" w:type="pct"/>
        <w:tblLook w:val="04A0" w:firstRow="1" w:lastRow="0" w:firstColumn="1" w:lastColumn="0" w:noHBand="0" w:noVBand="1"/>
      </w:tblPr>
      <w:tblGrid>
        <w:gridCol w:w="2111"/>
        <w:gridCol w:w="13277"/>
      </w:tblGrid>
      <w:tr w:rsidR="009F2937" w:rsidRPr="007C090B" w:rsidDel="008F66B5" w14:paraId="152F1A88" w14:textId="77777777" w:rsidTr="007C090B">
        <w:trPr>
          <w:trHeight w:val="300"/>
        </w:trPr>
        <w:tc>
          <w:tcPr>
            <w:tcW w:w="686" w:type="pct"/>
          </w:tcPr>
          <w:p w14:paraId="1DD8FB78" w14:textId="77777777" w:rsidR="009F2937" w:rsidRPr="007C090B" w:rsidDel="008F66B5" w:rsidRDefault="009F2937" w:rsidP="00AA1D91">
            <w:pPr>
              <w:keepNext/>
              <w:keepLines/>
              <w:suppressLineNumbers/>
              <w:autoSpaceDE w:val="0"/>
              <w:autoSpaceDN w:val="0"/>
              <w:adjustRightInd w:val="0"/>
              <w:rPr>
                <w:rFonts w:ascii="Arial" w:hAnsi="Arial" w:cs="Arial"/>
                <w:b/>
                <w:bCs/>
                <w:sz w:val="20"/>
                <w:szCs w:val="20"/>
                <w:lang w:val="en-US"/>
              </w:rPr>
            </w:pPr>
            <w:r w:rsidRPr="007C090B">
              <w:rPr>
                <w:rFonts w:ascii="Arial" w:hAnsi="Arial" w:cs="Arial"/>
                <w:b/>
                <w:bCs/>
                <w:color w:val="000000" w:themeColor="text1"/>
                <w:sz w:val="20"/>
                <w:szCs w:val="20"/>
              </w:rPr>
              <w:t>Category 1</w:t>
            </w:r>
          </w:p>
        </w:tc>
        <w:tc>
          <w:tcPr>
            <w:tcW w:w="4314" w:type="pct"/>
          </w:tcPr>
          <w:p w14:paraId="2833DEE5" w14:textId="77777777" w:rsidR="009F2937" w:rsidRPr="007C090B" w:rsidDel="008F66B5" w:rsidRDefault="009F2937" w:rsidP="00AA1D91">
            <w:pPr>
              <w:keepNext/>
              <w:keepLines/>
              <w:suppressLineNumbers/>
              <w:autoSpaceDE w:val="0"/>
              <w:autoSpaceDN w:val="0"/>
              <w:adjustRightInd w:val="0"/>
              <w:rPr>
                <w:rFonts w:ascii="Arial" w:hAnsi="Arial" w:cs="Arial"/>
                <w:b/>
                <w:bCs/>
                <w:color w:val="000000"/>
                <w:sz w:val="20"/>
                <w:szCs w:val="20"/>
              </w:rPr>
            </w:pPr>
            <w:r w:rsidRPr="007C090B">
              <w:rPr>
                <w:rFonts w:ascii="Arial" w:hAnsi="Arial" w:cs="Arial"/>
                <w:color w:val="000000" w:themeColor="text1"/>
                <w:sz w:val="20"/>
                <w:szCs w:val="20"/>
              </w:rPr>
              <w:t xml:space="preserve">A request for PBS or NIP listing of one or more of the following: </w:t>
            </w:r>
          </w:p>
          <w:p w14:paraId="68FAC8C9" w14:textId="77777777" w:rsidR="009F2937" w:rsidRPr="007C090B" w:rsidDel="008F66B5" w:rsidRDefault="009F2937" w:rsidP="009F2937">
            <w:pPr>
              <w:pStyle w:val="ListParagraph"/>
              <w:keepNext/>
              <w:keepLines/>
              <w:numPr>
                <w:ilvl w:val="0"/>
                <w:numId w:val="9"/>
              </w:numPr>
              <w:suppressLineNumbers/>
              <w:autoSpaceDE w:val="0"/>
              <w:autoSpaceDN w:val="0"/>
              <w:adjustRightInd w:val="0"/>
              <w:spacing w:after="0"/>
              <w:ind w:left="360"/>
              <w:contextualSpacing/>
              <w:jc w:val="left"/>
              <w:rPr>
                <w:rFonts w:ascii="Arial" w:hAnsi="Arial"/>
                <w:b/>
                <w:bCs/>
                <w:color w:val="000000"/>
                <w:sz w:val="20"/>
                <w:szCs w:val="20"/>
              </w:rPr>
            </w:pPr>
            <w:r w:rsidRPr="007C090B">
              <w:rPr>
                <w:rFonts w:ascii="Arial" w:hAnsi="Arial"/>
                <w:color w:val="000000" w:themeColor="text1"/>
                <w:sz w:val="20"/>
                <w:szCs w:val="20"/>
              </w:rPr>
              <w:t xml:space="preserve">A first in class medicine or vaccine, and/or a medicine or vaccine for a new population. OR </w:t>
            </w:r>
          </w:p>
          <w:p w14:paraId="77F5BFCD" w14:textId="77777777" w:rsidR="009F2937" w:rsidRPr="007C090B" w:rsidDel="008F66B5" w:rsidRDefault="009F2937" w:rsidP="009F2937">
            <w:pPr>
              <w:pStyle w:val="ListParagraph"/>
              <w:keepNext/>
              <w:keepLines/>
              <w:numPr>
                <w:ilvl w:val="0"/>
                <w:numId w:val="9"/>
              </w:numPr>
              <w:suppressLineNumbers/>
              <w:autoSpaceDE w:val="0"/>
              <w:autoSpaceDN w:val="0"/>
              <w:adjustRightInd w:val="0"/>
              <w:spacing w:after="0"/>
              <w:ind w:left="360"/>
              <w:contextualSpacing/>
              <w:jc w:val="left"/>
              <w:rPr>
                <w:rFonts w:ascii="Arial" w:hAnsi="Arial"/>
                <w:b/>
                <w:bCs/>
                <w:color w:val="000000"/>
                <w:sz w:val="20"/>
                <w:szCs w:val="20"/>
              </w:rPr>
            </w:pPr>
            <w:r w:rsidRPr="007C090B">
              <w:rPr>
                <w:rFonts w:ascii="Arial" w:hAnsi="Arial"/>
                <w:color w:val="000000" w:themeColor="text1"/>
                <w:sz w:val="20"/>
                <w:szCs w:val="20"/>
              </w:rPr>
              <w:t xml:space="preserve">A drug with a codependent technology that requires an integrated codependent submission to the PBAC and MSAC. OR </w:t>
            </w:r>
          </w:p>
          <w:p w14:paraId="29CC142F" w14:textId="77777777" w:rsidR="009F2937" w:rsidRPr="007C090B" w:rsidDel="008F66B5" w:rsidRDefault="009F2937" w:rsidP="009F2937">
            <w:pPr>
              <w:pStyle w:val="ListParagraph"/>
              <w:keepNext/>
              <w:keepLines/>
              <w:numPr>
                <w:ilvl w:val="0"/>
                <w:numId w:val="9"/>
              </w:numPr>
              <w:suppressLineNumbers/>
              <w:autoSpaceDE w:val="0"/>
              <w:autoSpaceDN w:val="0"/>
              <w:adjustRightInd w:val="0"/>
              <w:spacing w:after="0"/>
              <w:ind w:left="360"/>
              <w:contextualSpacing/>
              <w:jc w:val="left"/>
              <w:rPr>
                <w:rFonts w:ascii="Arial" w:hAnsi="Arial"/>
                <w:b/>
                <w:bCs/>
                <w:color w:val="000000"/>
                <w:sz w:val="20"/>
                <w:szCs w:val="20"/>
              </w:rPr>
            </w:pPr>
            <w:r w:rsidRPr="007C090B">
              <w:rPr>
                <w:rFonts w:ascii="Arial" w:hAnsi="Arial"/>
                <w:color w:val="000000" w:themeColor="text1"/>
                <w:sz w:val="20"/>
                <w:szCs w:val="20"/>
              </w:rPr>
              <w:t>A drug or designated vaccine with a TGA Provisional determination related to the proposed population.</w:t>
            </w:r>
          </w:p>
        </w:tc>
      </w:tr>
      <w:tr w:rsidR="009F2937" w:rsidRPr="007C090B" w:rsidDel="008F66B5" w14:paraId="4FB1B13D" w14:textId="77777777" w:rsidTr="007C090B">
        <w:trPr>
          <w:trHeight w:val="300"/>
        </w:trPr>
        <w:tc>
          <w:tcPr>
            <w:tcW w:w="686" w:type="pct"/>
          </w:tcPr>
          <w:p w14:paraId="4B198383" w14:textId="77777777" w:rsidR="009F2937" w:rsidRPr="007C090B" w:rsidDel="008F66B5" w:rsidRDefault="009F2937" w:rsidP="00AA1D91">
            <w:pPr>
              <w:keepNext/>
              <w:keepLines/>
              <w:suppressLineNumbers/>
              <w:tabs>
                <w:tab w:val="left" w:pos="5210"/>
              </w:tabs>
              <w:rPr>
                <w:rFonts w:ascii="Arial" w:hAnsi="Arial" w:cs="Arial"/>
                <w:b/>
                <w:bCs/>
                <w:sz w:val="20"/>
                <w:szCs w:val="20"/>
                <w:lang w:val="en-US"/>
              </w:rPr>
            </w:pPr>
            <w:r w:rsidRPr="007C090B">
              <w:rPr>
                <w:rFonts w:ascii="Arial" w:hAnsi="Arial" w:cs="Arial"/>
                <w:b/>
                <w:bCs/>
                <w:sz w:val="20"/>
                <w:szCs w:val="20"/>
              </w:rPr>
              <w:t>Category 2</w:t>
            </w:r>
          </w:p>
        </w:tc>
        <w:tc>
          <w:tcPr>
            <w:tcW w:w="4314" w:type="pct"/>
          </w:tcPr>
          <w:p w14:paraId="2CD70398" w14:textId="77777777" w:rsidR="009F2937" w:rsidRPr="007C090B" w:rsidDel="008F66B5" w:rsidRDefault="009F2937" w:rsidP="00AA1D91">
            <w:pPr>
              <w:keepNext/>
              <w:keepLines/>
              <w:suppressLineNumbers/>
              <w:tabs>
                <w:tab w:val="left" w:pos="5210"/>
              </w:tabs>
              <w:rPr>
                <w:rFonts w:ascii="Arial" w:hAnsi="Arial" w:cs="Arial"/>
                <w:sz w:val="20"/>
                <w:szCs w:val="20"/>
              </w:rPr>
            </w:pPr>
            <w:r w:rsidRPr="007C090B">
              <w:rPr>
                <w:rFonts w:ascii="Arial" w:hAnsi="Arial" w:cs="Arial"/>
                <w:sz w:val="20"/>
                <w:szCs w:val="20"/>
              </w:rPr>
              <w:t>A request for PBS or NIP listing of a new medicine or new vaccine, a new indication of a currently listed medicine or vaccine, or to make material changes to a currently listed indication and do not meet the criteria for a Category 1 submission.</w:t>
            </w:r>
          </w:p>
        </w:tc>
      </w:tr>
      <w:tr w:rsidR="009F2937" w:rsidRPr="007C090B" w:rsidDel="008F66B5" w14:paraId="78AE0997" w14:textId="77777777" w:rsidTr="007C090B">
        <w:trPr>
          <w:trHeight w:val="300"/>
        </w:trPr>
        <w:tc>
          <w:tcPr>
            <w:tcW w:w="686" w:type="pct"/>
          </w:tcPr>
          <w:p w14:paraId="6EE954E3" w14:textId="77777777" w:rsidR="009F2937" w:rsidRPr="007C090B" w:rsidDel="008F66B5" w:rsidRDefault="009F2937" w:rsidP="00AA1D91">
            <w:pPr>
              <w:keepNext/>
              <w:keepLines/>
              <w:suppressLineNumbers/>
              <w:tabs>
                <w:tab w:val="left" w:pos="5210"/>
              </w:tabs>
              <w:rPr>
                <w:rFonts w:ascii="Arial" w:hAnsi="Arial" w:cs="Arial"/>
                <w:b/>
                <w:bCs/>
                <w:sz w:val="20"/>
                <w:szCs w:val="20"/>
                <w:lang w:val="en-US"/>
              </w:rPr>
            </w:pPr>
            <w:r w:rsidRPr="007C090B">
              <w:rPr>
                <w:rFonts w:ascii="Arial" w:hAnsi="Arial" w:cs="Arial"/>
                <w:b/>
                <w:bCs/>
                <w:sz w:val="20"/>
                <w:szCs w:val="20"/>
              </w:rPr>
              <w:t>Category 3</w:t>
            </w:r>
          </w:p>
        </w:tc>
        <w:tc>
          <w:tcPr>
            <w:tcW w:w="4314" w:type="pct"/>
          </w:tcPr>
          <w:p w14:paraId="086A7F9B" w14:textId="77777777" w:rsidR="009F2937" w:rsidRPr="007C090B" w:rsidDel="008F66B5" w:rsidRDefault="009F2937" w:rsidP="00AA1D91">
            <w:pPr>
              <w:keepNext/>
              <w:keepLines/>
              <w:suppressLineNumbers/>
              <w:tabs>
                <w:tab w:val="left" w:pos="5210"/>
              </w:tabs>
              <w:rPr>
                <w:rFonts w:ascii="Arial" w:hAnsi="Arial" w:cs="Arial"/>
                <w:sz w:val="20"/>
                <w:szCs w:val="20"/>
              </w:rPr>
            </w:pPr>
            <w:r w:rsidRPr="007C090B">
              <w:rPr>
                <w:rFonts w:ascii="Arial" w:hAnsi="Arial" w:cs="Arial"/>
                <w:sz w:val="20"/>
                <w:szCs w:val="20"/>
              </w:rPr>
              <w:t xml:space="preserve">Requests to change existing listings that do not change the population or </w:t>
            </w:r>
            <w:r w:rsidRPr="007C090B" w:rsidDel="008F66B5">
              <w:rPr>
                <w:rFonts w:ascii="Arial" w:hAnsi="Arial" w:cs="Arial"/>
                <w:sz w:val="20"/>
                <w:szCs w:val="20"/>
              </w:rPr>
              <w:t>cost</w:t>
            </w:r>
            <w:r w:rsidRPr="007C090B">
              <w:rPr>
                <w:rFonts w:ascii="Arial" w:hAnsi="Arial" w:cs="Arial"/>
                <w:sz w:val="20"/>
                <w:szCs w:val="20"/>
              </w:rPr>
              <w:t>effectiveness</w:t>
            </w:r>
            <w:r w:rsidRPr="007C090B" w:rsidDel="008F66B5">
              <w:rPr>
                <w:rFonts w:ascii="Arial" w:hAnsi="Arial" w:cs="Arial"/>
                <w:sz w:val="20"/>
                <w:szCs w:val="20"/>
              </w:rPr>
              <w:t xml:space="preserve"> of the medicine or vaccine that do not meet the criteria for a Category 4 submission.</w:t>
            </w:r>
          </w:p>
        </w:tc>
      </w:tr>
      <w:tr w:rsidR="009F2937" w:rsidRPr="007C090B" w:rsidDel="008F66B5" w14:paraId="29298B1B" w14:textId="77777777" w:rsidTr="007C090B">
        <w:trPr>
          <w:trHeight w:val="300"/>
        </w:trPr>
        <w:tc>
          <w:tcPr>
            <w:tcW w:w="686" w:type="pct"/>
          </w:tcPr>
          <w:p w14:paraId="47B2CD1B" w14:textId="77777777" w:rsidR="009F2937" w:rsidRPr="007C090B" w:rsidDel="008F66B5" w:rsidRDefault="009F2937" w:rsidP="00AA1D91">
            <w:pPr>
              <w:pStyle w:val="Default"/>
              <w:keepNext/>
              <w:keepLines/>
              <w:suppressLineNumbers/>
              <w:rPr>
                <w:rFonts w:ascii="Arial" w:hAnsi="Arial" w:cs="Arial"/>
                <w:b/>
                <w:bCs/>
                <w:sz w:val="20"/>
                <w:szCs w:val="20"/>
                <w:lang w:val="en-US"/>
              </w:rPr>
            </w:pPr>
            <w:r w:rsidRPr="007C090B">
              <w:rPr>
                <w:rFonts w:ascii="Arial" w:hAnsi="Arial" w:cs="Arial"/>
                <w:b/>
                <w:bCs/>
                <w:sz w:val="20"/>
                <w:szCs w:val="20"/>
              </w:rPr>
              <w:t xml:space="preserve">Category 4 </w:t>
            </w:r>
          </w:p>
        </w:tc>
        <w:tc>
          <w:tcPr>
            <w:tcW w:w="4314" w:type="pct"/>
          </w:tcPr>
          <w:p w14:paraId="31736A56" w14:textId="77777777" w:rsidR="009F2937" w:rsidRPr="007C090B" w:rsidDel="008F66B5" w:rsidRDefault="009F2937" w:rsidP="00AA1D91">
            <w:pPr>
              <w:pStyle w:val="Default"/>
              <w:keepNext/>
              <w:keepLines/>
              <w:suppressLineNumbers/>
              <w:rPr>
                <w:rFonts w:ascii="Arial" w:hAnsi="Arial" w:cs="Arial"/>
                <w:b/>
                <w:bCs/>
                <w:sz w:val="20"/>
                <w:szCs w:val="20"/>
              </w:rPr>
            </w:pPr>
            <w:r w:rsidRPr="007C090B">
              <w:rPr>
                <w:rFonts w:ascii="Arial" w:hAnsi="Arial" w:cs="Arial"/>
                <w:sz w:val="20"/>
                <w:szCs w:val="20"/>
              </w:rPr>
              <w:t xml:space="preserve">A request for one or more of the following: </w:t>
            </w:r>
          </w:p>
          <w:p w14:paraId="33C343CE" w14:textId="77777777" w:rsidR="009F2937" w:rsidRPr="007C090B" w:rsidDel="008F66B5" w:rsidRDefault="009F2937" w:rsidP="009F2937">
            <w:pPr>
              <w:pStyle w:val="ListParagraph"/>
              <w:keepNext/>
              <w:keepLines/>
              <w:numPr>
                <w:ilvl w:val="0"/>
                <w:numId w:val="10"/>
              </w:numPr>
              <w:suppressLineNumbers/>
              <w:autoSpaceDE w:val="0"/>
              <w:autoSpaceDN w:val="0"/>
              <w:adjustRightInd w:val="0"/>
              <w:spacing w:after="0"/>
              <w:ind w:left="360"/>
              <w:contextualSpacing/>
              <w:jc w:val="left"/>
              <w:rPr>
                <w:rFonts w:ascii="Arial" w:hAnsi="Arial"/>
                <w:b/>
                <w:bCs/>
                <w:color w:val="000000"/>
                <w:sz w:val="20"/>
                <w:szCs w:val="20"/>
              </w:rPr>
            </w:pPr>
            <w:r w:rsidRPr="007C090B">
              <w:rPr>
                <w:rFonts w:ascii="Arial" w:hAnsi="Arial"/>
                <w:color w:val="000000" w:themeColor="text1"/>
                <w:sz w:val="20"/>
                <w:szCs w:val="20"/>
              </w:rPr>
              <w:t xml:space="preserve">Listing of a new pharmaceutical item of a listed medicine. </w:t>
            </w:r>
          </w:p>
          <w:p w14:paraId="650CF227" w14:textId="77777777" w:rsidR="009F2937" w:rsidRPr="007C090B" w:rsidDel="008F66B5" w:rsidRDefault="009F2937" w:rsidP="009F2937">
            <w:pPr>
              <w:pStyle w:val="ListParagraph"/>
              <w:keepNext/>
              <w:keepLines/>
              <w:numPr>
                <w:ilvl w:val="0"/>
                <w:numId w:val="10"/>
              </w:numPr>
              <w:suppressLineNumbers/>
              <w:autoSpaceDE w:val="0"/>
              <w:autoSpaceDN w:val="0"/>
              <w:adjustRightInd w:val="0"/>
              <w:spacing w:after="0"/>
              <w:ind w:left="360"/>
              <w:contextualSpacing/>
              <w:jc w:val="left"/>
              <w:rPr>
                <w:rFonts w:ascii="Arial" w:hAnsi="Arial"/>
                <w:b/>
                <w:bCs/>
                <w:color w:val="000000"/>
                <w:sz w:val="20"/>
                <w:szCs w:val="20"/>
              </w:rPr>
            </w:pPr>
            <w:r w:rsidRPr="007C090B">
              <w:rPr>
                <w:rFonts w:ascii="Arial" w:hAnsi="Arial"/>
                <w:color w:val="000000" w:themeColor="text1"/>
                <w:sz w:val="20"/>
                <w:szCs w:val="20"/>
              </w:rPr>
              <w:t xml:space="preserve">Consideration as an exempt item (Exempt item as per subsection 84AH of the </w:t>
            </w:r>
            <w:r w:rsidRPr="007C090B">
              <w:rPr>
                <w:rFonts w:ascii="Arial" w:hAnsi="Arial"/>
                <w:i/>
                <w:iCs/>
                <w:color w:val="000000" w:themeColor="text1"/>
                <w:sz w:val="20"/>
                <w:szCs w:val="20"/>
              </w:rPr>
              <w:t>National Health Act 1953</w:t>
            </w:r>
            <w:r w:rsidRPr="007C090B">
              <w:rPr>
                <w:rFonts w:ascii="Arial" w:hAnsi="Arial"/>
                <w:color w:val="000000" w:themeColor="text1"/>
                <w:sz w:val="20"/>
                <w:szCs w:val="20"/>
              </w:rPr>
              <w:t xml:space="preserve">). </w:t>
            </w:r>
          </w:p>
          <w:p w14:paraId="3CB2A479" w14:textId="77777777" w:rsidR="009F2937" w:rsidRPr="007C090B" w:rsidDel="008F66B5" w:rsidRDefault="009F2937" w:rsidP="009F2937">
            <w:pPr>
              <w:pStyle w:val="ListParagraph"/>
              <w:keepNext/>
              <w:keepLines/>
              <w:numPr>
                <w:ilvl w:val="0"/>
                <w:numId w:val="10"/>
              </w:numPr>
              <w:suppressLineNumbers/>
              <w:autoSpaceDE w:val="0"/>
              <w:autoSpaceDN w:val="0"/>
              <w:adjustRightInd w:val="0"/>
              <w:spacing w:after="0"/>
              <w:ind w:left="360"/>
              <w:contextualSpacing/>
              <w:jc w:val="left"/>
              <w:rPr>
                <w:rFonts w:ascii="Arial" w:hAnsi="Arial"/>
                <w:b/>
                <w:bCs/>
                <w:color w:val="000000"/>
                <w:sz w:val="20"/>
                <w:szCs w:val="20"/>
              </w:rPr>
            </w:pPr>
            <w:r w:rsidRPr="007C090B">
              <w:rPr>
                <w:rFonts w:ascii="Arial" w:hAnsi="Arial"/>
                <w:sz w:val="20"/>
                <w:szCs w:val="20"/>
              </w:rPr>
              <w:t xml:space="preserve">Including a listed medicine on the prescriber bag, or varying an existing prescriber bag listing. </w:t>
            </w:r>
          </w:p>
          <w:p w14:paraId="2C5C9BC9" w14:textId="77777777" w:rsidR="009F2937" w:rsidRPr="007C090B" w:rsidDel="008F66B5" w:rsidRDefault="009F2937" w:rsidP="009F2937">
            <w:pPr>
              <w:pStyle w:val="ListParagraph"/>
              <w:keepNext/>
              <w:keepLines/>
              <w:numPr>
                <w:ilvl w:val="0"/>
                <w:numId w:val="11"/>
              </w:numPr>
              <w:suppressLineNumbers/>
              <w:autoSpaceDE w:val="0"/>
              <w:autoSpaceDN w:val="0"/>
              <w:adjustRightInd w:val="0"/>
              <w:spacing w:after="0"/>
              <w:ind w:left="360"/>
              <w:contextualSpacing/>
              <w:jc w:val="left"/>
              <w:rPr>
                <w:rFonts w:ascii="Arial" w:hAnsi="Arial"/>
                <w:b/>
                <w:bCs/>
                <w:sz w:val="20"/>
                <w:szCs w:val="20"/>
              </w:rPr>
            </w:pPr>
            <w:r w:rsidRPr="007C090B">
              <w:rPr>
                <w:rFonts w:ascii="Arial" w:hAnsi="Arial"/>
                <w:sz w:val="20"/>
                <w:szCs w:val="20"/>
              </w:rPr>
              <w:t xml:space="preserve">A change/new manner of administration of a listed medicine. </w:t>
            </w:r>
          </w:p>
          <w:p w14:paraId="77D14216" w14:textId="77777777" w:rsidR="009F2937" w:rsidRPr="007C090B" w:rsidDel="008F66B5" w:rsidRDefault="009F2937" w:rsidP="009F2937">
            <w:pPr>
              <w:pStyle w:val="ListParagraph"/>
              <w:keepNext/>
              <w:keepLines/>
              <w:numPr>
                <w:ilvl w:val="0"/>
                <w:numId w:val="11"/>
              </w:numPr>
              <w:suppressLineNumbers/>
              <w:autoSpaceDE w:val="0"/>
              <w:autoSpaceDN w:val="0"/>
              <w:adjustRightInd w:val="0"/>
              <w:spacing w:after="0"/>
              <w:ind w:left="360"/>
              <w:contextualSpacing/>
              <w:jc w:val="left"/>
              <w:rPr>
                <w:rFonts w:ascii="Arial" w:hAnsi="Arial"/>
                <w:b/>
                <w:bCs/>
                <w:sz w:val="20"/>
                <w:szCs w:val="20"/>
              </w:rPr>
            </w:pPr>
            <w:r w:rsidRPr="007C090B">
              <w:rPr>
                <w:rFonts w:ascii="Arial" w:hAnsi="Arial"/>
                <w:sz w:val="20"/>
                <w:szCs w:val="20"/>
              </w:rPr>
              <w:t xml:space="preserve">A change to the maximum quantity and/or number of repeats of a listed medicine. </w:t>
            </w:r>
          </w:p>
          <w:p w14:paraId="31E13E8E" w14:textId="77777777" w:rsidR="009F2937" w:rsidRPr="007C090B" w:rsidDel="008F66B5" w:rsidRDefault="009F2937" w:rsidP="009F2937">
            <w:pPr>
              <w:pStyle w:val="ListParagraph"/>
              <w:keepNext/>
              <w:keepLines/>
              <w:numPr>
                <w:ilvl w:val="0"/>
                <w:numId w:val="11"/>
              </w:numPr>
              <w:suppressLineNumbers/>
              <w:autoSpaceDE w:val="0"/>
              <w:autoSpaceDN w:val="0"/>
              <w:adjustRightInd w:val="0"/>
              <w:spacing w:after="0"/>
              <w:ind w:left="360"/>
              <w:contextualSpacing/>
              <w:jc w:val="left"/>
              <w:rPr>
                <w:rFonts w:ascii="Arial" w:hAnsi="Arial"/>
                <w:b/>
                <w:bCs/>
                <w:sz w:val="20"/>
                <w:szCs w:val="20"/>
              </w:rPr>
            </w:pPr>
            <w:r w:rsidRPr="007C090B">
              <w:rPr>
                <w:rFonts w:ascii="Arial" w:hAnsi="Arial"/>
                <w:sz w:val="20"/>
                <w:szCs w:val="20"/>
              </w:rPr>
              <w:t>A change or addition to the prescriber type(s) of a listed medicine.</w:t>
            </w:r>
          </w:p>
        </w:tc>
      </w:tr>
      <w:tr w:rsidR="009F2937" w:rsidRPr="007C090B" w:rsidDel="008F66B5" w14:paraId="23ED1761" w14:textId="77777777" w:rsidTr="007C090B">
        <w:trPr>
          <w:trHeight w:val="1026"/>
        </w:trPr>
        <w:tc>
          <w:tcPr>
            <w:tcW w:w="686" w:type="pct"/>
          </w:tcPr>
          <w:p w14:paraId="39CA4328" w14:textId="77777777" w:rsidR="009F2937" w:rsidRPr="007C090B" w:rsidDel="008F66B5" w:rsidRDefault="009F2937" w:rsidP="00AA1D91">
            <w:pPr>
              <w:pStyle w:val="Default"/>
              <w:keepNext/>
              <w:keepLines/>
              <w:suppressLineNumbers/>
              <w:rPr>
                <w:rFonts w:ascii="Arial" w:hAnsi="Arial" w:cs="Arial"/>
                <w:sz w:val="20"/>
                <w:szCs w:val="20"/>
              </w:rPr>
            </w:pPr>
            <w:r w:rsidRPr="007C090B">
              <w:rPr>
                <w:rFonts w:ascii="Arial" w:hAnsi="Arial" w:cs="Arial"/>
                <w:b/>
                <w:bCs/>
                <w:sz w:val="20"/>
                <w:szCs w:val="20"/>
              </w:rPr>
              <w:t>Committee Secretariat</w:t>
            </w:r>
          </w:p>
        </w:tc>
        <w:tc>
          <w:tcPr>
            <w:tcW w:w="4314" w:type="pct"/>
          </w:tcPr>
          <w:p w14:paraId="1F7F1FCA" w14:textId="77777777" w:rsidR="009F2937" w:rsidRPr="007C090B" w:rsidDel="008F66B5" w:rsidRDefault="009F2937" w:rsidP="00AA1D91">
            <w:pPr>
              <w:keepNext/>
              <w:keepLines/>
              <w:suppressLineNumbers/>
              <w:rPr>
                <w:rFonts w:ascii="Arial" w:hAnsi="Arial" w:cs="Arial"/>
                <w:color w:val="000000"/>
                <w:sz w:val="20"/>
                <w:szCs w:val="20"/>
              </w:rPr>
            </w:pPr>
            <w:r w:rsidRPr="007C090B">
              <w:rPr>
                <w:rFonts w:ascii="Arial" w:hAnsi="Arial" w:cs="Arial"/>
                <w:color w:val="000000" w:themeColor="text1"/>
                <w:sz w:val="20"/>
                <w:szCs w:val="20"/>
              </w:rPr>
              <w:t>Application is not in Categories 1, 2, 3 or 4 and requests for one or more of the following:</w:t>
            </w:r>
          </w:p>
          <w:p w14:paraId="6AF33C15" w14:textId="77777777" w:rsidR="009F2937" w:rsidRPr="007C090B" w:rsidDel="008F66B5" w:rsidRDefault="009F2937" w:rsidP="009F2937">
            <w:pPr>
              <w:pStyle w:val="ListParagraph"/>
              <w:keepNext/>
              <w:keepLines/>
              <w:numPr>
                <w:ilvl w:val="0"/>
                <w:numId w:val="12"/>
              </w:numPr>
              <w:suppressLineNumbers/>
              <w:spacing w:after="0"/>
              <w:contextualSpacing/>
              <w:jc w:val="left"/>
              <w:rPr>
                <w:rFonts w:ascii="Arial" w:hAnsi="Arial"/>
                <w:sz w:val="20"/>
                <w:szCs w:val="20"/>
              </w:rPr>
            </w:pPr>
            <w:r w:rsidRPr="007C090B">
              <w:rPr>
                <w:rFonts w:ascii="Arial" w:hAnsi="Arial"/>
                <w:sz w:val="20"/>
                <w:szCs w:val="20"/>
              </w:rPr>
              <w:t>New or varied listed drugs, medicinal preparations and designated vaccines that pose no greater risk</w:t>
            </w:r>
          </w:p>
          <w:p w14:paraId="1054D835" w14:textId="77777777" w:rsidR="009F2937" w:rsidRPr="007C090B" w:rsidDel="008F66B5" w:rsidRDefault="009F2937" w:rsidP="009F2937">
            <w:pPr>
              <w:pStyle w:val="ListParagraph"/>
              <w:keepNext/>
              <w:keepLines/>
              <w:numPr>
                <w:ilvl w:val="0"/>
                <w:numId w:val="12"/>
              </w:numPr>
              <w:suppressLineNumbers/>
              <w:spacing w:after="0"/>
              <w:contextualSpacing/>
              <w:jc w:val="left"/>
              <w:rPr>
                <w:rFonts w:ascii="Arial" w:hAnsi="Arial"/>
                <w:sz w:val="20"/>
                <w:szCs w:val="20"/>
              </w:rPr>
            </w:pPr>
            <w:r w:rsidRPr="007C090B">
              <w:rPr>
                <w:rFonts w:ascii="Arial" w:hAnsi="Arial"/>
                <w:sz w:val="20"/>
                <w:szCs w:val="20"/>
              </w:rPr>
              <w:t>Pharmaceutical benefits that can no longer be supplied early</w:t>
            </w:r>
          </w:p>
          <w:p w14:paraId="21F7365B" w14:textId="77777777" w:rsidR="009F2937" w:rsidRPr="007C090B" w:rsidDel="008F66B5" w:rsidRDefault="009F2937" w:rsidP="009F2937">
            <w:pPr>
              <w:pStyle w:val="ListParagraph"/>
              <w:keepNext/>
              <w:keepLines/>
              <w:numPr>
                <w:ilvl w:val="0"/>
                <w:numId w:val="12"/>
              </w:numPr>
              <w:suppressLineNumbers/>
              <w:spacing w:after="0"/>
              <w:contextualSpacing/>
              <w:jc w:val="left"/>
              <w:rPr>
                <w:rFonts w:ascii="Arial" w:hAnsi="Arial"/>
                <w:sz w:val="20"/>
                <w:szCs w:val="20"/>
              </w:rPr>
            </w:pPr>
            <w:r w:rsidRPr="007C090B">
              <w:rPr>
                <w:rFonts w:ascii="Arial" w:hAnsi="Arial"/>
                <w:sz w:val="20"/>
                <w:szCs w:val="20"/>
              </w:rPr>
              <w:t>New brand of glucose indicator pharmaceutical item.</w:t>
            </w:r>
          </w:p>
        </w:tc>
      </w:tr>
    </w:tbl>
    <w:p w14:paraId="59A6A14E" w14:textId="77777777" w:rsidR="009F2937" w:rsidRPr="00292120" w:rsidDel="008F66B5" w:rsidRDefault="009F2937" w:rsidP="009F2937">
      <w:pPr>
        <w:keepNext/>
        <w:keepLines/>
        <w:suppressLineNumbers/>
        <w:rPr>
          <w:rFonts w:ascii="Arial" w:hAnsi="Arial" w:cs="Arial"/>
          <w:b/>
          <w:bCs/>
          <w:lang w:val="en-US"/>
        </w:rPr>
      </w:pPr>
    </w:p>
    <w:p w14:paraId="68870899" w14:textId="77777777" w:rsidR="009F2937" w:rsidRPr="00292120" w:rsidDel="008F66B5" w:rsidRDefault="009F2937" w:rsidP="009F2937">
      <w:pPr>
        <w:keepNext/>
        <w:keepLines/>
        <w:suppressLineNumbers/>
        <w:rPr>
          <w:rFonts w:ascii="Arial" w:hAnsi="Arial" w:cs="Arial"/>
          <w:b/>
          <w:bCs/>
          <w:lang w:val="en-US"/>
        </w:rPr>
      </w:pPr>
      <w:r w:rsidRPr="20381F86">
        <w:rPr>
          <w:rFonts w:ascii="Arial" w:hAnsi="Arial" w:cs="Arial"/>
          <w:b/>
          <w:bCs/>
          <w:lang w:val="en-US"/>
        </w:rPr>
        <w:br w:type="page"/>
      </w:r>
    </w:p>
    <w:p w14:paraId="1F61B891" w14:textId="77777777" w:rsidR="009F2937" w:rsidRPr="006C7B97" w:rsidDel="008F66B5" w:rsidRDefault="009F2937" w:rsidP="009F2937">
      <w:pPr>
        <w:keepNext/>
        <w:keepLines/>
        <w:suppressLineNumbers/>
        <w:rPr>
          <w:rFonts w:ascii="Arial" w:hAnsi="Arial" w:cs="Arial"/>
          <w:b/>
          <w:bCs/>
          <w:sz w:val="20"/>
          <w:szCs w:val="20"/>
          <w:lang w:val="en-US"/>
        </w:rPr>
      </w:pPr>
      <w:r w:rsidRPr="006C7B97">
        <w:rPr>
          <w:rFonts w:ascii="Arial" w:hAnsi="Arial" w:cs="Arial"/>
          <w:b/>
          <w:bCs/>
          <w:sz w:val="20"/>
          <w:szCs w:val="20"/>
          <w:lang w:val="en-US"/>
        </w:rPr>
        <w:lastRenderedPageBreak/>
        <w:t>Resubmission pathways</w:t>
      </w:r>
    </w:p>
    <w:p w14:paraId="02F24422" w14:textId="77777777" w:rsidR="009F2937" w:rsidRPr="006C7B97" w:rsidDel="008F66B5" w:rsidRDefault="009F2937" w:rsidP="009F2937">
      <w:pPr>
        <w:keepNext/>
        <w:keepLines/>
        <w:suppressLineNumbers/>
        <w:tabs>
          <w:tab w:val="left" w:pos="5210"/>
        </w:tabs>
        <w:rPr>
          <w:rFonts w:ascii="Arial" w:hAnsi="Arial" w:cs="Arial"/>
          <w:b/>
          <w:bCs/>
          <w:sz w:val="20"/>
          <w:szCs w:val="20"/>
          <w:lang w:val="en-US"/>
        </w:rPr>
      </w:pPr>
    </w:p>
    <w:tbl>
      <w:tblPr>
        <w:tblW w:w="5000" w:type="pct"/>
        <w:tblCellMar>
          <w:left w:w="0" w:type="dxa"/>
          <w:right w:w="0" w:type="dxa"/>
        </w:tblCellMar>
        <w:tblLook w:val="04A0" w:firstRow="1" w:lastRow="0" w:firstColumn="1" w:lastColumn="0" w:noHBand="0" w:noVBand="1"/>
      </w:tblPr>
      <w:tblGrid>
        <w:gridCol w:w="2294"/>
        <w:gridCol w:w="13084"/>
      </w:tblGrid>
      <w:tr w:rsidR="009F2937" w:rsidRPr="00292120" w:rsidDel="008F66B5" w14:paraId="7C844172" w14:textId="77777777" w:rsidTr="006C7B97">
        <w:trPr>
          <w:cantSplit/>
          <w:trHeight w:val="300"/>
        </w:trPr>
        <w:tc>
          <w:tcPr>
            <w:tcW w:w="50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232C7B55" w14:textId="77777777" w:rsidR="009F2937" w:rsidRPr="006C7B97" w:rsidDel="008F66B5" w:rsidRDefault="009F2937" w:rsidP="00AA1D91">
            <w:pPr>
              <w:keepNext/>
              <w:keepLines/>
              <w:suppressLineNumbers/>
              <w:rPr>
                <w:rFonts w:ascii="Arial" w:hAnsi="Arial" w:cs="Arial"/>
                <w:sz w:val="20"/>
                <w:szCs w:val="20"/>
              </w:rPr>
            </w:pPr>
            <w:r w:rsidRPr="006C7B97">
              <w:rPr>
                <w:rFonts w:ascii="Arial" w:hAnsi="Arial" w:cs="Arial"/>
                <w:color w:val="333333"/>
                <w:sz w:val="20"/>
                <w:szCs w:val="20"/>
              </w:rPr>
              <w:t xml:space="preserve">There are four different resubmission pathways available to applicants following a ‘not recommended’ PBAC outcome. Resubmission pathways are not available for submissions that receive a positive recommendation from the PBAC. </w:t>
            </w:r>
            <w:r w:rsidRPr="006C7B97">
              <w:rPr>
                <w:rFonts w:ascii="Arial" w:hAnsi="Arial" w:cs="Arial"/>
                <w:sz w:val="20"/>
                <w:szCs w:val="20"/>
              </w:rPr>
              <w:t>The resubmission pathways are classified into the following categories:</w:t>
            </w:r>
          </w:p>
        </w:tc>
      </w:tr>
      <w:tr w:rsidR="009F2937" w:rsidRPr="00292120" w:rsidDel="008F66B5" w14:paraId="205373AC" w14:textId="77777777" w:rsidTr="006C7B97">
        <w:trPr>
          <w:cantSplit/>
          <w:trHeight w:val="300"/>
        </w:trPr>
        <w:tc>
          <w:tcPr>
            <w:tcW w:w="746" w:type="pct"/>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78CFB3E3" w14:textId="77777777" w:rsidR="009F2937" w:rsidRPr="006C7B97" w:rsidDel="008F66B5" w:rsidRDefault="009F2937" w:rsidP="00AA1D91">
            <w:pPr>
              <w:keepNext/>
              <w:keepLines/>
              <w:suppressLineNumbers/>
              <w:contextualSpacing/>
              <w:rPr>
                <w:rFonts w:ascii="Arial" w:hAnsi="Arial" w:cs="Arial"/>
                <w:b/>
                <w:bCs/>
                <w:sz w:val="20"/>
                <w:szCs w:val="20"/>
              </w:rPr>
            </w:pPr>
            <w:r w:rsidRPr="006C7B97">
              <w:rPr>
                <w:rFonts w:ascii="Arial" w:hAnsi="Arial" w:cs="Arial"/>
                <w:b/>
                <w:bCs/>
                <w:sz w:val="20"/>
                <w:szCs w:val="20"/>
              </w:rPr>
              <w:t>Standard re-entry</w:t>
            </w:r>
          </w:p>
          <w:p w14:paraId="533506DF" w14:textId="77777777" w:rsidR="009F2937" w:rsidRPr="006C7B97" w:rsidDel="008F66B5" w:rsidRDefault="009F2937" w:rsidP="00AA1D91">
            <w:pPr>
              <w:keepNext/>
              <w:keepLines/>
              <w:suppressLineNumbers/>
              <w:rPr>
                <w:rFonts w:ascii="Arial" w:hAnsi="Arial" w:cs="Arial"/>
                <w:b/>
                <w:bCs/>
                <w:sz w:val="20"/>
                <w:szCs w:val="20"/>
              </w:rPr>
            </w:pPr>
          </w:p>
        </w:tc>
        <w:tc>
          <w:tcPr>
            <w:tcW w:w="4254" w:type="pct"/>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4557925" w14:textId="77777777" w:rsidR="009F2937" w:rsidRPr="006C7B97" w:rsidDel="008F66B5" w:rsidRDefault="009F2937" w:rsidP="00AA1D91">
            <w:pPr>
              <w:keepNext/>
              <w:keepLines/>
              <w:suppressLineNumbers/>
              <w:autoSpaceDE w:val="0"/>
              <w:autoSpaceDN w:val="0"/>
              <w:rPr>
                <w:rFonts w:ascii="Arial" w:hAnsi="Arial" w:cs="Arial"/>
                <w:color w:val="000000"/>
                <w:sz w:val="20"/>
                <w:szCs w:val="20"/>
              </w:rPr>
            </w:pPr>
            <w:r w:rsidRPr="006C7B97">
              <w:rPr>
                <w:rFonts w:ascii="Arial" w:hAnsi="Arial" w:cs="Arial"/>
                <w:color w:val="000000" w:themeColor="text1"/>
                <w:sz w:val="20"/>
                <w:szCs w:val="20"/>
              </w:rPr>
              <w:t xml:space="preserve">The Standard Re-entry Pathway is the default pathway for resubmissions and also applies where: </w:t>
            </w:r>
          </w:p>
          <w:p w14:paraId="4E155C01" w14:textId="77777777" w:rsidR="009F2937" w:rsidRPr="006C7B97" w:rsidDel="008F66B5" w:rsidRDefault="009F2937" w:rsidP="009F2937">
            <w:pPr>
              <w:pStyle w:val="ListParagraph"/>
              <w:keepNext/>
              <w:keepLines/>
              <w:numPr>
                <w:ilvl w:val="0"/>
                <w:numId w:val="7"/>
              </w:numPr>
              <w:suppressLineNumbers/>
              <w:autoSpaceDE w:val="0"/>
              <w:autoSpaceDN w:val="0"/>
              <w:spacing w:after="0"/>
              <w:contextualSpacing/>
              <w:jc w:val="left"/>
              <w:rPr>
                <w:rFonts w:ascii="Arial" w:hAnsi="Arial"/>
                <w:color w:val="000000"/>
                <w:sz w:val="20"/>
                <w:szCs w:val="20"/>
              </w:rPr>
            </w:pPr>
            <w:r w:rsidRPr="006C7B97">
              <w:rPr>
                <w:rFonts w:ascii="Arial" w:hAnsi="Arial"/>
                <w:color w:val="000000" w:themeColor="text1"/>
                <w:sz w:val="20"/>
                <w:szCs w:val="20"/>
              </w:rPr>
              <w:t xml:space="preserve">an applicant chooses not to accept the PBAC nominated resubmission pathway; or </w:t>
            </w:r>
          </w:p>
          <w:p w14:paraId="24776ADB" w14:textId="77777777" w:rsidR="009F2937" w:rsidRPr="006C7B97" w:rsidDel="008F66B5" w:rsidRDefault="009F2937" w:rsidP="009F2937">
            <w:pPr>
              <w:pStyle w:val="ListParagraph"/>
              <w:keepNext/>
              <w:keepLines/>
              <w:numPr>
                <w:ilvl w:val="0"/>
                <w:numId w:val="7"/>
              </w:numPr>
              <w:suppressLineNumbers/>
              <w:autoSpaceDE w:val="0"/>
              <w:autoSpaceDN w:val="0"/>
              <w:spacing w:after="0"/>
              <w:contextualSpacing/>
              <w:jc w:val="left"/>
              <w:rPr>
                <w:rFonts w:ascii="Arial" w:hAnsi="Arial"/>
                <w:color w:val="000000"/>
                <w:sz w:val="20"/>
                <w:szCs w:val="20"/>
              </w:rPr>
            </w:pPr>
            <w:r w:rsidRPr="006C7B97">
              <w:rPr>
                <w:rFonts w:ascii="Arial" w:hAnsi="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144B1AE5" w14:textId="77777777" w:rsidR="009F2937" w:rsidRPr="006C7B97" w:rsidDel="008F66B5" w:rsidRDefault="009F2937" w:rsidP="009F2937">
            <w:pPr>
              <w:pStyle w:val="ListParagraph"/>
              <w:keepNext/>
              <w:keepLines/>
              <w:numPr>
                <w:ilvl w:val="0"/>
                <w:numId w:val="7"/>
              </w:numPr>
              <w:suppressLineNumbers/>
              <w:autoSpaceDE w:val="0"/>
              <w:autoSpaceDN w:val="0"/>
              <w:spacing w:after="0"/>
              <w:contextualSpacing/>
              <w:jc w:val="left"/>
              <w:rPr>
                <w:rFonts w:ascii="Arial" w:hAnsi="Arial"/>
                <w:color w:val="000000"/>
                <w:sz w:val="20"/>
                <w:szCs w:val="20"/>
              </w:rPr>
            </w:pPr>
            <w:r w:rsidRPr="006C7B97">
              <w:rPr>
                <w:rFonts w:ascii="Arial" w:hAnsi="Arial"/>
                <w:color w:val="000000" w:themeColor="text1"/>
                <w:sz w:val="20"/>
                <w:szCs w:val="20"/>
              </w:rPr>
              <w:t xml:space="preserve">an applicant decides to lodge later than the allowable timelines for the other pathways. </w:t>
            </w:r>
          </w:p>
        </w:tc>
      </w:tr>
      <w:tr w:rsidR="009F2937" w:rsidRPr="00292120" w:rsidDel="008F66B5" w14:paraId="7B889CD3" w14:textId="77777777" w:rsidTr="006C7B97">
        <w:trPr>
          <w:cantSplit/>
          <w:trHeight w:val="300"/>
        </w:trPr>
        <w:tc>
          <w:tcPr>
            <w:tcW w:w="746" w:type="pct"/>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3C8954F7" w14:textId="77777777" w:rsidR="009F2937" w:rsidRPr="006C7B97" w:rsidDel="008F66B5" w:rsidRDefault="009F2937" w:rsidP="00AA1D91">
            <w:pPr>
              <w:keepNext/>
              <w:keepLines/>
              <w:suppressLineNumbers/>
              <w:contextualSpacing/>
              <w:rPr>
                <w:rFonts w:ascii="Arial" w:hAnsi="Arial" w:cs="Arial"/>
                <w:b/>
                <w:bCs/>
                <w:sz w:val="20"/>
                <w:szCs w:val="20"/>
              </w:rPr>
            </w:pPr>
            <w:r w:rsidRPr="006C7B97">
              <w:rPr>
                <w:rFonts w:ascii="Arial" w:hAnsi="Arial" w:cs="Arial"/>
                <w:b/>
                <w:bCs/>
                <w:sz w:val="20"/>
                <w:szCs w:val="20"/>
              </w:rPr>
              <w:t>Early re-entry pathway</w:t>
            </w:r>
          </w:p>
        </w:tc>
        <w:tc>
          <w:tcPr>
            <w:tcW w:w="4254" w:type="pct"/>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B8D6C81" w14:textId="77777777" w:rsidR="009F2937" w:rsidRPr="006C7B97" w:rsidDel="008F66B5" w:rsidRDefault="009F2937" w:rsidP="00AA1D91">
            <w:pPr>
              <w:keepNext/>
              <w:keepLines/>
              <w:suppressLineNumbers/>
              <w:contextualSpacing/>
              <w:rPr>
                <w:rFonts w:ascii="Arial" w:hAnsi="Arial" w:cs="Arial"/>
                <w:color w:val="000000"/>
                <w:sz w:val="20"/>
                <w:szCs w:val="20"/>
              </w:rPr>
            </w:pPr>
            <w:r w:rsidRPr="006C7B97">
              <w:rPr>
                <w:rFonts w:ascii="Arial" w:hAnsi="Arial" w:cs="Arial"/>
                <w:sz w:val="20"/>
                <w:szCs w:val="20"/>
              </w:rPr>
              <w:t xml:space="preserve">An Early Re-entry Pathway may be nominated by the PBAC where the PBAC considers that the remaining issues could be easily resolved and the medicine or vaccine does not represent </w:t>
            </w:r>
            <w:r w:rsidRPr="006C7B97">
              <w:rPr>
                <w:rFonts w:ascii="Arial" w:hAnsi="Arial" w:cs="Arial"/>
                <w:color w:val="000000" w:themeColor="text1"/>
                <w:sz w:val="20"/>
                <w:szCs w:val="20"/>
              </w:rPr>
              <w:t xml:space="preserve">High Added Therapeutic Value (HATV) </w:t>
            </w:r>
            <w:r w:rsidRPr="006C7B97">
              <w:rPr>
                <w:rFonts w:ascii="Arial" w:hAnsi="Arial" w:cs="Arial"/>
                <w:sz w:val="20"/>
                <w:szCs w:val="20"/>
              </w:rPr>
              <w:t>for the proposed population. Applicants who accept this pathway are eligible for PBAC consideration at the immediate next meeting.</w:t>
            </w:r>
          </w:p>
        </w:tc>
      </w:tr>
      <w:tr w:rsidR="009F2937" w:rsidRPr="00292120" w:rsidDel="008F66B5" w14:paraId="336BA2A3" w14:textId="77777777" w:rsidTr="006C7B97">
        <w:trPr>
          <w:cantSplit/>
          <w:trHeight w:val="300"/>
        </w:trPr>
        <w:tc>
          <w:tcPr>
            <w:tcW w:w="746" w:type="pct"/>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42F5568B" w14:textId="77777777" w:rsidR="009F2937" w:rsidRPr="006C7B97" w:rsidDel="008F66B5" w:rsidRDefault="009F2937" w:rsidP="00AA1D91">
            <w:pPr>
              <w:keepNext/>
              <w:keepLines/>
              <w:suppressLineNumbers/>
              <w:rPr>
                <w:rFonts w:ascii="Arial" w:hAnsi="Arial" w:cs="Arial"/>
                <w:b/>
                <w:bCs/>
                <w:sz w:val="20"/>
                <w:szCs w:val="20"/>
              </w:rPr>
            </w:pPr>
            <w:r w:rsidRPr="006C7B97">
              <w:rPr>
                <w:rFonts w:ascii="Arial" w:hAnsi="Arial" w:cs="Arial"/>
                <w:b/>
                <w:bCs/>
                <w:sz w:val="20"/>
                <w:szCs w:val="20"/>
              </w:rPr>
              <w:t>Early resolution pathway</w:t>
            </w:r>
          </w:p>
          <w:p w14:paraId="5905F121" w14:textId="77777777" w:rsidR="009F2937" w:rsidRPr="006C7B97" w:rsidDel="008F66B5" w:rsidRDefault="009F2937" w:rsidP="00AA1D91">
            <w:pPr>
              <w:keepNext/>
              <w:keepLines/>
              <w:suppressLineNumbers/>
              <w:rPr>
                <w:rFonts w:ascii="Arial" w:hAnsi="Arial" w:cs="Arial"/>
                <w:sz w:val="20"/>
                <w:szCs w:val="20"/>
              </w:rPr>
            </w:pPr>
          </w:p>
        </w:tc>
        <w:tc>
          <w:tcPr>
            <w:tcW w:w="4254" w:type="pct"/>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540068A3" w14:textId="77777777" w:rsidR="009F2937" w:rsidRPr="006C7B97" w:rsidDel="008F66B5" w:rsidRDefault="009F2937" w:rsidP="00AA1D91">
            <w:pPr>
              <w:keepNext/>
              <w:keepLines/>
              <w:suppressLineNumbers/>
              <w:autoSpaceDE w:val="0"/>
              <w:autoSpaceDN w:val="0"/>
              <w:rPr>
                <w:rFonts w:ascii="Arial" w:hAnsi="Arial" w:cs="Arial"/>
                <w:color w:val="000000"/>
                <w:sz w:val="20"/>
                <w:szCs w:val="20"/>
              </w:rPr>
            </w:pPr>
            <w:r w:rsidRPr="006C7B97">
              <w:rPr>
                <w:rFonts w:ascii="Arial" w:hAnsi="Arial" w:cs="Arial"/>
                <w:color w:val="000000" w:themeColor="text1"/>
                <w:sz w:val="20"/>
                <w:szCs w:val="20"/>
              </w:rPr>
              <w:t xml:space="preserve">For medicines or vaccines deemed by the PBAC to represent HATV AND where the PBAC considers that the remaining issues could be easily resolved, including when: </w:t>
            </w:r>
          </w:p>
          <w:p w14:paraId="2EBB1367" w14:textId="77777777" w:rsidR="009F2937" w:rsidRPr="006C7B97" w:rsidDel="008F66B5" w:rsidRDefault="009F2937" w:rsidP="009F2937">
            <w:pPr>
              <w:pStyle w:val="ListParagraph"/>
              <w:keepNext/>
              <w:keepLines/>
              <w:numPr>
                <w:ilvl w:val="0"/>
                <w:numId w:val="8"/>
              </w:numPr>
              <w:suppressLineNumbers/>
              <w:autoSpaceDE w:val="0"/>
              <w:autoSpaceDN w:val="0"/>
              <w:spacing w:after="0"/>
              <w:contextualSpacing/>
              <w:jc w:val="left"/>
              <w:rPr>
                <w:rFonts w:ascii="Arial" w:hAnsi="Arial"/>
                <w:color w:val="000000"/>
                <w:sz w:val="20"/>
                <w:szCs w:val="20"/>
              </w:rPr>
            </w:pPr>
            <w:r w:rsidRPr="006C7B97">
              <w:rPr>
                <w:rFonts w:ascii="Arial" w:hAnsi="Arial"/>
                <w:color w:val="000000" w:themeColor="text1"/>
                <w:sz w:val="20"/>
                <w:szCs w:val="20"/>
              </w:rPr>
              <w:t xml:space="preserve">new clinical study data requiring evaluation is not considered necessary by the PBAC to support new clinical claims to be made in the resubmission; and </w:t>
            </w:r>
          </w:p>
          <w:p w14:paraId="59E41641" w14:textId="77777777" w:rsidR="009F2937" w:rsidRPr="006C7B97" w:rsidDel="008F66B5" w:rsidRDefault="009F2937" w:rsidP="009F2937">
            <w:pPr>
              <w:pStyle w:val="ListParagraph"/>
              <w:keepNext/>
              <w:keepLines/>
              <w:numPr>
                <w:ilvl w:val="0"/>
                <w:numId w:val="8"/>
              </w:numPr>
              <w:suppressLineNumbers/>
              <w:autoSpaceDE w:val="0"/>
              <w:autoSpaceDN w:val="0"/>
              <w:spacing w:after="0"/>
              <w:contextualSpacing/>
              <w:jc w:val="left"/>
              <w:rPr>
                <w:rFonts w:ascii="Arial" w:hAnsi="Arial"/>
                <w:color w:val="000000"/>
                <w:sz w:val="20"/>
                <w:szCs w:val="20"/>
              </w:rPr>
            </w:pPr>
            <w:r w:rsidRPr="006C7B97">
              <w:rPr>
                <w:rFonts w:ascii="Arial" w:hAnsi="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1E36B287" w14:textId="77777777" w:rsidR="009F2937" w:rsidRPr="006C7B97" w:rsidDel="008F66B5" w:rsidRDefault="009F2937" w:rsidP="00AA1D91">
            <w:pPr>
              <w:pStyle w:val="NormalWeb"/>
              <w:keepNext/>
              <w:keepLines/>
              <w:suppressLineNumbers/>
              <w:spacing w:before="0" w:beforeAutospacing="0" w:after="0" w:afterAutospacing="0"/>
              <w:rPr>
                <w:rFonts w:ascii="Arial" w:hAnsi="Arial" w:cs="Arial"/>
                <w:sz w:val="20"/>
                <w:szCs w:val="20"/>
              </w:rPr>
            </w:pPr>
            <w:r w:rsidRPr="006C7B97">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9F2937" w:rsidRPr="00292120" w:rsidDel="008F66B5" w14:paraId="154C6993" w14:textId="77777777" w:rsidTr="006C7B97">
        <w:trPr>
          <w:cantSplit/>
          <w:trHeight w:val="300"/>
        </w:trPr>
        <w:tc>
          <w:tcPr>
            <w:tcW w:w="746" w:type="pct"/>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434B0688" w14:textId="77777777" w:rsidR="009F2937" w:rsidRPr="006C7B97" w:rsidDel="008F66B5" w:rsidRDefault="009F2937" w:rsidP="00AA1D91">
            <w:pPr>
              <w:keepNext/>
              <w:keepLines/>
              <w:suppressLineNumbers/>
              <w:rPr>
                <w:rFonts w:ascii="Arial" w:hAnsi="Arial" w:cs="Arial"/>
                <w:sz w:val="20"/>
                <w:szCs w:val="20"/>
              </w:rPr>
            </w:pPr>
            <w:r w:rsidRPr="006C7B97">
              <w:rPr>
                <w:rFonts w:ascii="Arial" w:hAnsi="Arial" w:cs="Arial"/>
                <w:b/>
                <w:bCs/>
                <w:sz w:val="20"/>
                <w:szCs w:val="20"/>
              </w:rPr>
              <w:t>Facilitated resolution pathway</w:t>
            </w:r>
          </w:p>
        </w:tc>
        <w:tc>
          <w:tcPr>
            <w:tcW w:w="4254" w:type="pct"/>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046558A" w14:textId="77777777" w:rsidR="009F2937" w:rsidRPr="006C7B97" w:rsidDel="008F66B5" w:rsidRDefault="009F2937" w:rsidP="00AA1D91">
            <w:pPr>
              <w:keepNext/>
              <w:keepLines/>
              <w:suppressLineNumbers/>
              <w:autoSpaceDE w:val="0"/>
              <w:autoSpaceDN w:val="0"/>
              <w:rPr>
                <w:rFonts w:ascii="Arial" w:hAnsi="Arial" w:cs="Arial"/>
                <w:b/>
                <w:bCs/>
                <w:sz w:val="20"/>
                <w:szCs w:val="20"/>
                <w:highlight w:val="green"/>
              </w:rPr>
            </w:pPr>
            <w:r w:rsidRPr="006C7B97">
              <w:rPr>
                <w:rFonts w:ascii="Arial" w:hAnsi="Arial" w:cs="Arial"/>
                <w:color w:val="000000" w:themeColor="text1"/>
                <w:sz w:val="20"/>
                <w:szCs w:val="2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65906F1F" w14:textId="77777777" w:rsidR="009F2937" w:rsidRPr="007C090B" w:rsidRDefault="009F2937" w:rsidP="00784EF2">
      <w:pPr>
        <w:rPr>
          <w:rFonts w:ascii="Arial" w:hAnsi="Arial" w:cs="Arial"/>
          <w:sz w:val="18"/>
          <w:szCs w:val="18"/>
        </w:rPr>
      </w:pPr>
    </w:p>
    <w:sectPr w:rsidR="009F2937" w:rsidRPr="007C090B" w:rsidSect="000A3B17">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9463" w14:textId="77777777" w:rsidR="008864EA" w:rsidRDefault="008864EA" w:rsidP="00784EF2">
      <w:r>
        <w:separator/>
      </w:r>
    </w:p>
  </w:endnote>
  <w:endnote w:type="continuationSeparator" w:id="0">
    <w:p w14:paraId="5A0BC537" w14:textId="77777777" w:rsidR="008864EA" w:rsidRDefault="008864EA" w:rsidP="0078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FA9A" w14:textId="77777777" w:rsidR="00683B8E" w:rsidRDefault="0068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130665"/>
      <w:docPartObj>
        <w:docPartGallery w:val="Page Numbers (Bottom of Page)"/>
        <w:docPartUnique/>
      </w:docPartObj>
    </w:sdtPr>
    <w:sdtEndPr>
      <w:rPr>
        <w:rFonts w:ascii="Arial" w:hAnsi="Arial" w:cs="Arial"/>
        <w:noProof/>
        <w:sz w:val="20"/>
        <w:szCs w:val="20"/>
      </w:rPr>
    </w:sdtEndPr>
    <w:sdtContent>
      <w:p w14:paraId="2AE069BC" w14:textId="1E7CBF75" w:rsidR="00683B8E" w:rsidRPr="00683B8E" w:rsidRDefault="00683B8E">
        <w:pPr>
          <w:pStyle w:val="Footer"/>
          <w:jc w:val="right"/>
          <w:rPr>
            <w:rFonts w:ascii="Arial" w:hAnsi="Arial" w:cs="Arial"/>
            <w:sz w:val="20"/>
            <w:szCs w:val="20"/>
          </w:rPr>
        </w:pPr>
        <w:r w:rsidRPr="00683B8E">
          <w:rPr>
            <w:rFonts w:ascii="Arial" w:hAnsi="Arial" w:cs="Arial"/>
            <w:sz w:val="20"/>
            <w:szCs w:val="20"/>
          </w:rPr>
          <w:fldChar w:fldCharType="begin"/>
        </w:r>
        <w:r w:rsidRPr="00683B8E">
          <w:rPr>
            <w:rFonts w:ascii="Arial" w:hAnsi="Arial" w:cs="Arial"/>
            <w:sz w:val="20"/>
            <w:szCs w:val="20"/>
          </w:rPr>
          <w:instrText xml:space="preserve"> PAGE   \* MERGEFORMAT </w:instrText>
        </w:r>
        <w:r w:rsidRPr="00683B8E">
          <w:rPr>
            <w:rFonts w:ascii="Arial" w:hAnsi="Arial" w:cs="Arial"/>
            <w:sz w:val="20"/>
            <w:szCs w:val="20"/>
          </w:rPr>
          <w:fldChar w:fldCharType="separate"/>
        </w:r>
        <w:r w:rsidRPr="00683B8E">
          <w:rPr>
            <w:rFonts w:ascii="Arial" w:hAnsi="Arial" w:cs="Arial"/>
            <w:noProof/>
            <w:sz w:val="20"/>
            <w:szCs w:val="20"/>
          </w:rPr>
          <w:t>2</w:t>
        </w:r>
        <w:r w:rsidRPr="00683B8E">
          <w:rPr>
            <w:rFonts w:ascii="Arial" w:hAnsi="Arial" w:cs="Arial"/>
            <w:noProof/>
            <w:sz w:val="20"/>
            <w:szCs w:val="20"/>
          </w:rPr>
          <w:fldChar w:fldCharType="end"/>
        </w:r>
      </w:p>
    </w:sdtContent>
  </w:sdt>
  <w:p w14:paraId="512E2734" w14:textId="77777777" w:rsidR="00683B8E" w:rsidRDefault="00683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05F9" w14:textId="77777777" w:rsidR="00683B8E" w:rsidRDefault="0068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09B7" w14:textId="77777777" w:rsidR="008864EA" w:rsidRDefault="008864EA" w:rsidP="00784EF2">
      <w:r>
        <w:separator/>
      </w:r>
    </w:p>
  </w:footnote>
  <w:footnote w:type="continuationSeparator" w:id="0">
    <w:p w14:paraId="4968648C" w14:textId="77777777" w:rsidR="008864EA" w:rsidRDefault="008864EA" w:rsidP="0078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F776" w14:textId="77777777" w:rsidR="00683B8E" w:rsidRDefault="00683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769F" w14:textId="77777777" w:rsidR="00784EF2" w:rsidRPr="00784EF2" w:rsidRDefault="00784EF2" w:rsidP="00784EF2">
    <w:pPr>
      <w:pStyle w:val="Header"/>
      <w:jc w:val="center"/>
      <w:rPr>
        <w:rFonts w:ascii="Arial" w:hAnsi="Arial" w:cs="Arial"/>
        <w:b/>
        <w:sz w:val="20"/>
        <w:szCs w:val="20"/>
      </w:rPr>
    </w:pPr>
    <w:r w:rsidRPr="00784EF2">
      <w:rPr>
        <w:rFonts w:ascii="Arial" w:hAnsi="Arial" w:cs="Arial"/>
        <w:b/>
        <w:bCs/>
        <w:color w:val="000000"/>
        <w:sz w:val="20"/>
        <w:szCs w:val="20"/>
      </w:rPr>
      <w:t xml:space="preserve">PHARMACEUTICAL BENEFITS ADVISORY COMMITTEE (PBAC) MEETING </w:t>
    </w:r>
    <w:r w:rsidRPr="00784EF2">
      <w:rPr>
        <w:rFonts w:ascii="Arial" w:hAnsi="Arial" w:cs="Arial"/>
        <w:b/>
        <w:sz w:val="20"/>
        <w:szCs w:val="20"/>
      </w:rPr>
      <w:t>OUTCOMES</w:t>
    </w:r>
  </w:p>
  <w:p w14:paraId="2C2F85E8" w14:textId="77777777" w:rsidR="00784EF2" w:rsidRPr="00784EF2" w:rsidRDefault="00784EF2" w:rsidP="00784EF2">
    <w:pPr>
      <w:pStyle w:val="Header"/>
      <w:jc w:val="center"/>
      <w:rPr>
        <w:rFonts w:ascii="Arial" w:hAnsi="Arial" w:cs="Arial"/>
        <w:b/>
        <w:sz w:val="20"/>
        <w:szCs w:val="20"/>
      </w:rPr>
    </w:pPr>
    <w:r w:rsidRPr="00784EF2">
      <w:rPr>
        <w:rFonts w:ascii="Arial" w:hAnsi="Arial" w:cs="Arial"/>
        <w:b/>
        <w:sz w:val="20"/>
        <w:szCs w:val="20"/>
      </w:rPr>
      <w:t>DECEMBER 2024 PBAC MEETING</w:t>
    </w:r>
  </w:p>
  <w:p w14:paraId="37E4F906" w14:textId="77777777" w:rsidR="00784EF2" w:rsidRDefault="00784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C846" w14:textId="77777777" w:rsidR="00683B8E" w:rsidRDefault="00683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 w15:restartNumberingAfterBreak="0">
    <w:nsid w:val="30346AD7"/>
    <w:multiLevelType w:val="hybridMultilevel"/>
    <w:tmpl w:val="7EEEF028"/>
    <w:lvl w:ilvl="0" w:tplc="0A6E900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3B977D6"/>
    <w:multiLevelType w:val="hybridMultilevel"/>
    <w:tmpl w:val="553C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5"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6"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C406A8A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93849964">
    <w:abstractNumId w:val="8"/>
  </w:num>
  <w:num w:numId="2" w16cid:durableId="19939097">
    <w:abstractNumId w:val="8"/>
  </w:num>
  <w:num w:numId="3" w16cid:durableId="1503396017">
    <w:abstractNumId w:val="2"/>
  </w:num>
  <w:num w:numId="4" w16cid:durableId="716318036">
    <w:abstractNumId w:val="8"/>
  </w:num>
  <w:num w:numId="5" w16cid:durableId="1329404904">
    <w:abstractNumId w:val="8"/>
  </w:num>
  <w:num w:numId="6" w16cid:durableId="1938634743">
    <w:abstractNumId w:val="3"/>
  </w:num>
  <w:num w:numId="7" w16cid:durableId="131691213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12804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997367">
    <w:abstractNumId w:val="7"/>
  </w:num>
  <w:num w:numId="10" w16cid:durableId="1955818708">
    <w:abstractNumId w:val="0"/>
  </w:num>
  <w:num w:numId="11" w16cid:durableId="1762793081">
    <w:abstractNumId w:val="1"/>
  </w:num>
  <w:num w:numId="12" w16cid:durableId="104202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2"/>
    <w:rsid w:val="000047D7"/>
    <w:rsid w:val="000A3B17"/>
    <w:rsid w:val="00113DCD"/>
    <w:rsid w:val="0013329B"/>
    <w:rsid w:val="001D1B6C"/>
    <w:rsid w:val="0022436A"/>
    <w:rsid w:val="002547FA"/>
    <w:rsid w:val="00280050"/>
    <w:rsid w:val="002A227A"/>
    <w:rsid w:val="002A4B9D"/>
    <w:rsid w:val="002F1C8A"/>
    <w:rsid w:val="00323146"/>
    <w:rsid w:val="00351E46"/>
    <w:rsid w:val="003747CC"/>
    <w:rsid w:val="003978B4"/>
    <w:rsid w:val="004654DC"/>
    <w:rsid w:val="00476DE0"/>
    <w:rsid w:val="004A343C"/>
    <w:rsid w:val="004C58D2"/>
    <w:rsid w:val="004D6ECB"/>
    <w:rsid w:val="005730F4"/>
    <w:rsid w:val="00672DE7"/>
    <w:rsid w:val="006823DD"/>
    <w:rsid w:val="00683B8E"/>
    <w:rsid w:val="006C7B97"/>
    <w:rsid w:val="00725206"/>
    <w:rsid w:val="007479B4"/>
    <w:rsid w:val="00784EF2"/>
    <w:rsid w:val="007A74BB"/>
    <w:rsid w:val="007C090B"/>
    <w:rsid w:val="008141C9"/>
    <w:rsid w:val="008214FD"/>
    <w:rsid w:val="00822950"/>
    <w:rsid w:val="00826E4C"/>
    <w:rsid w:val="008864EA"/>
    <w:rsid w:val="008C5636"/>
    <w:rsid w:val="00945288"/>
    <w:rsid w:val="00984FD7"/>
    <w:rsid w:val="009B65DD"/>
    <w:rsid w:val="009C0D26"/>
    <w:rsid w:val="009F2937"/>
    <w:rsid w:val="00AA671A"/>
    <w:rsid w:val="00BA7706"/>
    <w:rsid w:val="00C15E02"/>
    <w:rsid w:val="00C96A95"/>
    <w:rsid w:val="00CC5F1A"/>
    <w:rsid w:val="00CF5D6D"/>
    <w:rsid w:val="00D1650F"/>
    <w:rsid w:val="00D25420"/>
    <w:rsid w:val="00DC46E1"/>
    <w:rsid w:val="00E2798D"/>
    <w:rsid w:val="00E54CE0"/>
    <w:rsid w:val="00E71F9F"/>
    <w:rsid w:val="00EE0BEA"/>
    <w:rsid w:val="00F03FCF"/>
    <w:rsid w:val="00F14D6C"/>
    <w:rsid w:val="00F24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C9"/>
    <w:pPr>
      <w:jc w:val="both"/>
    </w:pPr>
    <w:rPr>
      <w:rFonts w:ascii="Calibri" w:hAnsi="Calibri"/>
      <w:sz w:val="24"/>
      <w:szCs w:val="24"/>
    </w:rPr>
  </w:style>
  <w:style w:type="paragraph" w:styleId="Heading1">
    <w:name w:val="heading 1"/>
    <w:basedOn w:val="Normal"/>
    <w:next w:val="Normal"/>
    <w:link w:val="Heading1Char"/>
    <w:uiPriority w:val="9"/>
    <w:rsid w:val="00784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984FD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rsid w:val="00784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rsid w:val="00784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784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rsid w:val="00784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784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784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784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link w:val="TableTextChar"/>
    <w:qFormat/>
    <w:rsid w:val="00784EF2"/>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784EF2"/>
    <w:rPr>
      <w:rFonts w:ascii="Arial Narrow" w:eastAsiaTheme="majorEastAsia" w:hAnsi="Arial Narrow" w:cstheme="majorBidi"/>
      <w:bCs/>
      <w:szCs w:val="24"/>
    </w:rPr>
  </w:style>
  <w:style w:type="paragraph" w:customStyle="1" w:styleId="TableFigureFooter">
    <w:name w:val="Table/Figure Footer"/>
    <w:basedOn w:val="Normal"/>
    <w:next w:val="3-BodyText"/>
    <w:link w:val="TableFigureFooterChar"/>
    <w:qFormat/>
    <w:rsid w:val="00784EF2"/>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84EF2"/>
    <w:rPr>
      <w:rFonts w:ascii="Arial Narrow" w:hAnsi="Arial Narrow" w:cs="Arial"/>
      <w:snapToGrid w:val="0"/>
      <w:sz w:val="18"/>
      <w:szCs w:val="22"/>
    </w:rPr>
  </w:style>
  <w:style w:type="paragraph" w:customStyle="1" w:styleId="In-tableHeading">
    <w:name w:val="In-table Heading"/>
    <w:qFormat/>
    <w:rsid w:val="00784EF2"/>
    <w:pPr>
      <w:keepNext/>
    </w:pPr>
    <w:rPr>
      <w:rFonts w:ascii="Arial Narrow" w:eastAsiaTheme="majorEastAsia" w:hAnsi="Arial Narrow"/>
      <w:b/>
      <w:szCs w:val="24"/>
      <w:lang w:val="en-US"/>
    </w:rPr>
  </w:style>
  <w:style w:type="paragraph" w:customStyle="1" w:styleId="4-SubsectionHeading">
    <w:name w:val="4-Subsection Heading"/>
    <w:basedOn w:val="Heading2"/>
    <w:next w:val="3-BodyText"/>
    <w:link w:val="4-SubsectionHeadingChar"/>
    <w:qFormat/>
    <w:rsid w:val="00784EF2"/>
    <w:pPr>
      <w:keepLines w:val="0"/>
      <w:spacing w:before="120" w:after="120"/>
    </w:pPr>
    <w:rPr>
      <w:rFonts w:asciiTheme="minorHAnsi" w:hAnsiTheme="minorHAnsi"/>
      <w:b/>
      <w:i/>
      <w:spacing w:val="5"/>
      <w:kern w:val="28"/>
      <w:sz w:val="28"/>
      <w:szCs w:val="36"/>
    </w:rPr>
  </w:style>
  <w:style w:type="character" w:customStyle="1" w:styleId="4-SubsectionHeadingChar">
    <w:name w:val="4-Subsection Heading Char"/>
    <w:basedOn w:val="Heading2Char"/>
    <w:link w:val="4-SubsectionHeading"/>
    <w:rsid w:val="00784EF2"/>
    <w:rPr>
      <w:rFonts w:asciiTheme="minorHAnsi" w:eastAsiaTheme="majorEastAsia" w:hAnsiTheme="minorHAnsi" w:cstheme="majorBidi"/>
      <w:b/>
      <w:i/>
      <w:color w:val="0F4761" w:themeColor="accent1" w:themeShade="BF"/>
      <w:spacing w:val="5"/>
      <w:kern w:val="28"/>
      <w:sz w:val="28"/>
      <w:szCs w:val="36"/>
    </w:rPr>
  </w:style>
  <w:style w:type="character" w:customStyle="1" w:styleId="Heading2Char">
    <w:name w:val="Heading 2 Char"/>
    <w:basedOn w:val="DefaultParagraphFont"/>
    <w:link w:val="Heading2"/>
    <w:uiPriority w:val="9"/>
    <w:semiHidden/>
    <w:rsid w:val="00984FD7"/>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uiPriority w:val="9"/>
    <w:rsid w:val="00784EF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784E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4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4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4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4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4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784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84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784EF2"/>
    <w:pPr>
      <w:spacing w:before="160"/>
      <w:jc w:val="center"/>
    </w:pPr>
    <w:rPr>
      <w:i/>
      <w:iCs/>
      <w:color w:val="404040" w:themeColor="text1" w:themeTint="BF"/>
    </w:rPr>
  </w:style>
  <w:style w:type="character" w:customStyle="1" w:styleId="QuoteChar">
    <w:name w:val="Quote Char"/>
    <w:basedOn w:val="DefaultParagraphFont"/>
    <w:link w:val="Quote"/>
    <w:uiPriority w:val="29"/>
    <w:rsid w:val="00784EF2"/>
    <w:rPr>
      <w:i/>
      <w:iCs/>
      <w:color w:val="404040" w:themeColor="text1" w:themeTint="BF"/>
    </w:rPr>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link w:val="ListParagraphChar"/>
    <w:uiPriority w:val="34"/>
    <w:qFormat/>
    <w:rsid w:val="00784EF2"/>
    <w:pPr>
      <w:numPr>
        <w:numId w:val="3"/>
      </w:numPr>
      <w:spacing w:after="120"/>
      <w:jc w:val="both"/>
    </w:pPr>
    <w:rPr>
      <w:rFonts w:asciiTheme="minorHAnsi" w:hAnsiTheme="minorHAnsi" w:cs="Arial"/>
      <w:snapToGrid w:val="0"/>
      <w:sz w:val="24"/>
      <w:szCs w:val="24"/>
    </w:rPr>
  </w:style>
  <w:style w:type="character" w:styleId="IntenseEmphasis">
    <w:name w:val="Intense Emphasis"/>
    <w:basedOn w:val="DefaultParagraphFont"/>
    <w:uiPriority w:val="21"/>
    <w:rsid w:val="00784EF2"/>
    <w:rPr>
      <w:i/>
      <w:iCs/>
      <w:color w:val="0F4761" w:themeColor="accent1" w:themeShade="BF"/>
    </w:rPr>
  </w:style>
  <w:style w:type="paragraph" w:styleId="IntenseQuote">
    <w:name w:val="Intense Quote"/>
    <w:basedOn w:val="Normal"/>
    <w:next w:val="Normal"/>
    <w:link w:val="IntenseQuoteChar"/>
    <w:uiPriority w:val="30"/>
    <w:rsid w:val="00784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EF2"/>
    <w:rPr>
      <w:i/>
      <w:iCs/>
      <w:color w:val="0F4761" w:themeColor="accent1" w:themeShade="BF"/>
    </w:rPr>
  </w:style>
  <w:style w:type="character" w:styleId="IntenseReference">
    <w:name w:val="Intense Reference"/>
    <w:basedOn w:val="DefaultParagraphFont"/>
    <w:uiPriority w:val="32"/>
    <w:rsid w:val="00784EF2"/>
    <w:rPr>
      <w:b/>
      <w:bCs/>
      <w:smallCaps/>
      <w:color w:val="0F4761" w:themeColor="accent1" w:themeShade="BF"/>
      <w:spacing w:val="5"/>
    </w:rPr>
  </w:style>
  <w:style w:type="paragraph" w:customStyle="1" w:styleId="GeneralHeading">
    <w:name w:val="General Heading"/>
    <w:qFormat/>
    <w:rsid w:val="00784EF2"/>
    <w:pPr>
      <w:keepNext/>
      <w:spacing w:before="120" w:after="120"/>
      <w:ind w:left="720" w:hanging="720"/>
      <w:outlineLvl w:val="0"/>
    </w:pPr>
    <w:rPr>
      <w:rFonts w:ascii="Calibri" w:hAnsi="Calibri" w:cs="Arial"/>
      <w:b/>
      <w:snapToGrid w:val="0"/>
      <w:sz w:val="28"/>
      <w:szCs w:val="22"/>
    </w:rPr>
  </w:style>
  <w:style w:type="paragraph" w:customStyle="1" w:styleId="2-SectionHeading">
    <w:name w:val="2-Section Heading"/>
    <w:next w:val="3-BodyText"/>
    <w:qFormat/>
    <w:rsid w:val="00784EF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784EF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84EF2"/>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
    <w:link w:val="TableFigureHeadingChar"/>
    <w:qFormat/>
    <w:rsid w:val="00784EF2"/>
    <w:pPr>
      <w:keepNext/>
      <w:keepLines/>
      <w:spacing w:after="0"/>
    </w:pPr>
    <w:rPr>
      <w:rFonts w:ascii="Arial Narrow" w:eastAsiaTheme="majorEastAsia" w:hAnsi="Arial Narrow" w:cstheme="majorBidi"/>
      <w:b/>
      <w:bCs/>
      <w:i w:val="0"/>
      <w:color w:val="auto"/>
      <w:sz w:val="20"/>
      <w:szCs w:val="24"/>
    </w:rPr>
  </w:style>
  <w:style w:type="character" w:customStyle="1" w:styleId="TableFigureHeadingChar">
    <w:name w:val="Table/Figure Heading Char"/>
    <w:basedOn w:val="DefaultParagraphFont"/>
    <w:link w:val="TableFigureHeading"/>
    <w:rsid w:val="00784EF2"/>
    <w:rPr>
      <w:rFonts w:ascii="Arial Narrow" w:eastAsiaTheme="majorEastAsia" w:hAnsi="Arial Narrow" w:cstheme="majorBidi"/>
      <w:b/>
      <w:bCs/>
      <w:iCs/>
      <w:szCs w:val="24"/>
    </w:rPr>
  </w:style>
  <w:style w:type="paragraph" w:styleId="Caption">
    <w:name w:val="caption"/>
    <w:basedOn w:val="Normal"/>
    <w:next w:val="Normal"/>
    <w:uiPriority w:val="35"/>
    <w:semiHidden/>
    <w:unhideWhenUsed/>
    <w:rsid w:val="00784EF2"/>
    <w:pPr>
      <w:spacing w:after="200"/>
    </w:pPr>
    <w:rPr>
      <w:i/>
      <w:iCs/>
      <w:color w:val="0E2841" w:themeColor="text2"/>
      <w:sz w:val="18"/>
      <w:szCs w:val="18"/>
    </w:rPr>
  </w:style>
  <w:style w:type="paragraph" w:customStyle="1" w:styleId="3-BodyText">
    <w:name w:val="3-Body Text"/>
    <w:link w:val="3-BodyTextChar"/>
    <w:qFormat/>
    <w:rsid w:val="00784EF2"/>
    <w:pPr>
      <w:numPr>
        <w:ilvl w:val="1"/>
        <w:numId w:val="5"/>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84EF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84EF2"/>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84EF2"/>
    <w:rPr>
      <w:rFonts w:ascii="Calibri" w:hAnsi="Calibri" w:cs="Arial"/>
      <w:b/>
      <w:sz w:val="24"/>
      <w:szCs w:val="24"/>
    </w:rPr>
  </w:style>
  <w:style w:type="paragraph" w:customStyle="1" w:styleId="PageHeader">
    <w:name w:val="Page Header"/>
    <w:basedOn w:val="Normal"/>
    <w:link w:val="PageHeaderChar"/>
    <w:qFormat/>
    <w:rsid w:val="00784EF2"/>
    <w:pPr>
      <w:keepNext/>
      <w:tabs>
        <w:tab w:val="center" w:pos="4513"/>
        <w:tab w:val="right" w:pos="9026"/>
      </w:tabs>
      <w:jc w:val="center"/>
    </w:pPr>
    <w:rPr>
      <w:i/>
      <w:iCs/>
    </w:rPr>
  </w:style>
  <w:style w:type="character" w:customStyle="1" w:styleId="PageHeaderChar">
    <w:name w:val="Page Header Char"/>
    <w:basedOn w:val="DefaultParagraphFont"/>
    <w:link w:val="PageHeader"/>
    <w:rsid w:val="00784EF2"/>
    <w:rPr>
      <w:rFonts w:ascii="Calibri" w:hAnsi="Calibri"/>
      <w:i/>
      <w:iCs/>
      <w:sz w:val="24"/>
      <w:szCs w:val="24"/>
    </w:rPr>
  </w:style>
  <w:style w:type="paragraph" w:customStyle="1" w:styleId="5-SubsectionSubheading">
    <w:name w:val="5-Subsection Subheading"/>
    <w:basedOn w:val="Heading3"/>
    <w:next w:val="3-BodyText"/>
    <w:link w:val="5-SubsectionSubheadingChar"/>
    <w:qFormat/>
    <w:rsid w:val="00784EF2"/>
    <w:pPr>
      <w:spacing w:before="40" w:after="0"/>
    </w:pPr>
    <w:rPr>
      <w:b/>
      <w:color w:val="000000" w:themeColor="text1"/>
      <w:sz w:val="24"/>
      <w:szCs w:val="24"/>
    </w:rPr>
  </w:style>
  <w:style w:type="character" w:customStyle="1" w:styleId="5-SubsectionSubheadingChar">
    <w:name w:val="5-Subsection Subheading Char"/>
    <w:basedOn w:val="Heading3Char"/>
    <w:link w:val="5-SubsectionSubheading"/>
    <w:rsid w:val="00784EF2"/>
    <w:rPr>
      <w:rFonts w:asciiTheme="minorHAnsi" w:eastAsiaTheme="majorEastAsia" w:hAnsiTheme="minorHAnsi" w:cstheme="majorBidi"/>
      <w:b/>
      <w:color w:val="000000" w:themeColor="text1"/>
      <w:sz w:val="24"/>
      <w:szCs w:val="24"/>
    </w:rPr>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basedOn w:val="DefaultParagraphFont"/>
    <w:link w:val="ListParagraph"/>
    <w:uiPriority w:val="34"/>
    <w:qFormat/>
    <w:locked/>
    <w:rsid w:val="00784EF2"/>
    <w:rPr>
      <w:rFonts w:asciiTheme="minorHAnsi" w:hAnsiTheme="minorHAnsi" w:cs="Arial"/>
      <w:snapToGrid w:val="0"/>
      <w:sz w:val="24"/>
      <w:szCs w:val="24"/>
    </w:rPr>
  </w:style>
  <w:style w:type="paragraph" w:styleId="Header">
    <w:name w:val="header"/>
    <w:aliases w:val="Header title,he=header,cntr/bld"/>
    <w:basedOn w:val="Normal"/>
    <w:link w:val="HeaderChar"/>
    <w:unhideWhenUsed/>
    <w:rsid w:val="00784EF2"/>
    <w:pPr>
      <w:tabs>
        <w:tab w:val="center" w:pos="4513"/>
        <w:tab w:val="right" w:pos="9026"/>
      </w:tabs>
    </w:pPr>
  </w:style>
  <w:style w:type="character" w:customStyle="1" w:styleId="HeaderChar">
    <w:name w:val="Header Char"/>
    <w:aliases w:val="Header title Char,he=header Char,cntr/bld Char"/>
    <w:basedOn w:val="DefaultParagraphFont"/>
    <w:link w:val="Header"/>
    <w:rsid w:val="00784EF2"/>
    <w:rPr>
      <w:rFonts w:ascii="Calibri" w:hAnsi="Calibri"/>
      <w:sz w:val="24"/>
      <w:szCs w:val="24"/>
    </w:rPr>
  </w:style>
  <w:style w:type="paragraph" w:styleId="Footer">
    <w:name w:val="footer"/>
    <w:basedOn w:val="Normal"/>
    <w:link w:val="FooterChar"/>
    <w:uiPriority w:val="99"/>
    <w:unhideWhenUsed/>
    <w:rsid w:val="00784EF2"/>
    <w:pPr>
      <w:tabs>
        <w:tab w:val="center" w:pos="4513"/>
        <w:tab w:val="right" w:pos="9026"/>
      </w:tabs>
    </w:pPr>
  </w:style>
  <w:style w:type="character" w:customStyle="1" w:styleId="FooterChar">
    <w:name w:val="Footer Char"/>
    <w:basedOn w:val="DefaultParagraphFont"/>
    <w:link w:val="Footer"/>
    <w:uiPriority w:val="99"/>
    <w:rsid w:val="00784EF2"/>
    <w:rPr>
      <w:rFonts w:ascii="Calibri" w:hAnsi="Calibri"/>
      <w:sz w:val="24"/>
      <w:szCs w:val="24"/>
    </w:rPr>
  </w:style>
  <w:style w:type="table" w:styleId="TableGrid">
    <w:name w:val="Table Grid"/>
    <w:basedOn w:val="TableNormal"/>
    <w:rsid w:val="00784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937"/>
    <w:pPr>
      <w:spacing w:before="100" w:beforeAutospacing="1" w:after="100" w:afterAutospacing="1"/>
      <w:jc w:val="left"/>
    </w:pPr>
    <w:rPr>
      <w:rFonts w:ascii="Times New Roman" w:hAnsi="Times New Roman"/>
      <w:lang w:eastAsia="en-AU"/>
    </w:rPr>
  </w:style>
  <w:style w:type="paragraph" w:customStyle="1" w:styleId="Default">
    <w:name w:val="Default"/>
    <w:rsid w:val="009F2937"/>
    <w:pPr>
      <w:autoSpaceDE w:val="0"/>
      <w:autoSpaceDN w:val="0"/>
      <w:adjustRightInd w:val="0"/>
    </w:pPr>
    <w:rPr>
      <w:color w:val="000000"/>
      <w:sz w:val="24"/>
      <w:szCs w:val="24"/>
      <w:lang w:eastAsia="en-AU"/>
    </w:rPr>
  </w:style>
  <w:style w:type="paragraph" w:styleId="Revision">
    <w:name w:val="Revision"/>
    <w:hidden/>
    <w:uiPriority w:val="99"/>
    <w:semiHidden/>
    <w:rsid w:val="00476DE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2025-01-30T23:25:00Z</dcterms:created>
  <dcterms:modified xsi:type="dcterms:W3CDTF">2025-01-30T23:31:00Z</dcterms:modified>
</cp:coreProperties>
</file>