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B0EE" w14:textId="7CDB471C" w:rsidR="00D7136A" w:rsidRDefault="00464DA0" w:rsidP="00052897">
      <w:pPr>
        <w:contextualSpacing/>
        <w:jc w:val="both"/>
        <w:rPr>
          <w:rFonts w:ascii="Arial" w:hAnsi="Arial" w:cs="Arial"/>
          <w:b/>
          <w:szCs w:val="20"/>
          <w:lang w:eastAsia="en-AU"/>
        </w:rPr>
      </w:pPr>
      <w:r>
        <w:rPr>
          <w:rFonts w:ascii="Arial" w:hAnsi="Arial" w:cs="Arial"/>
          <w:b/>
          <w:sz w:val="28"/>
          <w:lang w:eastAsia="en-AU"/>
        </w:rPr>
        <w:t xml:space="preserve">PBAC CONSIDERATION OF THE </w:t>
      </w:r>
      <w:r w:rsidR="00D7136A">
        <w:rPr>
          <w:rFonts w:ascii="Arial" w:hAnsi="Arial" w:cs="Arial"/>
          <w:b/>
          <w:sz w:val="28"/>
          <w:lang w:eastAsia="en-AU"/>
        </w:rPr>
        <w:t>REPORT</w:t>
      </w:r>
      <w:r w:rsidR="00267A9D">
        <w:rPr>
          <w:rFonts w:ascii="Arial" w:hAnsi="Arial" w:cs="Arial"/>
          <w:b/>
          <w:sz w:val="28"/>
          <w:lang w:eastAsia="en-AU"/>
        </w:rPr>
        <w:t xml:space="preserve"> OF THE DRUG </w:t>
      </w:r>
      <w:r w:rsidR="00D7136A" w:rsidRPr="00B94022">
        <w:rPr>
          <w:rFonts w:ascii="Arial" w:hAnsi="Arial" w:cs="Arial"/>
          <w:b/>
          <w:sz w:val="28"/>
          <w:lang w:eastAsia="en-AU"/>
        </w:rPr>
        <w:t>UTILISATION SUB-COMMITTEE</w:t>
      </w:r>
    </w:p>
    <w:p w14:paraId="7F124E9C" w14:textId="77777777" w:rsidR="00D7136A" w:rsidRPr="006951BF" w:rsidRDefault="00D7136A" w:rsidP="00052897">
      <w:pPr>
        <w:jc w:val="both"/>
        <w:rPr>
          <w:rFonts w:ascii="Arial" w:hAnsi="Arial" w:cs="Arial"/>
          <w:b/>
          <w:sz w:val="28"/>
          <w:szCs w:val="20"/>
          <w:lang w:eastAsia="en-AU"/>
        </w:rPr>
      </w:pPr>
    </w:p>
    <w:p w14:paraId="2BEF9007" w14:textId="11812C65" w:rsidR="005616CC" w:rsidRDefault="00D7136A" w:rsidP="00052897">
      <w:pPr>
        <w:contextualSpacing/>
        <w:jc w:val="both"/>
        <w:rPr>
          <w:rFonts w:ascii="Arial" w:hAnsi="Arial" w:cs="Arial"/>
          <w:sz w:val="22"/>
          <w:lang w:eastAsia="en-AU"/>
        </w:rPr>
      </w:pPr>
      <w:r w:rsidRPr="006951BF">
        <w:rPr>
          <w:rFonts w:ascii="Arial" w:hAnsi="Arial" w:cs="Arial"/>
          <w:sz w:val="22"/>
          <w:lang w:eastAsia="en-AU"/>
        </w:rPr>
        <w:t xml:space="preserve">The PBAC noted reports with associated stakeholder responses from the </w:t>
      </w:r>
      <w:r w:rsidR="00594361">
        <w:rPr>
          <w:rFonts w:ascii="Arial" w:hAnsi="Arial" w:cs="Arial"/>
          <w:sz w:val="22"/>
          <w:lang w:eastAsia="en-AU"/>
        </w:rPr>
        <w:t>October</w:t>
      </w:r>
      <w:r w:rsidR="00C71A4B">
        <w:rPr>
          <w:rFonts w:ascii="Arial" w:hAnsi="Arial" w:cs="Arial"/>
          <w:sz w:val="22"/>
          <w:lang w:eastAsia="en-AU"/>
        </w:rPr>
        <w:t xml:space="preserve"> 2024</w:t>
      </w:r>
      <w:r w:rsidR="00DB4B4C">
        <w:rPr>
          <w:rFonts w:ascii="Arial" w:hAnsi="Arial" w:cs="Arial"/>
          <w:sz w:val="22"/>
          <w:lang w:eastAsia="en-AU"/>
        </w:rPr>
        <w:t xml:space="preserve"> </w:t>
      </w:r>
      <w:r w:rsidR="00A31269" w:rsidRPr="006951BF">
        <w:rPr>
          <w:rFonts w:ascii="Arial" w:hAnsi="Arial" w:cs="Arial"/>
          <w:sz w:val="22"/>
          <w:lang w:eastAsia="en-AU"/>
        </w:rPr>
        <w:t xml:space="preserve">Drug Utilisation Sub-Committee (DUSC) </w:t>
      </w:r>
      <w:r w:rsidRPr="006951BF">
        <w:rPr>
          <w:rFonts w:ascii="Arial" w:hAnsi="Arial" w:cs="Arial"/>
          <w:sz w:val="22"/>
          <w:lang w:eastAsia="en-AU"/>
        </w:rPr>
        <w:t>meeting, which were provided in Item</w:t>
      </w:r>
      <w:r w:rsidR="00A31269" w:rsidRPr="006951BF">
        <w:rPr>
          <w:rFonts w:ascii="Arial" w:hAnsi="Arial" w:cs="Arial"/>
          <w:sz w:val="22"/>
          <w:lang w:eastAsia="en-AU"/>
        </w:rPr>
        <w:t>s</w:t>
      </w:r>
      <w:r w:rsidR="00D6624D">
        <w:rPr>
          <w:rFonts w:ascii="Arial" w:hAnsi="Arial" w:cs="Arial"/>
          <w:sz w:val="22"/>
          <w:lang w:eastAsia="en-AU"/>
        </w:rPr>
        <w:t xml:space="preserve"> </w:t>
      </w:r>
      <w:r w:rsidR="006354AB">
        <w:rPr>
          <w:rFonts w:ascii="Arial" w:hAnsi="Arial" w:cs="Arial"/>
          <w:sz w:val="22"/>
          <w:lang w:eastAsia="en-AU"/>
        </w:rPr>
        <w:t>10.</w:t>
      </w:r>
      <w:r w:rsidR="00E91740">
        <w:rPr>
          <w:rFonts w:ascii="Arial" w:hAnsi="Arial" w:cs="Arial"/>
          <w:sz w:val="22"/>
          <w:lang w:eastAsia="en-AU"/>
        </w:rPr>
        <w:t>04</w:t>
      </w:r>
      <w:r w:rsidR="00C9267A">
        <w:rPr>
          <w:rFonts w:ascii="Arial" w:hAnsi="Arial" w:cs="Arial"/>
          <w:sz w:val="22"/>
          <w:lang w:eastAsia="en-AU"/>
        </w:rPr>
        <w:t xml:space="preserve">, </w:t>
      </w:r>
      <w:r w:rsidR="00594361">
        <w:rPr>
          <w:rFonts w:ascii="Arial" w:hAnsi="Arial" w:cs="Arial"/>
          <w:sz w:val="22"/>
          <w:lang w:eastAsia="en-AU"/>
        </w:rPr>
        <w:t>10.</w:t>
      </w:r>
      <w:r w:rsidR="00E91740">
        <w:rPr>
          <w:rFonts w:ascii="Arial" w:hAnsi="Arial" w:cs="Arial"/>
          <w:sz w:val="22"/>
          <w:lang w:eastAsia="en-AU"/>
        </w:rPr>
        <w:t>05</w:t>
      </w:r>
      <w:r w:rsidR="00594361">
        <w:rPr>
          <w:rFonts w:ascii="Arial" w:hAnsi="Arial" w:cs="Arial"/>
          <w:sz w:val="22"/>
          <w:lang w:eastAsia="en-AU"/>
        </w:rPr>
        <w:t xml:space="preserve"> </w:t>
      </w:r>
      <w:r w:rsidR="007F2CE8">
        <w:rPr>
          <w:rFonts w:ascii="Arial" w:hAnsi="Arial" w:cs="Arial"/>
          <w:sz w:val="22"/>
          <w:lang w:eastAsia="en-AU"/>
        </w:rPr>
        <w:t xml:space="preserve">and </w:t>
      </w:r>
      <w:r w:rsidR="00C9267A">
        <w:rPr>
          <w:rFonts w:ascii="Arial" w:hAnsi="Arial" w:cs="Arial"/>
          <w:sz w:val="22"/>
          <w:lang w:eastAsia="en-AU"/>
        </w:rPr>
        <w:t>10</w:t>
      </w:r>
      <w:r w:rsidR="00053A39">
        <w:rPr>
          <w:rFonts w:ascii="Arial" w:hAnsi="Arial" w:cs="Arial"/>
          <w:sz w:val="22"/>
          <w:lang w:eastAsia="en-AU"/>
        </w:rPr>
        <w:t>.</w:t>
      </w:r>
      <w:r w:rsidR="00E91740">
        <w:rPr>
          <w:rFonts w:ascii="Arial" w:hAnsi="Arial" w:cs="Arial"/>
          <w:sz w:val="22"/>
          <w:lang w:eastAsia="en-AU"/>
        </w:rPr>
        <w:t>06</w:t>
      </w:r>
      <w:r w:rsidR="00C229C3">
        <w:rPr>
          <w:rFonts w:ascii="Arial" w:hAnsi="Arial" w:cs="Arial"/>
          <w:sz w:val="22"/>
          <w:lang w:eastAsia="en-AU"/>
        </w:rPr>
        <w:t xml:space="preserve"> </w:t>
      </w:r>
      <w:r w:rsidRPr="006951BF">
        <w:rPr>
          <w:rFonts w:ascii="Arial" w:hAnsi="Arial" w:cs="Arial"/>
          <w:sz w:val="22"/>
          <w:lang w:eastAsia="en-AU"/>
        </w:rPr>
        <w:t xml:space="preserve">of the PBAC Agenda. </w:t>
      </w:r>
      <w:r w:rsidR="00A31269" w:rsidRPr="006951BF">
        <w:rPr>
          <w:rFonts w:ascii="Arial" w:hAnsi="Arial" w:cs="Arial"/>
          <w:sz w:val="22"/>
          <w:lang w:eastAsia="en-AU"/>
        </w:rPr>
        <w:t>DUSC minutes relating to these items were provided to the PBAC</w:t>
      </w:r>
      <w:r w:rsidR="00F8213A">
        <w:rPr>
          <w:rFonts w:ascii="Arial" w:hAnsi="Arial" w:cs="Arial"/>
          <w:sz w:val="22"/>
          <w:lang w:eastAsia="en-AU"/>
        </w:rPr>
        <w:t>. The outcomes of the DUSC consideration of these items are available in</w:t>
      </w:r>
      <w:r w:rsidR="00CB6BC5">
        <w:rPr>
          <w:rFonts w:ascii="Arial" w:hAnsi="Arial" w:cs="Arial"/>
          <w:sz w:val="22"/>
          <w:lang w:eastAsia="en-AU"/>
        </w:rPr>
        <w:t xml:space="preserve"> the</w:t>
      </w:r>
      <w:r w:rsidR="00BD0BA3">
        <w:rPr>
          <w:rFonts w:ascii="Arial" w:hAnsi="Arial" w:cs="Arial"/>
          <w:sz w:val="22"/>
          <w:lang w:eastAsia="en-AU"/>
        </w:rPr>
        <w:t xml:space="preserve"> </w:t>
      </w:r>
      <w:hyperlink r:id="rId11" w:history="1">
        <w:r w:rsidR="00417600">
          <w:rPr>
            <w:rStyle w:val="Hyperlink"/>
            <w:rFonts w:ascii="Arial" w:hAnsi="Arial" w:cs="Arial"/>
            <w:sz w:val="22"/>
            <w:lang w:eastAsia="en-AU"/>
          </w:rPr>
          <w:t>October</w:t>
        </w:r>
        <w:r w:rsidR="00854810">
          <w:rPr>
            <w:rStyle w:val="Hyperlink"/>
            <w:rFonts w:ascii="Arial" w:hAnsi="Arial" w:cs="Arial"/>
            <w:sz w:val="22"/>
            <w:lang w:eastAsia="en-AU"/>
          </w:rPr>
          <w:t xml:space="preserve"> 2024 DUSC outcome statement</w:t>
        </w:r>
      </w:hyperlink>
      <w:r w:rsidR="00BD0BA3">
        <w:rPr>
          <w:rFonts w:ascii="Arial" w:hAnsi="Arial" w:cs="Arial"/>
          <w:sz w:val="22"/>
          <w:lang w:eastAsia="en-AU"/>
        </w:rPr>
        <w:t>.</w:t>
      </w:r>
    </w:p>
    <w:p w14:paraId="7E1B6F48" w14:textId="77777777" w:rsidR="00B139EF" w:rsidRDefault="00B139EF" w:rsidP="00052897">
      <w:pPr>
        <w:contextualSpacing/>
        <w:jc w:val="both"/>
        <w:rPr>
          <w:rFonts w:ascii="Arial" w:hAnsi="Arial" w:cs="Arial"/>
          <w:sz w:val="22"/>
          <w:lang w:eastAsia="en-AU"/>
        </w:rPr>
      </w:pPr>
    </w:p>
    <w:p w14:paraId="010A71E5" w14:textId="0C62544D" w:rsidR="00FE3BDD" w:rsidRDefault="000E2791" w:rsidP="00B139EF">
      <w:pPr>
        <w:rPr>
          <w:rFonts w:ascii="Arial" w:eastAsia="Calibri" w:hAnsi="Arial" w:cs="Arial"/>
          <w:b/>
          <w:caps/>
          <w:sz w:val="22"/>
          <w:szCs w:val="22"/>
        </w:rPr>
      </w:pPr>
      <w:r w:rsidRPr="000E2791">
        <w:rPr>
          <w:rFonts w:ascii="Arial" w:eastAsia="Calibri" w:hAnsi="Arial" w:cs="Arial"/>
          <w:b/>
          <w:caps/>
          <w:sz w:val="22"/>
          <w:szCs w:val="22"/>
        </w:rPr>
        <w:t>Dasatinib and nilotinib for chronic myeloid leukaemia</w:t>
      </w:r>
    </w:p>
    <w:p w14:paraId="0BE40B6A" w14:textId="77777777" w:rsidR="000E2791" w:rsidRDefault="000E2791" w:rsidP="00B139EF">
      <w:pPr>
        <w:rPr>
          <w:rFonts w:ascii="Arial" w:eastAsia="Calibri" w:hAnsi="Arial" w:cs="Arial"/>
          <w:b/>
          <w:caps/>
          <w:sz w:val="22"/>
          <w:szCs w:val="22"/>
        </w:rPr>
      </w:pPr>
    </w:p>
    <w:p w14:paraId="137DAE18" w14:textId="6683FE5D" w:rsidR="00250D4C" w:rsidRPr="00250D4C" w:rsidRDefault="00FE3BDD" w:rsidP="00250D4C">
      <w:pPr>
        <w:contextualSpacing/>
        <w:jc w:val="both"/>
        <w:rPr>
          <w:rFonts w:ascii="Arial" w:hAnsi="Arial" w:cs="Arial"/>
          <w:i/>
          <w:iCs/>
          <w:sz w:val="22"/>
          <w:szCs w:val="22"/>
          <w:lang w:eastAsia="en-AU"/>
        </w:rPr>
      </w:pPr>
      <w:r w:rsidRPr="00250D4C">
        <w:rPr>
          <w:rFonts w:ascii="Arial" w:hAnsi="Arial" w:cs="Arial"/>
          <w:i/>
          <w:iCs/>
          <w:sz w:val="22"/>
          <w:szCs w:val="22"/>
          <w:lang w:eastAsia="en-AU"/>
        </w:rPr>
        <w:t>Outcome</w:t>
      </w:r>
    </w:p>
    <w:p w14:paraId="62D23CC8" w14:textId="019D0C67" w:rsidR="00250D4C" w:rsidRPr="0012151C" w:rsidRDefault="0012151C" w:rsidP="00250D4C">
      <w:pPr>
        <w:contextualSpacing/>
        <w:jc w:val="both"/>
        <w:rPr>
          <w:rFonts w:ascii="Arial" w:hAnsi="Arial" w:cs="Arial"/>
          <w:sz w:val="22"/>
          <w:szCs w:val="22"/>
          <w:lang w:eastAsia="en-AU"/>
        </w:rPr>
      </w:pPr>
      <w:r>
        <w:rPr>
          <w:rFonts w:ascii="Arial" w:hAnsi="Arial" w:cs="Arial"/>
          <w:sz w:val="22"/>
          <w:szCs w:val="22"/>
          <w:lang w:eastAsia="en-AU"/>
        </w:rPr>
        <w:t>The PBAC noted that t</w:t>
      </w:r>
      <w:r w:rsidRPr="0012151C">
        <w:rPr>
          <w:rFonts w:ascii="Arial" w:hAnsi="Arial" w:cs="Arial"/>
          <w:sz w:val="22"/>
          <w:szCs w:val="22"/>
          <w:lang w:eastAsia="en-AU"/>
        </w:rPr>
        <w:t>he utilisation of nilotinib and dasatinib had remained at a similar level following the implementation of the restriction changes</w:t>
      </w:r>
      <w:r>
        <w:rPr>
          <w:rFonts w:ascii="Arial" w:hAnsi="Arial" w:cs="Arial"/>
          <w:sz w:val="22"/>
          <w:szCs w:val="22"/>
          <w:lang w:eastAsia="en-AU"/>
        </w:rPr>
        <w:t xml:space="preserve"> to reduce authority levels</w:t>
      </w:r>
      <w:r w:rsidRPr="0012151C">
        <w:rPr>
          <w:rFonts w:ascii="Arial" w:hAnsi="Arial" w:cs="Arial"/>
          <w:sz w:val="22"/>
          <w:szCs w:val="22"/>
          <w:lang w:eastAsia="en-AU"/>
        </w:rPr>
        <w:t xml:space="preserve"> in March 2022 relative to utilisation prior to the change.</w:t>
      </w:r>
    </w:p>
    <w:p w14:paraId="104C4357" w14:textId="77777777" w:rsidR="00B139EF" w:rsidRPr="008F5977" w:rsidRDefault="00B139EF" w:rsidP="00052897">
      <w:pPr>
        <w:contextualSpacing/>
        <w:jc w:val="both"/>
        <w:rPr>
          <w:rFonts w:ascii="Arial" w:hAnsi="Arial" w:cs="Arial"/>
          <w:sz w:val="22"/>
          <w:szCs w:val="22"/>
          <w:lang w:eastAsia="en-AU"/>
        </w:rPr>
      </w:pPr>
    </w:p>
    <w:p w14:paraId="4F702688" w14:textId="31CF7A06" w:rsidR="007B7F4C" w:rsidRDefault="000606D4" w:rsidP="00052897">
      <w:pPr>
        <w:contextualSpacing/>
        <w:jc w:val="both"/>
        <w:rPr>
          <w:rFonts w:ascii="Arial" w:hAnsi="Arial" w:cs="Arial"/>
          <w:b/>
          <w:bCs/>
          <w:caps/>
          <w:sz w:val="22"/>
          <w:szCs w:val="22"/>
          <w:lang w:eastAsia="en-AU"/>
        </w:rPr>
      </w:pPr>
      <w:r w:rsidRPr="000606D4">
        <w:rPr>
          <w:rFonts w:ascii="Arial" w:hAnsi="Arial" w:cs="Arial"/>
          <w:b/>
          <w:bCs/>
          <w:caps/>
          <w:sz w:val="22"/>
          <w:szCs w:val="22"/>
          <w:lang w:eastAsia="en-AU"/>
        </w:rPr>
        <w:t>Idelalisib for refractory follicular B-cell non-Hodgkin lymphoma</w:t>
      </w:r>
    </w:p>
    <w:p w14:paraId="480C60EB" w14:textId="77777777" w:rsidR="000606D4" w:rsidRPr="008F5977" w:rsidRDefault="000606D4" w:rsidP="00052897">
      <w:pPr>
        <w:contextualSpacing/>
        <w:jc w:val="both"/>
        <w:rPr>
          <w:rFonts w:ascii="Arial" w:hAnsi="Arial" w:cs="Arial"/>
          <w:b/>
          <w:bCs/>
          <w:caps/>
          <w:sz w:val="22"/>
          <w:szCs w:val="22"/>
          <w:lang w:eastAsia="en-AU"/>
        </w:rPr>
      </w:pPr>
    </w:p>
    <w:p w14:paraId="6A798262" w14:textId="12ABA4F6" w:rsidR="007B7F4C" w:rsidRPr="008F5977" w:rsidRDefault="007B7F4C" w:rsidP="00052897">
      <w:pPr>
        <w:contextualSpacing/>
        <w:jc w:val="both"/>
        <w:rPr>
          <w:rFonts w:ascii="Arial" w:hAnsi="Arial" w:cs="Arial"/>
          <w:i/>
          <w:iCs/>
          <w:sz w:val="22"/>
          <w:szCs w:val="22"/>
          <w:lang w:eastAsia="en-AU"/>
        </w:rPr>
      </w:pPr>
      <w:r w:rsidRPr="008F5977">
        <w:rPr>
          <w:rFonts w:ascii="Arial" w:hAnsi="Arial" w:cs="Arial"/>
          <w:i/>
          <w:iCs/>
          <w:sz w:val="22"/>
          <w:szCs w:val="22"/>
          <w:lang w:eastAsia="en-AU"/>
        </w:rPr>
        <w:t>Outcome</w:t>
      </w:r>
    </w:p>
    <w:p w14:paraId="1696CAED" w14:textId="685BC032" w:rsidR="007B7F4C" w:rsidRPr="0012151C" w:rsidRDefault="0012151C" w:rsidP="00052897">
      <w:pPr>
        <w:contextualSpacing/>
        <w:jc w:val="both"/>
        <w:rPr>
          <w:rFonts w:ascii="Arial" w:hAnsi="Arial" w:cs="Arial"/>
          <w:sz w:val="22"/>
          <w:szCs w:val="22"/>
          <w:lang w:eastAsia="en-AU"/>
        </w:rPr>
      </w:pPr>
      <w:r>
        <w:rPr>
          <w:rFonts w:ascii="Arial" w:hAnsi="Arial" w:cs="Arial"/>
          <w:sz w:val="22"/>
          <w:szCs w:val="22"/>
          <w:lang w:eastAsia="en-AU"/>
        </w:rPr>
        <w:t>The PBAC noted that s</w:t>
      </w:r>
      <w:r w:rsidRPr="0012151C">
        <w:rPr>
          <w:rFonts w:ascii="Arial" w:hAnsi="Arial" w:cs="Arial"/>
          <w:sz w:val="22"/>
          <w:szCs w:val="22"/>
          <w:lang w:eastAsia="en-AU"/>
        </w:rPr>
        <w:t>ince the change in restriction</w:t>
      </w:r>
      <w:r>
        <w:rPr>
          <w:rFonts w:ascii="Arial" w:hAnsi="Arial" w:cs="Arial"/>
          <w:sz w:val="22"/>
          <w:szCs w:val="22"/>
          <w:lang w:eastAsia="en-AU"/>
        </w:rPr>
        <w:t xml:space="preserve"> in January 2022</w:t>
      </w:r>
      <w:r w:rsidRPr="0012151C">
        <w:rPr>
          <w:rFonts w:ascii="Arial" w:hAnsi="Arial" w:cs="Arial"/>
          <w:sz w:val="22"/>
          <w:szCs w:val="22"/>
          <w:lang w:eastAsia="en-AU"/>
        </w:rPr>
        <w:t xml:space="preserve"> there had been no significant change in the number of patients being treated nor the pattern or safety of treatment with idelalisib for refractory follicular B-cell non-Hodgkin lymphoma.</w:t>
      </w:r>
    </w:p>
    <w:p w14:paraId="452F2031" w14:textId="77777777" w:rsidR="002879B4" w:rsidRPr="008F5977" w:rsidRDefault="002879B4" w:rsidP="002879B4">
      <w:pPr>
        <w:contextualSpacing/>
        <w:jc w:val="both"/>
        <w:rPr>
          <w:rFonts w:ascii="Arial" w:hAnsi="Arial" w:cs="Arial"/>
          <w:sz w:val="22"/>
          <w:szCs w:val="22"/>
          <w:lang w:eastAsia="en-AU"/>
        </w:rPr>
      </w:pPr>
    </w:p>
    <w:p w14:paraId="7FADDBA2" w14:textId="4DB565E7" w:rsidR="00B139EF" w:rsidRDefault="000606D4" w:rsidP="00052897">
      <w:pPr>
        <w:contextualSpacing/>
        <w:jc w:val="both"/>
        <w:rPr>
          <w:rFonts w:ascii="Arial" w:hAnsi="Arial" w:cs="Arial"/>
          <w:b/>
          <w:bCs/>
          <w:caps/>
          <w:sz w:val="22"/>
          <w:lang w:eastAsia="en-AU"/>
        </w:rPr>
      </w:pPr>
      <w:r w:rsidRPr="000606D4">
        <w:rPr>
          <w:rFonts w:ascii="Arial" w:hAnsi="Arial" w:cs="Arial"/>
          <w:b/>
          <w:bCs/>
          <w:caps/>
          <w:sz w:val="22"/>
          <w:lang w:eastAsia="en-AU"/>
        </w:rPr>
        <w:t>Molnupiravir for SARS-CoV-2 infection</w:t>
      </w:r>
    </w:p>
    <w:p w14:paraId="5151892C" w14:textId="77777777" w:rsidR="000606D4" w:rsidRPr="000606D4" w:rsidRDefault="000606D4" w:rsidP="00052897">
      <w:pPr>
        <w:contextualSpacing/>
        <w:jc w:val="both"/>
        <w:rPr>
          <w:rFonts w:ascii="Arial" w:hAnsi="Arial" w:cs="Arial"/>
          <w:b/>
          <w:bCs/>
          <w:caps/>
          <w:sz w:val="22"/>
          <w:lang w:eastAsia="en-AU"/>
        </w:rPr>
      </w:pPr>
    </w:p>
    <w:p w14:paraId="5DB2DFD8" w14:textId="2EA54174" w:rsidR="001E1951" w:rsidRPr="008F5977" w:rsidRDefault="008F5977" w:rsidP="00973009">
      <w:pPr>
        <w:contextualSpacing/>
        <w:jc w:val="both"/>
        <w:rPr>
          <w:rFonts w:ascii="Arial" w:hAnsi="Arial" w:cs="Arial"/>
          <w:bCs/>
          <w:i/>
          <w:iCs/>
          <w:sz w:val="22"/>
          <w:lang w:eastAsia="en-AU"/>
        </w:rPr>
      </w:pPr>
      <w:r w:rsidRPr="008F5977">
        <w:rPr>
          <w:rFonts w:ascii="Arial" w:hAnsi="Arial" w:cs="Arial"/>
          <w:bCs/>
          <w:i/>
          <w:iCs/>
          <w:sz w:val="22"/>
          <w:lang w:eastAsia="en-AU"/>
        </w:rPr>
        <w:t>Outcome</w:t>
      </w:r>
    </w:p>
    <w:p w14:paraId="291DF105" w14:textId="219DD669" w:rsidR="00921543" w:rsidRPr="008F5977" w:rsidRDefault="0012151C" w:rsidP="00973009">
      <w:pPr>
        <w:contextualSpacing/>
        <w:jc w:val="both"/>
        <w:rPr>
          <w:rFonts w:ascii="Arial" w:hAnsi="Arial" w:cs="Arial"/>
          <w:bCs/>
          <w:sz w:val="22"/>
          <w:lang w:eastAsia="en-AU"/>
        </w:rPr>
      </w:pPr>
      <w:r>
        <w:rPr>
          <w:rFonts w:ascii="Arial" w:hAnsi="Arial" w:cs="Arial"/>
          <w:bCs/>
          <w:sz w:val="22"/>
          <w:lang w:eastAsia="en-AU"/>
        </w:rPr>
        <w:t>The PBAC noted that i</w:t>
      </w:r>
      <w:r w:rsidRPr="0012151C">
        <w:rPr>
          <w:rFonts w:ascii="Arial" w:hAnsi="Arial" w:cs="Arial"/>
          <w:bCs/>
          <w:sz w:val="22"/>
          <w:lang w:eastAsia="en-AU"/>
        </w:rPr>
        <w:t>n 2022, 448,358 patients were supplied 466,598 molnupiravir prescriptions. In 2023, 226,760 patients were supplied 356,307 molnupiravir prescriptions. Most patients who were treated with molnupiravir were aged 70 years and older. Since PBS listing, molnupiravir had accounted for a greater proportion of the COVID-19 oral antiviral market.</w:t>
      </w:r>
    </w:p>
    <w:sectPr w:rsidR="00921543" w:rsidRPr="008F5977" w:rsidSect="007A242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51FB" w14:textId="77777777" w:rsidR="004E1867" w:rsidRDefault="004E1867">
      <w:r>
        <w:separator/>
      </w:r>
    </w:p>
  </w:endnote>
  <w:endnote w:type="continuationSeparator" w:id="0">
    <w:p w14:paraId="0ED64775" w14:textId="77777777" w:rsidR="004E1867" w:rsidRDefault="004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CCCF" w14:textId="77777777" w:rsidR="00955964" w:rsidRDefault="0095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0F17" w14:textId="77777777" w:rsidR="00955964" w:rsidRDefault="0095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C68B" w14:textId="77777777" w:rsidR="004E1867" w:rsidRDefault="004E1867">
      <w:r>
        <w:separator/>
      </w:r>
    </w:p>
  </w:footnote>
  <w:footnote w:type="continuationSeparator" w:id="0">
    <w:p w14:paraId="410D7E0E" w14:textId="77777777" w:rsidR="004E1867" w:rsidRDefault="004E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49C8" w14:textId="77777777" w:rsidR="00955964" w:rsidRDefault="0095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87D6" w14:textId="6063FDDB" w:rsidR="001F312C" w:rsidRPr="00520B6E" w:rsidRDefault="00594361" w:rsidP="004630FE">
    <w:pPr>
      <w:tabs>
        <w:tab w:val="center" w:pos="4153"/>
        <w:tab w:val="right" w:pos="8306"/>
      </w:tabs>
      <w:jc w:val="center"/>
      <w:rPr>
        <w:rFonts w:ascii="Arial" w:hAnsi="Arial" w:cs="Arial"/>
        <w:b/>
        <w:sz w:val="20"/>
      </w:rPr>
    </w:pPr>
    <w:r>
      <w:rPr>
        <w:rFonts w:ascii="Arial" w:hAnsi="Arial" w:cs="Arial"/>
        <w:b/>
        <w:caps/>
        <w:sz w:val="20"/>
      </w:rPr>
      <w:t>NOVEMBER</w:t>
    </w:r>
    <w:r w:rsidR="0055669D">
      <w:rPr>
        <w:rFonts w:ascii="Arial" w:hAnsi="Arial" w:cs="Arial"/>
        <w:b/>
        <w:caps/>
        <w:sz w:val="20"/>
      </w:rPr>
      <w:t xml:space="preserve"> 2024</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28148" w14:textId="77777777" w:rsidR="00955964" w:rsidRDefault="0095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60536"/>
    <w:multiLevelType w:val="multilevel"/>
    <w:tmpl w:val="2A8A6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DD1D32"/>
    <w:multiLevelType w:val="hybridMultilevel"/>
    <w:tmpl w:val="97CE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2"/>
  </w:num>
  <w:num w:numId="2" w16cid:durableId="1589389630">
    <w:abstractNumId w:val="7"/>
  </w:num>
  <w:num w:numId="3" w16cid:durableId="1547256440">
    <w:abstractNumId w:val="3"/>
  </w:num>
  <w:num w:numId="4" w16cid:durableId="405959758">
    <w:abstractNumId w:val="8"/>
  </w:num>
  <w:num w:numId="5" w16cid:durableId="95175730">
    <w:abstractNumId w:val="5"/>
  </w:num>
  <w:num w:numId="6" w16cid:durableId="1082995549">
    <w:abstractNumId w:val="10"/>
  </w:num>
  <w:num w:numId="7" w16cid:durableId="1388995512">
    <w:abstractNumId w:val="2"/>
  </w:num>
  <w:num w:numId="8" w16cid:durableId="2034452257">
    <w:abstractNumId w:val="4"/>
  </w:num>
  <w:num w:numId="9" w16cid:durableId="2011633779">
    <w:abstractNumId w:val="11"/>
  </w:num>
  <w:num w:numId="10" w16cid:durableId="1838376336">
    <w:abstractNumId w:val="9"/>
  </w:num>
  <w:num w:numId="11" w16cid:durableId="301230094">
    <w:abstractNumId w:val="0"/>
  </w:num>
  <w:num w:numId="12" w16cid:durableId="763184617">
    <w:abstractNumId w:val="6"/>
  </w:num>
  <w:num w:numId="13" w16cid:durableId="190574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5D78"/>
    <w:rsid w:val="00016CBD"/>
    <w:rsid w:val="0002143A"/>
    <w:rsid w:val="00022BF9"/>
    <w:rsid w:val="00027CEB"/>
    <w:rsid w:val="00034F16"/>
    <w:rsid w:val="0003556F"/>
    <w:rsid w:val="000413ED"/>
    <w:rsid w:val="000437B9"/>
    <w:rsid w:val="00046F5C"/>
    <w:rsid w:val="00050E03"/>
    <w:rsid w:val="000510DE"/>
    <w:rsid w:val="00052897"/>
    <w:rsid w:val="00053A39"/>
    <w:rsid w:val="00053F80"/>
    <w:rsid w:val="0006056A"/>
    <w:rsid w:val="000606D4"/>
    <w:rsid w:val="00060A45"/>
    <w:rsid w:val="0007306F"/>
    <w:rsid w:val="00080336"/>
    <w:rsid w:val="00084B66"/>
    <w:rsid w:val="00092D31"/>
    <w:rsid w:val="00095F78"/>
    <w:rsid w:val="000A160F"/>
    <w:rsid w:val="000A2CDC"/>
    <w:rsid w:val="000A37FB"/>
    <w:rsid w:val="000B2DD0"/>
    <w:rsid w:val="000C5770"/>
    <w:rsid w:val="000C6902"/>
    <w:rsid w:val="000E2791"/>
    <w:rsid w:val="000E4B3A"/>
    <w:rsid w:val="000F1997"/>
    <w:rsid w:val="000F1D2B"/>
    <w:rsid w:val="0010257C"/>
    <w:rsid w:val="0012151C"/>
    <w:rsid w:val="00132A6A"/>
    <w:rsid w:val="0014056F"/>
    <w:rsid w:val="001416A4"/>
    <w:rsid w:val="00150970"/>
    <w:rsid w:val="00156D69"/>
    <w:rsid w:val="00164CD2"/>
    <w:rsid w:val="00171A7A"/>
    <w:rsid w:val="00176F11"/>
    <w:rsid w:val="0018016B"/>
    <w:rsid w:val="00180E7D"/>
    <w:rsid w:val="001B5725"/>
    <w:rsid w:val="001B5726"/>
    <w:rsid w:val="001B648D"/>
    <w:rsid w:val="001C658A"/>
    <w:rsid w:val="001D0ACE"/>
    <w:rsid w:val="001D0B69"/>
    <w:rsid w:val="001D38C7"/>
    <w:rsid w:val="001D42A8"/>
    <w:rsid w:val="001D45AF"/>
    <w:rsid w:val="001E1951"/>
    <w:rsid w:val="001E7E86"/>
    <w:rsid w:val="001F0355"/>
    <w:rsid w:val="001F312C"/>
    <w:rsid w:val="001F4B84"/>
    <w:rsid w:val="00215203"/>
    <w:rsid w:val="00215DE5"/>
    <w:rsid w:val="0022150A"/>
    <w:rsid w:val="00222E8B"/>
    <w:rsid w:val="002374AC"/>
    <w:rsid w:val="00244B20"/>
    <w:rsid w:val="00250A1C"/>
    <w:rsid w:val="00250D4C"/>
    <w:rsid w:val="00251848"/>
    <w:rsid w:val="00265781"/>
    <w:rsid w:val="00267A9D"/>
    <w:rsid w:val="002754CF"/>
    <w:rsid w:val="002756E4"/>
    <w:rsid w:val="0028590B"/>
    <w:rsid w:val="002879B4"/>
    <w:rsid w:val="002A0EF1"/>
    <w:rsid w:val="002D4006"/>
    <w:rsid w:val="002D7178"/>
    <w:rsid w:val="002E7273"/>
    <w:rsid w:val="002F3398"/>
    <w:rsid w:val="002F7591"/>
    <w:rsid w:val="002F775E"/>
    <w:rsid w:val="00301E55"/>
    <w:rsid w:val="00310423"/>
    <w:rsid w:val="0031133D"/>
    <w:rsid w:val="003172AB"/>
    <w:rsid w:val="003211BA"/>
    <w:rsid w:val="003232E1"/>
    <w:rsid w:val="00326328"/>
    <w:rsid w:val="00332BA2"/>
    <w:rsid w:val="0034025C"/>
    <w:rsid w:val="00341334"/>
    <w:rsid w:val="00341E66"/>
    <w:rsid w:val="00347C95"/>
    <w:rsid w:val="003603AD"/>
    <w:rsid w:val="00362AC3"/>
    <w:rsid w:val="003637C8"/>
    <w:rsid w:val="0037227B"/>
    <w:rsid w:val="00385940"/>
    <w:rsid w:val="00397836"/>
    <w:rsid w:val="003A0382"/>
    <w:rsid w:val="003A5212"/>
    <w:rsid w:val="003B0BEA"/>
    <w:rsid w:val="003B695E"/>
    <w:rsid w:val="003B79EE"/>
    <w:rsid w:val="003C2B83"/>
    <w:rsid w:val="003E4F94"/>
    <w:rsid w:val="003E55CB"/>
    <w:rsid w:val="003F07CB"/>
    <w:rsid w:val="00400159"/>
    <w:rsid w:val="0040140B"/>
    <w:rsid w:val="004048D8"/>
    <w:rsid w:val="00407FAA"/>
    <w:rsid w:val="00417600"/>
    <w:rsid w:val="00425CC6"/>
    <w:rsid w:val="00433DFA"/>
    <w:rsid w:val="00446CF7"/>
    <w:rsid w:val="004566CA"/>
    <w:rsid w:val="004630FE"/>
    <w:rsid w:val="00464B70"/>
    <w:rsid w:val="00464DA0"/>
    <w:rsid w:val="004669DB"/>
    <w:rsid w:val="00486875"/>
    <w:rsid w:val="004A1627"/>
    <w:rsid w:val="004B1F3C"/>
    <w:rsid w:val="004B2A39"/>
    <w:rsid w:val="004C295B"/>
    <w:rsid w:val="004C435C"/>
    <w:rsid w:val="004C4C12"/>
    <w:rsid w:val="004D4DEE"/>
    <w:rsid w:val="004E1867"/>
    <w:rsid w:val="004E3D28"/>
    <w:rsid w:val="004E76AE"/>
    <w:rsid w:val="004F2C21"/>
    <w:rsid w:val="005018C1"/>
    <w:rsid w:val="00504298"/>
    <w:rsid w:val="00507F23"/>
    <w:rsid w:val="00514593"/>
    <w:rsid w:val="005166A6"/>
    <w:rsid w:val="00520024"/>
    <w:rsid w:val="00533BC7"/>
    <w:rsid w:val="0054217F"/>
    <w:rsid w:val="005433E2"/>
    <w:rsid w:val="00550F01"/>
    <w:rsid w:val="0055106A"/>
    <w:rsid w:val="00553E58"/>
    <w:rsid w:val="0055669D"/>
    <w:rsid w:val="005616CC"/>
    <w:rsid w:val="005639BA"/>
    <w:rsid w:val="005642B3"/>
    <w:rsid w:val="00565336"/>
    <w:rsid w:val="005732A3"/>
    <w:rsid w:val="00575B2C"/>
    <w:rsid w:val="00582F85"/>
    <w:rsid w:val="00593867"/>
    <w:rsid w:val="00594361"/>
    <w:rsid w:val="00597564"/>
    <w:rsid w:val="005A209F"/>
    <w:rsid w:val="005A71CE"/>
    <w:rsid w:val="005B0BA9"/>
    <w:rsid w:val="005C202C"/>
    <w:rsid w:val="005D081A"/>
    <w:rsid w:val="005D1506"/>
    <w:rsid w:val="005D774C"/>
    <w:rsid w:val="005E2846"/>
    <w:rsid w:val="005F2273"/>
    <w:rsid w:val="005F5574"/>
    <w:rsid w:val="006102C6"/>
    <w:rsid w:val="00614F10"/>
    <w:rsid w:val="006354AB"/>
    <w:rsid w:val="00641F0C"/>
    <w:rsid w:val="00647788"/>
    <w:rsid w:val="00652D57"/>
    <w:rsid w:val="00664A75"/>
    <w:rsid w:val="00666863"/>
    <w:rsid w:val="00666881"/>
    <w:rsid w:val="0067208B"/>
    <w:rsid w:val="00677683"/>
    <w:rsid w:val="00677983"/>
    <w:rsid w:val="00683251"/>
    <w:rsid w:val="006847AC"/>
    <w:rsid w:val="006951BF"/>
    <w:rsid w:val="006A0F20"/>
    <w:rsid w:val="006A2EB2"/>
    <w:rsid w:val="006A5F26"/>
    <w:rsid w:val="006C41DA"/>
    <w:rsid w:val="006D0A58"/>
    <w:rsid w:val="006D316F"/>
    <w:rsid w:val="006D36DC"/>
    <w:rsid w:val="006D4C23"/>
    <w:rsid w:val="006D4F54"/>
    <w:rsid w:val="006D50A0"/>
    <w:rsid w:val="006D593A"/>
    <w:rsid w:val="006D7E0B"/>
    <w:rsid w:val="006E57A3"/>
    <w:rsid w:val="006F6F34"/>
    <w:rsid w:val="0070348A"/>
    <w:rsid w:val="00707145"/>
    <w:rsid w:val="007178BA"/>
    <w:rsid w:val="0073297F"/>
    <w:rsid w:val="0074603E"/>
    <w:rsid w:val="0075366B"/>
    <w:rsid w:val="00793AF0"/>
    <w:rsid w:val="007A2421"/>
    <w:rsid w:val="007A4968"/>
    <w:rsid w:val="007B7F4C"/>
    <w:rsid w:val="007C1098"/>
    <w:rsid w:val="007C758A"/>
    <w:rsid w:val="007C75EE"/>
    <w:rsid w:val="007D7263"/>
    <w:rsid w:val="007E275C"/>
    <w:rsid w:val="007F2CE8"/>
    <w:rsid w:val="007F4E20"/>
    <w:rsid w:val="00801B19"/>
    <w:rsid w:val="00816A6C"/>
    <w:rsid w:val="008177B6"/>
    <w:rsid w:val="0082199A"/>
    <w:rsid w:val="00821B15"/>
    <w:rsid w:val="0082288D"/>
    <w:rsid w:val="0083082B"/>
    <w:rsid w:val="0083210F"/>
    <w:rsid w:val="008361CD"/>
    <w:rsid w:val="008479A0"/>
    <w:rsid w:val="008545D1"/>
    <w:rsid w:val="00854810"/>
    <w:rsid w:val="008571DE"/>
    <w:rsid w:val="00857B3B"/>
    <w:rsid w:val="008613B3"/>
    <w:rsid w:val="008621E7"/>
    <w:rsid w:val="00866D71"/>
    <w:rsid w:val="00871936"/>
    <w:rsid w:val="008842CE"/>
    <w:rsid w:val="008866E8"/>
    <w:rsid w:val="00890D53"/>
    <w:rsid w:val="0089331D"/>
    <w:rsid w:val="008934F5"/>
    <w:rsid w:val="008A4311"/>
    <w:rsid w:val="008A4B6F"/>
    <w:rsid w:val="008A651A"/>
    <w:rsid w:val="008A71D8"/>
    <w:rsid w:val="008B279B"/>
    <w:rsid w:val="008B4388"/>
    <w:rsid w:val="008B6009"/>
    <w:rsid w:val="008B69CF"/>
    <w:rsid w:val="008C2EAD"/>
    <w:rsid w:val="008D020C"/>
    <w:rsid w:val="008E354F"/>
    <w:rsid w:val="008F5691"/>
    <w:rsid w:val="008F5977"/>
    <w:rsid w:val="009203A6"/>
    <w:rsid w:val="00921543"/>
    <w:rsid w:val="00922279"/>
    <w:rsid w:val="00922E47"/>
    <w:rsid w:val="00925E21"/>
    <w:rsid w:val="00933952"/>
    <w:rsid w:val="00940D5C"/>
    <w:rsid w:val="00955964"/>
    <w:rsid w:val="009611CD"/>
    <w:rsid w:val="00964E5C"/>
    <w:rsid w:val="00971160"/>
    <w:rsid w:val="00973009"/>
    <w:rsid w:val="00984270"/>
    <w:rsid w:val="00997EA7"/>
    <w:rsid w:val="009A1ACC"/>
    <w:rsid w:val="009B339D"/>
    <w:rsid w:val="009E121B"/>
    <w:rsid w:val="009E143F"/>
    <w:rsid w:val="009E20A4"/>
    <w:rsid w:val="009E60AF"/>
    <w:rsid w:val="009E6EA9"/>
    <w:rsid w:val="009E7E00"/>
    <w:rsid w:val="009F55CE"/>
    <w:rsid w:val="009F5908"/>
    <w:rsid w:val="009F5FE2"/>
    <w:rsid w:val="00A03E25"/>
    <w:rsid w:val="00A0539F"/>
    <w:rsid w:val="00A101AB"/>
    <w:rsid w:val="00A152EE"/>
    <w:rsid w:val="00A1560D"/>
    <w:rsid w:val="00A25973"/>
    <w:rsid w:val="00A31269"/>
    <w:rsid w:val="00A32269"/>
    <w:rsid w:val="00A3346B"/>
    <w:rsid w:val="00A4098E"/>
    <w:rsid w:val="00A425E5"/>
    <w:rsid w:val="00A45D82"/>
    <w:rsid w:val="00A47E2F"/>
    <w:rsid w:val="00A50253"/>
    <w:rsid w:val="00A56266"/>
    <w:rsid w:val="00A570BF"/>
    <w:rsid w:val="00A70179"/>
    <w:rsid w:val="00A71C64"/>
    <w:rsid w:val="00A74CCD"/>
    <w:rsid w:val="00A76D1B"/>
    <w:rsid w:val="00A925D7"/>
    <w:rsid w:val="00A9331B"/>
    <w:rsid w:val="00A93361"/>
    <w:rsid w:val="00AA5E4E"/>
    <w:rsid w:val="00AB23B4"/>
    <w:rsid w:val="00AB5403"/>
    <w:rsid w:val="00AC0FFB"/>
    <w:rsid w:val="00AC2CB7"/>
    <w:rsid w:val="00AC3B55"/>
    <w:rsid w:val="00AC4352"/>
    <w:rsid w:val="00AD2551"/>
    <w:rsid w:val="00AD3542"/>
    <w:rsid w:val="00AD37E5"/>
    <w:rsid w:val="00AD4267"/>
    <w:rsid w:val="00AE5FF1"/>
    <w:rsid w:val="00AE77DB"/>
    <w:rsid w:val="00AF144F"/>
    <w:rsid w:val="00AF2F79"/>
    <w:rsid w:val="00AF3B3E"/>
    <w:rsid w:val="00AF669A"/>
    <w:rsid w:val="00AF6DA0"/>
    <w:rsid w:val="00B03643"/>
    <w:rsid w:val="00B06BB8"/>
    <w:rsid w:val="00B139EF"/>
    <w:rsid w:val="00B13AD3"/>
    <w:rsid w:val="00B1491D"/>
    <w:rsid w:val="00B1693A"/>
    <w:rsid w:val="00B170F6"/>
    <w:rsid w:val="00B20C0D"/>
    <w:rsid w:val="00B26B58"/>
    <w:rsid w:val="00B27383"/>
    <w:rsid w:val="00B31433"/>
    <w:rsid w:val="00B35E96"/>
    <w:rsid w:val="00B36F4A"/>
    <w:rsid w:val="00B41635"/>
    <w:rsid w:val="00B445D9"/>
    <w:rsid w:val="00B50A69"/>
    <w:rsid w:val="00B532C3"/>
    <w:rsid w:val="00B60CCA"/>
    <w:rsid w:val="00B62228"/>
    <w:rsid w:val="00B725E4"/>
    <w:rsid w:val="00B736E4"/>
    <w:rsid w:val="00B74C7C"/>
    <w:rsid w:val="00B754AD"/>
    <w:rsid w:val="00B8335A"/>
    <w:rsid w:val="00B84143"/>
    <w:rsid w:val="00B860B5"/>
    <w:rsid w:val="00B94AFC"/>
    <w:rsid w:val="00B95F3B"/>
    <w:rsid w:val="00B96629"/>
    <w:rsid w:val="00BA0860"/>
    <w:rsid w:val="00BA4D95"/>
    <w:rsid w:val="00BA5A6C"/>
    <w:rsid w:val="00BB24D0"/>
    <w:rsid w:val="00BB5497"/>
    <w:rsid w:val="00BC3BE5"/>
    <w:rsid w:val="00BD0BA3"/>
    <w:rsid w:val="00BD4745"/>
    <w:rsid w:val="00BD6B3E"/>
    <w:rsid w:val="00BE182E"/>
    <w:rsid w:val="00BE4405"/>
    <w:rsid w:val="00BF5B32"/>
    <w:rsid w:val="00C06010"/>
    <w:rsid w:val="00C22340"/>
    <w:rsid w:val="00C229C3"/>
    <w:rsid w:val="00C22AB9"/>
    <w:rsid w:val="00C375F9"/>
    <w:rsid w:val="00C411AA"/>
    <w:rsid w:val="00C636C2"/>
    <w:rsid w:val="00C6535C"/>
    <w:rsid w:val="00C71A4B"/>
    <w:rsid w:val="00C87A6B"/>
    <w:rsid w:val="00C9267A"/>
    <w:rsid w:val="00CB56CD"/>
    <w:rsid w:val="00CB6BC5"/>
    <w:rsid w:val="00CC0C6D"/>
    <w:rsid w:val="00CD04DF"/>
    <w:rsid w:val="00CD2ADF"/>
    <w:rsid w:val="00CD3BA9"/>
    <w:rsid w:val="00CD4158"/>
    <w:rsid w:val="00CE2298"/>
    <w:rsid w:val="00D01D56"/>
    <w:rsid w:val="00D03290"/>
    <w:rsid w:val="00D04F41"/>
    <w:rsid w:val="00D068D4"/>
    <w:rsid w:val="00D108DB"/>
    <w:rsid w:val="00D14FAD"/>
    <w:rsid w:val="00D43DA6"/>
    <w:rsid w:val="00D47451"/>
    <w:rsid w:val="00D51F57"/>
    <w:rsid w:val="00D60E82"/>
    <w:rsid w:val="00D61A27"/>
    <w:rsid w:val="00D6624D"/>
    <w:rsid w:val="00D7136A"/>
    <w:rsid w:val="00D72D36"/>
    <w:rsid w:val="00D82194"/>
    <w:rsid w:val="00D82D67"/>
    <w:rsid w:val="00D943D6"/>
    <w:rsid w:val="00DA25F6"/>
    <w:rsid w:val="00DA2A81"/>
    <w:rsid w:val="00DA2C46"/>
    <w:rsid w:val="00DB4B4C"/>
    <w:rsid w:val="00DB58B1"/>
    <w:rsid w:val="00DC0E0A"/>
    <w:rsid w:val="00DC7A41"/>
    <w:rsid w:val="00DD315C"/>
    <w:rsid w:val="00DE22A0"/>
    <w:rsid w:val="00DE6CA5"/>
    <w:rsid w:val="00DE7389"/>
    <w:rsid w:val="00E11B1E"/>
    <w:rsid w:val="00E14009"/>
    <w:rsid w:val="00E149F0"/>
    <w:rsid w:val="00E16015"/>
    <w:rsid w:val="00E24412"/>
    <w:rsid w:val="00E25A33"/>
    <w:rsid w:val="00E37984"/>
    <w:rsid w:val="00E37FD3"/>
    <w:rsid w:val="00E474DF"/>
    <w:rsid w:val="00E51B48"/>
    <w:rsid w:val="00E64B09"/>
    <w:rsid w:val="00E659DB"/>
    <w:rsid w:val="00E65BFD"/>
    <w:rsid w:val="00E74222"/>
    <w:rsid w:val="00E75D86"/>
    <w:rsid w:val="00E86AE7"/>
    <w:rsid w:val="00E91740"/>
    <w:rsid w:val="00E91EAD"/>
    <w:rsid w:val="00E92B64"/>
    <w:rsid w:val="00E96DB2"/>
    <w:rsid w:val="00EA1C83"/>
    <w:rsid w:val="00EA43F8"/>
    <w:rsid w:val="00EA6A0A"/>
    <w:rsid w:val="00EB38E2"/>
    <w:rsid w:val="00EC18FC"/>
    <w:rsid w:val="00EC37B4"/>
    <w:rsid w:val="00ED0E5B"/>
    <w:rsid w:val="00ED1C3D"/>
    <w:rsid w:val="00ED66F3"/>
    <w:rsid w:val="00ED7A68"/>
    <w:rsid w:val="00EE12C0"/>
    <w:rsid w:val="00EE523C"/>
    <w:rsid w:val="00EE6509"/>
    <w:rsid w:val="00EE68E4"/>
    <w:rsid w:val="00EF3FE6"/>
    <w:rsid w:val="00EF7DF2"/>
    <w:rsid w:val="00F046B8"/>
    <w:rsid w:val="00F04ECB"/>
    <w:rsid w:val="00F159FC"/>
    <w:rsid w:val="00F2009D"/>
    <w:rsid w:val="00F32FEB"/>
    <w:rsid w:val="00F514E4"/>
    <w:rsid w:val="00F53FA7"/>
    <w:rsid w:val="00F55E20"/>
    <w:rsid w:val="00F628C7"/>
    <w:rsid w:val="00F66E50"/>
    <w:rsid w:val="00F67C46"/>
    <w:rsid w:val="00F71F01"/>
    <w:rsid w:val="00F73897"/>
    <w:rsid w:val="00F77445"/>
    <w:rsid w:val="00F8213A"/>
    <w:rsid w:val="00F85F30"/>
    <w:rsid w:val="00F87883"/>
    <w:rsid w:val="00FA12CB"/>
    <w:rsid w:val="00FA20C0"/>
    <w:rsid w:val="00FA4D8A"/>
    <w:rsid w:val="00FB1FCA"/>
    <w:rsid w:val="00FB34DE"/>
    <w:rsid w:val="00FB5E27"/>
    <w:rsid w:val="00FC15A2"/>
    <w:rsid w:val="00FC2585"/>
    <w:rsid w:val="00FD0680"/>
    <w:rsid w:val="00FD0DE4"/>
    <w:rsid w:val="00FD3A6D"/>
    <w:rsid w:val="00FD4A60"/>
    <w:rsid w:val="00FE3BDD"/>
    <w:rsid w:val="00FF7990"/>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elements/dusc-meetings/d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7" ma:contentTypeDescription="Create a new document." ma:contentTypeScope="" ma:versionID="f0f12eab71993b0733281b21ed0dc30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bb5a0d7cdb6528f644b78a71c8ad1eee"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7178e-d3ee-40f2-8819-d57501b5b1a9}"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A73C1-E5EE-47D9-A4BB-1761A2FD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customXml/itemProps3.xml><?xml version="1.0" encoding="utf-8"?>
<ds:datastoreItem xmlns:ds="http://schemas.openxmlformats.org/officeDocument/2006/customXml" ds:itemID="{68A65D9E-C20A-40A9-98A0-9300EA988376}">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4.xml><?xml version="1.0" encoding="utf-8"?>
<ds:datastoreItem xmlns:ds="http://schemas.openxmlformats.org/officeDocument/2006/customXml" ds:itemID="{CC8D09CD-F04C-4A03-BF6B-71045013F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2024-12-19T07:05:00Z</dcterms:created>
  <dcterms:modified xsi:type="dcterms:W3CDTF">2024-12-19T07:05:00Z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ies>
</file>