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51C4" w14:textId="1770CADA" w:rsidR="007567D2" w:rsidRPr="00E33C76" w:rsidRDefault="007567D2" w:rsidP="00BB57B7">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r w:rsidR="00D97548">
        <w:rPr>
          <w:rFonts w:ascii="Arial" w:hAnsi="Arial" w:cs="Arial"/>
          <w:sz w:val="20"/>
          <w:szCs w:val="20"/>
        </w:rPr>
        <w:t>.</w:t>
      </w: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36"/>
      </w:tblGrid>
      <w:tr w:rsidR="00F374F7" w:rsidRPr="008059F4" w14:paraId="2F780D8A" w14:textId="77777777" w:rsidTr="6706DB5C">
        <w:trPr>
          <w:cantSplit/>
          <w:tblHeader/>
          <w:jc w:val="center"/>
        </w:trPr>
        <w:tc>
          <w:tcPr>
            <w:tcW w:w="3016" w:type="dxa"/>
            <w:shd w:val="clear" w:color="auto" w:fill="auto"/>
            <w:tcMar>
              <w:top w:w="28" w:type="dxa"/>
              <w:bottom w:w="28" w:type="dxa"/>
            </w:tcMar>
            <w:vAlign w:val="center"/>
          </w:tcPr>
          <w:p w14:paraId="58BB41E5" w14:textId="46F847AB" w:rsidR="00F374F7" w:rsidRPr="008059F4" w:rsidRDefault="00F374F7" w:rsidP="00BB57B7">
            <w:pPr>
              <w:keepLines/>
              <w:widowControl w:val="0"/>
              <w:ind w:right="-106"/>
              <w:jc w:val="center"/>
              <w:rPr>
                <w:rFonts w:asciiTheme="minorHAnsi" w:hAnsiTheme="minorHAnsi" w:cstheme="minorHAnsi"/>
                <w:b/>
                <w:sz w:val="18"/>
                <w:szCs w:val="18"/>
              </w:rPr>
            </w:pPr>
            <w:bookmarkStart w:id="0" w:name="_Hlk143070631"/>
            <w:bookmarkStart w:id="1" w:name="_Hlk164175861"/>
            <w:r w:rsidRPr="008059F4">
              <w:rPr>
                <w:rFonts w:asciiTheme="minorHAnsi" w:hAnsiTheme="minorHAnsi" w:cstheme="minorHAnsi"/>
                <w:b/>
                <w:sz w:val="18"/>
                <w:szCs w:val="18"/>
              </w:rPr>
              <w:t>DRUG NAME, FORM(S), STRENGTH(S), SPONSOR, TYPE OF SUBMISSION</w:t>
            </w:r>
          </w:p>
        </w:tc>
        <w:tc>
          <w:tcPr>
            <w:tcW w:w="2767" w:type="dxa"/>
            <w:shd w:val="clear" w:color="auto" w:fill="auto"/>
            <w:tcMar>
              <w:top w:w="28" w:type="dxa"/>
              <w:bottom w:w="28" w:type="dxa"/>
            </w:tcMar>
            <w:vAlign w:val="center"/>
          </w:tcPr>
          <w:p w14:paraId="64FD3362" w14:textId="3DF64AED" w:rsidR="00F374F7" w:rsidRPr="008059F4" w:rsidRDefault="00F374F7" w:rsidP="00E27441">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shd w:val="clear" w:color="auto" w:fill="auto"/>
            <w:tcMar>
              <w:top w:w="28" w:type="dxa"/>
              <w:bottom w:w="28" w:type="dxa"/>
            </w:tcMar>
            <w:vAlign w:val="center"/>
          </w:tcPr>
          <w:p w14:paraId="60A9336E" w14:textId="77777777" w:rsidR="00F374F7" w:rsidRPr="008059F4" w:rsidRDefault="00F374F7" w:rsidP="00BB57B7">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20" w:type="dxa"/>
            <w:gridSpan w:val="2"/>
            <w:shd w:val="clear" w:color="auto" w:fill="auto"/>
            <w:vAlign w:val="center"/>
          </w:tcPr>
          <w:p w14:paraId="5626F454" w14:textId="255B5DC5" w:rsidR="00F374F7" w:rsidRPr="001033CF" w:rsidRDefault="00F374F7" w:rsidP="00E27441">
            <w:pPr>
              <w:pStyle w:val="Header"/>
              <w:keepLines/>
              <w:jc w:val="center"/>
              <w:rPr>
                <w:rFonts w:asciiTheme="minorHAnsi" w:hAnsiTheme="minorHAnsi" w:cstheme="minorHAnsi"/>
                <w:b/>
                <w:bCs/>
                <w:snapToGrid w:val="0"/>
                <w:sz w:val="18"/>
                <w:szCs w:val="18"/>
                <w:lang w:eastAsia="en-US"/>
              </w:rPr>
            </w:pPr>
            <w:r w:rsidRPr="001033CF">
              <w:rPr>
                <w:rFonts w:asciiTheme="minorHAnsi" w:hAnsiTheme="minorHAnsi" w:cstheme="minorHAnsi"/>
                <w:b/>
                <w:bCs/>
                <w:snapToGrid w:val="0"/>
                <w:sz w:val="18"/>
                <w:szCs w:val="18"/>
                <w:lang w:eastAsia="en-US"/>
              </w:rPr>
              <w:t>PBAC OUTCOME</w:t>
            </w:r>
          </w:p>
        </w:tc>
      </w:tr>
      <w:bookmarkEnd w:id="0"/>
      <w:tr w:rsidR="00587746" w:rsidRPr="008059F4" w14:paraId="59456C9B"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A8A373B" w14:textId="18D6F52C" w:rsidR="005077BC"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ADALIMUMAB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Injection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0.8</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0.8</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Humira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ABBVIE PTY LTD</w:t>
            </w:r>
            <w:r w:rsidRPr="00B0619C">
              <w:rPr>
                <w:rFonts w:asciiTheme="minorHAnsi" w:hAnsiTheme="minorHAnsi" w:cstheme="minorHAnsi"/>
                <w:color w:val="000000"/>
                <w:sz w:val="18"/>
                <w:szCs w:val="18"/>
              </w:rPr>
              <w:br/>
            </w:r>
          </w:p>
          <w:p w14:paraId="5074E5FF" w14:textId="161BE53E" w:rsidR="00587746" w:rsidRPr="00B0619C" w:rsidRDefault="005077BC"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00587746"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FA85509" w14:textId="0913FF59"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Vision threatening non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infectious uveitis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7D2F53C" w14:textId="5A84712D"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(Telephone/Online) listing for the treatment of patients with vision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threatening non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infectious uveitis.</w:t>
            </w:r>
          </w:p>
        </w:tc>
        <w:tc>
          <w:tcPr>
            <w:tcW w:w="1584" w:type="dxa"/>
            <w:shd w:val="clear" w:color="auto" w:fill="auto"/>
            <w:vAlign w:val="center"/>
          </w:tcPr>
          <w:p w14:paraId="2316FD21" w14:textId="4F92ACA0"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43F997E8" w14:textId="53EB1D9E" w:rsidR="00587746" w:rsidRPr="001033CF" w:rsidRDefault="00543CCD"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General Schedule, Authority Required</w:t>
            </w:r>
            <w:r w:rsidR="0034620F"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listing of adalimumab for the treatment of vision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threatening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infectious uveitis, on the basis the listing would be acceptably </w:t>
            </w:r>
            <w:r w:rsidR="00112358" w:rsidRPr="001033CF">
              <w:rPr>
                <w:rFonts w:asciiTheme="minorHAnsi" w:hAnsiTheme="minorHAnsi" w:cstheme="minorHAnsi"/>
                <w:color w:val="000000"/>
                <w:sz w:val="18"/>
                <w:szCs w:val="18"/>
              </w:rPr>
              <w:t>cost</w:t>
            </w:r>
            <w:r w:rsidR="00112358" w:rsidRPr="001033CF">
              <w:rPr>
                <w:rFonts w:asciiTheme="minorHAnsi" w:hAnsiTheme="minorHAnsi" w:cstheme="minorHAnsi"/>
                <w:color w:val="000000"/>
                <w:sz w:val="18"/>
                <w:szCs w:val="18"/>
              </w:rPr>
              <w:noBreakHyphen/>
              <w:t>effect</w:t>
            </w:r>
            <w:r w:rsidRPr="001033CF">
              <w:rPr>
                <w:rFonts w:asciiTheme="minorHAnsi" w:hAnsiTheme="minorHAnsi" w:cstheme="minorHAnsi"/>
                <w:color w:val="000000"/>
                <w:sz w:val="18"/>
                <w:szCs w:val="18"/>
              </w:rPr>
              <w:t>ive at the price proposed in the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PBAC response. The PBAC considered the available evidence supported the effectiveness of adalimumab in reducing uveitis flares, and that whilst the magnitude of the relationship between flares and long</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term ocular damage was uncertain, accepted patients would likely experience vision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preserving benefits through improved flare control. The PBAC welcomed the comments from patients (many of whom have accessed adalimumab for this condition), family members, health professionals and organisations, which described the effectiveness of adalimumab in terms of reducing flares, as well as preventing or even reversing ocular damage and the </w:t>
            </w:r>
            <w:r w:rsidR="00112358" w:rsidRPr="001033CF">
              <w:rPr>
                <w:rFonts w:asciiTheme="minorHAnsi" w:hAnsiTheme="minorHAnsi" w:cstheme="minorHAnsi"/>
                <w:color w:val="000000"/>
                <w:sz w:val="18"/>
                <w:szCs w:val="18"/>
              </w:rPr>
              <w:t>quality</w:t>
            </w:r>
            <w:r w:rsidR="00112358" w:rsidRPr="001033CF">
              <w:rPr>
                <w:rFonts w:asciiTheme="minorHAnsi" w:hAnsiTheme="minorHAnsi" w:cstheme="minorHAnsi"/>
                <w:color w:val="000000"/>
                <w:sz w:val="18"/>
                <w:szCs w:val="18"/>
              </w:rPr>
              <w:noBreakHyphen/>
              <w:t>of</w:t>
            </w:r>
            <w:r w:rsidR="00112358" w:rsidRPr="001033CF">
              <w:rPr>
                <w:rFonts w:asciiTheme="minorHAnsi" w:hAnsiTheme="minorHAnsi" w:cstheme="minorHAnsi"/>
                <w:color w:val="000000"/>
                <w:sz w:val="18"/>
                <w:szCs w:val="18"/>
              </w:rPr>
              <w:noBreakHyphen/>
              <w:t>life</w:t>
            </w:r>
            <w:r w:rsidRPr="001033CF">
              <w:rPr>
                <w:rFonts w:asciiTheme="minorHAnsi" w:hAnsiTheme="minorHAnsi" w:cstheme="minorHAnsi"/>
                <w:color w:val="000000"/>
                <w:sz w:val="18"/>
                <w:szCs w:val="18"/>
              </w:rPr>
              <w:t xml:space="preserve"> benefits associated with improved vision and reduced side effects associated with being able to reduce or cease high dose corticosteroids. The PBAC considered there was a substantial unmet clinical need on the PBS for adalimumab for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infectious uveitis and considered an age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agnostic listing was appropriate.</w:t>
            </w:r>
          </w:p>
        </w:tc>
      </w:tr>
      <w:bookmarkEnd w:id="1"/>
      <w:tr w:rsidR="00587746" w:rsidRPr="008059F4" w14:paraId="41369496" w14:textId="77777777" w:rsidTr="00F920DB">
        <w:trPr>
          <w:trHeight w:val="2315"/>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ED5C5B0" w14:textId="44390A43" w:rsidR="005077BC"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ADALIMUMAB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Injection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0.8</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0.8</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Humira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ABBVIE PTY LTD</w:t>
            </w:r>
            <w:r w:rsidRPr="00B0619C">
              <w:rPr>
                <w:rFonts w:asciiTheme="minorHAnsi" w:hAnsiTheme="minorHAnsi" w:cstheme="minorHAnsi"/>
                <w:color w:val="000000"/>
                <w:sz w:val="18"/>
                <w:szCs w:val="18"/>
              </w:rPr>
              <w:br/>
            </w:r>
          </w:p>
          <w:p w14:paraId="2C96B27B" w14:textId="7196602C" w:rsidR="00587746" w:rsidRPr="00B0619C" w:rsidRDefault="005077BC"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587746"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C49DFF1" w14:textId="5A02CEF6"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Immune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 xml:space="preserve">mediated </w:t>
            </w:r>
            <w:r w:rsidR="002D774E" w:rsidRPr="00B0619C">
              <w:rPr>
                <w:rFonts w:asciiTheme="minorHAnsi" w:hAnsiTheme="minorHAnsi" w:cstheme="minorHAnsi"/>
                <w:color w:val="000000"/>
                <w:sz w:val="18"/>
                <w:szCs w:val="18"/>
              </w:rPr>
              <w:t>inf</w:t>
            </w:r>
            <w:r w:rsidR="002D774E">
              <w:rPr>
                <w:rFonts w:asciiTheme="minorHAnsi" w:hAnsiTheme="minorHAnsi" w:cstheme="minorHAnsi"/>
                <w:color w:val="000000"/>
                <w:sz w:val="18"/>
                <w:szCs w:val="18"/>
              </w:rPr>
              <w:t>l</w:t>
            </w:r>
            <w:r w:rsidR="002D774E" w:rsidRPr="00B0619C">
              <w:rPr>
                <w:rFonts w:asciiTheme="minorHAnsi" w:hAnsiTheme="minorHAnsi" w:cstheme="minorHAnsi"/>
                <w:color w:val="000000"/>
                <w:sz w:val="18"/>
                <w:szCs w:val="18"/>
              </w:rPr>
              <w:t>ammatory</w:t>
            </w:r>
            <w:r w:rsidRPr="00B0619C">
              <w:rPr>
                <w:rFonts w:asciiTheme="minorHAnsi" w:hAnsiTheme="minorHAnsi" w:cstheme="minorHAnsi"/>
                <w:color w:val="000000"/>
                <w:sz w:val="18"/>
                <w:szCs w:val="18"/>
              </w:rPr>
              <w:t xml:space="preserve"> disease</w:t>
            </w:r>
            <w:r w:rsidR="004342CE">
              <w:rPr>
                <w:rFonts w:asciiTheme="minorHAnsi" w:hAnsiTheme="minorHAnsi" w:cstheme="minorHAnsi"/>
                <w:color w:val="000000"/>
                <w:sz w:val="18"/>
                <w:szCs w:val="18"/>
              </w:rPr>
              <w:t xml:space="preserve"> (IMID)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20F06D" w14:textId="14BDBC96"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Authority Required (STREAMLINED) listing for the treatment of </w:t>
            </w:r>
            <w:r w:rsidR="004342CE">
              <w:rPr>
                <w:rFonts w:asciiTheme="minorHAnsi" w:hAnsiTheme="minorHAnsi" w:cstheme="minorHAnsi"/>
                <w:color w:val="000000"/>
                <w:sz w:val="18"/>
                <w:szCs w:val="18"/>
              </w:rPr>
              <w:t>IMID</w:t>
            </w:r>
            <w:r w:rsidRPr="00B0619C">
              <w:rPr>
                <w:rFonts w:asciiTheme="minorHAnsi" w:hAnsiTheme="minorHAnsi" w:cstheme="minorHAnsi"/>
                <w:color w:val="000000"/>
                <w:sz w:val="18"/>
                <w:szCs w:val="18"/>
              </w:rPr>
              <w:t xml:space="preserve"> in paediatric patients. </w:t>
            </w:r>
          </w:p>
        </w:tc>
        <w:tc>
          <w:tcPr>
            <w:tcW w:w="1584" w:type="dxa"/>
            <w:shd w:val="clear" w:color="auto" w:fill="auto"/>
            <w:vAlign w:val="center"/>
          </w:tcPr>
          <w:p w14:paraId="6FB45133" w14:textId="4E55DF53" w:rsidR="00587746" w:rsidRPr="001033CF" w:rsidRDefault="00B46811"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Deferred</w:t>
            </w:r>
          </w:p>
        </w:tc>
        <w:tc>
          <w:tcPr>
            <w:tcW w:w="4836" w:type="dxa"/>
            <w:shd w:val="clear" w:color="auto" w:fill="auto"/>
            <w:vAlign w:val="center"/>
          </w:tcPr>
          <w:p w14:paraId="0270CD97" w14:textId="0A57970F" w:rsidR="004342CE" w:rsidRPr="001033CF" w:rsidRDefault="00A56E78" w:rsidP="6706DB5C">
            <w:pPr>
              <w:jc w:val="both"/>
              <w:rPr>
                <w:rFonts w:asciiTheme="minorHAnsi" w:hAnsiTheme="minorHAnsi" w:cstheme="minorBidi"/>
                <w:sz w:val="18"/>
                <w:szCs w:val="18"/>
              </w:rPr>
            </w:pPr>
            <w:r w:rsidRPr="6706DB5C">
              <w:rPr>
                <w:rFonts w:asciiTheme="minorHAnsi" w:hAnsiTheme="minorHAnsi" w:cstheme="minorBidi"/>
                <w:sz w:val="18"/>
                <w:szCs w:val="18"/>
              </w:rPr>
              <w:t>The PBAC deferred making a recommendation to list adalimumab (Humira) on the PBS for the treatment of IMID in paediatric patients, to allow further consultation with relevant clinical groups. The PBAC noted that IMID covers a broad range of indications, including rarer conditions. The PBAC noted that adalimumab is not TGA</w:t>
            </w:r>
            <w:r w:rsidR="001165DD" w:rsidRPr="001033CF">
              <w:rPr>
                <w:rFonts w:asciiTheme="minorHAnsi" w:hAnsiTheme="minorHAnsi" w:cstheme="minorHAnsi"/>
                <w:sz w:val="18"/>
                <w:szCs w:val="18"/>
              </w:rPr>
              <w:noBreakHyphen/>
            </w:r>
            <w:r w:rsidRPr="6706DB5C">
              <w:rPr>
                <w:rFonts w:asciiTheme="minorHAnsi" w:hAnsiTheme="minorHAnsi" w:cstheme="minorBidi"/>
                <w:sz w:val="18"/>
                <w:szCs w:val="18"/>
              </w:rPr>
              <w:t>registered for all these indications, and there are varying levels of evidence available for the use of adalimumab in different IMIDs. On this basis, the PBAC did not accept the request for a broad indication for IMIDs. However, the PBAC advised that for those indications where there was evidence for the use of adalimumab in children, unnecessary barriers to accessing adalimumab on the PBS should be removed. The PBAC noted a range of conditions that that were TGA</w:t>
            </w:r>
            <w:r w:rsidR="001165DD" w:rsidRPr="001033CF">
              <w:rPr>
                <w:rFonts w:asciiTheme="minorHAnsi" w:hAnsiTheme="minorHAnsi" w:cstheme="minorHAnsi"/>
                <w:sz w:val="18"/>
                <w:szCs w:val="18"/>
              </w:rPr>
              <w:noBreakHyphen/>
            </w:r>
            <w:r w:rsidRPr="6706DB5C">
              <w:rPr>
                <w:rFonts w:asciiTheme="minorHAnsi" w:hAnsiTheme="minorHAnsi" w:cstheme="minorBidi"/>
                <w:sz w:val="18"/>
                <w:szCs w:val="18"/>
              </w:rPr>
              <w:t>registered indications for adalimumab and where adalimumab was currently PBS</w:t>
            </w:r>
            <w:r w:rsidR="001165DD" w:rsidRPr="001033CF">
              <w:rPr>
                <w:rFonts w:asciiTheme="minorHAnsi" w:hAnsiTheme="minorHAnsi" w:cstheme="minorHAnsi"/>
                <w:sz w:val="18"/>
                <w:szCs w:val="18"/>
              </w:rPr>
              <w:noBreakHyphen/>
            </w:r>
            <w:r w:rsidRPr="6706DB5C">
              <w:rPr>
                <w:rFonts w:asciiTheme="minorHAnsi" w:hAnsiTheme="minorHAnsi" w:cstheme="minorBidi"/>
                <w:sz w:val="18"/>
                <w:szCs w:val="18"/>
              </w:rPr>
              <w:t>listed for use in children. The PBAC considered that ankylosing spondylitis was the main indication where there was sufficient evidence for using adalimumab in children however it was not currently PBS</w:t>
            </w:r>
            <w:r w:rsidR="001165DD" w:rsidRPr="001033CF">
              <w:rPr>
                <w:rFonts w:asciiTheme="minorHAnsi" w:hAnsiTheme="minorHAnsi" w:cstheme="minorHAnsi"/>
                <w:sz w:val="18"/>
                <w:szCs w:val="18"/>
              </w:rPr>
              <w:noBreakHyphen/>
            </w:r>
            <w:r w:rsidRPr="6706DB5C">
              <w:rPr>
                <w:rFonts w:asciiTheme="minorHAnsi" w:hAnsiTheme="minorHAnsi" w:cstheme="minorBidi"/>
                <w:sz w:val="18"/>
                <w:szCs w:val="18"/>
              </w:rPr>
              <w:t xml:space="preserve">listed for this patient group. The PBAC also noted the current maximum doses for adalimumab on the PBS for Crohn disease and ulcerative colitis in children may not reflect current clinical practice. The PBAC was therefore of a mind to recommend changes to the current listings of adalimumab for these indications to reflect current evidence and practice. The PBAC requested the Department engage with relevant clinical groups to review the current eligibility criteria for the PBS listings of adalimumab for these indications and revise these where necessary so that they reflect current evidence and clinical practice. The </w:t>
            </w:r>
            <w:r w:rsidR="006D13C5" w:rsidRPr="6706DB5C">
              <w:rPr>
                <w:rFonts w:asciiTheme="minorHAnsi" w:hAnsiTheme="minorHAnsi" w:cstheme="minorBidi"/>
                <w:sz w:val="18"/>
                <w:szCs w:val="18"/>
              </w:rPr>
              <w:t xml:space="preserve">PBAC requested the </w:t>
            </w:r>
            <w:r w:rsidRPr="6706DB5C">
              <w:rPr>
                <w:rFonts w:asciiTheme="minorHAnsi" w:hAnsiTheme="minorHAnsi" w:cstheme="minorBidi"/>
                <w:sz w:val="18"/>
                <w:szCs w:val="18"/>
              </w:rPr>
              <w:t>revised listings be brought to the PBAC for consideration.</w:t>
            </w:r>
          </w:p>
          <w:p w14:paraId="00CD6FD3" w14:textId="77777777" w:rsidR="004342CE" w:rsidRPr="001033CF" w:rsidRDefault="004342CE" w:rsidP="001033CF">
            <w:pPr>
              <w:jc w:val="both"/>
              <w:rPr>
                <w:rFonts w:asciiTheme="minorHAnsi" w:hAnsiTheme="minorHAnsi" w:cstheme="minorHAnsi"/>
                <w:color w:val="000000"/>
                <w:sz w:val="18"/>
                <w:szCs w:val="18"/>
              </w:rPr>
            </w:pPr>
          </w:p>
          <w:p w14:paraId="64479C96" w14:textId="77777777" w:rsidR="004342CE" w:rsidRPr="001033CF" w:rsidRDefault="004342CE" w:rsidP="001033CF">
            <w:pPr>
              <w:jc w:val="both"/>
              <w:rPr>
                <w:rFonts w:asciiTheme="minorHAnsi" w:hAnsiTheme="minorHAnsi" w:cstheme="minorHAnsi"/>
                <w:color w:val="000000"/>
                <w:sz w:val="18"/>
                <w:szCs w:val="18"/>
              </w:rPr>
            </w:pPr>
            <w:r w:rsidRPr="0D8F4292">
              <w:rPr>
                <w:rFonts w:asciiTheme="minorHAnsi" w:hAnsiTheme="minorHAnsi" w:cstheme="minorBidi"/>
                <w:color w:val="000000" w:themeColor="text1"/>
                <w:sz w:val="18"/>
                <w:szCs w:val="18"/>
                <w:u w:val="single"/>
              </w:rPr>
              <w:t>Sponsor’s Comment:</w:t>
            </w:r>
          </w:p>
          <w:p w14:paraId="739BF5EE" w14:textId="0BD42203" w:rsidR="004342CE" w:rsidRPr="00A95A81" w:rsidRDefault="007E4DF6" w:rsidP="001033CF">
            <w:pPr>
              <w:jc w:val="both"/>
              <w:rPr>
                <w:rFonts w:asciiTheme="minorHAnsi" w:eastAsia="Calibri" w:hAnsiTheme="minorHAnsi" w:cstheme="minorHAnsi"/>
                <w:sz w:val="18"/>
                <w:szCs w:val="18"/>
              </w:rPr>
            </w:pPr>
            <w:r w:rsidRPr="007E4DF6">
              <w:rPr>
                <w:rFonts w:asciiTheme="minorHAnsi" w:hAnsiTheme="minorHAnsi" w:cstheme="minorHAnsi"/>
                <w:color w:val="000000" w:themeColor="text1"/>
                <w:sz w:val="18"/>
                <w:szCs w:val="18"/>
              </w:rPr>
              <w:t>Existing PBS listings for certain immune-mediated inflammatory conditions do not reflect paediatric disease presentations or current clinical practice. AbbVie is disappointed that the PBAC did not accept the request for a broad indication for IMIDs.</w:t>
            </w:r>
          </w:p>
        </w:tc>
      </w:tr>
      <w:tr w:rsidR="00587746" w:rsidRPr="008059F4" w14:paraId="15392436"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903879" w14:textId="0D2F393D" w:rsidR="005077BC"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ADALIMUMAB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0.8</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Injection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0.8</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Yuflyma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CELLTRION HEALTHCARE AUSTRALIA PTY LTD</w:t>
            </w:r>
            <w:r w:rsidRPr="00B0619C">
              <w:rPr>
                <w:rFonts w:asciiTheme="minorHAnsi" w:hAnsiTheme="minorHAnsi" w:cstheme="minorHAnsi"/>
                <w:color w:val="000000"/>
                <w:sz w:val="18"/>
                <w:szCs w:val="18"/>
              </w:rPr>
              <w:br/>
            </w:r>
          </w:p>
          <w:p w14:paraId="5064FF2E" w14:textId="4BA589CB" w:rsidR="00587746" w:rsidRPr="00B0619C" w:rsidRDefault="005077BC"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587746"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D9E6C30" w14:textId="26ABC303"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Complex refractory fistulising Crohn disease</w:t>
            </w:r>
            <w:r w:rsidRPr="00B0619C">
              <w:rPr>
                <w:rFonts w:asciiTheme="minorHAnsi" w:hAnsiTheme="minorHAnsi" w:cstheme="minorHAnsi"/>
                <w:color w:val="000000"/>
                <w:sz w:val="18"/>
                <w:szCs w:val="18"/>
              </w:rPr>
              <w:br/>
              <w:t>Ulcerative colitis</w:t>
            </w:r>
            <w:r w:rsidRPr="00B0619C">
              <w:rPr>
                <w:rFonts w:asciiTheme="minorHAnsi" w:hAnsiTheme="minorHAnsi" w:cstheme="minorHAnsi"/>
                <w:color w:val="000000"/>
                <w:sz w:val="18"/>
                <w:szCs w:val="18"/>
              </w:rPr>
              <w:br/>
              <w:t>Crohn disease</w:t>
            </w:r>
            <w:r w:rsidRPr="00B0619C">
              <w:rPr>
                <w:rFonts w:asciiTheme="minorHAnsi" w:hAnsiTheme="minorHAnsi" w:cstheme="minorHAnsi"/>
                <w:color w:val="000000"/>
                <w:sz w:val="18"/>
                <w:szCs w:val="18"/>
              </w:rPr>
              <w:br/>
              <w:t>Chronic plaque psoriasis</w:t>
            </w:r>
            <w:r w:rsidRPr="00B0619C">
              <w:rPr>
                <w:rFonts w:asciiTheme="minorHAnsi" w:hAnsiTheme="minorHAnsi" w:cstheme="minorHAnsi"/>
                <w:color w:val="000000"/>
                <w:sz w:val="18"/>
                <w:szCs w:val="18"/>
              </w:rPr>
              <w:br/>
              <w:t>Hidradenitis suppurativa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1A95D88" w14:textId="2AACAE00"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General Schedule Authority Required (Written) listing of Yuflyma 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for initial and first continuing treatment, and Authority Required (STREAMLINED) listing for subsequent continuing treatment under the same conditions as its reference biologic Humira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w:t>
            </w:r>
          </w:p>
        </w:tc>
        <w:tc>
          <w:tcPr>
            <w:tcW w:w="1584" w:type="dxa"/>
            <w:shd w:val="clear" w:color="auto" w:fill="auto"/>
            <w:vAlign w:val="center"/>
          </w:tcPr>
          <w:p w14:paraId="6975FA0E" w14:textId="1E585CE5"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C213E45" w14:textId="77777777" w:rsidR="007357EC" w:rsidRPr="001033CF" w:rsidRDefault="00055A01"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adalimumab (Yuflyma) in the forms of 80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0.8</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filled pen (PFP) and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filled syringe (PFS) as biosimilar brands of Humira.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Yuflyma PFP and PFS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to Humira PFP and PFS. The PBAC advised the equi</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doses to be 1</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of Yuflyma = 1</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of Humira.</w:t>
            </w:r>
          </w:p>
          <w:p w14:paraId="6EED4A5F" w14:textId="77777777" w:rsidR="007357EC" w:rsidRPr="001033CF" w:rsidRDefault="007357EC" w:rsidP="001033CF">
            <w:pPr>
              <w:jc w:val="both"/>
              <w:rPr>
                <w:rFonts w:asciiTheme="minorHAnsi" w:hAnsiTheme="minorHAnsi" w:cstheme="minorHAnsi"/>
                <w:color w:val="000000"/>
                <w:sz w:val="18"/>
                <w:szCs w:val="18"/>
              </w:rPr>
            </w:pPr>
          </w:p>
          <w:p w14:paraId="6E06C825" w14:textId="412B5279" w:rsidR="00587746" w:rsidRPr="001033CF" w:rsidRDefault="00055A01"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advised that for the purposes of substitution, Yuflyma and Humira 80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0.8</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PFS should be treated as equivalent to each other; and Yuflyma and Humira 80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0.8</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PFP should be treated as equivalent to each other (</w:t>
            </w:r>
            <w:r w:rsidR="007357EC" w:rsidRPr="001033CF">
              <w:rPr>
                <w:rFonts w:asciiTheme="minorHAnsi" w:hAnsiTheme="minorHAnsi" w:cstheme="minorHAnsi"/>
                <w:color w:val="000000"/>
                <w:sz w:val="18"/>
                <w:szCs w:val="18"/>
              </w:rPr>
              <w:t>i.e.,</w:t>
            </w:r>
            <w:r w:rsidRPr="001033CF">
              <w:rPr>
                <w:rFonts w:asciiTheme="minorHAnsi" w:hAnsiTheme="minorHAnsi" w:cstheme="minorHAnsi"/>
                <w:color w:val="000000"/>
                <w:sz w:val="18"/>
                <w:szCs w:val="18"/>
              </w:rPr>
              <w:t xml:space="preserve"> ‘a’ flagged in the Schedule). The PBAC advised that Yuflyma PFP should not be considered equivalent for the purposes of substitution with any adalimumab PFS, consistent with its previous considerations of adalimumab.</w:t>
            </w:r>
          </w:p>
        </w:tc>
      </w:tr>
      <w:tr w:rsidR="005077BC" w:rsidRPr="008059F4" w14:paraId="4FFCA2D9"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3A478DD0" w14:textId="7D4ED7A4" w:rsidR="005077BC" w:rsidRPr="00B0619C" w:rsidRDefault="005077BC" w:rsidP="005077BC">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AFLIBERCEPT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intravitreal injection 11.34</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100 microlitres (114.3</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per</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w:t>
            </w:r>
          </w:p>
          <w:p w14:paraId="51A5F790" w14:textId="11C33162" w:rsidR="005077BC" w:rsidRDefault="005077BC" w:rsidP="005077BC">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Solution for intravitreal injection 11.34</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100 microlitres (114.3</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per</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Eylea</w:t>
            </w:r>
            <w:r w:rsidR="001165DD" w:rsidRPr="001165DD">
              <w:rPr>
                <w:rFonts w:asciiTheme="minorHAnsi" w:hAnsiTheme="minorHAnsi" w:cstheme="minorHAnsi"/>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BAYER AUSTRALIA LTD</w:t>
            </w:r>
            <w:r w:rsidRPr="00B0619C">
              <w:rPr>
                <w:rFonts w:asciiTheme="minorHAnsi" w:hAnsiTheme="minorHAnsi" w:cstheme="minorHAnsi"/>
                <w:color w:val="000000"/>
                <w:sz w:val="18"/>
                <w:szCs w:val="18"/>
              </w:rPr>
              <w:br/>
            </w:r>
          </w:p>
          <w:p w14:paraId="46CBC672" w14:textId="0B03FC96" w:rsidR="005077BC" w:rsidRPr="00B0619C" w:rsidRDefault="00A9462F" w:rsidP="005077BC">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5077BC"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88EEF0" w14:textId="7FD888EB" w:rsidR="005077BC" w:rsidRPr="00B0619C" w:rsidRDefault="005077BC" w:rsidP="005077BC">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Diabetic macular oedema (DMO)</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2A4339C4" w14:textId="28779B5D" w:rsidR="005077BC" w:rsidRPr="00B0619C" w:rsidRDefault="005077BC" w:rsidP="005077BC">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patients with visual impairment due to DMO.</w:t>
            </w:r>
          </w:p>
        </w:tc>
        <w:tc>
          <w:tcPr>
            <w:tcW w:w="1584" w:type="dxa"/>
            <w:shd w:val="clear" w:color="auto" w:fill="BFBFBF" w:themeFill="background1" w:themeFillShade="BF"/>
            <w:vAlign w:val="center"/>
          </w:tcPr>
          <w:p w14:paraId="700BE01A" w14:textId="547EB505" w:rsidR="005077BC" w:rsidRPr="001033CF" w:rsidRDefault="005077BC" w:rsidP="005077BC">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12A145BA" w14:textId="1BF357D0" w:rsidR="005077BC" w:rsidRPr="001033CF" w:rsidRDefault="005077BC"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To be considered at a future PBAC meeting</w:t>
            </w:r>
          </w:p>
        </w:tc>
      </w:tr>
      <w:tr w:rsidR="005077BC" w:rsidRPr="008059F4" w14:paraId="160A6F61"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517FAFFF" w14:textId="545D9CC3" w:rsidR="005077BC" w:rsidRPr="00B0619C" w:rsidRDefault="005077BC" w:rsidP="005077BC">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AFLIBERCEPT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intravitreal injection 11.34</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100 microlitres (114.3</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per</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w:t>
            </w:r>
          </w:p>
          <w:p w14:paraId="51E8952E" w14:textId="033B5288" w:rsidR="005077BC" w:rsidRDefault="005077BC" w:rsidP="005077BC">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Solution for intravitreal injection 11.34</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100 microlitres (114.3</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per</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 xml:space="preserve">filled syringe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Eylea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BAYER AUSTRALIA LTD</w:t>
            </w:r>
            <w:r w:rsidRPr="00B0619C">
              <w:rPr>
                <w:rFonts w:asciiTheme="minorHAnsi" w:hAnsiTheme="minorHAnsi" w:cstheme="minorHAnsi"/>
                <w:color w:val="000000"/>
                <w:sz w:val="18"/>
                <w:szCs w:val="18"/>
              </w:rPr>
              <w:br/>
            </w:r>
          </w:p>
          <w:p w14:paraId="59B8CAF2" w14:textId="7EA61EF0" w:rsidR="005077BC" w:rsidRPr="00B0619C" w:rsidRDefault="00A9462F" w:rsidP="00A964F1">
            <w:pPr>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5077BC"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4E87B3" w14:textId="47EE8D6D" w:rsidR="005077BC" w:rsidRPr="00B0619C" w:rsidRDefault="005077BC" w:rsidP="005077BC">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Subfoveal choroidal neovascularisation (CNV) secondary to age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related macular degeneration</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5CB89313" w14:textId="1B56E282" w:rsidR="005077BC" w:rsidRPr="00B0619C" w:rsidRDefault="005077BC" w:rsidP="005077BC">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visual impairment caused by CNV secondary to age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related macular degeneration.</w:t>
            </w:r>
          </w:p>
        </w:tc>
        <w:tc>
          <w:tcPr>
            <w:tcW w:w="1584" w:type="dxa"/>
            <w:shd w:val="clear" w:color="auto" w:fill="BFBFBF" w:themeFill="background1" w:themeFillShade="BF"/>
            <w:vAlign w:val="center"/>
          </w:tcPr>
          <w:p w14:paraId="2FEF30D2" w14:textId="69559A1A" w:rsidR="005077BC" w:rsidRPr="001033CF" w:rsidRDefault="005077BC" w:rsidP="005077BC">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0630B7DE" w14:textId="1405D70D" w:rsidR="005077BC" w:rsidRPr="001033CF" w:rsidRDefault="005077BC"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To be considered at a future PBAC meeting</w:t>
            </w:r>
          </w:p>
        </w:tc>
      </w:tr>
      <w:tr w:rsidR="00587746" w:rsidRPr="008059F4" w14:paraId="7750751C"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7677641" w14:textId="062BF79B" w:rsidR="00A9462F"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AMINO ACID FORMULA SUPPLEMENTED WITH PREBIOTICS, PROBIOTICS AND LONG CHAIN POLYUNSATURATED FATTY ACIDS</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Oral powder 400</w:t>
            </w:r>
            <w:r w:rsidR="00C835B6"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g (</w:t>
            </w:r>
            <w:proofErr w:type="spellStart"/>
            <w:r w:rsidRPr="00B0619C">
              <w:rPr>
                <w:rFonts w:asciiTheme="minorHAnsi" w:hAnsiTheme="minorHAnsi" w:cstheme="minorHAnsi"/>
                <w:color w:val="000000"/>
                <w:sz w:val="18"/>
                <w:szCs w:val="18"/>
              </w:rPr>
              <w:t>Neocate</w:t>
            </w:r>
            <w:proofErr w:type="spellEnd"/>
            <w:r w:rsidRPr="00B0619C">
              <w:rPr>
                <w:rFonts w:asciiTheme="minorHAnsi" w:hAnsiTheme="minorHAnsi" w:cstheme="minorHAnsi"/>
                <w:color w:val="000000"/>
                <w:sz w:val="18"/>
                <w:szCs w:val="18"/>
              </w:rPr>
              <w:t xml:space="preserve"> </w:t>
            </w:r>
            <w:proofErr w:type="spellStart"/>
            <w:r w:rsidRPr="00B0619C">
              <w:rPr>
                <w:rFonts w:asciiTheme="minorHAnsi" w:hAnsiTheme="minorHAnsi" w:cstheme="minorHAnsi"/>
                <w:color w:val="000000"/>
                <w:sz w:val="18"/>
                <w:szCs w:val="18"/>
              </w:rPr>
              <w:t>Syneo</w:t>
            </w:r>
            <w:proofErr w:type="spellEnd"/>
            <w:r w:rsidRPr="00B0619C">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Neocate</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w:t>
            </w:r>
            <w:proofErr w:type="spellStart"/>
            <w:r w:rsidRPr="00B0619C">
              <w:rPr>
                <w:rFonts w:asciiTheme="minorHAnsi" w:hAnsiTheme="minorHAnsi" w:cstheme="minorHAnsi"/>
                <w:color w:val="000000"/>
                <w:sz w:val="18"/>
                <w:szCs w:val="18"/>
              </w:rPr>
              <w:t>Syneo</w:t>
            </w:r>
            <w:proofErr w:type="spellEnd"/>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NUTRICIA AUSTRALIA PTY LIMITED</w:t>
            </w:r>
            <w:r w:rsidRPr="00B0619C">
              <w:rPr>
                <w:rFonts w:asciiTheme="minorHAnsi" w:hAnsiTheme="minorHAnsi" w:cstheme="minorHAnsi"/>
                <w:color w:val="000000"/>
                <w:sz w:val="18"/>
                <w:szCs w:val="18"/>
              </w:rPr>
              <w:br/>
            </w:r>
          </w:p>
          <w:p w14:paraId="15F4BEA7" w14:textId="494AA562" w:rsidR="00587746" w:rsidRPr="00B0619C" w:rsidRDefault="00A9462F"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Committee secretariat</w:t>
            </w:r>
            <w:r w:rsidR="00587746" w:rsidRPr="00B0619C">
              <w:rPr>
                <w:rFonts w:asciiTheme="minorHAnsi" w:hAnsiTheme="minorHAnsi" w:cstheme="minorHAnsi"/>
                <w:color w:val="000000"/>
                <w:sz w:val="18"/>
                <w:szCs w:val="18"/>
              </w:rPr>
              <w:br/>
              <w:t>(Other matters)</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942B8E0" w14:textId="2AC573D2"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Cows' milk protein enteropathy</w:t>
            </w:r>
            <w:r w:rsidRPr="00B0619C">
              <w:rPr>
                <w:rFonts w:asciiTheme="minorHAnsi" w:hAnsiTheme="minorHAnsi" w:cstheme="minorHAnsi"/>
                <w:color w:val="000000"/>
                <w:sz w:val="18"/>
                <w:szCs w:val="18"/>
              </w:rPr>
              <w:br/>
              <w:t>Severe cows' milk protein enteropathy with failure to thrive</w:t>
            </w:r>
            <w:r w:rsidRPr="00B0619C">
              <w:rPr>
                <w:rFonts w:asciiTheme="minorHAnsi" w:hAnsiTheme="minorHAnsi" w:cstheme="minorHAnsi"/>
                <w:color w:val="000000"/>
                <w:sz w:val="18"/>
                <w:szCs w:val="18"/>
              </w:rPr>
              <w:br/>
              <w:t>Combined intolerance to cows' milk protein, soy protein and protein hydrolysate formulae</w:t>
            </w:r>
            <w:r w:rsidRPr="00B0619C">
              <w:rPr>
                <w:rFonts w:asciiTheme="minorHAnsi" w:hAnsiTheme="minorHAnsi" w:cstheme="minorHAnsi"/>
                <w:color w:val="000000"/>
                <w:sz w:val="18"/>
                <w:szCs w:val="18"/>
              </w:rPr>
              <w:br/>
              <w:t>Proven combined immunoglobulin</w:t>
            </w:r>
            <w:r w:rsidR="00A967F4">
              <w:rPr>
                <w:rFonts w:asciiTheme="minorHAnsi" w:hAnsiTheme="minorHAnsi" w:cstheme="minorHAnsi"/>
                <w:color w:val="000000"/>
                <w:sz w:val="18"/>
                <w:szCs w:val="18"/>
              </w:rPr>
              <w:t> </w:t>
            </w:r>
            <w:r w:rsidRPr="00B0619C">
              <w:rPr>
                <w:rFonts w:asciiTheme="minorHAnsi" w:hAnsiTheme="minorHAnsi" w:cstheme="minorHAnsi"/>
                <w:color w:val="000000"/>
                <w:sz w:val="18"/>
                <w:szCs w:val="18"/>
              </w:rPr>
              <w:t>E (</w:t>
            </w:r>
            <w:proofErr w:type="spellStart"/>
            <w:r w:rsidRPr="00B0619C">
              <w:rPr>
                <w:rFonts w:asciiTheme="minorHAnsi" w:hAnsiTheme="minorHAnsi" w:cstheme="minorHAnsi"/>
                <w:color w:val="000000"/>
                <w:sz w:val="18"/>
                <w:szCs w:val="18"/>
              </w:rPr>
              <w:t>IgE</w:t>
            </w:r>
            <w:proofErr w:type="spellEnd"/>
            <w:r w:rsidRPr="00B0619C">
              <w:rPr>
                <w:rFonts w:asciiTheme="minorHAnsi" w:hAnsiTheme="minorHAnsi" w:cstheme="minorHAnsi"/>
                <w:color w:val="000000"/>
                <w:sz w:val="18"/>
                <w:szCs w:val="18"/>
              </w:rPr>
              <w:t>) mediated allergy to cows' milk protein and soy protein</w:t>
            </w:r>
            <w:r w:rsidRPr="00B0619C">
              <w:rPr>
                <w:rFonts w:asciiTheme="minorHAnsi" w:hAnsiTheme="minorHAnsi" w:cstheme="minorHAnsi"/>
                <w:color w:val="000000"/>
                <w:sz w:val="18"/>
                <w:szCs w:val="18"/>
              </w:rPr>
              <w:br/>
              <w:t xml:space="preserve">Cows' milk anaphylaxis </w:t>
            </w:r>
            <w:r w:rsidRPr="00B0619C">
              <w:rPr>
                <w:rFonts w:asciiTheme="minorHAnsi" w:hAnsiTheme="minorHAnsi" w:cstheme="minorHAnsi"/>
                <w:color w:val="000000"/>
                <w:sz w:val="18"/>
                <w:szCs w:val="18"/>
              </w:rPr>
              <w:br/>
              <w:t>Severe intestinal malabsorption including short bowel syndrome</w:t>
            </w:r>
            <w:r w:rsidRPr="00B0619C">
              <w:rPr>
                <w:rFonts w:asciiTheme="minorHAnsi" w:hAnsiTheme="minorHAnsi" w:cstheme="minorHAnsi"/>
                <w:color w:val="000000"/>
                <w:sz w:val="18"/>
                <w:szCs w:val="18"/>
              </w:rPr>
              <w:br/>
              <w:t>Eosinophilic oesophagitis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FBB49A8" w14:textId="69CCE247"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w:t>
            </w:r>
            <w:proofErr w:type="spellStart"/>
            <w:r w:rsidRPr="00B0619C">
              <w:rPr>
                <w:rFonts w:asciiTheme="minorHAnsi" w:hAnsiTheme="minorHAnsi" w:cstheme="minorHAnsi"/>
                <w:color w:val="000000"/>
                <w:sz w:val="18"/>
                <w:szCs w:val="18"/>
              </w:rPr>
              <w:t>Neocate</w:t>
            </w:r>
            <w:proofErr w:type="spellEnd"/>
            <w:r w:rsidRPr="00B0619C">
              <w:rPr>
                <w:rFonts w:asciiTheme="minorHAnsi" w:hAnsiTheme="minorHAnsi" w:cstheme="minorHAnsi"/>
                <w:color w:val="000000"/>
                <w:sz w:val="18"/>
                <w:szCs w:val="18"/>
              </w:rPr>
              <w:t xml:space="preserve"> </w:t>
            </w:r>
            <w:proofErr w:type="spellStart"/>
            <w:r w:rsidRPr="00B0619C">
              <w:rPr>
                <w:rFonts w:asciiTheme="minorHAnsi" w:hAnsiTheme="minorHAnsi" w:cstheme="minorHAnsi"/>
                <w:color w:val="000000"/>
                <w:sz w:val="18"/>
                <w:szCs w:val="18"/>
              </w:rPr>
              <w:t>Syneo</w:t>
            </w:r>
            <w:proofErr w:type="spellEnd"/>
            <w:r w:rsidRPr="00B0619C">
              <w:rPr>
                <w:rFonts w:asciiTheme="minorHAnsi" w:hAnsiTheme="minorHAnsi" w:cstheme="minorHAnsi"/>
                <w:color w:val="000000"/>
                <w:sz w:val="18"/>
                <w:szCs w:val="18"/>
              </w:rPr>
              <w:t xml:space="preserve"> with new formulation continue to be listed on the PBS under the existing conditions.</w:t>
            </w:r>
          </w:p>
        </w:tc>
        <w:tc>
          <w:tcPr>
            <w:tcW w:w="1584" w:type="dxa"/>
            <w:shd w:val="clear" w:color="auto" w:fill="auto"/>
            <w:vAlign w:val="center"/>
          </w:tcPr>
          <w:p w14:paraId="0F059B89" w14:textId="05BF8E99"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652C80A7" w14:textId="4ACB8D08" w:rsidR="00587746" w:rsidRPr="001033CF" w:rsidRDefault="00C835B6"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new formulation of amino acid formula supplemented with prebiotics, </w:t>
            </w:r>
            <w:proofErr w:type="gramStart"/>
            <w:r w:rsidRPr="001033CF">
              <w:rPr>
                <w:rFonts w:asciiTheme="minorHAnsi" w:hAnsiTheme="minorHAnsi" w:cstheme="minorHAnsi"/>
                <w:color w:val="000000"/>
                <w:sz w:val="18"/>
                <w:szCs w:val="18"/>
              </w:rPr>
              <w:t>probiotics</w:t>
            </w:r>
            <w:proofErr w:type="gramEnd"/>
            <w:r w:rsidRPr="001033CF">
              <w:rPr>
                <w:rFonts w:asciiTheme="minorHAnsi" w:hAnsiTheme="minorHAnsi" w:cstheme="minorHAnsi"/>
                <w:color w:val="000000"/>
                <w:sz w:val="18"/>
                <w:szCs w:val="18"/>
              </w:rPr>
              <w:t xml:space="preserve"> and long chain polyunsaturated fatty acids (</w:t>
            </w:r>
            <w:proofErr w:type="spellStart"/>
            <w:r w:rsidRPr="001033CF">
              <w:rPr>
                <w:rFonts w:asciiTheme="minorHAnsi" w:hAnsiTheme="minorHAnsi" w:cstheme="minorHAnsi"/>
                <w:color w:val="000000"/>
                <w:sz w:val="18"/>
                <w:szCs w:val="18"/>
              </w:rPr>
              <w:t>Neocate</w:t>
            </w:r>
            <w:proofErr w:type="spellEnd"/>
            <w:r w:rsidRPr="001033CF">
              <w:rPr>
                <w:rFonts w:asciiTheme="minorHAnsi" w:hAnsiTheme="minorHAnsi" w:cstheme="minorHAnsi"/>
                <w:color w:val="000000"/>
                <w:sz w:val="18"/>
                <w:szCs w:val="18"/>
              </w:rPr>
              <w:t xml:space="preserve"> </w:t>
            </w:r>
            <w:proofErr w:type="spellStart"/>
            <w:r w:rsidRPr="001033CF">
              <w:rPr>
                <w:rFonts w:asciiTheme="minorHAnsi" w:hAnsiTheme="minorHAnsi" w:cstheme="minorHAnsi"/>
                <w:color w:val="000000"/>
                <w:sz w:val="18"/>
                <w:szCs w:val="18"/>
              </w:rPr>
              <w:t>Syneo</w:t>
            </w:r>
            <w:proofErr w:type="spellEnd"/>
            <w:r w:rsidRPr="001033CF">
              <w:rPr>
                <w:rFonts w:asciiTheme="minorHAnsi" w:hAnsiTheme="minorHAnsi" w:cstheme="minorHAnsi"/>
                <w:color w:val="000000"/>
                <w:sz w:val="18"/>
                <w:szCs w:val="18"/>
              </w:rPr>
              <w:t>) continue to be PBS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listed under the same conditions as the current listing. </w:t>
            </w:r>
            <w:r w:rsidR="00033AE2" w:rsidRPr="001033CF">
              <w:rPr>
                <w:rFonts w:asciiTheme="minorHAnsi" w:hAnsiTheme="minorHAnsi" w:cstheme="minorHAnsi"/>
                <w:color w:val="000000"/>
                <w:sz w:val="18"/>
                <w:szCs w:val="18"/>
              </w:rPr>
              <w:t xml:space="preserve">The PBAC noted and supported the Nutritional Products Working Party advice </w:t>
            </w:r>
            <w:r w:rsidR="00033AE2">
              <w:rPr>
                <w:rFonts w:asciiTheme="minorHAnsi" w:hAnsiTheme="minorHAnsi" w:cstheme="minorHAnsi"/>
                <w:color w:val="000000"/>
                <w:sz w:val="18"/>
                <w:szCs w:val="18"/>
              </w:rPr>
              <w:t xml:space="preserve">that </w:t>
            </w:r>
            <w:r w:rsidRPr="001033CF">
              <w:rPr>
                <w:rFonts w:asciiTheme="minorHAnsi" w:hAnsiTheme="minorHAnsi" w:cstheme="minorHAnsi"/>
                <w:color w:val="000000"/>
                <w:sz w:val="18"/>
                <w:szCs w:val="18"/>
              </w:rPr>
              <w:t>the new formulation is expected to provide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inferior clinical effectiveness in comparison to the current formulation. The PBAC considered the new formulation is not expected to have impacts on current utilisation of the product or current costs to Government.</w:t>
            </w:r>
          </w:p>
        </w:tc>
      </w:tr>
      <w:tr w:rsidR="00587746" w:rsidRPr="008059F4" w14:paraId="7A902290"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63D17F" w14:textId="7429442C" w:rsidR="00A9462F" w:rsidRDefault="00587746" w:rsidP="00587746">
            <w:pPr>
              <w:keepLines/>
              <w:jc w:val="center"/>
              <w:rPr>
                <w:rFonts w:asciiTheme="minorHAnsi" w:hAnsiTheme="minorHAnsi" w:cstheme="minorHAnsi"/>
                <w:color w:val="000000"/>
                <w:sz w:val="18"/>
                <w:szCs w:val="18"/>
              </w:rPr>
            </w:pPr>
            <w:bookmarkStart w:id="2" w:name="_Hlk143070613"/>
            <w:r w:rsidRPr="00B0619C">
              <w:rPr>
                <w:rFonts w:asciiTheme="minorHAnsi" w:hAnsiTheme="minorHAnsi" w:cstheme="minorHAnsi"/>
                <w:color w:val="000000"/>
                <w:sz w:val="18"/>
                <w:szCs w:val="18"/>
              </w:rPr>
              <w:lastRenderedPageBreak/>
              <w:t>AMINO ACID FORMULA WITH VITAMINS AND MINERALS WITHOUT PHENYLALANINE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Oral liquid 125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30 (PKU Lophlex Select LQ)</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PKU Lophlex</w:t>
            </w:r>
            <w:r w:rsidR="00A964F1">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Select LQ</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NUTRICIA AUSTRALIA PTY LIMITED</w:t>
            </w:r>
            <w:r w:rsidRPr="00B0619C">
              <w:rPr>
                <w:rFonts w:asciiTheme="minorHAnsi" w:hAnsiTheme="minorHAnsi" w:cstheme="minorHAnsi"/>
                <w:color w:val="000000"/>
                <w:sz w:val="18"/>
                <w:szCs w:val="18"/>
              </w:rPr>
              <w:br/>
            </w:r>
          </w:p>
          <w:p w14:paraId="1A8B56F0" w14:textId="5F970820" w:rsidR="00587746" w:rsidRPr="00B0619C" w:rsidRDefault="00A9462F"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587746"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E92FA92" w14:textId="16AB36B2"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Phenylketonuria (PKU)</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7A39486" w14:textId="415E0495"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Restricted Benefit listing for the dietary management of PKU. </w:t>
            </w:r>
          </w:p>
        </w:tc>
        <w:tc>
          <w:tcPr>
            <w:tcW w:w="1584" w:type="dxa"/>
            <w:shd w:val="clear" w:color="auto" w:fill="auto"/>
            <w:vAlign w:val="center"/>
          </w:tcPr>
          <w:p w14:paraId="7985984A" w14:textId="1D103781"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5305741" w14:textId="69D22FBF" w:rsidR="00587746" w:rsidRPr="001033CF" w:rsidRDefault="00C835B6"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that amino acid formula with vitamins and minerals without phenylalanine (PKU Lophlex Select LQ) be listed on the PBS for the dietary management of phenylketonuria (PKU) under the same circumstances as PKU Lophlex LQ</w:t>
            </w:r>
            <w:r w:rsidR="00A964F1"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20, and on a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minimisation basis to the lowest cost comparator on a price per gram of protein equivalent basis.</w:t>
            </w:r>
          </w:p>
        </w:tc>
      </w:tr>
      <w:bookmarkEnd w:id="2"/>
      <w:tr w:rsidR="00587746" w:rsidRPr="008059F4" w14:paraId="13CCBBCF"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B9FC614" w14:textId="77777777" w:rsidR="00A9462F"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AMINO ACID FORMULA WITH VITAMINS, MINERALS AND LONG CHAIN POLYUNSATURATED FATTY ACIDS WITHOUT PHENYLALANINE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Oral powder 400</w:t>
            </w:r>
            <w:r w:rsidR="00C835B6"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g (PKU Start)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PKU Start™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VITAFLO AUSTRALIA PTY LIMITED</w:t>
            </w:r>
            <w:r w:rsidRPr="00B0619C">
              <w:rPr>
                <w:rFonts w:asciiTheme="minorHAnsi" w:hAnsiTheme="minorHAnsi" w:cstheme="minorHAnsi"/>
                <w:color w:val="000000"/>
                <w:sz w:val="18"/>
                <w:szCs w:val="18"/>
              </w:rPr>
              <w:br/>
            </w:r>
          </w:p>
          <w:p w14:paraId="133CC392" w14:textId="5F7B121E" w:rsidR="00587746" w:rsidRPr="00B0619C" w:rsidRDefault="00A9462F"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Committee secretariat</w:t>
            </w:r>
            <w:r w:rsidR="00587746" w:rsidRPr="00B0619C">
              <w:rPr>
                <w:rFonts w:asciiTheme="minorHAnsi" w:hAnsiTheme="minorHAnsi" w:cstheme="minorHAnsi"/>
                <w:color w:val="000000"/>
                <w:sz w:val="18"/>
                <w:szCs w:val="18"/>
              </w:rPr>
              <w:br/>
              <w:t>(Other matters)</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D276F0A" w14:textId="418EEC56"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Phenylketonuria</w:t>
            </w:r>
            <w:r w:rsidR="00C835B6" w:rsidRPr="00B0619C">
              <w:rPr>
                <w:rFonts w:asciiTheme="minorHAnsi" w:hAnsiTheme="minorHAnsi" w:cstheme="minorHAnsi"/>
                <w:color w:val="000000"/>
                <w:sz w:val="18"/>
                <w:szCs w:val="18"/>
              </w:rPr>
              <w:t xml:space="preserve"> (PKU)</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CDB928D" w14:textId="01201F2D"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PKU Start with new formulation continue to be listed on the PBS under the existing conditions.</w:t>
            </w:r>
          </w:p>
        </w:tc>
        <w:tc>
          <w:tcPr>
            <w:tcW w:w="1584" w:type="dxa"/>
            <w:shd w:val="clear" w:color="auto" w:fill="auto"/>
            <w:vAlign w:val="center"/>
          </w:tcPr>
          <w:p w14:paraId="5E91DC60" w14:textId="0DC3B6AF"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CC02EB6" w14:textId="6285446E" w:rsidR="00587746" w:rsidRPr="001033CF" w:rsidRDefault="00C835B6"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new formulation of amino acid formula with vitamins, </w:t>
            </w:r>
            <w:proofErr w:type="gramStart"/>
            <w:r w:rsidRPr="001033CF">
              <w:rPr>
                <w:rFonts w:asciiTheme="minorHAnsi" w:hAnsiTheme="minorHAnsi" w:cstheme="minorHAnsi"/>
                <w:color w:val="000000"/>
                <w:sz w:val="18"/>
                <w:szCs w:val="18"/>
              </w:rPr>
              <w:t>minerals</w:t>
            </w:r>
            <w:proofErr w:type="gramEnd"/>
            <w:r w:rsidRPr="001033CF">
              <w:rPr>
                <w:rFonts w:asciiTheme="minorHAnsi" w:hAnsiTheme="minorHAnsi" w:cstheme="minorHAnsi"/>
                <w:color w:val="000000"/>
                <w:sz w:val="18"/>
                <w:szCs w:val="18"/>
              </w:rPr>
              <w:t xml:space="preserve"> and long chain polyunsaturated fatty acids without phenylalanine (PKU Start) continue to be PBS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listed under the existing conditions of the current formulation. The PBAC noted and supported the Nutritional Products Working Party advice that the new formulation is expected to provide a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inferior clinical benefit for the management of </w:t>
            </w:r>
            <w:r w:rsidR="005E1941" w:rsidRPr="001033CF">
              <w:rPr>
                <w:rFonts w:asciiTheme="minorHAnsi" w:hAnsiTheme="minorHAnsi" w:cstheme="minorHAnsi"/>
                <w:color w:val="000000"/>
                <w:sz w:val="18"/>
                <w:szCs w:val="18"/>
              </w:rPr>
              <w:t>PKU</w:t>
            </w:r>
            <w:r w:rsidRPr="001033CF">
              <w:rPr>
                <w:rFonts w:asciiTheme="minorHAnsi" w:hAnsiTheme="minorHAnsi" w:cstheme="minorHAnsi"/>
                <w:color w:val="000000"/>
                <w:sz w:val="18"/>
                <w:szCs w:val="18"/>
              </w:rPr>
              <w:t>.</w:t>
            </w:r>
          </w:p>
        </w:tc>
      </w:tr>
      <w:tr w:rsidR="00587746" w:rsidRPr="008059F4" w14:paraId="0AE2830A"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B54868" w14:textId="5F4E6E7C" w:rsidR="00A9462F"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ANIFROLUMAB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concentrate for I.V. infusion 300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Saphnelo</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ASTRAZENECA PTY LTD</w:t>
            </w:r>
            <w:r w:rsidRPr="00B0619C">
              <w:rPr>
                <w:rFonts w:asciiTheme="minorHAnsi" w:hAnsiTheme="minorHAnsi" w:cstheme="minorHAnsi"/>
                <w:color w:val="000000"/>
                <w:sz w:val="18"/>
                <w:szCs w:val="18"/>
              </w:rPr>
              <w:br/>
            </w:r>
          </w:p>
          <w:p w14:paraId="21AA0745" w14:textId="12CA53E9" w:rsidR="00587746" w:rsidRPr="00B0619C" w:rsidRDefault="00A9462F"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 xml:space="preserve">entry </w:t>
            </w:r>
            <w:r w:rsidR="00587746"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2E59758" w14:textId="25CBD5BA"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Systemic lupus erythematosus (SLE)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CEBC411" w14:textId="741DD8E7"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Section 100 (Highly Specialised Drugs Program) Authority Required (Written) listing for the treatment of severe SLE with a high level of disease activity despite standard therapy.</w:t>
            </w:r>
          </w:p>
        </w:tc>
        <w:tc>
          <w:tcPr>
            <w:tcW w:w="1584" w:type="dxa"/>
            <w:shd w:val="clear" w:color="auto" w:fill="auto"/>
            <w:vAlign w:val="center"/>
          </w:tcPr>
          <w:p w14:paraId="4BCD8363" w14:textId="6039C185"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2636442F" w14:textId="2ECEA1B4" w:rsidR="00587746" w:rsidRPr="001033CF" w:rsidRDefault="00C835B6"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a complex authority required Section 100 Highly Specialised Drugs Authority Required (In Writing/HPOS) listing of anifrolumab for the treatment of patients with severe SLE with high disease activity despite standard of care (SOC). The PBAC was satisfied that anifrolumab provides, for some patients, a significant improvement in efficacy over SOC alone for the management of SLE in the requested population. The PBAC’s recommendation for listing was based on, among other matters, its assessment that the resubmission sufficiently addressed the concerns raised with the previous resubmission, and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anifrolumab would be acceptable at the price proposed in the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PBAC response. The PBAC considered that the financial impact estimates were reasonable and that a risk sharing arrangement would mitigate any risks related to variability of patient treatment patterns and use outside of that intended.</w:t>
            </w:r>
          </w:p>
        </w:tc>
      </w:tr>
      <w:tr w:rsidR="00587746" w:rsidRPr="008059F4" w14:paraId="4A465492"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525BFD4" w14:textId="1E584AF3" w:rsidR="00A9462F"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ATEZOLIZUMAB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subcutaneous injection containing atezolizumab 1875</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Tecentriq</w:t>
            </w:r>
            <w:proofErr w:type="spellEnd"/>
            <w:r w:rsidR="001165DD" w:rsidRPr="001165DD">
              <w:rPr>
                <w:rFonts w:asciiTheme="minorHAnsi" w:hAnsiTheme="minorHAnsi" w:cstheme="minorHAnsi"/>
                <w:color w:val="000000"/>
                <w:sz w:val="18"/>
                <w:szCs w:val="18"/>
              </w:rPr>
              <w:t>®</w:t>
            </w:r>
            <w:r w:rsidR="00671C24">
              <w:rPr>
                <w:rFonts w:asciiTheme="minorHAnsi" w:hAnsiTheme="minorHAnsi" w:cstheme="minorHAnsi"/>
                <w:color w:val="000000"/>
                <w:sz w:val="18"/>
                <w:szCs w:val="18"/>
              </w:rPr>
              <w:t xml:space="preserve"> </w:t>
            </w:r>
            <w:r w:rsidR="005E1941">
              <w:rPr>
                <w:rFonts w:asciiTheme="minorHAnsi" w:hAnsiTheme="minorHAnsi" w:cstheme="minorHAnsi"/>
                <w:color w:val="000000"/>
                <w:sz w:val="18"/>
                <w:szCs w:val="18"/>
              </w:rPr>
              <w:t>SC</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ROCHE PRODUCTS PTY LTD</w:t>
            </w:r>
            <w:r w:rsidRPr="00B0619C">
              <w:rPr>
                <w:rFonts w:asciiTheme="minorHAnsi" w:hAnsiTheme="minorHAnsi" w:cstheme="minorHAnsi"/>
                <w:color w:val="000000"/>
                <w:sz w:val="18"/>
                <w:szCs w:val="18"/>
              </w:rPr>
              <w:br/>
            </w:r>
          </w:p>
          <w:p w14:paraId="5E18E9FF" w14:textId="4BB60FC0" w:rsidR="00587746" w:rsidRPr="00B0619C" w:rsidRDefault="00A9462F"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587746"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CD5B10D" w14:textId="764CC014"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Locally advanced or metastatic non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small cell lung cancer (NSCLC)</w:t>
            </w:r>
            <w:r w:rsidRPr="00B0619C">
              <w:rPr>
                <w:rFonts w:asciiTheme="minorHAnsi" w:hAnsiTheme="minorHAnsi" w:cstheme="minorHAnsi"/>
                <w:color w:val="000000"/>
                <w:sz w:val="18"/>
                <w:szCs w:val="18"/>
              </w:rPr>
              <w:br/>
              <w:t>Stage IV (metastatic) NSCLC</w:t>
            </w:r>
            <w:r w:rsidRPr="00B0619C">
              <w:rPr>
                <w:rFonts w:asciiTheme="minorHAnsi" w:hAnsiTheme="minorHAnsi" w:cstheme="minorHAnsi"/>
                <w:color w:val="000000"/>
                <w:sz w:val="18"/>
                <w:szCs w:val="18"/>
              </w:rPr>
              <w:br/>
              <w:t>Extensive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stage small cell lung cancer</w:t>
            </w:r>
            <w:r w:rsidR="005077BC">
              <w:rPr>
                <w:rFonts w:asciiTheme="minorHAnsi" w:hAnsiTheme="minorHAnsi" w:cstheme="minorHAnsi"/>
                <w:color w:val="000000"/>
                <w:sz w:val="18"/>
                <w:szCs w:val="18"/>
              </w:rPr>
              <w:t xml:space="preserve"> </w:t>
            </w:r>
            <w:r w:rsidR="00C835B6" w:rsidRPr="00B0619C">
              <w:rPr>
                <w:rFonts w:asciiTheme="minorHAnsi" w:hAnsiTheme="minorHAnsi" w:cstheme="minorHAnsi"/>
                <w:color w:val="000000"/>
                <w:sz w:val="18"/>
                <w:szCs w:val="18"/>
              </w:rPr>
              <w:t>(ES</w:t>
            </w:r>
            <w:r w:rsidR="001165DD" w:rsidRPr="001165DD">
              <w:rPr>
                <w:rFonts w:asciiTheme="minorHAnsi" w:hAnsiTheme="minorHAnsi" w:cstheme="minorHAnsi"/>
                <w:color w:val="000000"/>
                <w:sz w:val="18"/>
                <w:szCs w:val="18"/>
              </w:rPr>
              <w:noBreakHyphen/>
            </w:r>
            <w:r w:rsidR="00C835B6" w:rsidRPr="00B0619C">
              <w:rPr>
                <w:rFonts w:asciiTheme="minorHAnsi" w:hAnsiTheme="minorHAnsi" w:cstheme="minorHAnsi"/>
                <w:color w:val="000000"/>
                <w:sz w:val="18"/>
                <w:szCs w:val="18"/>
              </w:rPr>
              <w:t>SCLC)</w:t>
            </w:r>
            <w:r w:rsidRPr="00B0619C">
              <w:rPr>
                <w:rFonts w:asciiTheme="minorHAnsi" w:hAnsiTheme="minorHAnsi" w:cstheme="minorHAnsi"/>
                <w:color w:val="000000"/>
                <w:sz w:val="18"/>
                <w:szCs w:val="18"/>
              </w:rPr>
              <w:br/>
              <w:t>Advanced (unresectable) Barcelona Clinic Liver Cancer Stage B or Stage C hepatocellular carcinoma</w:t>
            </w:r>
            <w:r w:rsidRPr="00B0619C">
              <w:rPr>
                <w:rFonts w:asciiTheme="minorHAnsi" w:hAnsiTheme="minorHAnsi" w:cstheme="minorHAnsi"/>
                <w:color w:val="000000"/>
                <w:sz w:val="18"/>
                <w:szCs w:val="18"/>
              </w:rPr>
              <w:br/>
              <w:t xml:space="preserve">Resected early stage (Stage II to IIIA) </w:t>
            </w:r>
            <w:proofErr w:type="spellStart"/>
            <w:r w:rsidR="00C835B6" w:rsidRPr="00B0619C">
              <w:rPr>
                <w:rFonts w:asciiTheme="minorHAnsi" w:hAnsiTheme="minorHAnsi" w:cstheme="minorHAnsi"/>
                <w:color w:val="000000"/>
                <w:sz w:val="18"/>
                <w:szCs w:val="18"/>
              </w:rPr>
              <w:t>e</w:t>
            </w:r>
            <w:r w:rsidRPr="00B0619C">
              <w:rPr>
                <w:rFonts w:asciiTheme="minorHAnsi" w:hAnsiTheme="minorHAnsi" w:cstheme="minorHAnsi"/>
                <w:color w:val="000000"/>
                <w:sz w:val="18"/>
                <w:szCs w:val="18"/>
              </w:rPr>
              <w:t>NSCLC</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CF642A0" w14:textId="37D88778"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listing of a new form and strength of atezolizumab under the same conditions as the currently listed form and strengths of atezolizumab solution for </w:t>
            </w:r>
            <w:r w:rsidR="005E1941" w:rsidRPr="00B0619C">
              <w:rPr>
                <w:rFonts w:asciiTheme="minorHAnsi" w:hAnsiTheme="minorHAnsi" w:cstheme="minorHAnsi"/>
                <w:color w:val="000000"/>
                <w:sz w:val="18"/>
                <w:szCs w:val="18"/>
              </w:rPr>
              <w:t xml:space="preserve">intravenous </w:t>
            </w:r>
            <w:r w:rsidR="005E1941">
              <w:rPr>
                <w:rFonts w:asciiTheme="minorHAnsi" w:hAnsiTheme="minorHAnsi" w:cstheme="minorHAnsi"/>
                <w:color w:val="000000"/>
                <w:sz w:val="18"/>
                <w:szCs w:val="18"/>
              </w:rPr>
              <w:t>(</w:t>
            </w:r>
            <w:r w:rsidRPr="00B0619C">
              <w:rPr>
                <w:rFonts w:asciiTheme="minorHAnsi" w:hAnsiTheme="minorHAnsi" w:cstheme="minorHAnsi"/>
                <w:color w:val="000000"/>
                <w:sz w:val="18"/>
                <w:szCs w:val="18"/>
              </w:rPr>
              <w:t>I.V.</w:t>
            </w:r>
            <w:r w:rsidR="005E1941">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infusion. </w:t>
            </w:r>
          </w:p>
        </w:tc>
        <w:tc>
          <w:tcPr>
            <w:tcW w:w="1584" w:type="dxa"/>
            <w:shd w:val="clear" w:color="auto" w:fill="auto"/>
            <w:vAlign w:val="center"/>
          </w:tcPr>
          <w:p w14:paraId="7E66B42F" w14:textId="243E35CC"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451B7AE4" w14:textId="7F2396B2" w:rsidR="00587746" w:rsidRPr="001033CF" w:rsidRDefault="00C835B6"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dual General Schedule and Section 100 (Efficient Funding of Chemotherapy – Related Benefits) Authority Required listings of subcutaneous (SC) injection of atezolizumab 1875</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/15</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w:t>
            </w:r>
            <w:proofErr w:type="spellStart"/>
            <w:r w:rsidRPr="001033CF">
              <w:rPr>
                <w:rFonts w:asciiTheme="minorHAnsi" w:hAnsiTheme="minorHAnsi" w:cstheme="minorHAnsi"/>
                <w:color w:val="000000"/>
                <w:sz w:val="18"/>
                <w:szCs w:val="18"/>
              </w:rPr>
              <w:t>Tecentriq</w:t>
            </w:r>
            <w:proofErr w:type="spellEnd"/>
            <w:r w:rsidR="00E35105">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SC) (atezolizumab SC) for locally advanced or metastatic NSCLC, ES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SCLC, advanced (unresectable) Barcelona Clinic Liver Cancer Stage B or Stage C hepatocellular carcinoma and </w:t>
            </w:r>
            <w:proofErr w:type="spellStart"/>
            <w:r w:rsidRPr="001033CF">
              <w:rPr>
                <w:rFonts w:asciiTheme="minorHAnsi" w:hAnsiTheme="minorHAnsi" w:cstheme="minorHAnsi"/>
                <w:color w:val="000000"/>
                <w:sz w:val="18"/>
                <w:szCs w:val="18"/>
              </w:rPr>
              <w:t>eNSCLC</w:t>
            </w:r>
            <w:proofErr w:type="spellEnd"/>
            <w:r w:rsidRPr="001033CF">
              <w:rPr>
                <w:rFonts w:asciiTheme="minorHAnsi" w:hAnsiTheme="minorHAnsi" w:cstheme="minorHAnsi"/>
                <w:color w:val="000000"/>
                <w:sz w:val="18"/>
                <w:szCs w:val="18"/>
              </w:rPr>
              <w:t xml:space="preserve"> for which atezolizumab 1200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/20</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w:t>
            </w:r>
            <w:r w:rsidR="005E1941" w:rsidRPr="001033CF">
              <w:rPr>
                <w:rFonts w:asciiTheme="minorHAnsi" w:hAnsiTheme="minorHAnsi" w:cstheme="minorHAnsi"/>
                <w:color w:val="000000"/>
                <w:sz w:val="18"/>
                <w:szCs w:val="18"/>
              </w:rPr>
              <w:t>I</w:t>
            </w:r>
            <w:r w:rsidR="00DA3E52" w:rsidRPr="001033CF">
              <w:rPr>
                <w:rFonts w:asciiTheme="minorHAnsi" w:hAnsiTheme="minorHAnsi" w:cstheme="minorHAnsi"/>
                <w:color w:val="000000"/>
                <w:sz w:val="18"/>
                <w:szCs w:val="18"/>
              </w:rPr>
              <w:t>.</w:t>
            </w:r>
            <w:r w:rsidR="005E1941" w:rsidRPr="001033CF">
              <w:rPr>
                <w:rFonts w:asciiTheme="minorHAnsi" w:hAnsiTheme="minorHAnsi" w:cstheme="minorHAnsi"/>
                <w:color w:val="000000"/>
                <w:sz w:val="18"/>
                <w:szCs w:val="18"/>
              </w:rPr>
              <w:t>V</w:t>
            </w:r>
            <w:r w:rsidR="00DA3E52"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 xml:space="preserve"> infusion (atezolizumab I</w:t>
            </w:r>
            <w:r w:rsidR="00DA3E52"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V</w:t>
            </w:r>
            <w:r w:rsidR="00DA3E52"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 is currently listed on the PBS. The PBAC’s recommendation for listing was based on, among other matters, its assessment that atezolizumab SC would be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to the lowest cost comparator. The PBAC advised the equi</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doses to be 1875</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/15</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atezolizumab SC = 1200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/20</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atezolizumab I</w:t>
            </w:r>
            <w:r w:rsidR="00DA3E52"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V</w:t>
            </w:r>
            <w:r w:rsidR="00DA3E52" w:rsidRPr="001033CF">
              <w:rPr>
                <w:rFonts w:asciiTheme="minorHAnsi" w:hAnsiTheme="minorHAnsi" w:cstheme="minorHAnsi"/>
                <w:color w:val="000000"/>
                <w:sz w:val="18"/>
                <w:szCs w:val="18"/>
              </w:rPr>
              <w:t>.</w:t>
            </w:r>
          </w:p>
        </w:tc>
      </w:tr>
      <w:tr w:rsidR="00587746" w:rsidRPr="008059F4" w14:paraId="4B53762F"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25A673B" w14:textId="5E9C007F" w:rsidR="00A9462F" w:rsidRDefault="00587746" w:rsidP="00587746">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AVACOPAN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10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Tavneos</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SEQIRUS (AUSTRALIA) PTY LTD</w:t>
            </w:r>
            <w:r w:rsidRPr="00B0619C">
              <w:rPr>
                <w:rFonts w:asciiTheme="minorHAnsi" w:hAnsiTheme="minorHAnsi" w:cstheme="minorHAnsi"/>
                <w:color w:val="000000"/>
                <w:sz w:val="18"/>
                <w:szCs w:val="18"/>
              </w:rPr>
              <w:br/>
            </w:r>
          </w:p>
          <w:p w14:paraId="67AE6A9E" w14:textId="42E58599" w:rsidR="00587746" w:rsidRPr="00B0619C" w:rsidRDefault="00A9462F" w:rsidP="00587746">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00587746"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93D2497" w14:textId="0D6B81DF" w:rsidR="00587746" w:rsidRPr="00B0619C" w:rsidRDefault="00587746" w:rsidP="00587746">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Granulomatosis with polyangiitis (GPA) and microscopic polyangiitis (MPA)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B16BA1" w14:textId="22AD46FD" w:rsidR="00587746" w:rsidRPr="00B0619C" w:rsidRDefault="00587746" w:rsidP="00587746">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(STREAMLINED) listing for treatment of severe active GPA and severe active MPA in combination with rituximab or cyclophosphamide.</w:t>
            </w:r>
          </w:p>
        </w:tc>
        <w:tc>
          <w:tcPr>
            <w:tcW w:w="1584" w:type="dxa"/>
            <w:shd w:val="clear" w:color="auto" w:fill="auto"/>
            <w:vAlign w:val="center"/>
          </w:tcPr>
          <w:p w14:paraId="167AD0DD" w14:textId="638D2B7E" w:rsidR="00587746" w:rsidRPr="001033CF" w:rsidRDefault="00BE1359" w:rsidP="00587746">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0AB6BCE" w14:textId="07632D23" w:rsidR="00587746" w:rsidRPr="001033CF" w:rsidRDefault="00C835B6"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avacopan for induction therapy for the treatment of severe active GPA and severe active MPA in combination with a regimen of rituximab or cyclophosphamide. The PBAC acknowledged there was a clinical need for treatments that can be used to reduce exposure to glucocorticoids (GC) in this condition and considered avacopan provided a benefit in reducing GC use along with potential improvements in renal outcomes for patients at high risk of organ damage. Noting the changes to the economic model and the price</w:t>
            </w:r>
            <w:r w:rsidR="006E559F"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offered in the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PBAC response</w:t>
            </w:r>
            <w:r w:rsidR="004C4BB6">
              <w:rPr>
                <w:rFonts w:asciiTheme="minorHAnsi" w:hAnsiTheme="minorHAnsi" w:cstheme="minorHAnsi"/>
                <w:color w:val="000000"/>
                <w:sz w:val="18"/>
                <w:szCs w:val="18"/>
              </w:rPr>
              <w:t>,</w:t>
            </w:r>
            <w:r w:rsidRPr="001033CF">
              <w:rPr>
                <w:rFonts w:asciiTheme="minorHAnsi" w:hAnsiTheme="minorHAnsi" w:cstheme="minorHAnsi"/>
                <w:color w:val="000000"/>
                <w:sz w:val="18"/>
                <w:szCs w:val="18"/>
              </w:rPr>
              <w:t xml:space="preserve"> the PBAC considered the resulting incremental </w:t>
            </w:r>
            <w:r w:rsidR="00112358" w:rsidRPr="001033CF">
              <w:rPr>
                <w:rFonts w:asciiTheme="minorHAnsi" w:hAnsiTheme="minorHAnsi" w:cstheme="minorHAnsi"/>
                <w:color w:val="000000"/>
                <w:sz w:val="18"/>
                <w:szCs w:val="18"/>
              </w:rPr>
              <w:t>cost</w:t>
            </w:r>
            <w:r w:rsidR="00112358" w:rsidRPr="001033CF">
              <w:rPr>
                <w:rFonts w:asciiTheme="minorHAnsi" w:hAnsiTheme="minorHAnsi" w:cstheme="minorHAnsi"/>
                <w:color w:val="000000"/>
                <w:sz w:val="18"/>
                <w:szCs w:val="18"/>
              </w:rPr>
              <w:noBreakHyphen/>
              <w:t>effect</w:t>
            </w:r>
            <w:r w:rsidRPr="001033CF">
              <w:rPr>
                <w:rFonts w:asciiTheme="minorHAnsi" w:hAnsiTheme="minorHAnsi" w:cstheme="minorHAnsi"/>
                <w:color w:val="000000"/>
                <w:sz w:val="18"/>
                <w:szCs w:val="18"/>
              </w:rPr>
              <w:t>iveness ratio high but acceptable given the clinical need. The PBAC did not accept the resubmissions financial estimates but instead advised that the July 2023 submission financial estimates would be reasonable with appropriate amendments.</w:t>
            </w:r>
          </w:p>
        </w:tc>
      </w:tr>
      <w:tr w:rsidR="004D59A5" w:rsidRPr="008059F4" w14:paraId="07A41AC1"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969BF61" w14:textId="4923203F" w:rsidR="00A9462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BECLOMETASONE WITH FORMOTEROL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Pressurised inhalation containing beclometasone dipropionate 100</w:t>
            </w:r>
            <w:r w:rsidR="00C835B6"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micrograms and formoterol fumarate dihydrate 6</w:t>
            </w:r>
            <w:r w:rsidR="00C835B6"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micrograms per dose,120</w:t>
            </w:r>
            <w:r w:rsidR="00C835B6"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dose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Fostair</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CHIESI AUSTRALIA PTY LTD</w:t>
            </w:r>
            <w:r w:rsidRPr="00B0619C">
              <w:rPr>
                <w:rFonts w:asciiTheme="minorHAnsi" w:hAnsiTheme="minorHAnsi" w:cstheme="minorHAnsi"/>
                <w:color w:val="000000"/>
                <w:sz w:val="18"/>
                <w:szCs w:val="18"/>
              </w:rPr>
              <w:br/>
            </w:r>
          </w:p>
          <w:p w14:paraId="28027A6D" w14:textId="39DF8103" w:rsidR="004D59A5" w:rsidRPr="00B0619C" w:rsidRDefault="00A9462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21F778D" w14:textId="01562D76"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Asthma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C3A086F" w14:textId="635044E5"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Authority Required (STREAMLINED) listing as a maintenance and reliever treatment </w:t>
            </w:r>
            <w:r w:rsidR="00FE324D">
              <w:rPr>
                <w:rFonts w:asciiTheme="minorHAnsi" w:hAnsiTheme="minorHAnsi" w:cstheme="minorHAnsi"/>
                <w:color w:val="000000"/>
                <w:sz w:val="18"/>
                <w:szCs w:val="18"/>
              </w:rPr>
              <w:t xml:space="preserve">(MART) </w:t>
            </w:r>
            <w:r w:rsidRPr="00B0619C">
              <w:rPr>
                <w:rFonts w:asciiTheme="minorHAnsi" w:hAnsiTheme="minorHAnsi" w:cstheme="minorHAnsi"/>
                <w:color w:val="000000"/>
                <w:sz w:val="18"/>
                <w:szCs w:val="18"/>
              </w:rPr>
              <w:t xml:space="preserve">for asthma. </w:t>
            </w:r>
          </w:p>
        </w:tc>
        <w:tc>
          <w:tcPr>
            <w:tcW w:w="1584" w:type="dxa"/>
            <w:shd w:val="clear" w:color="auto" w:fill="auto"/>
            <w:vAlign w:val="center"/>
          </w:tcPr>
          <w:p w14:paraId="2962443F" w14:textId="6ECD3570"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9E0FF04" w14:textId="5591F69A" w:rsidR="004D59A5" w:rsidRPr="001033CF" w:rsidRDefault="008C3B84"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the fixed dose combination (FDC) of beclometasone 100 µg with formoterol 6 µg (BEC/FOR 100/6) as MART for asthma. The PBAC considered the indirect treatment comparison presented in the submission addressed its July 2020 concerns regarding the adequacy of the data presented for MART. The PBAC’s recommendation for listing for this indication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BEC/FOR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against the lowest price combination of PBS listed inhaled corticosteroid with long</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acting beta2 agonist FDC therapy or combination of the individual components that are available for MART at comparable doses.</w:t>
            </w:r>
          </w:p>
        </w:tc>
      </w:tr>
      <w:tr w:rsidR="004D59A5" w:rsidRPr="008059F4" w14:paraId="5854B770"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A789746" w14:textId="03E386B2" w:rsidR="00A9462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BEVACIZUMAB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I.V. infusion 100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t>Solution for I.V. infusion 400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16</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Vegzelma</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CELLTRION HEALTHCARE AUSTRALIA PTY LTD</w:t>
            </w:r>
            <w:r w:rsidRPr="00B0619C">
              <w:rPr>
                <w:rFonts w:asciiTheme="minorHAnsi" w:hAnsiTheme="minorHAnsi" w:cstheme="minorHAnsi"/>
                <w:color w:val="000000"/>
                <w:sz w:val="18"/>
                <w:szCs w:val="18"/>
              </w:rPr>
              <w:br/>
            </w:r>
          </w:p>
          <w:p w14:paraId="5572F036" w14:textId="5EA3B499" w:rsidR="004D59A5" w:rsidRPr="00B0619C" w:rsidRDefault="00A9462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57637A3" w14:textId="7F147A0A"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Cancers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34130E6" w14:textId="562191C6"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Section 100 (Efficient Funding of Chemotherapy) Unrestricted Benefit listing of </w:t>
            </w:r>
            <w:proofErr w:type="spellStart"/>
            <w:r w:rsidRPr="00B0619C">
              <w:rPr>
                <w:rFonts w:asciiTheme="minorHAnsi" w:hAnsiTheme="minorHAnsi" w:cstheme="minorHAnsi"/>
                <w:color w:val="000000"/>
                <w:sz w:val="18"/>
                <w:szCs w:val="18"/>
              </w:rPr>
              <w:t>Vegzelma</w:t>
            </w:r>
            <w:proofErr w:type="spellEnd"/>
            <w:r w:rsidRPr="00B0619C">
              <w:rPr>
                <w:rFonts w:asciiTheme="minorHAnsi" w:hAnsiTheme="minorHAnsi" w:cstheme="minorHAnsi"/>
                <w:color w:val="000000"/>
                <w:sz w:val="18"/>
                <w:szCs w:val="18"/>
              </w:rPr>
              <w:t xml:space="preserve"> under the same conditions as the PBS</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listed bevacizumab biosimilars.</w:t>
            </w:r>
          </w:p>
        </w:tc>
        <w:tc>
          <w:tcPr>
            <w:tcW w:w="1584" w:type="dxa"/>
            <w:shd w:val="clear" w:color="auto" w:fill="auto"/>
            <w:vAlign w:val="center"/>
          </w:tcPr>
          <w:p w14:paraId="46FDA260" w14:textId="44B5523A"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B4B06E8" w14:textId="72481054" w:rsidR="004D59A5" w:rsidRPr="001033CF" w:rsidRDefault="008C3B84"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a new biosimilar brand of bevacizumab (</w:t>
            </w:r>
            <w:proofErr w:type="spellStart"/>
            <w:r w:rsidRPr="001033CF">
              <w:rPr>
                <w:rFonts w:asciiTheme="minorHAnsi" w:hAnsiTheme="minorHAnsi" w:cstheme="minorHAnsi"/>
                <w:color w:val="000000"/>
                <w:sz w:val="18"/>
                <w:szCs w:val="18"/>
              </w:rPr>
              <w:t>Vegzelma</w:t>
            </w:r>
            <w:proofErr w:type="spellEnd"/>
            <w:r w:rsidRPr="001033CF">
              <w:rPr>
                <w:rFonts w:asciiTheme="minorHAnsi" w:hAnsiTheme="minorHAnsi" w:cstheme="minorHAnsi"/>
                <w:color w:val="000000"/>
                <w:sz w:val="18"/>
                <w:szCs w:val="18"/>
              </w:rPr>
              <w:t>) in the form of solution for I.V. infusion 100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4</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and 400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16</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under the same circumstances as the PBS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listed biosimilar brands of bevacizumab (</w:t>
            </w:r>
            <w:proofErr w:type="spellStart"/>
            <w:r w:rsidRPr="001033CF">
              <w:rPr>
                <w:rFonts w:asciiTheme="minorHAnsi" w:hAnsiTheme="minorHAnsi" w:cstheme="minorHAnsi"/>
                <w:color w:val="000000"/>
                <w:sz w:val="18"/>
                <w:szCs w:val="18"/>
              </w:rPr>
              <w:t>Abevmy</w:t>
            </w:r>
            <w:proofErr w:type="spellEnd"/>
            <w:r w:rsidRPr="001033CF">
              <w:rPr>
                <w:rFonts w:asciiTheme="minorHAnsi" w:hAnsiTheme="minorHAnsi" w:cstheme="minorHAnsi"/>
                <w:color w:val="000000"/>
                <w:sz w:val="18"/>
                <w:szCs w:val="18"/>
              </w:rPr>
              <w:t xml:space="preserve">®, </w:t>
            </w:r>
            <w:proofErr w:type="spellStart"/>
            <w:r w:rsidRPr="001033CF">
              <w:rPr>
                <w:rFonts w:asciiTheme="minorHAnsi" w:hAnsiTheme="minorHAnsi" w:cstheme="minorHAnsi"/>
                <w:color w:val="000000"/>
                <w:sz w:val="18"/>
                <w:szCs w:val="18"/>
              </w:rPr>
              <w:t>Bevaciptin</w:t>
            </w:r>
            <w:proofErr w:type="spellEnd"/>
            <w:r w:rsidRPr="001033CF">
              <w:rPr>
                <w:rFonts w:asciiTheme="minorHAnsi" w:hAnsiTheme="minorHAnsi" w:cstheme="minorHAnsi"/>
                <w:color w:val="000000"/>
                <w:sz w:val="18"/>
                <w:szCs w:val="18"/>
              </w:rPr>
              <w:t xml:space="preserve">®, </w:t>
            </w:r>
            <w:proofErr w:type="spellStart"/>
            <w:r w:rsidRPr="001033CF">
              <w:rPr>
                <w:rFonts w:asciiTheme="minorHAnsi" w:hAnsiTheme="minorHAnsi" w:cstheme="minorHAnsi"/>
                <w:color w:val="000000"/>
                <w:sz w:val="18"/>
                <w:szCs w:val="18"/>
              </w:rPr>
              <w:t>Mvasi</w:t>
            </w:r>
            <w:proofErr w:type="spellEnd"/>
            <w:r w:rsidRPr="001033CF">
              <w:rPr>
                <w:rFonts w:asciiTheme="minorHAnsi" w:hAnsiTheme="minorHAnsi" w:cstheme="minorHAnsi"/>
                <w:color w:val="000000"/>
                <w:sz w:val="18"/>
                <w:szCs w:val="18"/>
              </w:rPr>
              <w:t>®) on a cost</w:t>
            </w:r>
            <w:r w:rsidR="00DA3E52"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minimisation basis. The PBAC </w:t>
            </w:r>
            <w:r w:rsidR="00DA3E52" w:rsidRPr="001033CF">
              <w:rPr>
                <w:rFonts w:asciiTheme="minorHAnsi" w:hAnsiTheme="minorHAnsi" w:cstheme="minorHAnsi"/>
                <w:color w:val="000000"/>
                <w:sz w:val="18"/>
                <w:szCs w:val="18"/>
              </w:rPr>
              <w:t xml:space="preserve">advised </w:t>
            </w:r>
            <w:r w:rsidRPr="001033CF">
              <w:rPr>
                <w:rFonts w:asciiTheme="minorHAnsi" w:hAnsiTheme="minorHAnsi" w:cstheme="minorHAnsi"/>
                <w:color w:val="000000"/>
                <w:sz w:val="18"/>
                <w:szCs w:val="18"/>
              </w:rPr>
              <w:t>the equi</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doses were 1</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of </w:t>
            </w:r>
            <w:proofErr w:type="spellStart"/>
            <w:r w:rsidRPr="001033CF">
              <w:rPr>
                <w:rFonts w:asciiTheme="minorHAnsi" w:hAnsiTheme="minorHAnsi" w:cstheme="minorHAnsi"/>
                <w:color w:val="000000"/>
                <w:sz w:val="18"/>
                <w:szCs w:val="18"/>
              </w:rPr>
              <w:t>Vegzelma</w:t>
            </w:r>
            <w:proofErr w:type="spellEnd"/>
            <w:r w:rsidRPr="001033CF">
              <w:rPr>
                <w:rFonts w:asciiTheme="minorHAnsi" w:hAnsiTheme="minorHAnsi" w:cstheme="minorHAnsi"/>
                <w:color w:val="000000"/>
                <w:sz w:val="18"/>
                <w:szCs w:val="18"/>
              </w:rPr>
              <w:t xml:space="preserve"> for 1</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of Avastin (and of the other PBS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listed brands of bevacizumab). The PBAC considered that the listing of </w:t>
            </w:r>
            <w:proofErr w:type="spellStart"/>
            <w:r w:rsidRPr="001033CF">
              <w:rPr>
                <w:rFonts w:asciiTheme="minorHAnsi" w:hAnsiTheme="minorHAnsi" w:cstheme="minorHAnsi"/>
                <w:color w:val="000000"/>
                <w:sz w:val="18"/>
                <w:szCs w:val="18"/>
              </w:rPr>
              <w:t>Vegzelma</w:t>
            </w:r>
            <w:proofErr w:type="spellEnd"/>
            <w:r w:rsidRPr="001033CF">
              <w:rPr>
                <w:rFonts w:asciiTheme="minorHAnsi" w:hAnsiTheme="minorHAnsi" w:cstheme="minorHAnsi"/>
                <w:color w:val="000000"/>
                <w:sz w:val="18"/>
                <w:szCs w:val="18"/>
              </w:rPr>
              <w:t xml:space="preserve"> on the PBS is not expected to increase the overall use of bevacizumab on the PBS as it is expected that </w:t>
            </w:r>
            <w:proofErr w:type="spellStart"/>
            <w:r w:rsidRPr="001033CF">
              <w:rPr>
                <w:rFonts w:asciiTheme="minorHAnsi" w:hAnsiTheme="minorHAnsi" w:cstheme="minorHAnsi"/>
                <w:color w:val="000000"/>
                <w:sz w:val="18"/>
                <w:szCs w:val="18"/>
              </w:rPr>
              <w:t>Vegzelma</w:t>
            </w:r>
            <w:proofErr w:type="spellEnd"/>
            <w:r w:rsidRPr="001033CF">
              <w:rPr>
                <w:rFonts w:asciiTheme="minorHAnsi" w:hAnsiTheme="minorHAnsi" w:cstheme="minorHAnsi"/>
                <w:color w:val="000000"/>
                <w:sz w:val="18"/>
                <w:szCs w:val="18"/>
              </w:rPr>
              <w:t xml:space="preserve"> would substitute for the other brands of PBS listed bevacizumab. The PBAC therefore considered that the estimated net cost to the PBS/RPBS would be nil.</w:t>
            </w:r>
          </w:p>
        </w:tc>
      </w:tr>
      <w:tr w:rsidR="004D59A5" w:rsidRPr="008059F4" w14:paraId="73275407" w14:textId="77777777" w:rsidTr="6706DB5C">
        <w:trPr>
          <w:trHeight w:val="646"/>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7E0271B" w14:textId="2BB04883" w:rsidR="00A9462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BIMEKIZUMAB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Bimzelx</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UCB AUSTRALIA PROPRIETARY LIMITED</w:t>
            </w:r>
            <w:r w:rsidRPr="00B0619C">
              <w:rPr>
                <w:rFonts w:asciiTheme="minorHAnsi" w:hAnsiTheme="minorHAnsi" w:cstheme="minorHAnsi"/>
                <w:color w:val="000000"/>
                <w:sz w:val="18"/>
                <w:szCs w:val="18"/>
              </w:rPr>
              <w:br/>
            </w:r>
          </w:p>
          <w:p w14:paraId="3FB2DC84" w14:textId="04DC5799" w:rsidR="004D59A5" w:rsidRPr="00B0619C" w:rsidRDefault="00A9462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BC27836" w14:textId="62298FEF"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Psoriatic arthritis (PsA)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E8A9BA9" w14:textId="24397304"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PsA.</w:t>
            </w:r>
          </w:p>
        </w:tc>
        <w:tc>
          <w:tcPr>
            <w:tcW w:w="1584" w:type="dxa"/>
            <w:shd w:val="clear" w:color="auto" w:fill="auto"/>
            <w:vAlign w:val="center"/>
          </w:tcPr>
          <w:p w14:paraId="26829FC0" w14:textId="22B92BF6"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7C375E3D" w14:textId="0E63CE1A" w:rsidR="004D59A5" w:rsidRPr="001033CF" w:rsidRDefault="0023053A"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listing of bimekizumab for the treatment of severe PsA. The PBAC's recommendation for listing was based on, among other matters, its assessment that the </w:t>
            </w:r>
            <w:r w:rsidR="00112358" w:rsidRPr="001033CF">
              <w:rPr>
                <w:rFonts w:asciiTheme="minorHAnsi" w:hAnsiTheme="minorHAnsi" w:cstheme="minorHAnsi"/>
                <w:color w:val="000000"/>
                <w:sz w:val="18"/>
                <w:szCs w:val="18"/>
              </w:rPr>
              <w:t>cost</w:t>
            </w:r>
            <w:r w:rsidR="00112358" w:rsidRPr="001033CF">
              <w:rPr>
                <w:rFonts w:asciiTheme="minorHAnsi" w:hAnsiTheme="minorHAnsi" w:cstheme="minorHAnsi"/>
                <w:color w:val="000000"/>
                <w:sz w:val="18"/>
                <w:szCs w:val="18"/>
              </w:rPr>
              <w:noBreakHyphen/>
              <w:t>effect</w:t>
            </w:r>
            <w:r w:rsidRPr="001033CF">
              <w:rPr>
                <w:rFonts w:asciiTheme="minorHAnsi" w:hAnsiTheme="minorHAnsi" w:cstheme="minorHAnsi"/>
                <w:color w:val="000000"/>
                <w:sz w:val="18"/>
                <w:szCs w:val="18"/>
              </w:rPr>
              <w:t xml:space="preserve">iveness of bimekizumab would be acceptable if it were </w:t>
            </w:r>
            <w:r w:rsidR="00DA3E52" w:rsidRPr="001033CF">
              <w:rPr>
                <w:rFonts w:asciiTheme="minorHAnsi" w:hAnsiTheme="minorHAnsi" w:cstheme="minorHAnsi"/>
                <w:color w:val="000000"/>
                <w:sz w:val="18"/>
                <w:szCs w:val="18"/>
              </w:rPr>
              <w:t>cost</w:t>
            </w:r>
            <w:r w:rsidR="00DA3E52"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to the least costly alternative biologic or targeted synthetic disease modifying anti</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rheumatic drug (b/tsDMARD) for the treatment of PsA. The PBAC noted the alternative therapies included adalimumab, certolizumab pegol, etanercept, golimumab, guselkumab, infliximab, ixekizumab, secukinumab, tofacitinib, upadacitinib and ustekinumab. The Committee noted the flow</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on changes to other PsA b/tsDMARD listings to include bimekizumab in the list of eligible therapies.</w:t>
            </w:r>
            <w:r w:rsidR="00392A6F" w:rsidRPr="001033CF">
              <w:rPr>
                <w:rFonts w:asciiTheme="minorHAnsi" w:hAnsiTheme="minorHAnsi" w:cstheme="minorHAnsi"/>
                <w:color w:val="000000"/>
                <w:sz w:val="18"/>
                <w:szCs w:val="18"/>
              </w:rPr>
              <w:t xml:space="preserve"> </w:t>
            </w:r>
            <w:r w:rsidR="00392A6F" w:rsidRPr="001033CF">
              <w:rPr>
                <w:rFonts w:asciiTheme="minorHAnsi" w:hAnsiTheme="minorHAnsi" w:cstheme="minorHAnsi"/>
                <w:sz w:val="18"/>
                <w:szCs w:val="18"/>
              </w:rPr>
              <w:t>The PBAC advised the equi</w:t>
            </w:r>
            <w:r w:rsidR="00392A6F" w:rsidRPr="001033CF">
              <w:rPr>
                <w:rFonts w:asciiTheme="minorHAnsi" w:hAnsiTheme="minorHAnsi" w:cstheme="minorHAnsi"/>
                <w:sz w:val="18"/>
                <w:szCs w:val="18"/>
              </w:rPr>
              <w:noBreakHyphen/>
              <w:t xml:space="preserve">effective doses were: </w:t>
            </w:r>
            <w:r w:rsidR="003E731F" w:rsidRPr="001033CF">
              <w:rPr>
                <w:rFonts w:asciiTheme="minorHAnsi" w:hAnsiTheme="minorHAnsi" w:cstheme="minorHAnsi"/>
                <w:color w:val="000000"/>
                <w:sz w:val="18"/>
                <w:szCs w:val="18"/>
              </w:rPr>
              <w:t>bimekizumab</w:t>
            </w:r>
            <w:r w:rsidR="00392A6F" w:rsidRPr="001033CF">
              <w:rPr>
                <w:rFonts w:asciiTheme="minorHAnsi" w:hAnsiTheme="minorHAnsi" w:cstheme="minorHAnsi"/>
                <w:color w:val="000000"/>
                <w:sz w:val="18"/>
                <w:szCs w:val="18"/>
              </w:rPr>
              <w:t xml:space="preserve"> 160 mg subcutaneous injection every four weeks = </w:t>
            </w:r>
            <w:r w:rsidR="003E731F" w:rsidRPr="001033CF">
              <w:rPr>
                <w:rFonts w:asciiTheme="minorHAnsi" w:hAnsiTheme="minorHAnsi" w:cstheme="minorHAnsi"/>
                <w:color w:val="000000"/>
                <w:sz w:val="18"/>
                <w:szCs w:val="18"/>
              </w:rPr>
              <w:t>ixekizumab</w:t>
            </w:r>
            <w:r w:rsidR="00392A6F" w:rsidRPr="001033CF">
              <w:rPr>
                <w:rFonts w:asciiTheme="minorHAnsi" w:hAnsiTheme="minorHAnsi" w:cstheme="minorHAnsi"/>
                <w:color w:val="000000"/>
                <w:sz w:val="18"/>
                <w:szCs w:val="18"/>
              </w:rPr>
              <w:t xml:space="preserve"> 160 mg subcutaneous injection at Week 0 then 80 mg subcutaneous injection every four week </w:t>
            </w:r>
            <w:r w:rsidR="00392A6F" w:rsidRPr="001033CF">
              <w:rPr>
                <w:rFonts w:asciiTheme="minorHAnsi" w:hAnsiTheme="minorHAnsi" w:cstheme="minorHAnsi"/>
                <w:sz w:val="18"/>
                <w:szCs w:val="18"/>
              </w:rPr>
              <w:t>and doses of alternative b/tsDMARDs derived from the relevant Product Information documents.</w:t>
            </w:r>
          </w:p>
        </w:tc>
      </w:tr>
      <w:tr w:rsidR="004D59A5" w:rsidRPr="008059F4" w14:paraId="52D48790"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A62A6C" w14:textId="17B26B99" w:rsidR="00A9462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BIMEKIZUMAB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Bimzelx</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UCB AUSTRALIA PROPRIETARY LIMITED</w:t>
            </w:r>
            <w:r w:rsidRPr="00B0619C">
              <w:rPr>
                <w:rFonts w:asciiTheme="minorHAnsi" w:hAnsiTheme="minorHAnsi" w:cstheme="minorHAnsi"/>
                <w:color w:val="000000"/>
                <w:sz w:val="18"/>
                <w:szCs w:val="18"/>
              </w:rPr>
              <w:br/>
            </w:r>
          </w:p>
          <w:p w14:paraId="217B86A0" w14:textId="4C440A85" w:rsidR="004D59A5" w:rsidRPr="00B0619C" w:rsidRDefault="00A9462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AE86019" w14:textId="7FA2E4B2"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Ankylosing spondylitis (AS)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FBB6CDB" w14:textId="272C87FD"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AS.</w:t>
            </w:r>
          </w:p>
        </w:tc>
        <w:tc>
          <w:tcPr>
            <w:tcW w:w="1584" w:type="dxa"/>
            <w:shd w:val="clear" w:color="auto" w:fill="auto"/>
            <w:vAlign w:val="center"/>
          </w:tcPr>
          <w:p w14:paraId="344BFC3B" w14:textId="19FF8757"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621821C6" w14:textId="1A052B65" w:rsidR="004D59A5" w:rsidRPr="001033CF" w:rsidRDefault="0023053A" w:rsidP="001033CF">
            <w:pPr>
              <w:jc w:val="both"/>
              <w:rPr>
                <w:rFonts w:asciiTheme="minorHAnsi" w:hAnsiTheme="minorHAnsi" w:cstheme="minorHAnsi"/>
                <w:sz w:val="18"/>
                <w:szCs w:val="18"/>
              </w:rPr>
            </w:pPr>
            <w:r w:rsidRPr="001033CF">
              <w:rPr>
                <w:rFonts w:asciiTheme="minorHAnsi" w:hAnsiTheme="minorHAnsi" w:cstheme="minorHAnsi"/>
                <w:sz w:val="18"/>
                <w:szCs w:val="18"/>
              </w:rPr>
              <w:t xml:space="preserve">The PBAC recommended the listing of bimekizumab for the treatment of AS. The PBAC’s recommendation was based on, among other matters, its assessment the </w:t>
            </w:r>
            <w:r w:rsidR="00112358" w:rsidRPr="001033CF">
              <w:rPr>
                <w:rFonts w:asciiTheme="minorHAnsi" w:hAnsiTheme="minorHAnsi" w:cstheme="minorHAnsi"/>
                <w:sz w:val="18"/>
                <w:szCs w:val="18"/>
              </w:rPr>
              <w:t>cost</w:t>
            </w:r>
            <w:r w:rsidR="00112358" w:rsidRPr="001033CF">
              <w:rPr>
                <w:rFonts w:asciiTheme="minorHAnsi" w:hAnsiTheme="minorHAnsi" w:cstheme="minorHAnsi"/>
                <w:sz w:val="18"/>
                <w:szCs w:val="18"/>
              </w:rPr>
              <w:noBreakHyphen/>
              <w:t>effect</w:t>
            </w:r>
            <w:r w:rsidRPr="001033CF">
              <w:rPr>
                <w:rFonts w:asciiTheme="minorHAnsi" w:hAnsiTheme="minorHAnsi" w:cstheme="minorHAnsi"/>
                <w:sz w:val="18"/>
                <w:szCs w:val="18"/>
              </w:rPr>
              <w:t xml:space="preserve">iveness of bimekizumab would be acceptable if it were </w:t>
            </w:r>
            <w:r w:rsidR="00DA3E52" w:rsidRPr="001033CF">
              <w:rPr>
                <w:rFonts w:asciiTheme="minorHAnsi" w:hAnsiTheme="minorHAnsi" w:cstheme="minorHAnsi"/>
                <w:sz w:val="18"/>
                <w:szCs w:val="18"/>
              </w:rPr>
              <w:t>cost</w:t>
            </w:r>
            <w:r w:rsidR="00DA3E52" w:rsidRPr="001033CF">
              <w:rPr>
                <w:rFonts w:asciiTheme="minorHAnsi" w:hAnsiTheme="minorHAnsi" w:cstheme="minorHAnsi"/>
                <w:sz w:val="18"/>
                <w:szCs w:val="18"/>
              </w:rPr>
              <w:noBreakHyphen/>
              <w:t>minimis</w:t>
            </w:r>
            <w:r w:rsidRPr="001033CF">
              <w:rPr>
                <w:rFonts w:asciiTheme="minorHAnsi" w:hAnsiTheme="minorHAnsi" w:cstheme="minorHAnsi"/>
                <w:sz w:val="18"/>
                <w:szCs w:val="18"/>
              </w:rPr>
              <w:t>ed to the least costly alternative therapy of adalimumab, etanercept, infliximab, golimumab, certolizumab pegol, ixekizumab, secukinumab, tofacitinib and upadacitinib. The PBAC noted the flow</w:t>
            </w:r>
            <w:r w:rsidR="001165DD" w:rsidRPr="001033CF">
              <w:rPr>
                <w:rFonts w:asciiTheme="minorHAnsi" w:hAnsiTheme="minorHAnsi" w:cstheme="minorHAnsi"/>
                <w:sz w:val="18"/>
                <w:szCs w:val="18"/>
              </w:rPr>
              <w:noBreakHyphen/>
            </w:r>
            <w:r w:rsidRPr="001033CF">
              <w:rPr>
                <w:rFonts w:asciiTheme="minorHAnsi" w:hAnsiTheme="minorHAnsi" w:cstheme="minorHAnsi"/>
                <w:sz w:val="18"/>
                <w:szCs w:val="18"/>
              </w:rPr>
              <w:t xml:space="preserve">on changes to other AS listings to include bimekizumab in the list of eligible therapies. </w:t>
            </w:r>
            <w:r w:rsidR="006B35F1" w:rsidRPr="001033CF">
              <w:rPr>
                <w:rFonts w:asciiTheme="minorHAnsi" w:hAnsiTheme="minorHAnsi" w:cstheme="minorHAnsi"/>
                <w:sz w:val="18"/>
                <w:szCs w:val="18"/>
              </w:rPr>
              <w:t>The PBAC advised the equi</w:t>
            </w:r>
            <w:r w:rsidR="006B35F1" w:rsidRPr="001033CF">
              <w:rPr>
                <w:rFonts w:asciiTheme="minorHAnsi" w:hAnsiTheme="minorHAnsi" w:cstheme="minorHAnsi"/>
                <w:sz w:val="18"/>
                <w:szCs w:val="18"/>
              </w:rPr>
              <w:noBreakHyphen/>
              <w:t xml:space="preserve">effective doses were: </w:t>
            </w:r>
            <w:r w:rsidR="00F720A0" w:rsidRPr="001033CF">
              <w:rPr>
                <w:rFonts w:asciiTheme="minorHAnsi" w:hAnsiTheme="minorHAnsi" w:cstheme="minorHAnsi"/>
                <w:sz w:val="18"/>
                <w:szCs w:val="18"/>
              </w:rPr>
              <w:t>bimekizumab</w:t>
            </w:r>
            <w:r w:rsidR="006B35F1" w:rsidRPr="001033CF">
              <w:rPr>
                <w:rFonts w:asciiTheme="minorHAnsi" w:hAnsiTheme="minorHAnsi" w:cstheme="minorHAnsi"/>
                <w:color w:val="000000"/>
                <w:sz w:val="18"/>
                <w:szCs w:val="18"/>
              </w:rPr>
              <w:t xml:space="preserve"> 160 mg every 4 weeks = </w:t>
            </w:r>
            <w:r w:rsidR="00F720A0" w:rsidRPr="001033CF">
              <w:rPr>
                <w:rFonts w:asciiTheme="minorHAnsi" w:hAnsiTheme="minorHAnsi" w:cstheme="minorHAnsi"/>
                <w:sz w:val="18"/>
                <w:szCs w:val="18"/>
              </w:rPr>
              <w:t>secukinumab</w:t>
            </w:r>
            <w:r w:rsidR="006B35F1" w:rsidRPr="001033CF">
              <w:rPr>
                <w:rFonts w:asciiTheme="minorHAnsi" w:hAnsiTheme="minorHAnsi" w:cstheme="minorHAnsi"/>
                <w:sz w:val="18"/>
                <w:szCs w:val="18"/>
              </w:rPr>
              <w:t xml:space="preserve"> 150 mg at weeks 0,1,2,3 and 4 then every 4 weeks and doses of alternative b/tsDMARDs derived from the relevant Product Information documents.</w:t>
            </w:r>
          </w:p>
        </w:tc>
      </w:tr>
      <w:tr w:rsidR="004D59A5" w:rsidRPr="008059F4" w14:paraId="211AD65F"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56F6EE" w14:textId="74A6F1E4" w:rsidR="00A9462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BIMEKIZUMAB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Bimzelx</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UCB AUSTRALIA PROPRIETARY LIMITED</w:t>
            </w:r>
            <w:r w:rsidRPr="00B0619C">
              <w:rPr>
                <w:rFonts w:asciiTheme="minorHAnsi" w:hAnsiTheme="minorHAnsi" w:cstheme="minorHAnsi"/>
                <w:color w:val="000000"/>
                <w:sz w:val="18"/>
                <w:szCs w:val="18"/>
              </w:rPr>
              <w:br/>
            </w:r>
          </w:p>
          <w:p w14:paraId="53674C18" w14:textId="38D199D3" w:rsidR="004D59A5" w:rsidRPr="00B0619C" w:rsidRDefault="00CE32D8"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CDF0498" w14:textId="3B0C7EE7"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radi</w:t>
            </w:r>
            <w:r w:rsidR="00A9462F">
              <w:rPr>
                <w:rFonts w:asciiTheme="minorHAnsi" w:hAnsiTheme="minorHAnsi" w:cstheme="minorHAnsi"/>
                <w:color w:val="000000"/>
                <w:sz w:val="18"/>
                <w:szCs w:val="18"/>
              </w:rPr>
              <w:t>ographic</w:t>
            </w:r>
            <w:r w:rsidRPr="00B0619C">
              <w:rPr>
                <w:rFonts w:asciiTheme="minorHAnsi" w:hAnsiTheme="minorHAnsi" w:cstheme="minorHAnsi"/>
                <w:color w:val="000000"/>
                <w:sz w:val="18"/>
                <w:szCs w:val="18"/>
              </w:rPr>
              <w:t xml:space="preserve"> axial spondyloarthritis (nr</w:t>
            </w:r>
            <w:r w:rsidR="001165DD" w:rsidRPr="001165DD">
              <w:rPr>
                <w:rFonts w:asciiTheme="minorHAnsi" w:hAnsiTheme="minorHAnsi" w:cstheme="minorHAnsi"/>
                <w:color w:val="000000"/>
                <w:sz w:val="18"/>
                <w:szCs w:val="18"/>
              </w:rPr>
              <w:noBreakHyphen/>
            </w:r>
            <w:proofErr w:type="spellStart"/>
            <w:r w:rsidRPr="00B0619C">
              <w:rPr>
                <w:rFonts w:asciiTheme="minorHAnsi" w:hAnsiTheme="minorHAnsi" w:cstheme="minorHAnsi"/>
                <w:color w:val="000000"/>
                <w:sz w:val="18"/>
                <w:szCs w:val="18"/>
              </w:rPr>
              <w:t>axSpA</w:t>
            </w:r>
            <w:proofErr w:type="spellEnd"/>
            <w:r w:rsidRPr="00B0619C">
              <w:rPr>
                <w:rFonts w:asciiTheme="minorHAnsi" w:hAnsiTheme="minorHAnsi" w:cstheme="minorHAnsi"/>
                <w:color w:val="000000"/>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2C006D2" w14:textId="6247F6F4"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nr</w:t>
            </w:r>
            <w:r w:rsidR="001165DD" w:rsidRPr="001165DD">
              <w:rPr>
                <w:rFonts w:asciiTheme="minorHAnsi" w:hAnsiTheme="minorHAnsi" w:cstheme="minorHAnsi"/>
                <w:color w:val="000000"/>
                <w:sz w:val="18"/>
                <w:szCs w:val="18"/>
              </w:rPr>
              <w:noBreakHyphen/>
            </w:r>
            <w:proofErr w:type="spellStart"/>
            <w:r w:rsidRPr="00B0619C">
              <w:rPr>
                <w:rFonts w:asciiTheme="minorHAnsi" w:hAnsiTheme="minorHAnsi" w:cstheme="minorHAnsi"/>
                <w:color w:val="000000"/>
                <w:sz w:val="18"/>
                <w:szCs w:val="18"/>
              </w:rPr>
              <w:t>axSpA</w:t>
            </w:r>
            <w:proofErr w:type="spellEnd"/>
            <w:r w:rsidRPr="00B0619C">
              <w:rPr>
                <w:rFonts w:asciiTheme="minorHAnsi" w:hAnsiTheme="minorHAnsi" w:cstheme="minorHAnsi"/>
                <w:color w:val="000000"/>
                <w:sz w:val="18"/>
                <w:szCs w:val="18"/>
              </w:rPr>
              <w:t>.</w:t>
            </w:r>
          </w:p>
        </w:tc>
        <w:tc>
          <w:tcPr>
            <w:tcW w:w="1584" w:type="dxa"/>
            <w:shd w:val="clear" w:color="auto" w:fill="auto"/>
            <w:vAlign w:val="center"/>
          </w:tcPr>
          <w:p w14:paraId="2BD28AB2" w14:textId="3D9D7129"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471F916D" w14:textId="6D286573" w:rsidR="004D59A5" w:rsidRPr="001033CF" w:rsidRDefault="0023053A"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bimekizumab</w:t>
            </w:r>
            <w:r w:rsidR="006B35F1"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for the treatment of nr</w:t>
            </w:r>
            <w:r w:rsidR="001165DD" w:rsidRPr="001033CF">
              <w:rPr>
                <w:rFonts w:asciiTheme="minorHAnsi" w:hAnsiTheme="minorHAnsi" w:cstheme="minorHAnsi"/>
                <w:color w:val="000000"/>
                <w:sz w:val="18"/>
                <w:szCs w:val="18"/>
              </w:rPr>
              <w:noBreakHyphen/>
            </w:r>
            <w:proofErr w:type="spellStart"/>
            <w:r w:rsidRPr="001033CF">
              <w:rPr>
                <w:rFonts w:asciiTheme="minorHAnsi" w:hAnsiTheme="minorHAnsi" w:cstheme="minorHAnsi"/>
                <w:color w:val="000000"/>
                <w:sz w:val="18"/>
                <w:szCs w:val="18"/>
              </w:rPr>
              <w:t>axSpA</w:t>
            </w:r>
            <w:proofErr w:type="spellEnd"/>
            <w:r w:rsidRPr="001033CF">
              <w:rPr>
                <w:rFonts w:asciiTheme="minorHAnsi" w:hAnsiTheme="minorHAnsi" w:cstheme="minorHAnsi"/>
                <w:color w:val="000000"/>
                <w:sz w:val="18"/>
                <w:szCs w:val="18"/>
              </w:rPr>
              <w:t xml:space="preserve">. The PBAC’s recommendation was based on, among other matters, its assessment the </w:t>
            </w:r>
            <w:r w:rsidR="00112358" w:rsidRPr="001033CF">
              <w:rPr>
                <w:rFonts w:asciiTheme="minorHAnsi" w:hAnsiTheme="minorHAnsi" w:cstheme="minorHAnsi"/>
                <w:color w:val="000000"/>
                <w:sz w:val="18"/>
                <w:szCs w:val="18"/>
              </w:rPr>
              <w:t>cost</w:t>
            </w:r>
            <w:r w:rsidR="00112358" w:rsidRPr="001033CF">
              <w:rPr>
                <w:rFonts w:asciiTheme="minorHAnsi" w:hAnsiTheme="minorHAnsi" w:cstheme="minorHAnsi"/>
                <w:color w:val="000000"/>
                <w:sz w:val="18"/>
                <w:szCs w:val="18"/>
              </w:rPr>
              <w:noBreakHyphen/>
              <w:t>effect</w:t>
            </w:r>
            <w:r w:rsidRPr="001033CF">
              <w:rPr>
                <w:rFonts w:asciiTheme="minorHAnsi" w:hAnsiTheme="minorHAnsi" w:cstheme="minorHAnsi"/>
                <w:color w:val="000000"/>
                <w:sz w:val="18"/>
                <w:szCs w:val="18"/>
              </w:rPr>
              <w:t xml:space="preserve">iveness of bimekizumab would be acceptable if it were </w:t>
            </w:r>
            <w:r w:rsidR="00DA3E52" w:rsidRPr="001033CF">
              <w:rPr>
                <w:rFonts w:asciiTheme="minorHAnsi" w:hAnsiTheme="minorHAnsi" w:cstheme="minorHAnsi"/>
                <w:color w:val="000000"/>
                <w:sz w:val="18"/>
                <w:szCs w:val="18"/>
              </w:rPr>
              <w:t>cost</w:t>
            </w:r>
            <w:r w:rsidR="00DA3E52" w:rsidRPr="001033CF">
              <w:rPr>
                <w:rFonts w:asciiTheme="minorHAnsi" w:hAnsiTheme="minorHAnsi" w:cstheme="minorHAnsi"/>
                <w:color w:val="000000"/>
                <w:sz w:val="18"/>
                <w:szCs w:val="18"/>
              </w:rPr>
              <w:noBreakHyphen/>
              <w:t>minimis</w:t>
            </w:r>
            <w:r w:rsidRPr="001033CF">
              <w:rPr>
                <w:rFonts w:asciiTheme="minorHAnsi" w:hAnsiTheme="minorHAnsi" w:cstheme="minorHAnsi"/>
                <w:color w:val="000000"/>
                <w:sz w:val="18"/>
                <w:szCs w:val="18"/>
              </w:rPr>
              <w:t>ed to the least costly alternative of certolizumab pegol, golimumab, secukinumab or upadacitinib (as well as ixekizumab if listed on the PBS prior to the listing of bimekizumab). The Committee noted the flow</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on changes to other nr</w:t>
            </w:r>
            <w:r w:rsidR="001165DD" w:rsidRPr="001033CF">
              <w:rPr>
                <w:rFonts w:asciiTheme="minorHAnsi" w:hAnsiTheme="minorHAnsi" w:cstheme="minorHAnsi"/>
                <w:color w:val="000000"/>
                <w:sz w:val="18"/>
                <w:szCs w:val="18"/>
              </w:rPr>
              <w:noBreakHyphen/>
            </w:r>
            <w:proofErr w:type="spellStart"/>
            <w:r w:rsidRPr="001033CF">
              <w:rPr>
                <w:rFonts w:asciiTheme="minorHAnsi" w:hAnsiTheme="minorHAnsi" w:cstheme="minorHAnsi"/>
                <w:color w:val="000000"/>
                <w:sz w:val="18"/>
                <w:szCs w:val="18"/>
              </w:rPr>
              <w:t>axSpA</w:t>
            </w:r>
            <w:proofErr w:type="spellEnd"/>
            <w:r w:rsidRPr="001033CF">
              <w:rPr>
                <w:rFonts w:asciiTheme="minorHAnsi" w:hAnsiTheme="minorHAnsi" w:cstheme="minorHAnsi"/>
                <w:color w:val="000000"/>
                <w:sz w:val="18"/>
                <w:szCs w:val="18"/>
              </w:rPr>
              <w:t xml:space="preserve"> </w:t>
            </w:r>
            <w:r w:rsidR="003D6F2B" w:rsidRPr="001033CF">
              <w:rPr>
                <w:rFonts w:asciiTheme="minorHAnsi" w:hAnsiTheme="minorHAnsi" w:cstheme="minorHAnsi"/>
                <w:color w:val="000000"/>
                <w:sz w:val="18"/>
                <w:szCs w:val="18"/>
              </w:rPr>
              <w:t>biologic or targeted synthetic disease modifying anti</w:t>
            </w:r>
            <w:r w:rsidR="003D6F2B" w:rsidRPr="001033CF">
              <w:rPr>
                <w:rFonts w:asciiTheme="minorHAnsi" w:hAnsiTheme="minorHAnsi" w:cstheme="minorHAnsi"/>
                <w:color w:val="000000"/>
                <w:sz w:val="18"/>
                <w:szCs w:val="18"/>
              </w:rPr>
              <w:noBreakHyphen/>
              <w:t xml:space="preserve">rheumatic drug </w:t>
            </w:r>
            <w:r w:rsidR="006B35F1"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b/tsDMARD</w:t>
            </w:r>
            <w:r w:rsidR="006B35F1"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 xml:space="preserve"> listings to include bimekizumab in the list of eligible therapies.</w:t>
            </w:r>
            <w:r w:rsidR="006B35F1" w:rsidRPr="001033CF">
              <w:rPr>
                <w:rFonts w:asciiTheme="minorHAnsi" w:hAnsiTheme="minorHAnsi" w:cstheme="minorHAnsi"/>
                <w:color w:val="000000"/>
                <w:sz w:val="18"/>
                <w:szCs w:val="18"/>
              </w:rPr>
              <w:t xml:space="preserve"> </w:t>
            </w:r>
            <w:r w:rsidR="006B35F1" w:rsidRPr="001033CF">
              <w:rPr>
                <w:rFonts w:asciiTheme="minorHAnsi" w:hAnsiTheme="minorHAnsi" w:cstheme="minorHAnsi"/>
                <w:sz w:val="18"/>
                <w:szCs w:val="18"/>
              </w:rPr>
              <w:t>The PBAC advised the equi</w:t>
            </w:r>
            <w:r w:rsidR="006B35F1" w:rsidRPr="001033CF">
              <w:rPr>
                <w:rFonts w:asciiTheme="minorHAnsi" w:hAnsiTheme="minorHAnsi" w:cstheme="minorHAnsi"/>
                <w:sz w:val="18"/>
                <w:szCs w:val="18"/>
              </w:rPr>
              <w:noBreakHyphen/>
              <w:t xml:space="preserve">effective doses were: </w:t>
            </w:r>
            <w:r w:rsidR="009440B0" w:rsidRPr="001033CF">
              <w:rPr>
                <w:rFonts w:asciiTheme="minorHAnsi" w:hAnsiTheme="minorHAnsi" w:cstheme="minorHAnsi"/>
                <w:color w:val="000000"/>
                <w:sz w:val="18"/>
                <w:szCs w:val="18"/>
              </w:rPr>
              <w:t>bimekizumab</w:t>
            </w:r>
            <w:r w:rsidR="006B35F1" w:rsidRPr="001033CF">
              <w:rPr>
                <w:rFonts w:asciiTheme="minorHAnsi" w:hAnsiTheme="minorHAnsi" w:cstheme="minorHAnsi"/>
                <w:color w:val="000000"/>
                <w:sz w:val="18"/>
                <w:szCs w:val="18"/>
              </w:rPr>
              <w:t xml:space="preserve"> 160 mg every 4 weeks = </w:t>
            </w:r>
            <w:r w:rsidR="009440B0" w:rsidRPr="001033CF">
              <w:rPr>
                <w:rFonts w:asciiTheme="minorHAnsi" w:hAnsiTheme="minorHAnsi" w:cstheme="minorHAnsi"/>
                <w:color w:val="000000"/>
                <w:sz w:val="18"/>
                <w:szCs w:val="18"/>
              </w:rPr>
              <w:t>secukinumab</w:t>
            </w:r>
            <w:r w:rsidR="006B35F1" w:rsidRPr="001033CF">
              <w:rPr>
                <w:rFonts w:asciiTheme="minorHAnsi" w:hAnsiTheme="minorHAnsi" w:cstheme="minorHAnsi"/>
                <w:sz w:val="18"/>
                <w:szCs w:val="18"/>
              </w:rPr>
              <w:t xml:space="preserve"> 150</w:t>
            </w:r>
            <w:r w:rsidR="008B1C9A">
              <w:rPr>
                <w:rFonts w:asciiTheme="minorHAnsi" w:hAnsiTheme="minorHAnsi" w:cstheme="minorHAnsi"/>
                <w:sz w:val="18"/>
                <w:szCs w:val="18"/>
              </w:rPr>
              <w:t> </w:t>
            </w:r>
            <w:r w:rsidR="006B35F1" w:rsidRPr="001033CF">
              <w:rPr>
                <w:rFonts w:asciiTheme="minorHAnsi" w:hAnsiTheme="minorHAnsi" w:cstheme="minorHAnsi"/>
                <w:sz w:val="18"/>
                <w:szCs w:val="18"/>
              </w:rPr>
              <w:t>mg at weeks 0,1,2,3 and 4 then every 4 weeks and doses of alternative b/tsDMARDs derived from the relevant Product Information documents.</w:t>
            </w:r>
          </w:p>
        </w:tc>
      </w:tr>
      <w:tr w:rsidR="00A56E78" w:rsidRPr="008059F4" w14:paraId="741E255E"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F457592" w14:textId="47611CC1" w:rsidR="00CE32D8"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BRENTUXIMAB VEDOTIN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Powder for I.V. infusion 50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Adcetris</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TAKEDA PHARMACEUTICALS AUSTRALIA PTY. LTD.</w:t>
            </w:r>
            <w:r w:rsidRPr="00B0619C">
              <w:rPr>
                <w:rFonts w:asciiTheme="minorHAnsi" w:hAnsiTheme="minorHAnsi" w:cstheme="minorHAnsi"/>
                <w:color w:val="000000"/>
                <w:sz w:val="18"/>
                <w:szCs w:val="18"/>
              </w:rPr>
              <w:br/>
            </w:r>
          </w:p>
          <w:p w14:paraId="69AB0DCD" w14:textId="1F3384C1" w:rsidR="004D59A5" w:rsidRPr="00B0619C" w:rsidRDefault="00CE32D8"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23D6C47" w14:textId="45AF1F3E"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Hodgkin lymphoma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96FD4D4" w14:textId="2F26C18D"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Section 100 (Efficient Funding of Chemotherapy) Authority Required (Telephone/Online) listing for the first</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line treatment of advanced classical Hodgkin lymphoma.</w:t>
            </w:r>
          </w:p>
        </w:tc>
        <w:tc>
          <w:tcPr>
            <w:tcW w:w="1584" w:type="dxa"/>
            <w:shd w:val="clear" w:color="auto" w:fill="auto"/>
            <w:vAlign w:val="center"/>
          </w:tcPr>
          <w:p w14:paraId="0244BE95" w14:textId="740AB356" w:rsidR="004D59A5" w:rsidRPr="001033CF" w:rsidRDefault="008C703F"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0B5A2B53" w14:textId="348B6C09" w:rsidR="00896951" w:rsidRPr="001033CF" w:rsidRDefault="00896951"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did not recommend brentuximab vedotin, in combination with doxorubicin, vinblastine and dacarbazine (A+AVD), for the first line treatment of advanced classical Hodgkin lymphoma. The PBAC considered the availability of alternative treatment options reduced the clinical need for A+AVD. The PBAC advised that the claim of superior effectiveness compared to </w:t>
            </w:r>
            <w:r w:rsidR="000B6824" w:rsidRPr="001033CF">
              <w:rPr>
                <w:rFonts w:asciiTheme="minorHAnsi" w:hAnsiTheme="minorHAnsi" w:cstheme="minorHAnsi"/>
                <w:color w:val="000000"/>
                <w:sz w:val="18"/>
                <w:szCs w:val="18"/>
              </w:rPr>
              <w:t>positron emission tomography (PET)</w:t>
            </w:r>
            <w:r w:rsidRPr="001033CF">
              <w:rPr>
                <w:rFonts w:asciiTheme="minorHAnsi" w:hAnsiTheme="minorHAnsi" w:cstheme="minorHAnsi"/>
                <w:color w:val="000000"/>
                <w:sz w:val="18"/>
                <w:szCs w:val="18"/>
              </w:rPr>
              <w:t xml:space="preserve">-adapted </w:t>
            </w:r>
            <w:r w:rsidR="000B6824" w:rsidRPr="001033CF">
              <w:rPr>
                <w:rFonts w:asciiTheme="minorHAnsi" w:hAnsiTheme="minorHAnsi" w:cstheme="minorHAnsi"/>
                <w:color w:val="000000"/>
                <w:sz w:val="18"/>
                <w:szCs w:val="18"/>
              </w:rPr>
              <w:t>doxorubicin, bleomycin, vincristine and dacarbazine</w:t>
            </w:r>
            <w:r w:rsidRPr="001033CF">
              <w:rPr>
                <w:rFonts w:asciiTheme="minorHAnsi" w:hAnsiTheme="minorHAnsi" w:cstheme="minorHAnsi"/>
                <w:color w:val="000000"/>
                <w:sz w:val="18"/>
                <w:szCs w:val="18"/>
              </w:rPr>
              <w:t xml:space="preserve"> was highly uncertain due to the indirect evidence presented and the high level of censoring in the key trial evidence, but considered it was likely reasonable. In addition, the PBAC considered the economic model structure used in the submission resulted in an incremental cost</w:t>
            </w:r>
            <w:r w:rsidR="000B6824"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ratio that was highly uncertain and advised that the cost</w:t>
            </w:r>
            <w:r w:rsidR="000B6824"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A+AVD was unable to be reliably assessed.</w:t>
            </w:r>
          </w:p>
          <w:p w14:paraId="65D0DACF" w14:textId="77777777" w:rsidR="003D6F2B" w:rsidRPr="001033CF" w:rsidRDefault="003D6F2B" w:rsidP="001033CF">
            <w:pPr>
              <w:jc w:val="both"/>
              <w:rPr>
                <w:rFonts w:asciiTheme="minorHAnsi" w:hAnsiTheme="minorHAnsi" w:cstheme="minorHAnsi"/>
                <w:color w:val="000000"/>
                <w:sz w:val="18"/>
                <w:szCs w:val="18"/>
              </w:rPr>
            </w:pPr>
          </w:p>
          <w:p w14:paraId="1867299E" w14:textId="77777777" w:rsidR="003D6F2B" w:rsidRPr="001033CF" w:rsidRDefault="003D6F2B"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22500D62" w14:textId="07ED9F9F" w:rsidR="004D59A5" w:rsidRPr="001033CF" w:rsidRDefault="00F95B4E" w:rsidP="001033CF">
            <w:pPr>
              <w:jc w:val="both"/>
              <w:rPr>
                <w:rFonts w:asciiTheme="minorHAnsi" w:hAnsiTheme="minorHAnsi" w:cstheme="minorHAnsi"/>
                <w:color w:val="000000"/>
                <w:sz w:val="18"/>
                <w:szCs w:val="18"/>
              </w:rPr>
            </w:pPr>
            <w:r w:rsidRPr="008B5F66">
              <w:rPr>
                <w:rFonts w:asciiTheme="minorHAnsi" w:hAnsiTheme="minorHAnsi" w:cstheme="minorHAnsi"/>
                <w:color w:val="000000"/>
                <w:sz w:val="18"/>
                <w:szCs w:val="18"/>
              </w:rPr>
              <w:t>The sponsor had no comment.</w:t>
            </w:r>
          </w:p>
        </w:tc>
      </w:tr>
      <w:tr w:rsidR="004D59A5" w:rsidRPr="008059F4" w14:paraId="67CC7194"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9F5D920" w14:textId="1D470D0F" w:rsidR="00CE32D8" w:rsidRDefault="004D59A5" w:rsidP="004D59A5">
            <w:pPr>
              <w:keepLines/>
              <w:jc w:val="center"/>
              <w:rPr>
                <w:rFonts w:asciiTheme="minorHAnsi" w:hAnsiTheme="minorHAnsi" w:cstheme="minorHAnsi"/>
                <w:color w:val="000000"/>
                <w:sz w:val="18"/>
                <w:szCs w:val="18"/>
              </w:rPr>
            </w:pPr>
            <w:bookmarkStart w:id="3" w:name="_Hlk153369578"/>
            <w:r w:rsidRPr="00B0619C">
              <w:rPr>
                <w:rFonts w:asciiTheme="minorHAnsi" w:hAnsiTheme="minorHAnsi" w:cstheme="minorHAnsi"/>
                <w:color w:val="000000"/>
                <w:sz w:val="18"/>
                <w:szCs w:val="18"/>
              </w:rPr>
              <w:t xml:space="preserve">BUDESONIDE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(enteric) 3</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Budenofalk</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DR FALK PHARMA AUSTRALIA PTY LTD</w:t>
            </w:r>
            <w:r w:rsidRPr="00B0619C">
              <w:rPr>
                <w:rFonts w:asciiTheme="minorHAnsi" w:hAnsiTheme="minorHAnsi" w:cstheme="minorHAnsi"/>
                <w:color w:val="000000"/>
                <w:sz w:val="18"/>
                <w:szCs w:val="18"/>
              </w:rPr>
              <w:br/>
            </w:r>
          </w:p>
          <w:p w14:paraId="7D732C8F" w14:textId="3933BE5A" w:rsidR="004D59A5" w:rsidRPr="00B0619C" w:rsidRDefault="00CE32D8"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6816C06" w14:textId="3E3ADDAA"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Crohn disease (CD)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E1A089B" w14:textId="6AD8F622"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Authority Required (STREAMLINED) listing of a new form of budesonide for the treatment of mild to moderate CD. </w:t>
            </w:r>
          </w:p>
        </w:tc>
        <w:tc>
          <w:tcPr>
            <w:tcW w:w="1584" w:type="dxa"/>
            <w:shd w:val="clear" w:color="auto" w:fill="auto"/>
            <w:vAlign w:val="center"/>
          </w:tcPr>
          <w:p w14:paraId="77C907C2" w14:textId="695246C7"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763B9B94" w14:textId="19D92A68" w:rsidR="004D59A5" w:rsidRPr="001033CF" w:rsidRDefault="0023053A"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budesonide 3</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enteric capsules, 50 (</w:t>
            </w:r>
            <w:proofErr w:type="spellStart"/>
            <w:r w:rsidRPr="001033CF">
              <w:rPr>
                <w:rFonts w:asciiTheme="minorHAnsi" w:hAnsiTheme="minorHAnsi" w:cstheme="minorHAnsi"/>
                <w:color w:val="000000"/>
                <w:sz w:val="18"/>
                <w:szCs w:val="18"/>
              </w:rPr>
              <w:t>Budenofalk</w:t>
            </w:r>
            <w:proofErr w:type="spellEnd"/>
            <w:r w:rsidRPr="001033CF">
              <w:rPr>
                <w:rFonts w:asciiTheme="minorHAnsi" w:hAnsiTheme="minorHAnsi" w:cstheme="minorHAnsi"/>
                <w:color w:val="000000"/>
                <w:sz w:val="18"/>
                <w:szCs w:val="18"/>
              </w:rPr>
              <w:t>)</w:t>
            </w:r>
            <w:r w:rsidR="0055066D" w:rsidRPr="001033CF">
              <w:rPr>
                <w:rFonts w:asciiTheme="minorHAnsi" w:hAnsiTheme="minorHAnsi" w:cstheme="minorHAnsi"/>
                <w:color w:val="000000"/>
                <w:sz w:val="18"/>
                <w:szCs w:val="18"/>
              </w:rPr>
              <w:t xml:space="preserve"> with</w:t>
            </w:r>
            <w:r w:rsidR="006E559F" w:rsidRPr="001033CF">
              <w:rPr>
                <w:rFonts w:asciiTheme="minorHAnsi" w:hAnsiTheme="minorHAnsi" w:cstheme="minorHAnsi"/>
                <w:color w:val="000000"/>
                <w:sz w:val="18"/>
                <w:szCs w:val="18"/>
              </w:rPr>
              <w:t xml:space="preserve"> a</w:t>
            </w:r>
            <w:r w:rsidR="0055066D" w:rsidRPr="001033CF">
              <w:rPr>
                <w:rFonts w:asciiTheme="minorHAnsi" w:hAnsiTheme="minorHAnsi" w:cstheme="minorHAnsi"/>
                <w:color w:val="000000"/>
                <w:sz w:val="18"/>
                <w:szCs w:val="18"/>
              </w:rPr>
              <w:t xml:space="preserve"> maximum quantity of 100</w:t>
            </w:r>
            <w:r w:rsidR="006E559F" w:rsidRPr="001033CF">
              <w:rPr>
                <w:rFonts w:asciiTheme="minorHAnsi" w:hAnsiTheme="minorHAnsi" w:cstheme="minorHAnsi"/>
                <w:color w:val="000000"/>
                <w:sz w:val="18"/>
                <w:szCs w:val="18"/>
              </w:rPr>
              <w:t> </w:t>
            </w:r>
            <w:r w:rsidR="00F915BE" w:rsidRPr="001033CF">
              <w:rPr>
                <w:rFonts w:asciiTheme="minorHAnsi" w:hAnsiTheme="minorHAnsi" w:cstheme="minorHAnsi"/>
                <w:color w:val="000000"/>
                <w:sz w:val="18"/>
                <w:szCs w:val="18"/>
              </w:rPr>
              <w:t>units</w:t>
            </w:r>
            <w:r w:rsidRPr="001033CF">
              <w:rPr>
                <w:rFonts w:asciiTheme="minorHAnsi" w:hAnsiTheme="minorHAnsi" w:cstheme="minorHAnsi"/>
                <w:color w:val="000000"/>
                <w:sz w:val="18"/>
                <w:szCs w:val="18"/>
              </w:rPr>
              <w:t xml:space="preserve"> for treatment of mild to moderately active CD affecting the ileum and/or the ascending colon, on a </w:t>
            </w:r>
            <w:r w:rsidR="00DA3E52" w:rsidRPr="001033CF">
              <w:rPr>
                <w:rFonts w:asciiTheme="minorHAnsi" w:hAnsiTheme="minorHAnsi" w:cstheme="minorHAnsi"/>
                <w:color w:val="000000"/>
                <w:sz w:val="18"/>
                <w:szCs w:val="18"/>
              </w:rPr>
              <w:t>cost</w:t>
            </w:r>
            <w:r w:rsidR="00DA3E52" w:rsidRPr="001033CF">
              <w:rPr>
                <w:rFonts w:asciiTheme="minorHAnsi" w:hAnsiTheme="minorHAnsi" w:cstheme="minorHAnsi"/>
                <w:color w:val="000000"/>
                <w:sz w:val="18"/>
                <w:szCs w:val="18"/>
              </w:rPr>
              <w:noBreakHyphen/>
              <w:t>minimis</w:t>
            </w:r>
            <w:r w:rsidRPr="001033CF">
              <w:rPr>
                <w:rFonts w:asciiTheme="minorHAnsi" w:hAnsiTheme="minorHAnsi" w:cstheme="minorHAnsi"/>
                <w:color w:val="000000"/>
                <w:sz w:val="18"/>
                <w:szCs w:val="18"/>
              </w:rPr>
              <w:t>ation basis to budesonide 3</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modified release capsules, 90 (</w:t>
            </w:r>
            <w:proofErr w:type="spellStart"/>
            <w:r w:rsidRPr="001033CF">
              <w:rPr>
                <w:rFonts w:asciiTheme="minorHAnsi" w:hAnsiTheme="minorHAnsi" w:cstheme="minorHAnsi"/>
                <w:color w:val="000000"/>
                <w:sz w:val="18"/>
                <w:szCs w:val="18"/>
              </w:rPr>
              <w:t>Entocort</w:t>
            </w:r>
            <w:proofErr w:type="spellEnd"/>
            <w:r w:rsidRPr="001033CF">
              <w:rPr>
                <w:rFonts w:asciiTheme="minorHAnsi" w:hAnsiTheme="minorHAnsi" w:cstheme="minorHAnsi"/>
                <w:color w:val="000000"/>
                <w:sz w:val="18"/>
                <w:szCs w:val="18"/>
              </w:rPr>
              <w:t xml:space="preserve">®). The PBAC considered that </w:t>
            </w:r>
            <w:proofErr w:type="spellStart"/>
            <w:r w:rsidRPr="001033CF">
              <w:rPr>
                <w:rFonts w:asciiTheme="minorHAnsi" w:hAnsiTheme="minorHAnsi" w:cstheme="minorHAnsi"/>
                <w:color w:val="000000"/>
                <w:sz w:val="18"/>
                <w:szCs w:val="18"/>
              </w:rPr>
              <w:t>Budenofalk</w:t>
            </w:r>
            <w:proofErr w:type="spellEnd"/>
            <w:r w:rsidRPr="001033CF">
              <w:rPr>
                <w:rFonts w:asciiTheme="minorHAnsi" w:hAnsiTheme="minorHAnsi" w:cstheme="minorHAnsi"/>
                <w:color w:val="000000"/>
                <w:sz w:val="18"/>
                <w:szCs w:val="18"/>
              </w:rPr>
              <w:t xml:space="preserve"> 100 capsules would provide another alternative therapy for the treatment of CD and that the reduced wastage over the comparator may result in a small saving to the PBS. The PBAC advised</w:t>
            </w:r>
            <w:r w:rsidR="006E559F"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 xml:space="preserve">that the </w:t>
            </w:r>
            <w:proofErr w:type="spellStart"/>
            <w:r w:rsidRPr="001033CF">
              <w:rPr>
                <w:rFonts w:asciiTheme="minorHAnsi" w:hAnsiTheme="minorHAnsi" w:cstheme="minorHAnsi"/>
                <w:color w:val="000000"/>
                <w:sz w:val="18"/>
                <w:szCs w:val="18"/>
              </w:rPr>
              <w:t>Budenofalk</w:t>
            </w:r>
            <w:proofErr w:type="spellEnd"/>
            <w:r w:rsidRPr="001033CF">
              <w:rPr>
                <w:rFonts w:asciiTheme="minorHAnsi" w:hAnsiTheme="minorHAnsi" w:cstheme="minorHAnsi"/>
                <w:color w:val="000000"/>
                <w:sz w:val="18"/>
                <w:szCs w:val="18"/>
              </w:rPr>
              <w:t xml:space="preserve"> and </w:t>
            </w:r>
            <w:proofErr w:type="spellStart"/>
            <w:r w:rsidRPr="001033CF">
              <w:rPr>
                <w:rFonts w:asciiTheme="minorHAnsi" w:hAnsiTheme="minorHAnsi" w:cstheme="minorHAnsi"/>
                <w:color w:val="000000"/>
                <w:sz w:val="18"/>
                <w:szCs w:val="18"/>
              </w:rPr>
              <w:t>Entocort</w:t>
            </w:r>
            <w:proofErr w:type="spellEnd"/>
            <w:r w:rsidRPr="001033CF">
              <w:rPr>
                <w:rFonts w:asciiTheme="minorHAnsi" w:hAnsiTheme="minorHAnsi" w:cstheme="minorHAnsi"/>
                <w:color w:val="000000"/>
                <w:sz w:val="18"/>
                <w:szCs w:val="18"/>
              </w:rPr>
              <w:t xml:space="preserve"> brands of budesonide should not be considered equivalent for the purposes of substitution (i.e. not ‘a’</w:t>
            </w:r>
            <w:r w:rsidR="009D7B53"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flagged in the Schedule)</w:t>
            </w:r>
            <w:r w:rsidR="00F915BE" w:rsidRPr="001033CF">
              <w:rPr>
                <w:rFonts w:asciiTheme="minorHAnsi" w:hAnsiTheme="minorHAnsi" w:cstheme="minorHAnsi"/>
                <w:color w:val="000000"/>
                <w:sz w:val="18"/>
                <w:szCs w:val="18"/>
              </w:rPr>
              <w:t xml:space="preserve"> as</w:t>
            </w:r>
            <w:r w:rsidR="001067CF" w:rsidRPr="001033CF">
              <w:rPr>
                <w:rFonts w:asciiTheme="minorHAnsi" w:hAnsiTheme="minorHAnsi" w:cstheme="minorHAnsi"/>
                <w:color w:val="000000"/>
                <w:sz w:val="18"/>
                <w:szCs w:val="18"/>
              </w:rPr>
              <w:t xml:space="preserve"> </w:t>
            </w:r>
            <w:r w:rsidR="00F915BE" w:rsidRPr="001033CF">
              <w:rPr>
                <w:rFonts w:asciiTheme="minorHAnsi" w:hAnsiTheme="minorHAnsi" w:cstheme="minorHAnsi"/>
                <w:color w:val="000000"/>
                <w:sz w:val="18"/>
                <w:szCs w:val="18"/>
              </w:rPr>
              <w:t>t</w:t>
            </w:r>
            <w:r w:rsidRPr="001033CF">
              <w:rPr>
                <w:rFonts w:asciiTheme="minorHAnsi" w:hAnsiTheme="minorHAnsi" w:cstheme="minorHAnsi"/>
                <w:color w:val="000000"/>
                <w:sz w:val="18"/>
                <w:szCs w:val="18"/>
              </w:rPr>
              <w:t xml:space="preserve">he PBAC noted that the proposed maximum quantity </w:t>
            </w:r>
            <w:r w:rsidR="001067CF" w:rsidRPr="001033CF">
              <w:rPr>
                <w:rFonts w:asciiTheme="minorHAnsi" w:hAnsiTheme="minorHAnsi" w:cstheme="minorHAnsi"/>
                <w:color w:val="000000"/>
                <w:sz w:val="18"/>
                <w:szCs w:val="18"/>
              </w:rPr>
              <w:t xml:space="preserve">is </w:t>
            </w:r>
            <w:r w:rsidRPr="001033CF">
              <w:rPr>
                <w:rFonts w:asciiTheme="minorHAnsi" w:hAnsiTheme="minorHAnsi" w:cstheme="minorHAnsi"/>
                <w:color w:val="000000"/>
                <w:sz w:val="18"/>
                <w:szCs w:val="18"/>
              </w:rPr>
              <w:t xml:space="preserve">different (100 versus 90 units of </w:t>
            </w:r>
            <w:proofErr w:type="spellStart"/>
            <w:r w:rsidRPr="001033CF">
              <w:rPr>
                <w:rFonts w:asciiTheme="minorHAnsi" w:hAnsiTheme="minorHAnsi" w:cstheme="minorHAnsi"/>
                <w:color w:val="000000"/>
                <w:sz w:val="18"/>
                <w:szCs w:val="18"/>
              </w:rPr>
              <w:t>Budenofalk</w:t>
            </w:r>
            <w:proofErr w:type="spellEnd"/>
            <w:r w:rsidRPr="001033CF">
              <w:rPr>
                <w:rFonts w:asciiTheme="minorHAnsi" w:hAnsiTheme="minorHAnsi" w:cstheme="minorHAnsi"/>
                <w:color w:val="000000"/>
                <w:sz w:val="18"/>
                <w:szCs w:val="18"/>
              </w:rPr>
              <w:t xml:space="preserve"> and </w:t>
            </w:r>
            <w:proofErr w:type="spellStart"/>
            <w:r w:rsidRPr="001033CF">
              <w:rPr>
                <w:rFonts w:asciiTheme="minorHAnsi" w:hAnsiTheme="minorHAnsi" w:cstheme="minorHAnsi"/>
                <w:color w:val="000000"/>
                <w:sz w:val="18"/>
                <w:szCs w:val="18"/>
              </w:rPr>
              <w:t>Entocort</w:t>
            </w:r>
            <w:proofErr w:type="spellEnd"/>
            <w:r w:rsidRPr="001033CF">
              <w:rPr>
                <w:rFonts w:asciiTheme="minorHAnsi" w:hAnsiTheme="minorHAnsi" w:cstheme="minorHAnsi"/>
                <w:color w:val="000000"/>
                <w:sz w:val="18"/>
                <w:szCs w:val="18"/>
              </w:rPr>
              <w:t>, respectively).</w:t>
            </w:r>
          </w:p>
        </w:tc>
      </w:tr>
      <w:bookmarkEnd w:id="3"/>
      <w:tr w:rsidR="003809FD" w:rsidRPr="008059F4" w14:paraId="1D94DBFA" w14:textId="77777777" w:rsidTr="00671C24">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80E977" w14:textId="667096D9" w:rsidR="003809FD" w:rsidRDefault="003809FD" w:rsidP="003809FD">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BULEVIRTIDE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Powder for injection 2</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Hepcludex</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GILEAD SCIENCES PTY LIMITED</w:t>
            </w:r>
            <w:r w:rsidRPr="00B0619C">
              <w:rPr>
                <w:rFonts w:asciiTheme="minorHAnsi" w:hAnsiTheme="minorHAnsi" w:cstheme="minorHAnsi"/>
                <w:color w:val="000000"/>
                <w:sz w:val="18"/>
                <w:szCs w:val="18"/>
              </w:rPr>
              <w:br/>
            </w:r>
          </w:p>
          <w:p w14:paraId="3540E7E5" w14:textId="1E620D0E" w:rsidR="003809FD" w:rsidRPr="00B0619C" w:rsidRDefault="003809FD" w:rsidP="003809FD">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60D0998" w14:textId="37272F03" w:rsidR="003809FD" w:rsidRPr="00B0619C" w:rsidRDefault="003809FD" w:rsidP="003809FD">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Chronic hepatitis D</w:t>
            </w:r>
            <w:r>
              <w:rPr>
                <w:rFonts w:asciiTheme="minorHAnsi" w:hAnsiTheme="minorHAnsi" w:cstheme="minorHAnsi"/>
                <w:color w:val="000000"/>
                <w:sz w:val="18"/>
                <w:szCs w:val="18"/>
              </w:rPr>
              <w:t xml:space="preserve"> </w:t>
            </w:r>
            <w:r>
              <w:rPr>
                <w:rFonts w:asciiTheme="minorHAnsi" w:hAnsiTheme="minorHAnsi"/>
                <w:color w:val="000000"/>
              </w:rPr>
              <w:t>(CHD)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D35D80D" w14:textId="525D5ACB" w:rsidR="003809FD" w:rsidRPr="00B0619C" w:rsidRDefault="003809FD" w:rsidP="003809FD">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Section 100 (Highly Specialised Drugs Program) Authority Required (STREAMLINED) listing for the </w:t>
            </w:r>
            <w:r w:rsidRPr="007E4167">
              <w:rPr>
                <w:rFonts w:asciiTheme="minorHAnsi" w:hAnsiTheme="minorHAnsi" w:cstheme="minorHAnsi"/>
                <w:color w:val="000000"/>
                <w:sz w:val="18"/>
                <w:szCs w:val="18"/>
              </w:rPr>
              <w:t>treatment of C</w:t>
            </w:r>
            <w:r w:rsidRPr="004B1F96">
              <w:rPr>
                <w:rFonts w:asciiTheme="minorHAnsi" w:hAnsiTheme="minorHAnsi" w:cstheme="minorHAnsi"/>
                <w:color w:val="000000"/>
                <w:sz w:val="18"/>
                <w:szCs w:val="18"/>
              </w:rPr>
              <w:t>HD</w:t>
            </w:r>
            <w:r w:rsidRPr="007E4167">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5AE174E" w14:textId="7F88FBAE" w:rsidR="003809FD" w:rsidRPr="003809FD" w:rsidRDefault="003809FD" w:rsidP="003809FD">
            <w:pPr>
              <w:pStyle w:val="ListParagraph"/>
              <w:keepLines/>
              <w:ind w:left="0"/>
              <w:jc w:val="center"/>
              <w:rPr>
                <w:rFonts w:asciiTheme="minorHAnsi" w:hAnsiTheme="minorHAnsi" w:cstheme="minorHAnsi"/>
                <w:color w:val="000000"/>
                <w:sz w:val="18"/>
                <w:szCs w:val="18"/>
              </w:rPr>
            </w:pPr>
            <w:r w:rsidRPr="00B816E0">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05A6454C" w14:textId="77777777" w:rsidR="003809FD" w:rsidRPr="00B816E0" w:rsidRDefault="003809FD" w:rsidP="003809FD">
            <w:pPr>
              <w:keepLines/>
              <w:jc w:val="both"/>
              <w:rPr>
                <w:rFonts w:asciiTheme="minorHAnsi" w:hAnsiTheme="minorHAnsi" w:cstheme="minorHAnsi"/>
                <w:color w:val="000000"/>
                <w:sz w:val="18"/>
                <w:szCs w:val="18"/>
              </w:rPr>
            </w:pPr>
            <w:r w:rsidRPr="00B816E0">
              <w:rPr>
                <w:rFonts w:asciiTheme="minorHAnsi" w:hAnsiTheme="minorHAnsi" w:cstheme="minorHAnsi"/>
                <w:color w:val="000000"/>
                <w:sz w:val="18"/>
                <w:szCs w:val="18"/>
              </w:rPr>
              <w:t>The PBAC did not recommend the listing of bulevirtide for the treatment of CHD infection. The PBAC considered the available evidence indicates that bulevirtide, for some patients, is effective in terms of reducing or achieving an undetectable viral load and/or normalising some liver enzyme parameters (such as alanine transaminase). However, the PBAC considered the magnitude of long-term benefits in terms of clinical and patient-relevant benefits could not be reliably quantified, which led to major uncertainties with the economic evaluation. The PBAC also considered that the economic model presented likely did not reflect how bulevirtide is used in Australian clinical practice as testing, treatment persistence, and clinical decisions around treatment discontinuation were uncertain. The PBAC considered that the incremental cost</w:t>
            </w:r>
            <w:r w:rsidRPr="00B816E0">
              <w:rPr>
                <w:rFonts w:asciiTheme="minorHAnsi" w:hAnsiTheme="minorHAnsi" w:cstheme="minorHAnsi"/>
                <w:color w:val="000000"/>
                <w:sz w:val="18"/>
                <w:szCs w:val="18"/>
              </w:rPr>
              <w:noBreakHyphen/>
              <w:t>effectiveness ratio was likely underestimated and bulevirtide was not considered cost</w:t>
            </w:r>
            <w:r w:rsidRPr="00B816E0">
              <w:rPr>
                <w:rFonts w:asciiTheme="minorHAnsi" w:hAnsiTheme="minorHAnsi" w:cstheme="minorHAnsi"/>
                <w:color w:val="000000"/>
                <w:sz w:val="18"/>
                <w:szCs w:val="18"/>
              </w:rPr>
              <w:noBreakHyphen/>
              <w:t xml:space="preserve">effective at the requested price. The PBAC considered the utilisation and financial estimates to be uncertain. </w:t>
            </w:r>
          </w:p>
          <w:p w14:paraId="56BD2BAE" w14:textId="77777777" w:rsidR="003809FD" w:rsidRPr="00B816E0" w:rsidRDefault="003809FD" w:rsidP="003809FD">
            <w:pPr>
              <w:keepLines/>
              <w:rPr>
                <w:rFonts w:asciiTheme="minorHAnsi" w:hAnsiTheme="minorHAnsi" w:cstheme="minorHAnsi"/>
                <w:color w:val="000000"/>
                <w:sz w:val="18"/>
                <w:szCs w:val="18"/>
              </w:rPr>
            </w:pPr>
          </w:p>
          <w:p w14:paraId="32419F75" w14:textId="77777777" w:rsidR="003809FD" w:rsidRPr="00B816E0" w:rsidRDefault="003809FD" w:rsidP="003809FD">
            <w:pPr>
              <w:rPr>
                <w:rFonts w:asciiTheme="minorHAnsi" w:hAnsiTheme="minorHAnsi" w:cstheme="minorHAnsi"/>
                <w:color w:val="000000"/>
                <w:sz w:val="18"/>
                <w:szCs w:val="18"/>
                <w:u w:val="single"/>
              </w:rPr>
            </w:pPr>
            <w:bookmarkStart w:id="4" w:name="_Hlk164871101"/>
            <w:r w:rsidRPr="00B816E0">
              <w:rPr>
                <w:rFonts w:asciiTheme="minorHAnsi" w:hAnsiTheme="minorHAnsi" w:cstheme="minorHAnsi"/>
                <w:color w:val="000000"/>
                <w:sz w:val="18"/>
                <w:szCs w:val="18"/>
                <w:u w:val="single"/>
              </w:rPr>
              <w:t>Sponsor’s Comment:</w:t>
            </w:r>
          </w:p>
          <w:p w14:paraId="62C0E818" w14:textId="151F12C4" w:rsidR="003809FD" w:rsidRPr="003809FD" w:rsidRDefault="003809FD" w:rsidP="003809FD">
            <w:pPr>
              <w:jc w:val="both"/>
              <w:rPr>
                <w:rFonts w:asciiTheme="minorHAnsi" w:hAnsiTheme="minorHAnsi" w:cstheme="minorHAnsi"/>
                <w:color w:val="000000"/>
                <w:sz w:val="18"/>
                <w:szCs w:val="18"/>
              </w:rPr>
            </w:pPr>
            <w:r w:rsidRPr="00B816E0">
              <w:rPr>
                <w:rFonts w:asciiTheme="minorHAnsi" w:hAnsiTheme="minorHAnsi" w:cstheme="minorHAnsi"/>
                <w:color w:val="000000"/>
                <w:sz w:val="18"/>
                <w:szCs w:val="18"/>
              </w:rPr>
              <w:t xml:space="preserve">Gilead Sciences is disappointed by the decision not to recommend </w:t>
            </w:r>
            <w:proofErr w:type="spellStart"/>
            <w:r w:rsidRPr="00B816E0">
              <w:rPr>
                <w:rFonts w:asciiTheme="minorHAnsi" w:hAnsiTheme="minorHAnsi" w:cstheme="minorHAnsi"/>
                <w:color w:val="000000"/>
                <w:sz w:val="18"/>
                <w:szCs w:val="18"/>
              </w:rPr>
              <w:t>Hepcludex</w:t>
            </w:r>
            <w:proofErr w:type="spellEnd"/>
            <w:r w:rsidRPr="00B816E0">
              <w:rPr>
                <w:rFonts w:asciiTheme="minorHAnsi" w:hAnsiTheme="minorHAnsi" w:cstheme="minorHAnsi"/>
                <w:color w:val="000000"/>
                <w:sz w:val="18"/>
                <w:szCs w:val="18"/>
              </w:rPr>
              <w:t xml:space="preserve"> (bulevirtide) be listed on the PBS for the treatment of chronic hepatitis delta (CHD). We are however pleased that the PBAC acknowledged the high clinical need for effective therapies for CHD infection and the long term impacts of CHD infection. We wish to express our sincere thanks to the patient organisations and clinicians who took the time to provide consumer comments in support of the submission.</w:t>
            </w:r>
            <w:bookmarkEnd w:id="4"/>
          </w:p>
        </w:tc>
      </w:tr>
      <w:tr w:rsidR="004D59A5" w:rsidRPr="008059F4" w14:paraId="630CF50E"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884FC8F" w14:textId="001222B7" w:rsidR="00CE32D8"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CABOZANTINIB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Cabometyx</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IPSEN PTY LTD</w:t>
            </w:r>
            <w:r w:rsidRPr="00B0619C">
              <w:rPr>
                <w:rFonts w:asciiTheme="minorHAnsi" w:hAnsiTheme="minorHAnsi" w:cstheme="minorHAnsi"/>
                <w:color w:val="000000"/>
                <w:sz w:val="18"/>
                <w:szCs w:val="18"/>
              </w:rPr>
              <w:br/>
            </w:r>
          </w:p>
          <w:p w14:paraId="26F1EF32" w14:textId="4F28E898" w:rsidR="004D59A5" w:rsidRPr="00B0619C" w:rsidRDefault="00CE32D8"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A72076A" w14:textId="3C695D7A"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Renal cell carcinoma (RCC)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3933476" w14:textId="3B898CC0"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(STREAMLINED) listing, in combination with nivolumab, for the first</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line treatment of advanced clear cell RCC.</w:t>
            </w:r>
          </w:p>
        </w:tc>
        <w:tc>
          <w:tcPr>
            <w:tcW w:w="1584" w:type="dxa"/>
            <w:shd w:val="clear" w:color="auto" w:fill="auto"/>
            <w:vAlign w:val="center"/>
          </w:tcPr>
          <w:p w14:paraId="71509397" w14:textId="429BD88F"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B3B0A75" w14:textId="582A13C0" w:rsidR="004D59A5" w:rsidRPr="001033CF" w:rsidRDefault="007D298F"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cabozantinib for use in combination with nivolumab (CBZ+NIVO) for the treatment of advanced (Stage IV) clear cell variant RCC in patients who are classified as intermediate or poor risk using the International Metastatic</w:t>
            </w:r>
            <w:r w:rsidR="0055066D"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renal cell carcinoma</w:t>
            </w:r>
            <w:r w:rsidR="00B824A1"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Database Consortium (IMDC) survival risk classification score.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CBZ+NIVO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minimised against pembrolizumab + lenvatinib (PEM+LEN). The PBAC considered a </w:t>
            </w:r>
            <w:r w:rsidR="00DA3E52" w:rsidRPr="001033CF">
              <w:rPr>
                <w:rFonts w:asciiTheme="minorHAnsi" w:hAnsiTheme="minorHAnsi" w:cstheme="minorHAnsi"/>
                <w:color w:val="000000"/>
                <w:sz w:val="18"/>
                <w:szCs w:val="18"/>
              </w:rPr>
              <w:t>cost</w:t>
            </w:r>
            <w:r w:rsidR="00DA3E52" w:rsidRPr="001033CF">
              <w:rPr>
                <w:rFonts w:asciiTheme="minorHAnsi" w:hAnsiTheme="minorHAnsi" w:cstheme="minorHAnsi"/>
                <w:color w:val="000000"/>
                <w:sz w:val="18"/>
                <w:szCs w:val="18"/>
              </w:rPr>
              <w:noBreakHyphen/>
              <w:t>minimis</w:t>
            </w:r>
            <w:r w:rsidRPr="001033CF">
              <w:rPr>
                <w:rFonts w:asciiTheme="minorHAnsi" w:hAnsiTheme="minorHAnsi" w:cstheme="minorHAnsi"/>
                <w:color w:val="000000"/>
                <w:sz w:val="18"/>
                <w:szCs w:val="18"/>
              </w:rPr>
              <w:t xml:space="preserve">ation approach was reasonable, assuming the same treatment duration and relative dose intensity (RDI) for CBZ as was accepted for LEN and the same treatment duration and RDI for NIVO as was accepted for PEM by the PBAC in its March 2022 consideration of PEM+LEN. The PBAC advised that the cost of CBZ+NIVO should also not be higher than the cost of </w:t>
            </w:r>
            <w:proofErr w:type="spellStart"/>
            <w:r w:rsidRPr="001033CF">
              <w:rPr>
                <w:rFonts w:asciiTheme="minorHAnsi" w:hAnsiTheme="minorHAnsi" w:cstheme="minorHAnsi"/>
                <w:color w:val="000000"/>
                <w:sz w:val="18"/>
                <w:szCs w:val="18"/>
              </w:rPr>
              <w:t>NIVO+</w:t>
            </w:r>
            <w:r w:rsidR="00B824A1" w:rsidRPr="001033CF">
              <w:rPr>
                <w:rFonts w:asciiTheme="minorHAnsi" w:hAnsiTheme="minorHAnsi" w:cstheme="minorHAnsi"/>
                <w:color w:val="000000"/>
                <w:sz w:val="18"/>
                <w:szCs w:val="18"/>
              </w:rPr>
              <w:t>ipilimumab</w:t>
            </w:r>
            <w:proofErr w:type="spellEnd"/>
            <w:r w:rsidRPr="001033CF">
              <w:rPr>
                <w:rFonts w:asciiTheme="minorHAnsi" w:hAnsiTheme="minorHAnsi" w:cstheme="minorHAnsi"/>
                <w:color w:val="000000"/>
                <w:sz w:val="18"/>
                <w:szCs w:val="18"/>
              </w:rPr>
              <w:t xml:space="preserve">. The PBAC advised that CBZ+NIVO should join the existing </w:t>
            </w:r>
            <w:r w:rsidR="00DB2810" w:rsidRPr="001033CF">
              <w:rPr>
                <w:rFonts w:asciiTheme="minorHAnsi" w:hAnsiTheme="minorHAnsi" w:cstheme="minorHAnsi"/>
                <w:color w:val="000000"/>
                <w:sz w:val="18"/>
                <w:szCs w:val="18"/>
              </w:rPr>
              <w:t>r</w:t>
            </w:r>
            <w:r w:rsidRPr="001033CF">
              <w:rPr>
                <w:rFonts w:asciiTheme="minorHAnsi" w:hAnsiTheme="minorHAnsi" w:cstheme="minorHAnsi"/>
                <w:color w:val="000000"/>
                <w:sz w:val="18"/>
                <w:szCs w:val="18"/>
              </w:rPr>
              <w:t xml:space="preserve">isk </w:t>
            </w:r>
            <w:r w:rsidR="00DB2810" w:rsidRPr="001033CF">
              <w:rPr>
                <w:rFonts w:asciiTheme="minorHAnsi" w:hAnsiTheme="minorHAnsi" w:cstheme="minorHAnsi"/>
                <w:color w:val="000000"/>
                <w:sz w:val="18"/>
                <w:szCs w:val="18"/>
              </w:rPr>
              <w:t>s</w:t>
            </w:r>
            <w:r w:rsidRPr="001033CF">
              <w:rPr>
                <w:rFonts w:asciiTheme="minorHAnsi" w:hAnsiTheme="minorHAnsi" w:cstheme="minorHAnsi"/>
                <w:color w:val="000000"/>
                <w:sz w:val="18"/>
                <w:szCs w:val="18"/>
              </w:rPr>
              <w:t xml:space="preserve">haring </w:t>
            </w:r>
            <w:r w:rsidR="00DB2810" w:rsidRPr="001033CF">
              <w:rPr>
                <w:rFonts w:asciiTheme="minorHAnsi" w:hAnsiTheme="minorHAnsi" w:cstheme="minorHAnsi"/>
                <w:color w:val="000000"/>
                <w:sz w:val="18"/>
                <w:szCs w:val="18"/>
              </w:rPr>
              <w:t>a</w:t>
            </w:r>
            <w:r w:rsidRPr="001033CF">
              <w:rPr>
                <w:rFonts w:asciiTheme="minorHAnsi" w:hAnsiTheme="minorHAnsi" w:cstheme="minorHAnsi"/>
                <w:color w:val="000000"/>
                <w:sz w:val="18"/>
                <w:szCs w:val="18"/>
              </w:rPr>
              <w:t>rrangement with PEM+LEN and other a</w:t>
            </w:r>
            <w:r w:rsidR="00B824A1" w:rsidRPr="001033CF">
              <w:rPr>
                <w:rFonts w:asciiTheme="minorHAnsi" w:hAnsiTheme="minorHAnsi" w:cstheme="minorHAnsi"/>
                <w:color w:val="000000"/>
                <w:sz w:val="18"/>
                <w:szCs w:val="18"/>
              </w:rPr>
              <w:t xml:space="preserve">dvanced </w:t>
            </w:r>
            <w:r w:rsidRPr="001033CF">
              <w:rPr>
                <w:rFonts w:asciiTheme="minorHAnsi" w:hAnsiTheme="minorHAnsi" w:cstheme="minorHAnsi"/>
                <w:color w:val="000000"/>
                <w:sz w:val="18"/>
                <w:szCs w:val="18"/>
              </w:rPr>
              <w:t>RCC treatments with no increase in expenditure caps.</w:t>
            </w:r>
            <w:r w:rsidR="00C361F0"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The PBAC recommended flow on changes to the restriction criteria for PEM+LEN, sunitinib and pazopanib.</w:t>
            </w:r>
          </w:p>
        </w:tc>
      </w:tr>
      <w:tr w:rsidR="004D59A5" w:rsidRPr="008059F4" w14:paraId="13225EF2"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DAE9929" w14:textId="0F57A36E" w:rsidR="00432185"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CABOZANTINIB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Cabometyx</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IPSEN PTY LTD</w:t>
            </w:r>
            <w:r w:rsidRPr="00B0619C">
              <w:rPr>
                <w:rFonts w:asciiTheme="minorHAnsi" w:hAnsiTheme="minorHAnsi" w:cstheme="minorHAnsi"/>
                <w:color w:val="000000"/>
                <w:sz w:val="18"/>
                <w:szCs w:val="18"/>
              </w:rPr>
              <w:br/>
            </w:r>
          </w:p>
          <w:p w14:paraId="773FD1C3" w14:textId="3983FD60" w:rsidR="004D59A5" w:rsidRPr="00B0619C" w:rsidRDefault="00432185"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65F128F" w14:textId="451D10DD"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Renal cell carcinoma (RCC)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857E75E" w14:textId="0927AE5D"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an amendment to the existing General Schedule Authority Required (STREAMLINED) listing to remove the ‘clear cell variant’ histology requirement to allow treatment in patients with non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clear cell RCC</w:t>
            </w:r>
            <w:r w:rsidR="00B824A1">
              <w:rPr>
                <w:rFonts w:asciiTheme="minorHAnsi" w:hAnsiTheme="minorHAnsi" w:cstheme="minorHAnsi"/>
                <w:color w:val="000000"/>
                <w:sz w:val="18"/>
                <w:szCs w:val="18"/>
              </w:rPr>
              <w:t xml:space="preserve"> (nccRCC)</w:t>
            </w:r>
            <w:r w:rsidRPr="00B0619C">
              <w:rPr>
                <w:rFonts w:asciiTheme="minorHAnsi" w:hAnsiTheme="minorHAnsi" w:cstheme="minorHAnsi"/>
                <w:color w:val="000000"/>
                <w:sz w:val="18"/>
                <w:szCs w:val="18"/>
              </w:rPr>
              <w:t>.</w:t>
            </w:r>
          </w:p>
        </w:tc>
        <w:tc>
          <w:tcPr>
            <w:tcW w:w="1584" w:type="dxa"/>
            <w:shd w:val="clear" w:color="auto" w:fill="auto"/>
            <w:vAlign w:val="center"/>
          </w:tcPr>
          <w:p w14:paraId="0F53DED0" w14:textId="6E177E8E"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F9786FD" w14:textId="76B8F067" w:rsidR="004D59A5" w:rsidRPr="001033CF" w:rsidRDefault="007D298F"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RCC restriction for cabozantinib be extended to include the treatment of nccRCC. The PBAC considered that there is a high clinical need for treatments in the small subset of RCC patients with nccRCC as there are currently no therapies available on the PBS. The PBAC noted that the evidence is limited but considered that the clinical benefit in patients with nccRCC appears to be </w:t>
            </w:r>
            <w:proofErr w:type="gramStart"/>
            <w:r w:rsidRPr="001033CF">
              <w:rPr>
                <w:rFonts w:asciiTheme="minorHAnsi" w:hAnsiTheme="minorHAnsi" w:cstheme="minorHAnsi"/>
                <w:color w:val="000000"/>
                <w:sz w:val="18"/>
                <w:szCs w:val="18"/>
              </w:rPr>
              <w:t>similar to</w:t>
            </w:r>
            <w:proofErr w:type="gramEnd"/>
            <w:r w:rsidRPr="001033CF">
              <w:rPr>
                <w:rFonts w:asciiTheme="minorHAnsi" w:hAnsiTheme="minorHAnsi" w:cstheme="minorHAnsi"/>
                <w:color w:val="000000"/>
                <w:sz w:val="18"/>
                <w:szCs w:val="18"/>
              </w:rPr>
              <w:t xml:space="preserve"> that in patients with clear cell RCC (ccRCC), particularly in the first line setting. The PBAC considered that on this basis it was reasonable to accept that cabozantinib would be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for treatment of nccRCC at the same first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line price as accepted for ccRCC. </w:t>
            </w:r>
          </w:p>
        </w:tc>
      </w:tr>
      <w:tr w:rsidR="004D59A5" w:rsidRPr="008059F4" w14:paraId="45A0C826"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243FB13" w14:textId="1C13C395" w:rsidR="00432185"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CABOZANTINIB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Cabometyx</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IPSEN PTY LTD</w:t>
            </w:r>
            <w:r w:rsidRPr="00B0619C">
              <w:rPr>
                <w:rFonts w:asciiTheme="minorHAnsi" w:hAnsiTheme="minorHAnsi" w:cstheme="minorHAnsi"/>
                <w:color w:val="000000"/>
                <w:sz w:val="18"/>
                <w:szCs w:val="18"/>
              </w:rPr>
              <w:br/>
            </w:r>
          </w:p>
          <w:p w14:paraId="7203BD39" w14:textId="4C2F26B1" w:rsidR="004D59A5" w:rsidRPr="00B0619C" w:rsidRDefault="00432185"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47F369C" w14:textId="13A0AE0B"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sz w:val="18"/>
                <w:szCs w:val="18"/>
              </w:rPr>
              <w:t>Differentiated thyroid cancer (DTC)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F5EBEBC" w14:textId="577F0CC5"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(STREAMLINED) listing for the treatment of locally advanced or metastatic DTC in patients who have progressed during or after prior vascular endothelial growth factor</w:t>
            </w:r>
            <w:r w:rsidR="00FD30D5">
              <w:rPr>
                <w:rFonts w:asciiTheme="minorHAnsi" w:hAnsiTheme="minorHAnsi" w:cstheme="minorHAnsi"/>
                <w:color w:val="000000"/>
                <w:sz w:val="18"/>
                <w:szCs w:val="18"/>
              </w:rPr>
              <w:t xml:space="preserve"> </w:t>
            </w:r>
            <w:r w:rsidR="00FD30D5" w:rsidRPr="00B0619C">
              <w:rPr>
                <w:rFonts w:asciiTheme="minorHAnsi" w:hAnsiTheme="minorHAnsi" w:cstheme="minorHAnsi"/>
                <w:color w:val="000000"/>
                <w:sz w:val="18"/>
                <w:szCs w:val="18"/>
              </w:rPr>
              <w:t>(VEGF)</w:t>
            </w:r>
            <w:r w:rsidR="00FD30D5">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targeted therapy.</w:t>
            </w:r>
          </w:p>
        </w:tc>
        <w:tc>
          <w:tcPr>
            <w:tcW w:w="1584" w:type="dxa"/>
            <w:shd w:val="clear" w:color="auto" w:fill="auto"/>
            <w:vAlign w:val="center"/>
          </w:tcPr>
          <w:p w14:paraId="20C817C1" w14:textId="39A72F27"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743F87E" w14:textId="31883A7A" w:rsidR="004D59A5" w:rsidRPr="001033CF" w:rsidRDefault="007D298F"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cabozantinib</w:t>
            </w:r>
            <w:r w:rsidR="00B824A1"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for the treatment of locally advanced or metastatic DTC in patients who are radioactive iodine refractory or ineligible, who have progressed following treatment with a</w:t>
            </w:r>
            <w:r w:rsidR="00B824A1"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tyrosine kinase inhibitor or have developed intolerance to prior VEGF</w:t>
            </w:r>
            <w:r w:rsidR="00B824A1"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targeted therapy. The PBAC considered that there was a clinical need for additional treatments in this setting. The PBAC noted that the resubmission made the requested changes to the economic model but considered that the approach for including end</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of</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life costs was inappropriate. However, the PBAC considered that the addition of some post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progression costs would be appropriate, and that cabozantinib would likely be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effective at the price proposed in the submission. The PBAC noted that the estimated financial impact was small. </w:t>
            </w:r>
          </w:p>
        </w:tc>
      </w:tr>
      <w:tr w:rsidR="004D59A5" w:rsidRPr="008059F4" w14:paraId="22F54673"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227C6D6" w14:textId="5B057AD5" w:rsidR="00432185"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CETUXIMAB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I.V. infusion 100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20</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t>Solution for I.V. infusion 500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100</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Erbitux</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MERCK HEALTHCARE PTY LTD</w:t>
            </w:r>
            <w:r w:rsidRPr="00B0619C">
              <w:rPr>
                <w:rFonts w:asciiTheme="minorHAnsi" w:hAnsiTheme="minorHAnsi" w:cstheme="minorHAnsi"/>
                <w:color w:val="000000"/>
                <w:sz w:val="18"/>
                <w:szCs w:val="18"/>
              </w:rPr>
              <w:br/>
            </w:r>
          </w:p>
          <w:p w14:paraId="21A16AF3" w14:textId="42F3CCBE" w:rsidR="004D59A5" w:rsidRPr="00B0619C" w:rsidRDefault="00432185"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890A30D" w14:textId="6EBDEC8B"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Metastatic colorectal cancer (mCRC)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FCBFB18" w14:textId="216AA562"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an increase of maximum amount for the existing listings of cetuximab to allow clinician choice of either weekly or fortnightly dosing regimen for the treatment of mCRC. </w:t>
            </w:r>
          </w:p>
        </w:tc>
        <w:tc>
          <w:tcPr>
            <w:tcW w:w="1584" w:type="dxa"/>
            <w:shd w:val="clear" w:color="auto" w:fill="auto"/>
            <w:vAlign w:val="center"/>
          </w:tcPr>
          <w:p w14:paraId="7F6CAB98" w14:textId="1B74C42A"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6FFEB5F" w14:textId="0B5146BC" w:rsidR="004D59A5" w:rsidRPr="001033CF" w:rsidRDefault="00C92B88"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increasing the maximum amount for the current listings of cetuximab for mCRC to allow clinicians to prescribe an alternative dosing regimen of 500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per m</w:t>
            </w:r>
            <w:r w:rsidRPr="001033CF">
              <w:rPr>
                <w:rFonts w:asciiTheme="minorHAnsi" w:hAnsiTheme="minorHAnsi" w:cstheme="minorHAnsi"/>
                <w:color w:val="000000"/>
                <w:sz w:val="18"/>
                <w:szCs w:val="18"/>
                <w:vertAlign w:val="superscript"/>
              </w:rPr>
              <w:t>2</w:t>
            </w:r>
            <w:r w:rsidRPr="001033CF">
              <w:rPr>
                <w:rFonts w:asciiTheme="minorHAnsi" w:hAnsiTheme="minorHAnsi" w:cstheme="minorHAnsi"/>
                <w:color w:val="000000"/>
                <w:sz w:val="18"/>
                <w:szCs w:val="18"/>
              </w:rPr>
              <w:t xml:space="preserve"> body surface area once every two weeks, in addition to the currently listed weekly dosing schedule. The PBAC considered that it would be appropriate to amend all current</w:t>
            </w:r>
            <w:r w:rsidR="000F67B1">
              <w:rPr>
                <w:rFonts w:asciiTheme="minorHAnsi" w:hAnsiTheme="minorHAnsi" w:cstheme="minorHAnsi"/>
                <w:color w:val="000000"/>
                <w:sz w:val="18"/>
                <w:szCs w:val="18"/>
              </w:rPr>
              <w:t xml:space="preserve"> cetuximab</w:t>
            </w:r>
            <w:r w:rsidRPr="001033CF">
              <w:rPr>
                <w:rFonts w:asciiTheme="minorHAnsi" w:hAnsiTheme="minorHAnsi" w:cstheme="minorHAnsi"/>
                <w:color w:val="000000"/>
                <w:sz w:val="18"/>
                <w:szCs w:val="18"/>
              </w:rPr>
              <w:t xml:space="preserve"> listings for mCRC to increase the maximum amount for initial treatment from 880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to 1100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and for continuing treatment from 550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to 1100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The PBAC considered that while the estimated utilisation and financial implications were uncertain, increasing the maximum amount to allow fortnightly dosing of cetuximab would provide patients with greater flexibility and convenience, given the new dosing requires less frequent infusion sessions and hospital visits. Furthermore, it would result in more efficient resource allocation for infusion centres and ease the administrative burden for clinicians.</w:t>
            </w:r>
          </w:p>
        </w:tc>
      </w:tr>
      <w:tr w:rsidR="004D59A5" w:rsidRPr="008059F4" w14:paraId="4F8DF70B"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4B95D24" w14:textId="24F36A11" w:rsidR="004D59A5" w:rsidRPr="00B0619C" w:rsidRDefault="004D59A5" w:rsidP="004D59A5">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DABRAFENIB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50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(as </w:t>
            </w:r>
            <w:proofErr w:type="spellStart"/>
            <w:r w:rsidRPr="00B0619C">
              <w:rPr>
                <w:rFonts w:asciiTheme="minorHAnsi" w:hAnsiTheme="minorHAnsi" w:cstheme="minorHAnsi"/>
                <w:color w:val="000000"/>
                <w:sz w:val="18"/>
                <w:szCs w:val="18"/>
              </w:rPr>
              <w:t>mesilate</w:t>
            </w:r>
            <w:proofErr w:type="spellEnd"/>
            <w:r w:rsidRPr="00B0619C">
              <w:rPr>
                <w:rFonts w:asciiTheme="minorHAnsi" w:hAnsiTheme="minorHAnsi" w:cstheme="minorHAnsi"/>
                <w:color w:val="000000"/>
                <w:sz w:val="18"/>
                <w:szCs w:val="18"/>
              </w:rPr>
              <w:t>)</w:t>
            </w:r>
          </w:p>
          <w:p w14:paraId="5636CDFF" w14:textId="43A49C18" w:rsidR="004D59A5" w:rsidRPr="00B0619C" w:rsidRDefault="004D59A5" w:rsidP="004D59A5">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Capsule 75</w:t>
            </w:r>
            <w:r w:rsidR="001165DD">
              <w:rPr>
                <w:rFonts w:asciiTheme="minorHAnsi" w:hAnsiTheme="minorHAnsi" w:cstheme="minorHAnsi"/>
                <w:color w:val="000000"/>
                <w:sz w:val="18"/>
                <w:szCs w:val="18"/>
              </w:rPr>
              <w:t> mg</w:t>
            </w:r>
            <w:r w:rsidRPr="00B0619C">
              <w:rPr>
                <w:rFonts w:asciiTheme="minorHAnsi" w:hAnsiTheme="minorHAnsi" w:cstheme="minorHAnsi"/>
                <w:sz w:val="18"/>
                <w:szCs w:val="18"/>
              </w:rPr>
              <w:t xml:space="preserve"> </w:t>
            </w:r>
            <w:r w:rsidRPr="00B0619C">
              <w:rPr>
                <w:rFonts w:asciiTheme="minorHAnsi" w:hAnsiTheme="minorHAnsi" w:cstheme="minorHAnsi"/>
                <w:color w:val="000000"/>
                <w:sz w:val="18"/>
                <w:szCs w:val="18"/>
              </w:rPr>
              <w:t xml:space="preserve">(as </w:t>
            </w:r>
            <w:proofErr w:type="spellStart"/>
            <w:r w:rsidRPr="00B0619C">
              <w:rPr>
                <w:rFonts w:asciiTheme="minorHAnsi" w:hAnsiTheme="minorHAnsi" w:cstheme="minorHAnsi"/>
                <w:color w:val="000000"/>
                <w:sz w:val="18"/>
                <w:szCs w:val="18"/>
              </w:rPr>
              <w:t>mesilate</w:t>
            </w:r>
            <w:proofErr w:type="spellEnd"/>
            <w:r w:rsidRPr="00B0619C">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t>Tablet (dispersible) 10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Tafinlar</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TRAMETINIB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500</w:t>
            </w:r>
            <w:r w:rsidR="0030148D"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micrograms</w:t>
            </w:r>
          </w:p>
          <w:p w14:paraId="35FA3BB4" w14:textId="43BC9F9D" w:rsidR="00432185"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Tablet 2</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Powder for oral solution 5</w:t>
            </w:r>
            <w:r w:rsidR="0030148D"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micrograms</w:t>
            </w:r>
            <w:r w:rsidR="00FD30D5">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per</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(as </w:t>
            </w:r>
            <w:proofErr w:type="spellStart"/>
            <w:r w:rsidRPr="00B0619C">
              <w:rPr>
                <w:rFonts w:asciiTheme="minorHAnsi" w:hAnsiTheme="minorHAnsi" w:cstheme="minorHAnsi"/>
                <w:color w:val="000000"/>
                <w:sz w:val="18"/>
                <w:szCs w:val="18"/>
              </w:rPr>
              <w:t>dimethylsulfoxide</w:t>
            </w:r>
            <w:proofErr w:type="spellEnd"/>
            <w:r w:rsidRPr="00B0619C">
              <w:rPr>
                <w:rFonts w:asciiTheme="minorHAnsi" w:hAnsiTheme="minorHAnsi" w:cstheme="minorHAnsi"/>
                <w:color w:val="000000"/>
                <w:sz w:val="18"/>
                <w:szCs w:val="18"/>
              </w:rPr>
              <w:t>), 97</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Mekinist</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NOVARTIS PHARMACEUTICALS AUSTRALIA PTY LIMITED</w:t>
            </w:r>
            <w:r w:rsidRPr="00B0619C">
              <w:rPr>
                <w:rFonts w:asciiTheme="minorHAnsi" w:hAnsiTheme="minorHAnsi" w:cstheme="minorHAnsi"/>
                <w:color w:val="000000"/>
                <w:sz w:val="18"/>
                <w:szCs w:val="18"/>
              </w:rPr>
              <w:br/>
            </w:r>
          </w:p>
          <w:p w14:paraId="3C28BD58" w14:textId="71D0803D" w:rsidR="004D59A5" w:rsidRPr="00B0619C" w:rsidRDefault="00432185"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1F4B9EE" w14:textId="02D6A814"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Glioma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48D9496" w14:textId="6666345C"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(Telephone/Online) listing for the treatment of paediatric patients with BRAF V600E mutation positive low grade glioma</w:t>
            </w:r>
            <w:r w:rsidR="00EE37BA">
              <w:rPr>
                <w:rFonts w:asciiTheme="minorHAnsi" w:hAnsiTheme="minorHAnsi" w:cstheme="minorHAnsi"/>
                <w:color w:val="000000"/>
                <w:sz w:val="18"/>
                <w:szCs w:val="18"/>
              </w:rPr>
              <w:t xml:space="preserve"> (LGG)</w:t>
            </w:r>
            <w:r w:rsidRPr="00B0619C">
              <w:rPr>
                <w:rFonts w:asciiTheme="minorHAnsi" w:hAnsiTheme="minorHAnsi" w:cstheme="minorHAnsi"/>
                <w:color w:val="000000"/>
                <w:sz w:val="18"/>
                <w:szCs w:val="18"/>
              </w:rPr>
              <w:t xml:space="preserve"> or high grade glioma</w:t>
            </w:r>
            <w:r w:rsidR="00EE37BA">
              <w:rPr>
                <w:rFonts w:asciiTheme="minorHAnsi" w:hAnsiTheme="minorHAnsi" w:cstheme="minorHAnsi"/>
                <w:color w:val="000000"/>
                <w:sz w:val="18"/>
                <w:szCs w:val="18"/>
              </w:rPr>
              <w:t xml:space="preserve"> (HGG)</w:t>
            </w:r>
            <w:r w:rsidRPr="00B0619C">
              <w:rPr>
                <w:rFonts w:asciiTheme="minorHAnsi" w:hAnsiTheme="minorHAnsi" w:cstheme="minorHAnsi"/>
                <w:color w:val="000000"/>
                <w:sz w:val="18"/>
                <w:szCs w:val="18"/>
              </w:rPr>
              <w:t>, and to request new forms and strengths of dabrafenib and trametinib.</w:t>
            </w:r>
          </w:p>
        </w:tc>
        <w:tc>
          <w:tcPr>
            <w:tcW w:w="1584" w:type="dxa"/>
            <w:shd w:val="clear" w:color="auto" w:fill="auto"/>
            <w:vAlign w:val="center"/>
          </w:tcPr>
          <w:p w14:paraId="668A1004" w14:textId="0A55CDE8"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59954BE8" w14:textId="7DB118CF" w:rsidR="004D59A5" w:rsidRPr="001033CF" w:rsidRDefault="0030148D"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dabrafenib in combination with trametinib for the treatment of paediatric patients with BRAF V600E mutation positive LGG and HGG. The PBAC recognised a high clinical need in the proposed LGG and HGG populations and considered that treatment with dabrafenib and trametinib (D+T) offered high added therapeutic value for these patients. The PBAC was satisfied that D+T provides, for some patients, a significant improvement in efficacy over carboplatin and vincristine (C+V) in LGG, and over standard chemotherapy in HGG. The PBAC noted the high incremental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effectiveness ratio (ICER) in the LGG population and considered that </w:t>
            </w:r>
            <w:r w:rsidR="00112358" w:rsidRPr="001033CF">
              <w:rPr>
                <w:rFonts w:asciiTheme="minorHAnsi" w:hAnsiTheme="minorHAnsi" w:cstheme="minorHAnsi"/>
                <w:color w:val="000000"/>
                <w:sz w:val="18"/>
                <w:szCs w:val="18"/>
              </w:rPr>
              <w:t>cost</w:t>
            </w:r>
            <w:r w:rsidR="00112358" w:rsidRPr="001033CF">
              <w:rPr>
                <w:rFonts w:asciiTheme="minorHAnsi" w:hAnsiTheme="minorHAnsi" w:cstheme="minorHAnsi"/>
                <w:color w:val="000000"/>
                <w:sz w:val="18"/>
                <w:szCs w:val="18"/>
              </w:rPr>
              <w:noBreakHyphen/>
              <w:t>effect</w:t>
            </w:r>
            <w:r w:rsidRPr="001033CF">
              <w:rPr>
                <w:rFonts w:asciiTheme="minorHAnsi" w:hAnsiTheme="minorHAnsi" w:cstheme="minorHAnsi"/>
                <w:color w:val="000000"/>
                <w:sz w:val="18"/>
                <w:szCs w:val="18"/>
              </w:rPr>
              <w:t xml:space="preserve">iveness had not been demonstrated at the proposed prices. The PBAC advised that a price reduction would be required to achieve an acceptable </w:t>
            </w:r>
            <w:r w:rsidR="00EE37BA" w:rsidRPr="001033CF">
              <w:rPr>
                <w:rFonts w:asciiTheme="minorHAnsi" w:hAnsiTheme="minorHAnsi" w:cstheme="minorHAnsi"/>
                <w:color w:val="000000"/>
                <w:sz w:val="18"/>
                <w:szCs w:val="18"/>
              </w:rPr>
              <w:t>ICER</w:t>
            </w:r>
            <w:r w:rsidRPr="001033CF">
              <w:rPr>
                <w:rFonts w:asciiTheme="minorHAnsi" w:hAnsiTheme="minorHAnsi" w:cstheme="minorHAnsi"/>
                <w:color w:val="000000"/>
                <w:sz w:val="18"/>
                <w:szCs w:val="18"/>
              </w:rPr>
              <w:t xml:space="preserve"> in the LGG population. The PBAC considered the ICER for the HGG population was very uncertain due to the underlying clinical evidence base which was an unanchored comparison of single arm studies.</w:t>
            </w:r>
            <w:r w:rsidR="00C361F0"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The PBAC considered that a lower ICER would be required to demonstrate acceptable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in the HGG population, compared with the LGG population, in recognition of the high uncertainty of the incremental benefit associated with D+T compared with chemotherapy in HGG.</w:t>
            </w:r>
          </w:p>
        </w:tc>
      </w:tr>
      <w:tr w:rsidR="004D59A5" w:rsidRPr="008059F4" w14:paraId="45978DAE"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27068B0" w14:textId="49C41123" w:rsidR="007359BD" w:rsidRDefault="004D59A5" w:rsidP="004D59A5">
            <w:pPr>
              <w:keepLines/>
              <w:jc w:val="center"/>
              <w:rPr>
                <w:rFonts w:asciiTheme="minorHAnsi" w:hAnsiTheme="minorHAnsi" w:cstheme="minorHAnsi"/>
                <w:color w:val="000000"/>
                <w:sz w:val="18"/>
                <w:szCs w:val="18"/>
              </w:rPr>
            </w:pPr>
            <w:bookmarkStart w:id="5" w:name="_Hlk141955464"/>
            <w:r w:rsidRPr="00B0619C">
              <w:rPr>
                <w:rFonts w:asciiTheme="minorHAnsi" w:hAnsiTheme="minorHAnsi" w:cstheme="minorHAnsi"/>
                <w:color w:val="000000"/>
                <w:sz w:val="18"/>
                <w:szCs w:val="18"/>
              </w:rPr>
              <w:lastRenderedPageBreak/>
              <w:t>DAPAGLIFLOZIN WITH SITAGLIPTIN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containing dapagliflozin 10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with sitagliptin 100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Sidapvia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ASTRAZENECA PTY LTD</w:t>
            </w:r>
            <w:r w:rsidRPr="00B0619C">
              <w:rPr>
                <w:rFonts w:asciiTheme="minorHAnsi" w:hAnsiTheme="minorHAnsi" w:cstheme="minorHAnsi"/>
                <w:color w:val="000000"/>
                <w:sz w:val="18"/>
                <w:szCs w:val="18"/>
              </w:rPr>
              <w:br/>
            </w:r>
          </w:p>
          <w:p w14:paraId="237D85B8" w14:textId="3B21531F" w:rsidR="004D59A5" w:rsidRPr="00B0619C" w:rsidRDefault="007359BD"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17F9958" w14:textId="66A0466A"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Type 2 diabetes mellitus (T2DM)</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72A92F8" w14:textId="5DB1BF11" w:rsidR="004D59A5" w:rsidRPr="00B0619C" w:rsidRDefault="004D59A5" w:rsidP="004D59A5">
            <w:pPr>
              <w:pStyle w:val="ListParagraph"/>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(STREAMLINED) listing, for use in combination with metformin, for the treatment of T2DM.</w:t>
            </w:r>
          </w:p>
        </w:tc>
        <w:tc>
          <w:tcPr>
            <w:tcW w:w="1584" w:type="dxa"/>
            <w:shd w:val="clear" w:color="auto" w:fill="auto"/>
            <w:vAlign w:val="center"/>
          </w:tcPr>
          <w:p w14:paraId="7755114D" w14:textId="3C1FF1D1" w:rsidR="004D59A5" w:rsidRPr="001033CF" w:rsidRDefault="00BE135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2D51CB8" w14:textId="44E6B9FE" w:rsidR="0030148D" w:rsidRPr="001033CF" w:rsidRDefault="0030148D" w:rsidP="00DA774A">
            <w:pPr>
              <w:jc w:val="both"/>
              <w:rPr>
                <w:rFonts w:asciiTheme="minorHAnsi" w:hAnsiTheme="minorHAnsi" w:cstheme="minorHAnsi"/>
                <w:color w:val="000000"/>
                <w:sz w:val="18"/>
                <w:szCs w:val="18"/>
              </w:rPr>
            </w:pPr>
            <w:bookmarkStart w:id="6" w:name="_Hlk111543254"/>
            <w:r w:rsidRPr="001033CF">
              <w:rPr>
                <w:rFonts w:asciiTheme="minorHAnsi" w:hAnsiTheme="minorHAnsi" w:cstheme="minorHAnsi"/>
                <w:color w:val="000000"/>
                <w:sz w:val="18"/>
                <w:szCs w:val="18"/>
              </w:rPr>
              <w:t>The PBAC recommended that dapagliflozin 10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with sitagliptin 100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(Sidapvia) fixed dose combination (FDC) be listed on the PBS for use in conjunction with metformin, for patients with T2DM with an inadequate response to treatment with dual therapy of metformin and an inhibitor of sodium glucose co</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transporter 2 (SGLT2i), or dipeptidyl peptidase 4 (DPP4i).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dapagliflozin + sitagliptin FDC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to the lowest cost PBS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listed SGLT2i+DPP4i FDC. The PBAC advised the equi</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doses to be</w:t>
            </w:r>
            <w:r w:rsidR="00DA774A">
              <w:rPr>
                <w:rFonts w:asciiTheme="minorHAnsi" w:hAnsiTheme="minorHAnsi" w:cstheme="minorHAnsi"/>
                <w:color w:val="000000"/>
                <w:sz w:val="18"/>
                <w:szCs w:val="18"/>
              </w:rPr>
              <w:t xml:space="preserve">: </w:t>
            </w:r>
            <w:proofErr w:type="spellStart"/>
            <w:r w:rsidRPr="001033CF">
              <w:rPr>
                <w:rFonts w:asciiTheme="minorHAnsi" w:hAnsiTheme="minorHAnsi" w:cstheme="minorHAnsi"/>
                <w:color w:val="000000"/>
                <w:sz w:val="18"/>
                <w:szCs w:val="18"/>
              </w:rPr>
              <w:t>dapagliflozin+sitagliptin</w:t>
            </w:r>
            <w:proofErr w:type="spellEnd"/>
            <w:r w:rsidR="00671C24">
              <w:rPr>
                <w:rFonts w:asciiTheme="minorHAnsi" w:hAnsiTheme="minorHAnsi" w:cstheme="minorHAnsi"/>
                <w:color w:val="000000"/>
                <w:sz w:val="18"/>
                <w:szCs w:val="18"/>
              </w:rPr>
              <w:t> </w:t>
            </w:r>
            <w:r w:rsidRPr="001033CF">
              <w:rPr>
                <w:rFonts w:asciiTheme="minorHAnsi" w:hAnsiTheme="minorHAnsi" w:cstheme="minorHAnsi"/>
                <w:color w:val="000000"/>
                <w:sz w:val="18"/>
                <w:szCs w:val="18"/>
              </w:rPr>
              <w:t>FDC</w:t>
            </w:r>
            <w:r w:rsidR="002234F2"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(10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/100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w:t>
            </w:r>
            <w:r w:rsidR="00671C24">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w:t>
            </w:r>
            <w:r w:rsidR="00DA774A">
              <w:rPr>
                <w:rFonts w:asciiTheme="minorHAnsi" w:hAnsiTheme="minorHAnsi" w:cstheme="minorHAnsi"/>
                <w:color w:val="000000"/>
                <w:sz w:val="18"/>
                <w:szCs w:val="18"/>
              </w:rPr>
              <w:t xml:space="preserve"> </w:t>
            </w:r>
            <w:proofErr w:type="spellStart"/>
            <w:r w:rsidR="00E87263" w:rsidRPr="001033CF">
              <w:rPr>
                <w:rFonts w:asciiTheme="minorHAnsi" w:hAnsiTheme="minorHAnsi" w:cstheme="minorHAnsi"/>
                <w:color w:val="000000"/>
                <w:sz w:val="18"/>
                <w:szCs w:val="18"/>
              </w:rPr>
              <w:t>e</w:t>
            </w:r>
            <w:r w:rsidRPr="001033CF">
              <w:rPr>
                <w:rFonts w:asciiTheme="minorHAnsi" w:hAnsiTheme="minorHAnsi" w:cstheme="minorHAnsi"/>
                <w:color w:val="000000"/>
                <w:sz w:val="18"/>
                <w:szCs w:val="18"/>
              </w:rPr>
              <w:t>mpagliflozin+linagliptin</w:t>
            </w:r>
            <w:proofErr w:type="spellEnd"/>
            <w:r w:rsidR="00671C24" w:rsidRPr="001033CF">
              <w:rPr>
                <w:rFonts w:asciiTheme="minorHAnsi" w:hAnsiTheme="minorHAnsi" w:cstheme="minorHAnsi"/>
                <w:color w:val="000000"/>
                <w:sz w:val="18"/>
                <w:szCs w:val="18"/>
              </w:rPr>
              <w:t xml:space="preserve"> FDC</w:t>
            </w:r>
            <w:r w:rsidRPr="001033CF">
              <w:rPr>
                <w:rFonts w:asciiTheme="minorHAnsi" w:hAnsiTheme="minorHAnsi" w:cstheme="minorHAnsi"/>
                <w:color w:val="000000"/>
                <w:sz w:val="18"/>
                <w:szCs w:val="18"/>
              </w:rPr>
              <w:t xml:space="preserve"> (10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or 25</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/5</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w:t>
            </w:r>
            <w:r w:rsidR="00DA774A">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w:t>
            </w:r>
            <w:r w:rsidR="00DA774A">
              <w:rPr>
                <w:rFonts w:asciiTheme="minorHAnsi" w:hAnsiTheme="minorHAnsi" w:cstheme="minorHAnsi"/>
                <w:color w:val="000000"/>
                <w:sz w:val="18"/>
                <w:szCs w:val="18"/>
              </w:rPr>
              <w:t xml:space="preserve"> </w:t>
            </w:r>
            <w:proofErr w:type="spellStart"/>
            <w:r w:rsidRPr="001033CF">
              <w:rPr>
                <w:rFonts w:asciiTheme="minorHAnsi" w:hAnsiTheme="minorHAnsi" w:cstheme="minorHAnsi"/>
                <w:color w:val="000000"/>
                <w:sz w:val="18"/>
                <w:szCs w:val="18"/>
              </w:rPr>
              <w:t>dapagliflozin+saxagliptin</w:t>
            </w:r>
            <w:proofErr w:type="spellEnd"/>
            <w:r w:rsidRPr="001033CF">
              <w:rPr>
                <w:rFonts w:asciiTheme="minorHAnsi" w:hAnsiTheme="minorHAnsi" w:cstheme="minorHAnsi"/>
                <w:color w:val="000000"/>
                <w:sz w:val="18"/>
                <w:szCs w:val="18"/>
              </w:rPr>
              <w:t xml:space="preserve"> </w:t>
            </w:r>
            <w:r w:rsidR="00671C24">
              <w:rPr>
                <w:rFonts w:asciiTheme="minorHAnsi" w:hAnsiTheme="minorHAnsi" w:cstheme="minorHAnsi"/>
                <w:color w:val="000000"/>
                <w:sz w:val="18"/>
                <w:szCs w:val="18"/>
              </w:rPr>
              <w:t xml:space="preserve">FDC </w:t>
            </w:r>
            <w:r w:rsidRPr="001033CF">
              <w:rPr>
                <w:rFonts w:asciiTheme="minorHAnsi" w:hAnsiTheme="minorHAnsi" w:cstheme="minorHAnsi"/>
                <w:color w:val="000000"/>
                <w:sz w:val="18"/>
                <w:szCs w:val="18"/>
              </w:rPr>
              <w:t>(10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/5</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w:t>
            </w:r>
            <w:bookmarkEnd w:id="6"/>
          </w:p>
          <w:p w14:paraId="68A7A8EE" w14:textId="77777777" w:rsidR="0030148D" w:rsidRPr="001033CF" w:rsidRDefault="0030148D" w:rsidP="001033CF">
            <w:pPr>
              <w:jc w:val="both"/>
              <w:rPr>
                <w:rFonts w:asciiTheme="minorHAnsi" w:hAnsiTheme="minorHAnsi" w:cstheme="minorHAnsi"/>
                <w:color w:val="000000"/>
                <w:sz w:val="18"/>
                <w:szCs w:val="18"/>
              </w:rPr>
            </w:pPr>
          </w:p>
          <w:p w14:paraId="44BB6A61" w14:textId="164F0D02" w:rsidR="0030148D" w:rsidRPr="001033CF" w:rsidRDefault="0030148D"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considered that insulin should be removed from the current administrative note to allow insulin to be used in combination with metformin and other SGLT2i</w:t>
            </w:r>
            <w:r w:rsidR="000D7005">
              <w:rPr>
                <w:rFonts w:asciiTheme="minorHAnsi" w:hAnsiTheme="minorHAnsi" w:cstheme="minorHAnsi"/>
                <w:color w:val="000000"/>
                <w:sz w:val="18"/>
                <w:szCs w:val="18"/>
              </w:rPr>
              <w:t xml:space="preserve"> + </w:t>
            </w:r>
            <w:r w:rsidR="000D7005" w:rsidRPr="001033CF">
              <w:rPr>
                <w:rFonts w:asciiTheme="minorHAnsi" w:hAnsiTheme="minorHAnsi" w:cstheme="minorHAnsi"/>
                <w:color w:val="000000"/>
                <w:sz w:val="18"/>
                <w:szCs w:val="18"/>
              </w:rPr>
              <w:t>DPP4i</w:t>
            </w:r>
            <w:r w:rsidRPr="001033CF">
              <w:rPr>
                <w:rFonts w:asciiTheme="minorHAnsi" w:hAnsiTheme="minorHAnsi" w:cstheme="minorHAnsi"/>
                <w:color w:val="000000"/>
                <w:sz w:val="18"/>
                <w:szCs w:val="18"/>
              </w:rPr>
              <w:t xml:space="preserve"> FDCs. The PBAC </w:t>
            </w:r>
            <w:r w:rsidR="00E87263" w:rsidRPr="001033CF">
              <w:rPr>
                <w:rFonts w:asciiTheme="minorHAnsi" w:hAnsiTheme="minorHAnsi" w:cstheme="minorHAnsi"/>
                <w:color w:val="000000"/>
                <w:sz w:val="18"/>
                <w:szCs w:val="18"/>
              </w:rPr>
              <w:t xml:space="preserve">recommended </w:t>
            </w:r>
            <w:r w:rsidRPr="001033CF">
              <w:rPr>
                <w:rFonts w:asciiTheme="minorHAnsi" w:hAnsiTheme="minorHAnsi" w:cstheme="minorHAnsi"/>
                <w:color w:val="000000"/>
                <w:sz w:val="18"/>
                <w:szCs w:val="18"/>
              </w:rPr>
              <w:t xml:space="preserve">that the change to the administrative note be flowed on to other SGLT2i + DPP4i FDCs. </w:t>
            </w:r>
          </w:p>
          <w:p w14:paraId="0C135836" w14:textId="77777777" w:rsidR="0030148D" w:rsidRPr="001033CF" w:rsidRDefault="0030148D" w:rsidP="001033CF">
            <w:pPr>
              <w:jc w:val="both"/>
              <w:rPr>
                <w:rFonts w:asciiTheme="minorHAnsi" w:hAnsiTheme="minorHAnsi" w:cstheme="minorHAnsi"/>
                <w:color w:val="000000"/>
                <w:sz w:val="18"/>
                <w:szCs w:val="18"/>
              </w:rPr>
            </w:pPr>
          </w:p>
          <w:p w14:paraId="1585B5AE" w14:textId="6E8B7FC3" w:rsidR="004D59A5" w:rsidRPr="001033CF" w:rsidRDefault="0030148D" w:rsidP="001033CF">
            <w:pPr>
              <w:jc w:val="both"/>
              <w:rPr>
                <w:rFonts w:asciiTheme="minorHAnsi" w:hAnsiTheme="minorHAnsi" w:cstheme="minorHAnsi"/>
                <w:color w:val="000000"/>
                <w:sz w:val="18"/>
                <w:szCs w:val="18"/>
              </w:rPr>
            </w:pPr>
            <w:bookmarkStart w:id="7" w:name="_Hlk111543267"/>
            <w:r w:rsidRPr="001033CF">
              <w:rPr>
                <w:rFonts w:asciiTheme="minorHAnsi" w:hAnsiTheme="minorHAnsi" w:cstheme="minorHAnsi"/>
                <w:color w:val="000000"/>
                <w:sz w:val="18"/>
                <w:szCs w:val="18"/>
              </w:rPr>
              <w:t xml:space="preserve">The PBAC considered it would be reasonable to include the </w:t>
            </w:r>
            <w:proofErr w:type="spellStart"/>
            <w:r w:rsidRPr="001033CF">
              <w:rPr>
                <w:rFonts w:asciiTheme="minorHAnsi" w:hAnsiTheme="minorHAnsi" w:cstheme="minorHAnsi"/>
                <w:color w:val="000000"/>
                <w:sz w:val="18"/>
                <w:szCs w:val="18"/>
              </w:rPr>
              <w:t>dapagliflozin</w:t>
            </w:r>
            <w:r w:rsidR="005862AF" w:rsidRPr="001033CF">
              <w:rPr>
                <w:rFonts w:asciiTheme="minorHAnsi" w:hAnsiTheme="minorHAnsi" w:cstheme="minorHAnsi"/>
                <w:color w:val="000000"/>
                <w:sz w:val="18"/>
                <w:szCs w:val="18"/>
              </w:rPr>
              <w:t>+</w:t>
            </w:r>
            <w:r w:rsidRPr="001033CF">
              <w:rPr>
                <w:rFonts w:asciiTheme="minorHAnsi" w:hAnsiTheme="minorHAnsi" w:cstheme="minorHAnsi"/>
                <w:color w:val="000000"/>
                <w:sz w:val="18"/>
                <w:szCs w:val="18"/>
              </w:rPr>
              <w:t>sitagliptin</w:t>
            </w:r>
            <w:proofErr w:type="spellEnd"/>
            <w:r w:rsidRPr="001033CF">
              <w:rPr>
                <w:rFonts w:asciiTheme="minorHAnsi" w:hAnsiTheme="minorHAnsi" w:cstheme="minorHAnsi"/>
                <w:color w:val="000000"/>
                <w:sz w:val="18"/>
                <w:szCs w:val="18"/>
              </w:rPr>
              <w:t xml:space="preserve"> FDC in the 60</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day prescription measure as the alternative product combinations that could be used to achieve triple therapy are included in the continuing treatment phase. The PBAC advised the standard clinical criteria for 60</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day PBS items as recommended at the December 2022 PBAC meeting should be included in the restriction </w:t>
            </w:r>
            <w:r w:rsidR="00E87263" w:rsidRPr="001033CF">
              <w:rPr>
                <w:rFonts w:asciiTheme="minorHAnsi" w:hAnsiTheme="minorHAnsi" w:cstheme="minorHAnsi"/>
                <w:color w:val="000000"/>
                <w:sz w:val="18"/>
                <w:szCs w:val="18"/>
              </w:rPr>
              <w:t>i.e.,</w:t>
            </w:r>
            <w:r w:rsidRPr="001033CF">
              <w:rPr>
                <w:rFonts w:asciiTheme="minorHAnsi" w:hAnsiTheme="minorHAnsi" w:cstheme="minorHAnsi"/>
                <w:color w:val="000000"/>
                <w:sz w:val="18"/>
                <w:szCs w:val="18"/>
              </w:rPr>
              <w:t xml:space="preserve"> “The condition must be stable for the prescriber to consider the listed maximum quantity of this medicine suitable for this patient.”</w:t>
            </w:r>
            <w:bookmarkEnd w:id="7"/>
          </w:p>
        </w:tc>
      </w:tr>
      <w:bookmarkEnd w:id="5"/>
      <w:tr w:rsidR="009D317D" w:rsidRPr="008059F4" w14:paraId="5295E92B"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5E15EF32" w14:textId="77777777" w:rsidR="009D317D" w:rsidRPr="00B0619C" w:rsidRDefault="009D317D" w:rsidP="009D317D">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DAUNORUBICIN WITH CYTARABINE</w:t>
            </w:r>
          </w:p>
          <w:p w14:paraId="0A863858" w14:textId="77777777" w:rsidR="009D317D" w:rsidRPr="00B0619C" w:rsidRDefault="009D317D" w:rsidP="009D317D">
            <w:pPr>
              <w:jc w:val="center"/>
              <w:rPr>
                <w:rFonts w:asciiTheme="minorHAnsi" w:hAnsiTheme="minorHAnsi" w:cstheme="minorHAnsi"/>
                <w:color w:val="000000"/>
                <w:sz w:val="18"/>
                <w:szCs w:val="18"/>
              </w:rPr>
            </w:pPr>
          </w:p>
          <w:p w14:paraId="5A2C4004" w14:textId="18B2FA00" w:rsidR="009D317D" w:rsidRPr="00B0619C" w:rsidRDefault="009D317D" w:rsidP="009D317D">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Powder for I.V infusion containing daunorubicin 44</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and cytarabine 100</w:t>
            </w:r>
            <w:r w:rsidR="001165DD">
              <w:rPr>
                <w:rFonts w:asciiTheme="minorHAnsi" w:hAnsiTheme="minorHAnsi" w:cstheme="minorHAnsi"/>
                <w:color w:val="000000"/>
                <w:sz w:val="18"/>
                <w:szCs w:val="18"/>
              </w:rPr>
              <w:t> mg</w:t>
            </w:r>
          </w:p>
          <w:p w14:paraId="6EA0AE32" w14:textId="77777777" w:rsidR="009D317D" w:rsidRPr="00B0619C" w:rsidRDefault="009D317D" w:rsidP="009D317D">
            <w:pPr>
              <w:jc w:val="center"/>
              <w:rPr>
                <w:rFonts w:asciiTheme="minorHAnsi" w:hAnsiTheme="minorHAnsi" w:cstheme="minorHAnsi"/>
                <w:color w:val="000000"/>
                <w:sz w:val="18"/>
                <w:szCs w:val="18"/>
              </w:rPr>
            </w:pPr>
          </w:p>
          <w:p w14:paraId="25479EB7" w14:textId="252D845B" w:rsidR="009D317D" w:rsidRPr="00B0619C" w:rsidRDefault="009D317D" w:rsidP="009D317D">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Vyxeos</w:t>
            </w:r>
            <w:r w:rsidR="001165DD" w:rsidRPr="001165DD">
              <w:rPr>
                <w:rFonts w:asciiTheme="minorHAnsi" w:hAnsiTheme="minorHAnsi" w:cstheme="minorHAnsi"/>
                <w:color w:val="000000"/>
                <w:sz w:val="18"/>
                <w:szCs w:val="18"/>
              </w:rPr>
              <w:t>®</w:t>
            </w:r>
          </w:p>
          <w:p w14:paraId="47A09158" w14:textId="77777777" w:rsidR="009D317D" w:rsidRPr="00B0619C" w:rsidRDefault="009D317D" w:rsidP="009D317D">
            <w:pPr>
              <w:jc w:val="center"/>
              <w:rPr>
                <w:rFonts w:asciiTheme="minorHAnsi" w:hAnsiTheme="minorHAnsi" w:cstheme="minorHAnsi"/>
                <w:color w:val="000000"/>
                <w:sz w:val="18"/>
                <w:szCs w:val="18"/>
              </w:rPr>
            </w:pPr>
          </w:p>
          <w:p w14:paraId="75F4C604" w14:textId="77777777" w:rsidR="009D317D" w:rsidRPr="00B0619C" w:rsidRDefault="009D317D" w:rsidP="009D317D">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JAZZ PHARMACEUTICALS ANZ PTY LTD</w:t>
            </w:r>
          </w:p>
          <w:p w14:paraId="4A5D7A9E" w14:textId="77777777" w:rsidR="009D317D" w:rsidRDefault="009D317D" w:rsidP="009D317D">
            <w:pPr>
              <w:jc w:val="center"/>
              <w:rPr>
                <w:rFonts w:asciiTheme="minorHAnsi" w:hAnsiTheme="minorHAnsi" w:cstheme="minorHAnsi"/>
                <w:color w:val="000000"/>
                <w:sz w:val="18"/>
                <w:szCs w:val="18"/>
              </w:rPr>
            </w:pPr>
          </w:p>
          <w:p w14:paraId="6DB01A2D" w14:textId="1087EF0B" w:rsidR="009D317D" w:rsidRPr="00B0619C" w:rsidRDefault="007359BD" w:rsidP="009D317D">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w:t>
            </w:r>
          </w:p>
          <w:p w14:paraId="7F35E047" w14:textId="29605B7A" w:rsidR="009D317D" w:rsidRPr="00B0619C" w:rsidRDefault="009D317D" w:rsidP="009D317D">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(New</w:t>
            </w:r>
            <w:r w:rsidR="0095668C">
              <w:rPr>
                <w:rFonts w:asciiTheme="minorHAnsi" w:hAnsiTheme="minorHAnsi" w:cstheme="minorHAnsi"/>
                <w:color w:val="000000"/>
                <w:sz w:val="18"/>
                <w:szCs w:val="18"/>
              </w:rPr>
              <w:t xml:space="preserve"> PBS</w:t>
            </w:r>
            <w:r w:rsidRPr="00B0619C">
              <w:rPr>
                <w:rFonts w:asciiTheme="minorHAnsi" w:hAnsiTheme="minorHAnsi" w:cstheme="minorHAnsi"/>
                <w:color w:val="000000"/>
                <w:sz w:val="18"/>
                <w:szCs w:val="18"/>
              </w:rPr>
              <w:t xml:space="preserve"> listing)</w:t>
            </w:r>
          </w:p>
          <w:p w14:paraId="50E9FEAD" w14:textId="77777777" w:rsidR="009D317D" w:rsidRPr="00B0619C" w:rsidRDefault="009D317D" w:rsidP="009D317D">
            <w:pPr>
              <w:jc w:val="center"/>
              <w:rPr>
                <w:rFonts w:asciiTheme="minorHAnsi" w:hAnsiTheme="minorHAnsi" w:cstheme="minorHAnsi"/>
                <w:color w:val="000000"/>
                <w:sz w:val="18"/>
                <w:szCs w:val="18"/>
              </w:rPr>
            </w:pPr>
          </w:p>
          <w:p w14:paraId="4ACA54CA" w14:textId="556942EF" w:rsidR="009D317D" w:rsidRPr="00B0619C" w:rsidRDefault="009D317D" w:rsidP="009D317D">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WITHDRAWN</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23A8B1" w14:textId="7BFEE5FD" w:rsidR="009D317D" w:rsidRPr="00B0619C" w:rsidRDefault="009D317D" w:rsidP="009D317D">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Acute myeloid leukaemia</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260B69F1" w14:textId="357A1F9A" w:rsidR="009D317D" w:rsidRPr="00B0619C" w:rsidRDefault="009D317D" w:rsidP="009D317D">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Section 100 (Highly Specialised Drugs Program) Authority Required (Telephone/Online) listing for the treatment of therapy</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related acute myeloid leukaemia (t</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AML) or acute myeloid leukaemia with myelodysplasia</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related changes (AML</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MRC) while system and IT challenges relating to a</w:t>
            </w:r>
            <w:r w:rsidR="00830817">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 xml:space="preserve">Section 100 (Efficient Funding of Chemotherapy) listing are resolved. </w:t>
            </w:r>
          </w:p>
        </w:tc>
        <w:tc>
          <w:tcPr>
            <w:tcW w:w="1584" w:type="dxa"/>
            <w:shd w:val="clear" w:color="auto" w:fill="BFBFBF" w:themeFill="background1" w:themeFillShade="BF"/>
            <w:vAlign w:val="center"/>
          </w:tcPr>
          <w:p w14:paraId="1EEBFBA6" w14:textId="0F4830EA" w:rsidR="009D317D" w:rsidRPr="001033CF" w:rsidRDefault="009D317D" w:rsidP="009D317D">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0FA41A76" w14:textId="77777777" w:rsidR="009D317D" w:rsidRDefault="009D317D"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This item was withdrawn.</w:t>
            </w:r>
          </w:p>
          <w:p w14:paraId="5E21D284" w14:textId="20B75BD2" w:rsidR="005434CF" w:rsidRPr="006E7B89" w:rsidRDefault="005434CF" w:rsidP="001033CF">
            <w:pPr>
              <w:jc w:val="both"/>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Note this item was considered </w:t>
            </w:r>
            <w:r w:rsidRPr="005434CF">
              <w:rPr>
                <w:rFonts w:asciiTheme="minorHAnsi" w:hAnsiTheme="minorHAnsi" w:cstheme="minorHAnsi"/>
                <w:i/>
                <w:iCs/>
                <w:color w:val="000000"/>
                <w:sz w:val="18"/>
                <w:szCs w:val="18"/>
              </w:rPr>
              <w:t>out</w:t>
            </w:r>
            <w:r w:rsidR="00E91768">
              <w:rPr>
                <w:rFonts w:asciiTheme="minorHAnsi" w:hAnsiTheme="minorHAnsi" w:cstheme="minorHAnsi"/>
                <w:i/>
                <w:iCs/>
                <w:color w:val="000000"/>
                <w:sz w:val="18"/>
                <w:szCs w:val="18"/>
              </w:rPr>
              <w:t>-</w:t>
            </w:r>
            <w:r w:rsidRPr="005434CF">
              <w:rPr>
                <w:rFonts w:asciiTheme="minorHAnsi" w:hAnsiTheme="minorHAnsi" w:cstheme="minorHAnsi"/>
                <w:i/>
                <w:iCs/>
                <w:color w:val="000000"/>
                <w:sz w:val="18"/>
                <w:szCs w:val="18"/>
              </w:rPr>
              <w:t>of</w:t>
            </w:r>
            <w:r w:rsidR="00E91768">
              <w:rPr>
                <w:rFonts w:asciiTheme="minorHAnsi" w:hAnsiTheme="minorHAnsi" w:cstheme="minorHAnsi"/>
                <w:i/>
                <w:iCs/>
                <w:color w:val="000000"/>
                <w:sz w:val="18"/>
                <w:szCs w:val="18"/>
              </w:rPr>
              <w:t>-</w:t>
            </w:r>
            <w:r w:rsidRPr="005434CF">
              <w:rPr>
                <w:rFonts w:asciiTheme="minorHAnsi" w:hAnsiTheme="minorHAnsi" w:cstheme="minorHAnsi"/>
                <w:i/>
                <w:iCs/>
                <w:color w:val="000000"/>
                <w:sz w:val="18"/>
                <w:szCs w:val="18"/>
              </w:rPr>
              <w:t>session between ordinary meetings (March 2024 – July 2024)</w:t>
            </w:r>
            <w:r>
              <w:rPr>
                <w:rFonts w:asciiTheme="minorHAnsi" w:hAnsiTheme="minorHAnsi" w:cstheme="minorHAnsi"/>
                <w:i/>
                <w:iCs/>
                <w:color w:val="000000"/>
                <w:sz w:val="18"/>
                <w:szCs w:val="18"/>
              </w:rPr>
              <w:t xml:space="preserve"> – outcome provided under out</w:t>
            </w:r>
            <w:r w:rsidR="00E91768">
              <w:rPr>
                <w:rFonts w:asciiTheme="minorHAnsi" w:hAnsiTheme="minorHAnsi" w:cstheme="minorHAnsi"/>
                <w:i/>
                <w:iCs/>
                <w:color w:val="000000"/>
                <w:sz w:val="18"/>
                <w:szCs w:val="18"/>
              </w:rPr>
              <w:t>-</w:t>
            </w:r>
            <w:r>
              <w:rPr>
                <w:rFonts w:asciiTheme="minorHAnsi" w:hAnsiTheme="minorHAnsi" w:cstheme="minorHAnsi"/>
                <w:i/>
                <w:iCs/>
                <w:color w:val="000000"/>
                <w:sz w:val="18"/>
                <w:szCs w:val="18"/>
              </w:rPr>
              <w:t>of</w:t>
            </w:r>
            <w:r w:rsidR="00E91768">
              <w:rPr>
                <w:rFonts w:asciiTheme="minorHAnsi" w:hAnsiTheme="minorHAnsi" w:cstheme="minorHAnsi"/>
                <w:i/>
                <w:iCs/>
                <w:color w:val="000000"/>
                <w:sz w:val="18"/>
                <w:szCs w:val="18"/>
              </w:rPr>
              <w:t>-</w:t>
            </w:r>
            <w:r>
              <w:rPr>
                <w:rFonts w:asciiTheme="minorHAnsi" w:hAnsiTheme="minorHAnsi" w:cstheme="minorHAnsi"/>
                <w:i/>
                <w:iCs/>
                <w:color w:val="000000"/>
                <w:sz w:val="18"/>
                <w:szCs w:val="18"/>
              </w:rPr>
              <w:t>session considerations</w:t>
            </w:r>
            <w:r w:rsidR="00146A19">
              <w:rPr>
                <w:rFonts w:asciiTheme="minorHAnsi" w:hAnsiTheme="minorHAnsi" w:cstheme="minorHAnsi"/>
                <w:i/>
                <w:iCs/>
                <w:color w:val="000000"/>
                <w:sz w:val="18"/>
                <w:szCs w:val="18"/>
              </w:rPr>
              <w:t xml:space="preserve"> below</w:t>
            </w:r>
            <w:r>
              <w:rPr>
                <w:rFonts w:asciiTheme="minorHAnsi" w:hAnsiTheme="minorHAnsi" w:cstheme="minorHAnsi"/>
                <w:i/>
                <w:iCs/>
                <w:color w:val="000000"/>
                <w:sz w:val="18"/>
                <w:szCs w:val="18"/>
              </w:rPr>
              <w:t>.</w:t>
            </w:r>
          </w:p>
        </w:tc>
      </w:tr>
      <w:tr w:rsidR="004D59A5" w:rsidRPr="008059F4" w14:paraId="5710BACA"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1EBA60" w14:textId="2C18F20D" w:rsidR="007359BD"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 xml:space="preserve">DUPILUMAB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200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1.14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dose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300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dose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Dupixent</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SANOFI</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AVENTIS AUSTRALIA PTY LTD</w:t>
            </w:r>
            <w:r w:rsidRPr="00B0619C">
              <w:rPr>
                <w:rFonts w:asciiTheme="minorHAnsi" w:hAnsiTheme="minorHAnsi" w:cstheme="minorHAnsi"/>
                <w:color w:val="000000"/>
                <w:sz w:val="18"/>
                <w:szCs w:val="18"/>
              </w:rPr>
              <w:br/>
            </w:r>
          </w:p>
          <w:p w14:paraId="7CACB9A9" w14:textId="22EFC708" w:rsidR="004D59A5" w:rsidRPr="00B0619C" w:rsidRDefault="007359BD"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95B85C1" w14:textId="06DC64DB"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Asthma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726EC3F" w14:textId="3D6C202A"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Section 100 (Highly Specialised Drugs Program) Authority Required (Written) listing for the treatment of uncontrolled severe asthma in patients aged 6 to </w:t>
            </w:r>
            <w:r w:rsidR="005862AF" w:rsidRPr="00B0619C">
              <w:rPr>
                <w:rFonts w:asciiTheme="minorHAnsi" w:hAnsiTheme="minorHAnsi" w:cstheme="minorHAnsi"/>
                <w:color w:val="000000"/>
                <w:sz w:val="18"/>
                <w:szCs w:val="18"/>
              </w:rPr>
              <w:t>11</w:t>
            </w:r>
            <w:r w:rsidR="005862AF">
              <w:rPr>
                <w:rFonts w:asciiTheme="minorHAnsi" w:hAnsiTheme="minorHAnsi" w:cstheme="minorHAnsi"/>
                <w:color w:val="000000"/>
                <w:sz w:val="18"/>
                <w:szCs w:val="18"/>
              </w:rPr>
              <w:t> </w:t>
            </w:r>
            <w:r w:rsidRPr="00B0619C">
              <w:rPr>
                <w:rFonts w:asciiTheme="minorHAnsi" w:hAnsiTheme="minorHAnsi" w:cstheme="minorHAnsi"/>
                <w:color w:val="000000"/>
                <w:sz w:val="18"/>
                <w:szCs w:val="18"/>
              </w:rPr>
              <w:t>years.</w:t>
            </w:r>
          </w:p>
        </w:tc>
        <w:tc>
          <w:tcPr>
            <w:tcW w:w="1584" w:type="dxa"/>
            <w:shd w:val="clear" w:color="auto" w:fill="auto"/>
            <w:vAlign w:val="center"/>
          </w:tcPr>
          <w:p w14:paraId="4B41EA07" w14:textId="5E4AD2E8" w:rsidR="004D59A5" w:rsidRPr="001033CF" w:rsidRDefault="00604EA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ABBF0C6" w14:textId="00555A0E" w:rsidR="004D59A5" w:rsidRPr="001033CF" w:rsidRDefault="00E74A37"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dupilumab for the treatment of patients aged 6 to 11 years of age with uncontrolled severe asthma despite optimised asthma therapy who have total serum immunoglobulin E (</w:t>
            </w:r>
            <w:proofErr w:type="spellStart"/>
            <w:r w:rsidRPr="001033CF">
              <w:rPr>
                <w:rFonts w:asciiTheme="minorHAnsi" w:hAnsiTheme="minorHAnsi" w:cstheme="minorHAnsi"/>
                <w:color w:val="000000"/>
                <w:sz w:val="18"/>
                <w:szCs w:val="18"/>
              </w:rPr>
              <w:t>IgE</w:t>
            </w:r>
            <w:proofErr w:type="spellEnd"/>
            <w:r w:rsidRPr="001033CF">
              <w:rPr>
                <w:rFonts w:asciiTheme="minorHAnsi" w:hAnsiTheme="minorHAnsi" w:cstheme="minorHAnsi"/>
                <w:color w:val="000000"/>
                <w:sz w:val="18"/>
                <w:szCs w:val="18"/>
              </w:rPr>
              <w:t>) of ≥</w:t>
            </w:r>
            <w:r w:rsidR="005862AF"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30 IU/mL and evidence of atopy, or blood eosinophils ≥</w:t>
            </w:r>
            <w:r w:rsidR="005862AF"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150 x 10</w:t>
            </w:r>
            <w:r w:rsidRPr="001033CF">
              <w:rPr>
                <w:rFonts w:asciiTheme="minorHAnsi" w:hAnsiTheme="minorHAnsi" w:cstheme="minorHAnsi"/>
                <w:color w:val="000000"/>
                <w:sz w:val="18"/>
                <w:szCs w:val="18"/>
                <w:vertAlign w:val="superscript"/>
              </w:rPr>
              <w:t>9</w:t>
            </w:r>
            <w:r w:rsidRPr="001033CF">
              <w:rPr>
                <w:rFonts w:asciiTheme="minorHAnsi" w:hAnsiTheme="minorHAnsi" w:cstheme="minorHAnsi"/>
                <w:color w:val="000000"/>
                <w:sz w:val="18"/>
                <w:szCs w:val="18"/>
              </w:rPr>
              <w:t xml:space="preserve">/L, or fractional exhaled nitric oxide </w:t>
            </w:r>
            <w:r w:rsidR="005862AF"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 xml:space="preserve">20 parts per billion. For patients with </w:t>
            </w:r>
            <w:proofErr w:type="spellStart"/>
            <w:r w:rsidRPr="001033CF">
              <w:rPr>
                <w:rFonts w:asciiTheme="minorHAnsi" w:hAnsiTheme="minorHAnsi" w:cstheme="minorHAnsi"/>
                <w:color w:val="000000"/>
                <w:sz w:val="18"/>
                <w:szCs w:val="18"/>
              </w:rPr>
              <w:t>IgE</w:t>
            </w:r>
            <w:proofErr w:type="spellEnd"/>
            <w:r w:rsidRPr="001033CF">
              <w:rPr>
                <w:rFonts w:asciiTheme="minorHAnsi" w:hAnsiTheme="minorHAnsi" w:cstheme="minorHAnsi"/>
                <w:color w:val="000000"/>
                <w:sz w:val="18"/>
                <w:szCs w:val="18"/>
              </w:rPr>
              <w:t xml:space="preserve"> ≥</w:t>
            </w:r>
            <w:r w:rsidR="005862AF"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30 IU/</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and evidence of atopy the PBAC considered the claim of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inferior effectiveness and safety compared to omalizumab was likely reasonable. For patients who had </w:t>
            </w:r>
            <w:proofErr w:type="spellStart"/>
            <w:r w:rsidRPr="001033CF">
              <w:rPr>
                <w:rFonts w:asciiTheme="minorHAnsi" w:hAnsiTheme="minorHAnsi" w:cstheme="minorHAnsi"/>
                <w:color w:val="000000"/>
                <w:sz w:val="18"/>
                <w:szCs w:val="18"/>
              </w:rPr>
              <w:t>IgE</w:t>
            </w:r>
            <w:proofErr w:type="spellEnd"/>
            <w:r w:rsidR="00F733A2">
              <w:rPr>
                <w:rFonts w:asciiTheme="minorHAnsi" w:hAnsiTheme="minorHAnsi" w:cstheme="minorHAnsi"/>
                <w:color w:val="000000"/>
                <w:sz w:val="18"/>
                <w:szCs w:val="18"/>
              </w:rPr>
              <w:t> </w:t>
            </w:r>
            <w:r w:rsidRPr="001033CF">
              <w:rPr>
                <w:rFonts w:asciiTheme="minorHAnsi" w:hAnsiTheme="minorHAnsi" w:cstheme="minorHAnsi"/>
                <w:color w:val="000000"/>
                <w:sz w:val="18"/>
                <w:szCs w:val="18"/>
              </w:rPr>
              <w:t>&lt;</w:t>
            </w:r>
            <w:r w:rsidR="005862AF"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30 IU/</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and no evidence of atopy the PBAC took into consideration that while the clinical evidence presented was limited, there was a clinical need, and that the number of patients and cost was expected to be small.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dupilumab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against omalizumab. The PBAC recommended flow</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on changes to the PBS restrictions for omalizumab for uncontrolled severe allergic asthma to ensure eligible patients c</w:t>
            </w:r>
            <w:r w:rsidR="007F1B16" w:rsidRPr="001033CF">
              <w:rPr>
                <w:rFonts w:asciiTheme="minorHAnsi" w:hAnsiTheme="minorHAnsi" w:cstheme="minorHAnsi"/>
                <w:color w:val="000000"/>
                <w:sz w:val="18"/>
                <w:szCs w:val="18"/>
              </w:rPr>
              <w:t>an</w:t>
            </w:r>
            <w:r w:rsidRPr="001033CF">
              <w:rPr>
                <w:rFonts w:asciiTheme="minorHAnsi" w:hAnsiTheme="minorHAnsi" w:cstheme="minorHAnsi"/>
                <w:color w:val="000000"/>
                <w:sz w:val="18"/>
                <w:szCs w:val="18"/>
              </w:rPr>
              <w:t xml:space="preserve"> switch between omalizumab and dupilumab as part of a treatment cycle. </w:t>
            </w:r>
            <w:r w:rsidR="00F915BE" w:rsidRPr="001033CF">
              <w:rPr>
                <w:rFonts w:asciiTheme="minorHAnsi" w:hAnsiTheme="minorHAnsi" w:cstheme="minorHAnsi"/>
                <w:color w:val="000000"/>
                <w:sz w:val="18"/>
                <w:szCs w:val="18"/>
              </w:rPr>
              <w:t>The PBAC considered the equi-effective doses to be dupilumab 300 mg every 4 weeks for patients weighing &lt; 60 kg, or 200 mg every 2 weeks for patients weighing ≥ 30 kg = omalizumab 375</w:t>
            </w:r>
            <w:r w:rsidR="00FE4890">
              <w:rPr>
                <w:rFonts w:asciiTheme="minorHAnsi" w:hAnsiTheme="minorHAnsi" w:cstheme="minorHAnsi"/>
                <w:color w:val="000000"/>
                <w:sz w:val="18"/>
                <w:szCs w:val="18"/>
              </w:rPr>
              <w:t> </w:t>
            </w:r>
            <w:r w:rsidR="00F915BE" w:rsidRPr="001033CF">
              <w:rPr>
                <w:rFonts w:asciiTheme="minorHAnsi" w:hAnsiTheme="minorHAnsi" w:cstheme="minorHAnsi"/>
                <w:color w:val="000000"/>
                <w:sz w:val="18"/>
                <w:szCs w:val="18"/>
              </w:rPr>
              <w:t>mg given every 4 weeks (either as one dose every 4 weeks or two equal doses every 2 weeks</w:t>
            </w:r>
            <w:r w:rsidR="002D01E4" w:rsidRPr="001033CF">
              <w:rPr>
                <w:rFonts w:asciiTheme="minorHAnsi" w:hAnsiTheme="minorHAnsi" w:cstheme="minorHAnsi"/>
                <w:color w:val="000000"/>
                <w:sz w:val="18"/>
                <w:szCs w:val="18"/>
              </w:rPr>
              <w:t>)</w:t>
            </w:r>
            <w:r w:rsidR="00F915BE" w:rsidRPr="001033CF">
              <w:rPr>
                <w:rFonts w:asciiTheme="minorHAnsi" w:hAnsiTheme="minorHAnsi" w:cstheme="minorHAnsi"/>
                <w:color w:val="000000"/>
                <w:sz w:val="18"/>
                <w:szCs w:val="18"/>
              </w:rPr>
              <w:t>.</w:t>
            </w:r>
          </w:p>
        </w:tc>
      </w:tr>
      <w:tr w:rsidR="004D59A5" w:rsidRPr="008059F4" w14:paraId="489FAC6F"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C640B6B" w14:textId="4828090A" w:rsidR="007359BD"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EDARAVONE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 xml:space="preserve">Solution concentrate for </w:t>
            </w:r>
            <w:r w:rsidRPr="00B0619C" w:rsidDel="00F56DB0">
              <w:rPr>
                <w:rFonts w:asciiTheme="minorHAnsi" w:hAnsiTheme="minorHAnsi" w:cstheme="minorHAnsi"/>
                <w:color w:val="000000"/>
                <w:sz w:val="18"/>
                <w:szCs w:val="18"/>
              </w:rPr>
              <w:t xml:space="preserve">injection </w:t>
            </w:r>
            <w:r w:rsidRPr="00B0619C">
              <w:rPr>
                <w:rFonts w:asciiTheme="minorHAnsi" w:hAnsiTheme="minorHAnsi" w:cstheme="minorHAnsi"/>
                <w:color w:val="000000"/>
                <w:sz w:val="18"/>
                <w:szCs w:val="18"/>
              </w:rPr>
              <w:t>I.V. infusion 30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20</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Radicava</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TEVA PHARMA AUSTRALIA PTY LTD</w:t>
            </w:r>
            <w:r w:rsidRPr="00B0619C">
              <w:rPr>
                <w:rFonts w:asciiTheme="minorHAnsi" w:hAnsiTheme="minorHAnsi" w:cstheme="minorHAnsi"/>
                <w:color w:val="000000"/>
                <w:sz w:val="18"/>
                <w:szCs w:val="18"/>
              </w:rPr>
              <w:br/>
            </w:r>
          </w:p>
          <w:p w14:paraId="61EC39D5" w14:textId="79331C1D" w:rsidR="004D59A5" w:rsidRPr="00B0619C" w:rsidRDefault="007359BD"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E739BB6" w14:textId="38D80C00"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sz w:val="18"/>
                <w:szCs w:val="18"/>
              </w:rPr>
              <w:t>Amyotrophic lateral sclerosis (ALS)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4296E34" w14:textId="53512F05"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Section 100 (Highly Specialised Drugs Program) Authority Required (Telephone/Online) listing for the treatment of ALS.</w:t>
            </w:r>
          </w:p>
        </w:tc>
        <w:tc>
          <w:tcPr>
            <w:tcW w:w="1584" w:type="dxa"/>
            <w:shd w:val="clear" w:color="auto" w:fill="auto"/>
            <w:vAlign w:val="center"/>
          </w:tcPr>
          <w:p w14:paraId="7475BFF7" w14:textId="341A2F01" w:rsidR="004D59A5" w:rsidRPr="001033CF" w:rsidRDefault="00604EA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64526954" w14:textId="3D685B15" w:rsidR="004D59A5" w:rsidRPr="001033CF" w:rsidRDefault="00E74A37"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edaravone, for treatment of ALS in patients who are independent in activities of daily living and where treatment is initiated within two years of disease onset, on the basis that it should be available only under special arrangements under Section 100. The PBAC recommended Community Access on the HSD program for continuing treatment only. The PBAC acknowledged the high clinical need for effective treatments for ALS, the most common phenotype of motor neuron disease. The PBAC recalled that in November 2023 it did not recommend edaravone for this indication, noting that edaravone was not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effective at the price proposed in the submission and that the economic model included </w:t>
            </w:r>
            <w:proofErr w:type="gramStart"/>
            <w:r w:rsidRPr="001033CF">
              <w:rPr>
                <w:rFonts w:asciiTheme="minorHAnsi" w:hAnsiTheme="minorHAnsi" w:cstheme="minorHAnsi"/>
                <w:color w:val="000000"/>
                <w:sz w:val="18"/>
                <w:szCs w:val="18"/>
              </w:rPr>
              <w:t>a number of</w:t>
            </w:r>
            <w:proofErr w:type="gramEnd"/>
            <w:r w:rsidRPr="001033CF">
              <w:rPr>
                <w:rFonts w:asciiTheme="minorHAnsi" w:hAnsiTheme="minorHAnsi" w:cstheme="minorHAnsi"/>
                <w:color w:val="000000"/>
                <w:sz w:val="18"/>
                <w:szCs w:val="18"/>
              </w:rPr>
              <w:t xml:space="preserve"> optimistic assumptions that were likely to underestimate the incremental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effectiveness ratio. The PBAC considered that </w:t>
            </w:r>
            <w:proofErr w:type="gramStart"/>
            <w:r w:rsidRPr="001033CF">
              <w:rPr>
                <w:rFonts w:asciiTheme="minorHAnsi" w:hAnsiTheme="minorHAnsi" w:cstheme="minorHAnsi"/>
                <w:color w:val="000000"/>
                <w:sz w:val="18"/>
                <w:szCs w:val="18"/>
              </w:rPr>
              <w:t>the majority of</w:t>
            </w:r>
            <w:proofErr w:type="gramEnd"/>
            <w:r w:rsidRPr="001033CF">
              <w:rPr>
                <w:rFonts w:asciiTheme="minorHAnsi" w:hAnsiTheme="minorHAnsi" w:cstheme="minorHAnsi"/>
                <w:color w:val="000000"/>
                <w:sz w:val="18"/>
                <w:szCs w:val="18"/>
              </w:rPr>
              <w:t xml:space="preserve"> the outstanding issues were satisfactorily resolved in the resubmission, including changes to the restriction, economic model and financial estimates and advised that edaravone would be acceptably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effective at the price proposed in the resubmission. The PBAC noted that the submission did not reduce the discontinuation rate in the economic model as </w:t>
            </w:r>
            <w:proofErr w:type="gramStart"/>
            <w:r w:rsidRPr="001033CF">
              <w:rPr>
                <w:rFonts w:asciiTheme="minorHAnsi" w:hAnsiTheme="minorHAnsi" w:cstheme="minorHAnsi"/>
                <w:color w:val="000000"/>
                <w:sz w:val="18"/>
                <w:szCs w:val="18"/>
              </w:rPr>
              <w:t>requested, but</w:t>
            </w:r>
            <w:proofErr w:type="gramEnd"/>
            <w:r w:rsidRPr="001033CF">
              <w:rPr>
                <w:rFonts w:asciiTheme="minorHAnsi" w:hAnsiTheme="minorHAnsi" w:cstheme="minorHAnsi"/>
                <w:color w:val="000000"/>
                <w:sz w:val="18"/>
                <w:szCs w:val="18"/>
              </w:rPr>
              <w:t xml:space="preserve"> considered that the remaining uncertainty regarding treatment duration and the potential for ongoing use in a broader population than the trial could be addressed via a risk sharing arrangement with subsidisation caps.</w:t>
            </w:r>
          </w:p>
        </w:tc>
      </w:tr>
      <w:tr w:rsidR="004D59A5" w:rsidRPr="008059F4" w14:paraId="43F0D609"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3CF13EE" w14:textId="766EAD2F" w:rsidR="008130B9" w:rsidRPr="008130B9" w:rsidRDefault="004D59A5" w:rsidP="008130B9">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ELEXACAFTOR WITH TEZACAFTOR AND WITH IVACAFTOR, AND IVACAFTOR</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r w:rsidR="008130B9" w:rsidRPr="008130B9">
              <w:rPr>
                <w:rFonts w:asciiTheme="minorHAnsi" w:hAnsiTheme="minorHAnsi" w:cstheme="minorHAnsi"/>
                <w:color w:val="000000"/>
                <w:sz w:val="18"/>
                <w:szCs w:val="18"/>
              </w:rPr>
              <w:t>Pack containing 56 sachets containing granules elexacaftor 100</w:t>
            </w:r>
            <w:r w:rsidR="008130B9">
              <w:rPr>
                <w:rFonts w:asciiTheme="minorHAnsi" w:hAnsiTheme="minorHAnsi" w:cstheme="minorHAnsi"/>
                <w:color w:val="000000"/>
                <w:sz w:val="18"/>
                <w:szCs w:val="18"/>
              </w:rPr>
              <w:t> </w:t>
            </w:r>
            <w:r w:rsidR="008130B9" w:rsidRPr="008130B9">
              <w:rPr>
                <w:rFonts w:asciiTheme="minorHAnsi" w:hAnsiTheme="minorHAnsi" w:cstheme="minorHAnsi"/>
                <w:color w:val="000000"/>
                <w:sz w:val="18"/>
                <w:szCs w:val="18"/>
              </w:rPr>
              <w:t>mg with tezacaftor 50</w:t>
            </w:r>
            <w:r w:rsidR="008130B9">
              <w:rPr>
                <w:rFonts w:asciiTheme="minorHAnsi" w:hAnsiTheme="minorHAnsi" w:cstheme="minorHAnsi"/>
                <w:color w:val="000000"/>
                <w:sz w:val="18"/>
                <w:szCs w:val="18"/>
              </w:rPr>
              <w:t> </w:t>
            </w:r>
            <w:r w:rsidR="008130B9" w:rsidRPr="008130B9">
              <w:rPr>
                <w:rFonts w:asciiTheme="minorHAnsi" w:hAnsiTheme="minorHAnsi" w:cstheme="minorHAnsi"/>
                <w:color w:val="000000"/>
                <w:sz w:val="18"/>
                <w:szCs w:val="18"/>
              </w:rPr>
              <w:t>mg and with ivacaftor 75</w:t>
            </w:r>
            <w:r w:rsidR="008130B9">
              <w:rPr>
                <w:rFonts w:asciiTheme="minorHAnsi" w:hAnsiTheme="minorHAnsi" w:cstheme="minorHAnsi"/>
                <w:color w:val="000000"/>
                <w:sz w:val="18"/>
                <w:szCs w:val="18"/>
              </w:rPr>
              <w:t> </w:t>
            </w:r>
            <w:r w:rsidR="008130B9" w:rsidRPr="008130B9">
              <w:rPr>
                <w:rFonts w:asciiTheme="minorHAnsi" w:hAnsiTheme="minorHAnsi" w:cstheme="minorHAnsi"/>
                <w:color w:val="000000"/>
                <w:sz w:val="18"/>
                <w:szCs w:val="18"/>
              </w:rPr>
              <w:t>mg and 28 sachets containing granules ivacaftor 75</w:t>
            </w:r>
            <w:r w:rsidR="008130B9">
              <w:rPr>
                <w:rFonts w:asciiTheme="minorHAnsi" w:hAnsiTheme="minorHAnsi" w:cstheme="minorHAnsi"/>
                <w:color w:val="000000"/>
                <w:sz w:val="18"/>
                <w:szCs w:val="18"/>
              </w:rPr>
              <w:t> </w:t>
            </w:r>
            <w:r w:rsidR="008130B9" w:rsidRPr="008130B9">
              <w:rPr>
                <w:rFonts w:asciiTheme="minorHAnsi" w:hAnsiTheme="minorHAnsi" w:cstheme="minorHAnsi"/>
                <w:color w:val="000000"/>
                <w:sz w:val="18"/>
                <w:szCs w:val="18"/>
              </w:rPr>
              <w:t>mg</w:t>
            </w:r>
          </w:p>
          <w:p w14:paraId="282FE664" w14:textId="37A7C858" w:rsidR="000F69EF" w:rsidRDefault="008130B9" w:rsidP="008130B9">
            <w:pPr>
              <w:keepLines/>
              <w:jc w:val="center"/>
              <w:rPr>
                <w:rFonts w:asciiTheme="minorHAnsi" w:hAnsiTheme="minorHAnsi" w:cstheme="minorHAnsi"/>
                <w:color w:val="000000"/>
                <w:sz w:val="18"/>
                <w:szCs w:val="18"/>
              </w:rPr>
            </w:pPr>
            <w:r w:rsidRPr="008130B9">
              <w:rPr>
                <w:rFonts w:asciiTheme="minorHAnsi" w:hAnsiTheme="minorHAnsi" w:cstheme="minorHAnsi"/>
                <w:color w:val="000000"/>
                <w:sz w:val="18"/>
                <w:szCs w:val="18"/>
              </w:rPr>
              <w:t>Pack containing 56 sachets containing granules elexacaftor 80</w:t>
            </w:r>
            <w:r>
              <w:rPr>
                <w:rFonts w:asciiTheme="minorHAnsi" w:hAnsiTheme="minorHAnsi" w:cstheme="minorHAnsi"/>
                <w:color w:val="000000"/>
                <w:sz w:val="18"/>
                <w:szCs w:val="18"/>
              </w:rPr>
              <w:t> </w:t>
            </w:r>
            <w:r w:rsidRPr="008130B9">
              <w:rPr>
                <w:rFonts w:asciiTheme="minorHAnsi" w:hAnsiTheme="minorHAnsi" w:cstheme="minorHAnsi"/>
                <w:color w:val="000000"/>
                <w:sz w:val="18"/>
                <w:szCs w:val="18"/>
              </w:rPr>
              <w:t>mg with tezacaftor 40</w:t>
            </w:r>
            <w:r>
              <w:rPr>
                <w:rFonts w:asciiTheme="minorHAnsi" w:hAnsiTheme="minorHAnsi" w:cstheme="minorHAnsi"/>
                <w:color w:val="000000"/>
                <w:sz w:val="18"/>
                <w:szCs w:val="18"/>
              </w:rPr>
              <w:t> </w:t>
            </w:r>
            <w:r w:rsidRPr="008130B9">
              <w:rPr>
                <w:rFonts w:asciiTheme="minorHAnsi" w:hAnsiTheme="minorHAnsi" w:cstheme="minorHAnsi"/>
                <w:color w:val="000000"/>
                <w:sz w:val="18"/>
                <w:szCs w:val="18"/>
              </w:rPr>
              <w:t>mg and with ivacaftor 60</w:t>
            </w:r>
            <w:r>
              <w:rPr>
                <w:rFonts w:asciiTheme="minorHAnsi" w:hAnsiTheme="minorHAnsi" w:cstheme="minorHAnsi"/>
                <w:color w:val="000000"/>
                <w:sz w:val="18"/>
                <w:szCs w:val="18"/>
              </w:rPr>
              <w:t> </w:t>
            </w:r>
            <w:r w:rsidRPr="008130B9">
              <w:rPr>
                <w:rFonts w:asciiTheme="minorHAnsi" w:hAnsiTheme="minorHAnsi" w:cstheme="minorHAnsi"/>
                <w:color w:val="000000"/>
                <w:sz w:val="18"/>
                <w:szCs w:val="18"/>
              </w:rPr>
              <w:t>mg and 28 sachets containing granules ivacaftor 59.5</w:t>
            </w:r>
            <w:r>
              <w:rPr>
                <w:rFonts w:asciiTheme="minorHAnsi" w:hAnsiTheme="minorHAnsi" w:cstheme="minorHAnsi"/>
                <w:color w:val="000000"/>
                <w:sz w:val="18"/>
                <w:szCs w:val="18"/>
              </w:rPr>
              <w:t> </w:t>
            </w:r>
            <w:r w:rsidRPr="008130B9">
              <w:rPr>
                <w:rFonts w:asciiTheme="minorHAnsi" w:hAnsiTheme="minorHAnsi" w:cstheme="minorHAnsi"/>
                <w:color w:val="000000"/>
                <w:sz w:val="18"/>
                <w:szCs w:val="18"/>
              </w:rPr>
              <w:t>mg</w:t>
            </w:r>
            <w:r w:rsidR="004D59A5" w:rsidRPr="00B0619C">
              <w:rPr>
                <w:rFonts w:asciiTheme="minorHAnsi" w:hAnsiTheme="minorHAnsi" w:cstheme="minorHAnsi"/>
                <w:color w:val="000000"/>
                <w:sz w:val="18"/>
                <w:szCs w:val="18"/>
              </w:rPr>
              <w:br/>
            </w:r>
            <w:r w:rsidR="004D59A5" w:rsidRPr="00B0619C">
              <w:rPr>
                <w:rFonts w:asciiTheme="minorHAnsi" w:hAnsiTheme="minorHAnsi" w:cstheme="minorHAnsi"/>
                <w:color w:val="000000"/>
                <w:sz w:val="18"/>
                <w:szCs w:val="18"/>
              </w:rPr>
              <w:br/>
              <w:t>Trikafta</w:t>
            </w:r>
            <w:r w:rsidR="001165DD" w:rsidRPr="001165DD">
              <w:rPr>
                <w:rFonts w:asciiTheme="minorHAnsi" w:hAnsiTheme="minorHAnsi" w:cstheme="minorHAnsi"/>
                <w:color w:val="000000"/>
                <w:sz w:val="18"/>
                <w:szCs w:val="18"/>
              </w:rPr>
              <w:t>®</w:t>
            </w:r>
            <w:r w:rsidR="004D59A5" w:rsidRPr="00B0619C">
              <w:rPr>
                <w:rFonts w:asciiTheme="minorHAnsi" w:hAnsiTheme="minorHAnsi" w:cstheme="minorHAnsi"/>
                <w:color w:val="000000"/>
                <w:sz w:val="18"/>
                <w:szCs w:val="18"/>
              </w:rPr>
              <w:br/>
            </w:r>
            <w:r w:rsidR="004D59A5" w:rsidRPr="00B0619C">
              <w:rPr>
                <w:rFonts w:asciiTheme="minorHAnsi" w:hAnsiTheme="minorHAnsi" w:cstheme="minorHAnsi"/>
                <w:color w:val="000000"/>
                <w:sz w:val="18"/>
                <w:szCs w:val="18"/>
              </w:rPr>
              <w:br/>
              <w:t>VERTEX PHARMACEUTICALS (AUSTRALIA) PTY. LTD.</w:t>
            </w:r>
            <w:r w:rsidR="004D59A5" w:rsidRPr="00B0619C">
              <w:rPr>
                <w:rFonts w:asciiTheme="minorHAnsi" w:hAnsiTheme="minorHAnsi" w:cstheme="minorHAnsi"/>
                <w:color w:val="000000"/>
                <w:sz w:val="18"/>
                <w:szCs w:val="18"/>
              </w:rPr>
              <w:br/>
            </w:r>
          </w:p>
          <w:p w14:paraId="1E00BDDB" w14:textId="2BBAE1DE"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w:t>
            </w:r>
            <w:r w:rsidR="00CE052C" w:rsidRPr="00B0619C">
              <w:rPr>
                <w:rFonts w:asciiTheme="minorHAnsi" w:hAnsiTheme="minorHAnsi" w:cstheme="minorHAnsi"/>
                <w:color w:val="000000"/>
                <w:sz w:val="18"/>
                <w:szCs w:val="18"/>
              </w:rPr>
              <w:t>New PBS listing</w:t>
            </w:r>
            <w:r w:rsidR="004D59A5" w:rsidRPr="00B0619C">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D804EEE" w14:textId="7BF4F630"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Cystic fibrosis </w:t>
            </w:r>
            <w:r w:rsidR="00D672CB">
              <w:rPr>
                <w:rFonts w:asciiTheme="minorHAnsi" w:hAnsiTheme="minorHAnsi" w:cstheme="minorHAnsi"/>
                <w:color w:val="000000"/>
                <w:sz w:val="18"/>
                <w:szCs w:val="18"/>
              </w:rPr>
              <w:t>(CF)</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E60C82A" w14:textId="4B459FE5"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Section 100 (Highly Specialised Drugs Program) Authority Required (Written) listing for the treatment of </w:t>
            </w:r>
            <w:r w:rsidR="00D672CB">
              <w:rPr>
                <w:rFonts w:asciiTheme="minorHAnsi" w:hAnsiTheme="minorHAnsi" w:cstheme="minorHAnsi"/>
                <w:color w:val="000000"/>
                <w:sz w:val="18"/>
                <w:szCs w:val="18"/>
              </w:rPr>
              <w:t>CF</w:t>
            </w:r>
            <w:r w:rsidRPr="00B0619C">
              <w:rPr>
                <w:rFonts w:asciiTheme="minorHAnsi" w:hAnsiTheme="minorHAnsi" w:cstheme="minorHAnsi"/>
                <w:color w:val="000000"/>
                <w:sz w:val="18"/>
                <w:szCs w:val="18"/>
              </w:rPr>
              <w:t xml:space="preserve"> in patients who are aged 2 to 5 years and who have at least one F508del mutation on the cystic fibrosis</w:t>
            </w:r>
            <w:r w:rsidR="00734864" w:rsidRPr="00B0619C">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transmembrane conductance regulator (</w:t>
            </w:r>
            <w:r w:rsidRPr="00B816E0">
              <w:rPr>
                <w:rFonts w:asciiTheme="minorHAnsi" w:hAnsiTheme="minorHAnsi" w:cstheme="minorHAnsi"/>
                <w:i/>
                <w:iCs/>
                <w:color w:val="000000"/>
                <w:sz w:val="18"/>
                <w:szCs w:val="18"/>
              </w:rPr>
              <w:t>CFTR</w:t>
            </w:r>
            <w:r w:rsidRPr="00B0619C">
              <w:rPr>
                <w:rFonts w:asciiTheme="minorHAnsi" w:hAnsiTheme="minorHAnsi" w:cstheme="minorHAnsi"/>
                <w:color w:val="000000"/>
                <w:sz w:val="18"/>
                <w:szCs w:val="18"/>
              </w:rPr>
              <w:t>) gene.</w:t>
            </w:r>
          </w:p>
        </w:tc>
        <w:tc>
          <w:tcPr>
            <w:tcW w:w="1584" w:type="dxa"/>
            <w:shd w:val="clear" w:color="auto" w:fill="auto"/>
            <w:vAlign w:val="center"/>
          </w:tcPr>
          <w:p w14:paraId="41EBECF1" w14:textId="7849AA38" w:rsidR="004D59A5" w:rsidRPr="001033CF" w:rsidRDefault="00604EA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2EDB2CB" w14:textId="29EA2392" w:rsidR="004D59A5" w:rsidRPr="001033CF" w:rsidRDefault="00E74A37" w:rsidP="008A272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that the restriction for elexacaftor/ tezacaftor/ ivacaftor (ELX/TEZ/IVA) be extended to include the treatment of CF in patients who are aged 2 to 5 years and who have at least one F508del mutation on </w:t>
            </w:r>
            <w:r w:rsidR="00C34F09" w:rsidRPr="001033CF">
              <w:rPr>
                <w:rFonts w:asciiTheme="minorHAnsi" w:hAnsiTheme="minorHAnsi" w:cstheme="minorHAnsi"/>
                <w:color w:val="000000"/>
                <w:sz w:val="18"/>
                <w:szCs w:val="18"/>
              </w:rPr>
              <w:t xml:space="preserve">the </w:t>
            </w:r>
            <w:r w:rsidR="00C34F09" w:rsidRPr="00B816E0">
              <w:rPr>
                <w:rFonts w:asciiTheme="minorHAnsi" w:hAnsiTheme="minorHAnsi" w:cstheme="minorHAnsi"/>
                <w:i/>
                <w:iCs/>
                <w:color w:val="000000"/>
                <w:sz w:val="18"/>
                <w:szCs w:val="18"/>
              </w:rPr>
              <w:t>CFTR</w:t>
            </w:r>
            <w:r w:rsidRPr="001033CF">
              <w:rPr>
                <w:rFonts w:asciiTheme="minorHAnsi" w:hAnsiTheme="minorHAnsi" w:cstheme="minorHAnsi"/>
                <w:color w:val="000000"/>
                <w:sz w:val="18"/>
                <w:szCs w:val="18"/>
              </w:rPr>
              <w:t xml:space="preserve"> gene. The PBAC also recommended that two granule formulations should be made available under Section 100 (Highly Specialised Drugs Program) to facilitate dosing in children aged 2 to &lt; 6 years. The PBAC noted the evidence presented could not accurately quantify the benefit of treating patients with ELX/TEZ/IVA from a younger age but acknowledged treatment from a young age was likely to be beneficial. The PBAC considered ELX/TEZ/IVA was likely to be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 for this population at the same unit price as the current PBS listing (for patients over 6 years of age). The PBAC noted the financial estimates would need to be reduced to account for patients eligible for treatment with ivacaftor (as recommended at the November 2023 PBAC meeting).</w:t>
            </w:r>
          </w:p>
        </w:tc>
      </w:tr>
      <w:tr w:rsidR="004D59A5" w:rsidRPr="008059F4" w14:paraId="41B47CB4"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0AF80C7" w14:textId="68E2D000"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EMPAGLIFLOZIN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10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Jardiance</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BOEHRINGER INGELHEIM PTY LTD</w:t>
            </w:r>
            <w:r w:rsidRPr="00B0619C">
              <w:rPr>
                <w:rFonts w:asciiTheme="minorHAnsi" w:hAnsiTheme="minorHAnsi" w:cstheme="minorHAnsi"/>
                <w:color w:val="000000"/>
                <w:sz w:val="18"/>
                <w:szCs w:val="18"/>
              </w:rPr>
              <w:br/>
            </w:r>
          </w:p>
          <w:p w14:paraId="1F4E64BA" w14:textId="7A5F0EA3"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D7AED15" w14:textId="2DF4478E"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Chronic heart failure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FE5EEA0" w14:textId="241F4A41"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change in the General Schedule Authority Required (STREAMLINED) listing for the treatment of chronic heart failure to allow treatment initiation by nurse practitioners.</w:t>
            </w:r>
          </w:p>
        </w:tc>
        <w:tc>
          <w:tcPr>
            <w:tcW w:w="1584" w:type="dxa"/>
            <w:shd w:val="clear" w:color="auto" w:fill="auto"/>
            <w:vAlign w:val="center"/>
          </w:tcPr>
          <w:p w14:paraId="03001D80" w14:textId="73C05B89" w:rsidR="004D59A5" w:rsidRPr="001033CF" w:rsidRDefault="00604EA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6785728" w14:textId="5FF21E3C" w:rsidR="004D59A5" w:rsidRPr="001033CF" w:rsidRDefault="00734864"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amendment of the Nurse Practitioner (NP) prescribing arrangements of empagliflozin for the treatment of chronic heart failure from continuing therapy only to a shared</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care model. The PBAC noted the Australian Government commitment to remove the legislated requirement for collaborative arrangements for NPs and endorsed midwives. The PBAC </w:t>
            </w:r>
            <w:r w:rsidR="007C2AE7" w:rsidRPr="001033CF">
              <w:rPr>
                <w:rFonts w:asciiTheme="minorHAnsi" w:hAnsiTheme="minorHAnsi" w:cstheme="minorHAnsi"/>
                <w:color w:val="000000"/>
                <w:sz w:val="18"/>
                <w:szCs w:val="18"/>
              </w:rPr>
              <w:t xml:space="preserve">did </w:t>
            </w:r>
            <w:r w:rsidRPr="001033CF">
              <w:rPr>
                <w:rFonts w:asciiTheme="minorHAnsi" w:hAnsiTheme="minorHAnsi" w:cstheme="minorHAnsi"/>
                <w:color w:val="000000"/>
                <w:sz w:val="18"/>
                <w:szCs w:val="18"/>
              </w:rPr>
              <w:t>not recommend the removal of the collaborative arrangements from empagliflozin for chronic heart failure pending implementation of the Government commitment. The PBAC recommended the restriction changes to the NP prescribing arrangements flow</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on to dapagliflozin indicated for chronic heart failure. </w:t>
            </w:r>
          </w:p>
        </w:tc>
      </w:tr>
      <w:tr w:rsidR="004D59A5" w:rsidRPr="008059F4" w14:paraId="76945031"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217A739" w14:textId="7991E5FD"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ETRASIMOD</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2</w:t>
            </w:r>
            <w:r w:rsidR="007C2AE7">
              <w:rPr>
                <w:rFonts w:asciiTheme="minorHAnsi" w:hAnsiTheme="minorHAnsi" w:cstheme="minorHAnsi"/>
                <w:color w:val="000000"/>
                <w:sz w:val="18"/>
                <w:szCs w:val="18"/>
              </w:rPr>
              <w:t> </w:t>
            </w:r>
            <w:r w:rsidRPr="00B0619C">
              <w:rPr>
                <w:rFonts w:asciiTheme="minorHAnsi" w:hAnsiTheme="minorHAnsi" w:cstheme="minorHAnsi"/>
                <w:color w:val="000000"/>
                <w:sz w:val="18"/>
                <w:szCs w:val="18"/>
              </w:rPr>
              <w:t>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Velsipity</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PFIZER AUSTRALIA PTY LTD</w:t>
            </w:r>
            <w:r w:rsidRPr="00B0619C">
              <w:rPr>
                <w:rFonts w:asciiTheme="minorHAnsi" w:hAnsiTheme="minorHAnsi" w:cstheme="minorHAnsi"/>
                <w:color w:val="000000"/>
                <w:sz w:val="18"/>
                <w:szCs w:val="18"/>
              </w:rPr>
              <w:br/>
            </w:r>
          </w:p>
          <w:p w14:paraId="26D7A96B" w14:textId="7FAAF35A"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A8B325B" w14:textId="700C303C"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Ulcerative colitis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917A7A7" w14:textId="41FDC914"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moderate to severe ulcerative colitis</w:t>
            </w:r>
            <w:r w:rsidR="00734864" w:rsidRPr="00B0619C">
              <w:rPr>
                <w:rFonts w:asciiTheme="minorHAnsi" w:hAnsiTheme="minorHAnsi" w:cstheme="minorHAnsi"/>
                <w:color w:val="000000"/>
                <w:sz w:val="18"/>
                <w:szCs w:val="18"/>
              </w:rPr>
              <w:t xml:space="preserve"> (MSUC).</w:t>
            </w:r>
          </w:p>
        </w:tc>
        <w:tc>
          <w:tcPr>
            <w:tcW w:w="1584" w:type="dxa"/>
            <w:shd w:val="clear" w:color="auto" w:fill="auto"/>
            <w:vAlign w:val="center"/>
          </w:tcPr>
          <w:p w14:paraId="6B8755EE" w14:textId="2D6B9F0F" w:rsidR="004D59A5" w:rsidRPr="001033CF" w:rsidRDefault="00604EA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41F8885E" w14:textId="014AB5BF" w:rsidR="004D59A5" w:rsidRPr="001033CF" w:rsidRDefault="00734864"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listing of etrasimod for the treatment of MSUC. The PBAC’s recommendation for listing was based on, among other matters, its assessment that the </w:t>
            </w:r>
            <w:r w:rsidR="00112358" w:rsidRPr="001033CF">
              <w:rPr>
                <w:rFonts w:asciiTheme="minorHAnsi" w:hAnsiTheme="minorHAnsi" w:cstheme="minorHAnsi"/>
                <w:color w:val="000000"/>
                <w:sz w:val="18"/>
                <w:szCs w:val="18"/>
              </w:rPr>
              <w:t>cost</w:t>
            </w:r>
            <w:r w:rsidR="00112358" w:rsidRPr="001033CF">
              <w:rPr>
                <w:rFonts w:asciiTheme="minorHAnsi" w:hAnsiTheme="minorHAnsi" w:cstheme="minorHAnsi"/>
                <w:color w:val="000000"/>
                <w:sz w:val="18"/>
                <w:szCs w:val="18"/>
              </w:rPr>
              <w:noBreakHyphen/>
              <w:t>effect</w:t>
            </w:r>
            <w:r w:rsidRPr="001033CF">
              <w:rPr>
                <w:rFonts w:asciiTheme="minorHAnsi" w:hAnsiTheme="minorHAnsi" w:cstheme="minorHAnsi"/>
                <w:color w:val="000000"/>
                <w:sz w:val="18"/>
                <w:szCs w:val="18"/>
              </w:rPr>
              <w:t xml:space="preserve">iveness of ETR would be acceptable if it were </w:t>
            </w:r>
            <w:r w:rsidR="00DA3E52" w:rsidRPr="001033CF">
              <w:rPr>
                <w:rFonts w:asciiTheme="minorHAnsi" w:hAnsiTheme="minorHAnsi" w:cstheme="minorHAnsi"/>
                <w:color w:val="000000"/>
                <w:sz w:val="18"/>
                <w:szCs w:val="18"/>
              </w:rPr>
              <w:t>cost</w:t>
            </w:r>
            <w:r w:rsidR="00DA3E52" w:rsidRPr="001033CF">
              <w:rPr>
                <w:rFonts w:asciiTheme="minorHAnsi" w:hAnsiTheme="minorHAnsi" w:cstheme="minorHAnsi"/>
                <w:color w:val="000000"/>
                <w:sz w:val="18"/>
                <w:szCs w:val="18"/>
              </w:rPr>
              <w:noBreakHyphen/>
              <w:t>minimis</w:t>
            </w:r>
            <w:r w:rsidRPr="001033CF">
              <w:rPr>
                <w:rFonts w:asciiTheme="minorHAnsi" w:hAnsiTheme="minorHAnsi" w:cstheme="minorHAnsi"/>
                <w:color w:val="000000"/>
                <w:sz w:val="18"/>
                <w:szCs w:val="18"/>
              </w:rPr>
              <w:t>ed to the least costly alternative biologic or targeted synthetic biologic disease modifying anti</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rheumatic drug (b/tsDMARD) therapy out of infliximab, tofacitinib, ozanimod, vedolizumab, ustekinumab and golimumab. The PBAC considered, based on the evidence presented, that </w:t>
            </w:r>
            <w:r w:rsidR="00133E15" w:rsidRPr="001033CF">
              <w:rPr>
                <w:rFonts w:asciiTheme="minorHAnsi" w:hAnsiTheme="minorHAnsi" w:cstheme="minorHAnsi"/>
                <w:color w:val="000000"/>
                <w:sz w:val="18"/>
                <w:szCs w:val="18"/>
              </w:rPr>
              <w:t>etrasimod</w:t>
            </w:r>
            <w:r w:rsidRPr="001033CF">
              <w:rPr>
                <w:rFonts w:asciiTheme="minorHAnsi" w:hAnsiTheme="minorHAnsi" w:cstheme="minorHAnsi"/>
                <w:color w:val="000000"/>
                <w:sz w:val="18"/>
                <w:szCs w:val="18"/>
              </w:rPr>
              <w:t xml:space="preserve"> is likely to be of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inferior comparative effectiveness and safety to these agents in MSUC and considered the available evidence on balance supports that </w:t>
            </w:r>
            <w:r w:rsidR="009F5A8C" w:rsidRPr="001033CF">
              <w:rPr>
                <w:rFonts w:asciiTheme="minorHAnsi" w:hAnsiTheme="minorHAnsi" w:cstheme="minorHAnsi"/>
                <w:color w:val="000000"/>
                <w:sz w:val="18"/>
                <w:szCs w:val="18"/>
              </w:rPr>
              <w:t>etrasimod</w:t>
            </w:r>
            <w:r w:rsidRPr="001033CF">
              <w:rPr>
                <w:rFonts w:asciiTheme="minorHAnsi" w:hAnsiTheme="minorHAnsi" w:cstheme="minorHAnsi"/>
                <w:color w:val="000000"/>
                <w:sz w:val="18"/>
                <w:szCs w:val="18"/>
              </w:rPr>
              <w:t>, for some patients, likely provides a significant improvement in effectiveness compared to adalimumab.</w:t>
            </w:r>
            <w:r w:rsidR="00E06FE5" w:rsidRPr="008A272F">
              <w:rPr>
                <w:rFonts w:asciiTheme="minorHAnsi" w:hAnsiTheme="minorHAnsi" w:cstheme="minorHAnsi"/>
                <w:sz w:val="18"/>
                <w:szCs w:val="18"/>
              </w:rPr>
              <w:t xml:space="preserve"> The PBAC advised the equi</w:t>
            </w:r>
            <w:r w:rsidR="00E06FE5" w:rsidRPr="008A272F">
              <w:rPr>
                <w:rFonts w:asciiTheme="minorHAnsi" w:hAnsiTheme="minorHAnsi" w:cstheme="minorHAnsi"/>
                <w:sz w:val="18"/>
                <w:szCs w:val="18"/>
              </w:rPr>
              <w:noBreakHyphen/>
              <w:t xml:space="preserve">effective doses were: </w:t>
            </w:r>
            <w:r w:rsidR="00E04F0C" w:rsidRPr="001033CF">
              <w:rPr>
                <w:rFonts w:asciiTheme="minorHAnsi" w:hAnsiTheme="minorHAnsi" w:cstheme="minorHAnsi"/>
                <w:color w:val="000000"/>
                <w:sz w:val="18"/>
                <w:szCs w:val="18"/>
              </w:rPr>
              <w:t>etrasimod</w:t>
            </w:r>
            <w:r w:rsidR="00E06FE5" w:rsidRPr="001033CF">
              <w:rPr>
                <w:rFonts w:asciiTheme="minorHAnsi" w:hAnsiTheme="minorHAnsi" w:cstheme="minorHAnsi"/>
                <w:sz w:val="18"/>
                <w:szCs w:val="18"/>
              </w:rPr>
              <w:t xml:space="preserve"> 2</w:t>
            </w:r>
            <w:r w:rsidR="00671C24">
              <w:rPr>
                <w:rFonts w:asciiTheme="minorHAnsi" w:hAnsiTheme="minorHAnsi" w:cstheme="minorHAnsi"/>
                <w:sz w:val="18"/>
                <w:szCs w:val="18"/>
              </w:rPr>
              <w:t> </w:t>
            </w:r>
            <w:r w:rsidR="00E06FE5" w:rsidRPr="001033CF">
              <w:rPr>
                <w:rFonts w:asciiTheme="minorHAnsi" w:hAnsiTheme="minorHAnsi" w:cstheme="minorHAnsi"/>
                <w:sz w:val="18"/>
                <w:szCs w:val="18"/>
              </w:rPr>
              <w:t xml:space="preserve">mg daily = </w:t>
            </w:r>
            <w:r w:rsidR="00E04F0C">
              <w:rPr>
                <w:rFonts w:asciiTheme="minorHAnsi" w:hAnsiTheme="minorHAnsi" w:cstheme="minorHAnsi"/>
                <w:sz w:val="18"/>
                <w:szCs w:val="18"/>
              </w:rPr>
              <w:t>ozanimod</w:t>
            </w:r>
            <w:r w:rsidR="00E06FE5" w:rsidRPr="001033CF">
              <w:rPr>
                <w:rFonts w:asciiTheme="minorHAnsi" w:hAnsiTheme="minorHAnsi" w:cstheme="minorHAnsi"/>
                <w:sz w:val="18"/>
                <w:szCs w:val="18"/>
              </w:rPr>
              <w:t xml:space="preserve"> 0.23 mg daily for 4 days, then 0.46 mg daily for 3 days, then 0.92 mg daily thereafter, </w:t>
            </w:r>
            <w:r w:rsidR="00E06FE5" w:rsidRPr="008A272F">
              <w:rPr>
                <w:rFonts w:asciiTheme="minorHAnsi" w:hAnsiTheme="minorHAnsi" w:cstheme="minorHAnsi"/>
                <w:sz w:val="18"/>
                <w:szCs w:val="18"/>
              </w:rPr>
              <w:t>and doses of alternative b/tsDMARDs derived from the relevant Product Information documents.</w:t>
            </w:r>
          </w:p>
        </w:tc>
      </w:tr>
      <w:tr w:rsidR="004D59A5" w:rsidRPr="008059F4" w14:paraId="07695403"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5622B6A" w14:textId="36C114C3"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EVOLOCUMAB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140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Injection 420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3.5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w:t>
            </w:r>
            <w:r w:rsidR="007C2AE7">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cartridge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Repatha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AMGEN AUSTRALIA PTY LIMITED</w:t>
            </w:r>
            <w:r w:rsidRPr="00B0619C">
              <w:rPr>
                <w:rFonts w:asciiTheme="minorHAnsi" w:hAnsiTheme="minorHAnsi" w:cstheme="minorHAnsi"/>
                <w:color w:val="000000"/>
                <w:sz w:val="18"/>
                <w:szCs w:val="18"/>
              </w:rPr>
              <w:br/>
            </w:r>
          </w:p>
          <w:p w14:paraId="4687854B" w14:textId="6CCF5A69"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8117353" w14:textId="3451695A"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Hypercholesterolaemia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706B778" w14:textId="5B3C17FF" w:rsidR="007C2AE7"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change to the restriction level of the existing listings for initial treatment from Authority Required (Telephone/Online) to Authority Required (STREAMLINED). </w:t>
            </w:r>
          </w:p>
          <w:p w14:paraId="5218D1C9" w14:textId="77777777" w:rsidR="00671C24" w:rsidRDefault="00671C24" w:rsidP="004D59A5">
            <w:pPr>
              <w:pStyle w:val="ListParagraph"/>
              <w:keepLines/>
              <w:ind w:left="0"/>
              <w:jc w:val="center"/>
              <w:rPr>
                <w:rFonts w:asciiTheme="minorHAnsi" w:hAnsiTheme="minorHAnsi" w:cstheme="minorHAnsi"/>
                <w:color w:val="000000"/>
                <w:sz w:val="18"/>
                <w:szCs w:val="18"/>
              </w:rPr>
            </w:pPr>
          </w:p>
          <w:p w14:paraId="30821244" w14:textId="069A42F0"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The submission also requested a change in the clinical criteria to reduce the minimum treatment duration required with both a statin and ezetimibe prior to initiating evolocumab.</w:t>
            </w:r>
          </w:p>
        </w:tc>
        <w:tc>
          <w:tcPr>
            <w:tcW w:w="1584" w:type="dxa"/>
            <w:shd w:val="clear" w:color="auto" w:fill="auto"/>
            <w:vAlign w:val="center"/>
          </w:tcPr>
          <w:p w14:paraId="09038FC0" w14:textId="3BFAEA4B" w:rsidR="004D59A5" w:rsidRPr="001033CF" w:rsidRDefault="00604EA9"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40DF6BC" w14:textId="036B1F69" w:rsidR="00EB0DA5" w:rsidRPr="001033CF" w:rsidRDefault="00734864"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changing the restriction level from Authority Required (</w:t>
            </w:r>
            <w:r w:rsidR="007C2AE7" w:rsidRPr="001033CF">
              <w:rPr>
                <w:rFonts w:asciiTheme="minorHAnsi" w:hAnsiTheme="minorHAnsi" w:cstheme="minorHAnsi"/>
                <w:color w:val="000000"/>
                <w:sz w:val="18"/>
                <w:szCs w:val="18"/>
              </w:rPr>
              <w:t>T</w:t>
            </w:r>
            <w:r w:rsidRPr="001033CF">
              <w:rPr>
                <w:rFonts w:asciiTheme="minorHAnsi" w:hAnsiTheme="minorHAnsi" w:cstheme="minorHAnsi"/>
                <w:color w:val="000000"/>
                <w:sz w:val="18"/>
                <w:szCs w:val="18"/>
              </w:rPr>
              <w:t>elephone/</w:t>
            </w:r>
            <w:r w:rsidR="007C2AE7" w:rsidRPr="001033CF">
              <w:rPr>
                <w:rFonts w:asciiTheme="minorHAnsi" w:hAnsiTheme="minorHAnsi" w:cstheme="minorHAnsi"/>
                <w:color w:val="000000"/>
                <w:sz w:val="18"/>
                <w:szCs w:val="18"/>
              </w:rPr>
              <w:t>O</w:t>
            </w:r>
            <w:r w:rsidRPr="001033CF">
              <w:rPr>
                <w:rFonts w:asciiTheme="minorHAnsi" w:hAnsiTheme="minorHAnsi" w:cstheme="minorHAnsi"/>
                <w:color w:val="000000"/>
                <w:sz w:val="18"/>
                <w:szCs w:val="18"/>
              </w:rPr>
              <w:t>nline) to Authority Required (STREAMLINED) for the initial treatment listings for evolocumab injection 140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1</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single use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filled pen and injection 420</w:t>
            </w:r>
            <w:r w:rsidR="001165DD" w:rsidRPr="001033CF">
              <w:rPr>
                <w:rFonts w:asciiTheme="minorHAnsi" w:hAnsiTheme="minorHAnsi" w:cstheme="minorHAnsi"/>
                <w:color w:val="000000"/>
                <w:sz w:val="18"/>
                <w:szCs w:val="18"/>
              </w:rPr>
              <w:t> mg</w:t>
            </w:r>
            <w:r w:rsidRPr="001033CF">
              <w:rPr>
                <w:rFonts w:asciiTheme="minorHAnsi" w:hAnsiTheme="minorHAnsi" w:cstheme="minorHAnsi"/>
                <w:color w:val="000000"/>
                <w:sz w:val="18"/>
                <w:szCs w:val="18"/>
              </w:rPr>
              <w:t xml:space="preserve"> in 3.5</w:t>
            </w:r>
            <w:r w:rsidR="001165DD" w:rsidRPr="001033CF">
              <w:rPr>
                <w:rFonts w:asciiTheme="minorHAnsi" w:hAnsiTheme="minorHAnsi" w:cstheme="minorHAnsi"/>
                <w:color w:val="000000"/>
                <w:sz w:val="18"/>
                <w:szCs w:val="18"/>
              </w:rPr>
              <w:t> mL</w:t>
            </w:r>
            <w:r w:rsidRPr="001033CF">
              <w:rPr>
                <w:rFonts w:asciiTheme="minorHAnsi" w:hAnsiTheme="minorHAnsi" w:cstheme="minorHAnsi"/>
                <w:color w:val="000000"/>
                <w:sz w:val="18"/>
                <w:szCs w:val="18"/>
              </w:rPr>
              <w:t xml:space="preserve"> single use pre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filled cartridge for the treatment of homozygous familial hypercholesterolaemia, heterozygous familial hypercholesterolaemia</w:t>
            </w:r>
            <w:r w:rsidR="00EB0DA5"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and non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familial hypercholesterolaemia.</w:t>
            </w:r>
            <w:r w:rsidR="00EB0DA5" w:rsidRPr="001033CF">
              <w:rPr>
                <w:rFonts w:asciiTheme="minorHAnsi" w:hAnsiTheme="minorHAnsi" w:cstheme="minorHAnsi"/>
                <w:color w:val="000000"/>
                <w:sz w:val="18"/>
                <w:szCs w:val="18"/>
              </w:rPr>
              <w:t xml:space="preserve"> </w:t>
            </w:r>
          </w:p>
          <w:p w14:paraId="176C4738" w14:textId="77777777" w:rsidR="00EB0DA5" w:rsidRPr="001033CF" w:rsidRDefault="00EB0DA5" w:rsidP="001033CF">
            <w:pPr>
              <w:jc w:val="both"/>
              <w:rPr>
                <w:rFonts w:asciiTheme="minorHAnsi" w:hAnsiTheme="minorHAnsi" w:cstheme="minorHAnsi"/>
                <w:color w:val="000000"/>
                <w:sz w:val="18"/>
                <w:szCs w:val="18"/>
              </w:rPr>
            </w:pPr>
          </w:p>
          <w:p w14:paraId="68AE7271" w14:textId="73F861B0" w:rsidR="004D59A5" w:rsidRPr="001033CF" w:rsidRDefault="00734864"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did not recommend a reduction in the minimum treatment duration for both the maximum tolerated dose of statin and ezetimibe, prior to initiating evolocumab in the clinical criteria for the PBS</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listings for evolocumab. The PBAC noted that no evidence was provided to demonstrate a clinical benefit to patients if evolocumab is initiated earlier or to justify the resulting increased cost to the PBS. </w:t>
            </w:r>
          </w:p>
        </w:tc>
      </w:tr>
      <w:tr w:rsidR="009D317D" w:rsidRPr="008059F4" w14:paraId="6CE326A4"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1181653C" w14:textId="366BF13F" w:rsidR="009D317D" w:rsidRDefault="009D317D" w:rsidP="009D317D">
            <w:pPr>
              <w:jc w:val="center"/>
              <w:rPr>
                <w:rFonts w:asciiTheme="minorHAnsi" w:hAnsiTheme="minorHAnsi" w:cstheme="minorHAnsi"/>
                <w:color w:val="000000"/>
                <w:sz w:val="18"/>
                <w:szCs w:val="18"/>
              </w:rPr>
            </w:pPr>
            <w:bookmarkStart w:id="8" w:name="_Hlk152055315"/>
            <w:r w:rsidRPr="00B0619C">
              <w:rPr>
                <w:rFonts w:asciiTheme="minorHAnsi" w:hAnsiTheme="minorHAnsi" w:cstheme="minorHAnsi"/>
                <w:color w:val="000000"/>
                <w:sz w:val="18"/>
                <w:szCs w:val="18"/>
              </w:rPr>
              <w:lastRenderedPageBreak/>
              <w:t>GLYCOMACROPEPTIDE FORMULA WITH DOCOSAHEXAENOIC ACID AND LOW PHENYLALANINE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Oral liquid 250</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18 (PKU </w:t>
            </w:r>
            <w:proofErr w:type="spellStart"/>
            <w:r w:rsidRPr="00B0619C">
              <w:rPr>
                <w:rFonts w:asciiTheme="minorHAnsi" w:hAnsiTheme="minorHAnsi" w:cstheme="minorHAnsi"/>
                <w:color w:val="000000"/>
                <w:sz w:val="18"/>
                <w:szCs w:val="18"/>
              </w:rPr>
              <w:t>GMPro</w:t>
            </w:r>
            <w:proofErr w:type="spellEnd"/>
            <w:r w:rsidRPr="00B0619C">
              <w:rPr>
                <w:rFonts w:asciiTheme="minorHAnsi" w:hAnsiTheme="minorHAnsi" w:cstheme="minorHAnsi"/>
                <w:color w:val="000000"/>
                <w:sz w:val="18"/>
                <w:szCs w:val="18"/>
              </w:rPr>
              <w:t xml:space="preserve"> ULTRA LQ)</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 xml:space="preserve">PKU </w:t>
            </w:r>
            <w:proofErr w:type="spellStart"/>
            <w:r w:rsidRPr="00B0619C">
              <w:rPr>
                <w:rFonts w:asciiTheme="minorHAnsi" w:hAnsiTheme="minorHAnsi" w:cstheme="minorHAnsi"/>
                <w:color w:val="000000"/>
                <w:sz w:val="18"/>
                <w:szCs w:val="18"/>
              </w:rPr>
              <w:t>GMPro</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ULTRA LQ</w:t>
            </w:r>
            <w:r w:rsidRPr="00B0619C">
              <w:rPr>
                <w:rFonts w:asciiTheme="minorHAnsi" w:hAnsiTheme="minorHAnsi" w:cstheme="minorHAnsi"/>
                <w:color w:val="000000"/>
                <w:sz w:val="18"/>
                <w:szCs w:val="18"/>
              </w:rPr>
              <w:br/>
            </w:r>
            <w:bookmarkEnd w:id="8"/>
            <w:r w:rsidRPr="00B0619C">
              <w:rPr>
                <w:rFonts w:asciiTheme="minorHAnsi" w:hAnsiTheme="minorHAnsi" w:cstheme="minorHAnsi"/>
                <w:color w:val="000000"/>
                <w:sz w:val="18"/>
                <w:szCs w:val="18"/>
              </w:rPr>
              <w:br/>
              <w:t>NUTRICIA AUSTRALIA PTY LIMITED</w:t>
            </w:r>
            <w:r w:rsidRPr="00B0619C">
              <w:rPr>
                <w:rFonts w:asciiTheme="minorHAnsi" w:hAnsiTheme="minorHAnsi" w:cstheme="minorHAnsi"/>
                <w:color w:val="000000"/>
                <w:sz w:val="18"/>
                <w:szCs w:val="18"/>
              </w:rPr>
              <w:br/>
            </w:r>
          </w:p>
          <w:p w14:paraId="1D09350D" w14:textId="125AB760" w:rsidR="009D317D" w:rsidRPr="00B0619C" w:rsidRDefault="000F69EF" w:rsidP="009D317D">
            <w:pPr>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009D317D" w:rsidRPr="00B0619C">
              <w:rPr>
                <w:rFonts w:asciiTheme="minorHAnsi" w:hAnsiTheme="minorHAnsi" w:cstheme="minorHAnsi"/>
                <w:color w:val="000000"/>
                <w:sz w:val="18"/>
                <w:szCs w:val="18"/>
              </w:rPr>
              <w:br/>
              <w:t>(New PBS listing)</w:t>
            </w:r>
          </w:p>
          <w:p w14:paraId="0544E51B" w14:textId="77777777" w:rsidR="009D317D" w:rsidRPr="00B0619C" w:rsidRDefault="009D317D" w:rsidP="009D317D">
            <w:pPr>
              <w:jc w:val="center"/>
              <w:rPr>
                <w:rFonts w:asciiTheme="minorHAnsi" w:hAnsiTheme="minorHAnsi" w:cstheme="minorHAnsi"/>
                <w:color w:val="000000"/>
                <w:sz w:val="18"/>
                <w:szCs w:val="18"/>
              </w:rPr>
            </w:pPr>
          </w:p>
          <w:p w14:paraId="040C14BB" w14:textId="41CF4F57" w:rsidR="009D317D" w:rsidRPr="00B0619C" w:rsidRDefault="009D317D" w:rsidP="009D317D">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WITHDRAWN</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3F145" w14:textId="49239FBC" w:rsidR="009D317D" w:rsidRPr="00B0619C" w:rsidRDefault="009D317D" w:rsidP="009D317D">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Phenylketonuria (PKU)</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06CBCBC5" w14:textId="6C0120D2" w:rsidR="009D317D" w:rsidRPr="00B0619C" w:rsidRDefault="009D317D" w:rsidP="009D317D">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Restricted Benefit listing for the dietary management of PKU in patients who are aged 3 years and over.</w:t>
            </w:r>
          </w:p>
        </w:tc>
        <w:tc>
          <w:tcPr>
            <w:tcW w:w="1584" w:type="dxa"/>
            <w:shd w:val="clear" w:color="auto" w:fill="BFBFBF" w:themeFill="background1" w:themeFillShade="BF"/>
            <w:vAlign w:val="center"/>
          </w:tcPr>
          <w:p w14:paraId="53550707" w14:textId="3AC57A4E" w:rsidR="009D317D" w:rsidRPr="001033CF" w:rsidRDefault="009D317D" w:rsidP="009D317D">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7FFB75CD" w14:textId="44F1CD1D" w:rsidR="009D317D" w:rsidRPr="001033CF" w:rsidRDefault="009D317D"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This item was withdrawn.</w:t>
            </w:r>
          </w:p>
        </w:tc>
      </w:tr>
      <w:tr w:rsidR="004D59A5" w:rsidRPr="008059F4" w14:paraId="46ED49FD"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FC12E49" w14:textId="015983DB"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IBRUTINIB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140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280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420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Imbruvica</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JANSSEN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CILAG PTY LTD</w:t>
            </w:r>
            <w:r w:rsidRPr="00B0619C">
              <w:rPr>
                <w:rFonts w:asciiTheme="minorHAnsi" w:hAnsiTheme="minorHAnsi" w:cstheme="minorHAnsi"/>
                <w:color w:val="000000"/>
                <w:sz w:val="18"/>
                <w:szCs w:val="18"/>
              </w:rPr>
              <w:br/>
            </w:r>
          </w:p>
          <w:p w14:paraId="05AE09ED" w14:textId="4EF6CC87"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0BF892A" w14:textId="12128D9B"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Chronic lymphocytic leukaemia (CLL) or Small lymphocytic lymphoma (SLL)</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EFDCF59" w14:textId="7AEFED4B"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(Telephone/Online) listing, for use in combination with venetoclax, for the treatment of previously untreated CLL or SLL.</w:t>
            </w:r>
          </w:p>
        </w:tc>
        <w:tc>
          <w:tcPr>
            <w:tcW w:w="1584" w:type="dxa"/>
            <w:shd w:val="clear" w:color="auto" w:fill="auto"/>
            <w:vAlign w:val="center"/>
          </w:tcPr>
          <w:p w14:paraId="7A0860EC" w14:textId="19E2FB9B" w:rsidR="004D59A5" w:rsidRPr="001033CF" w:rsidRDefault="00731044"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2E7B3000" w14:textId="1B45838D" w:rsidR="004D59A5" w:rsidRPr="001033CF" w:rsidRDefault="003E064B"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ibrutinib for use in combination with venetoclax for the treatment of patients with previously untreated CLL/SLL.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ibrutinib plus venetoclax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against venetoclax in combination with obinutuzumab, with 1.0 initial and 8.67 continuing venetoclax scripts plus 7.355 obinutuzumab scripts being considered equivalent to 12.06 ibrutinib scripts plus 1.0 initial and 9.43 continuing venetoclax scripts. In making its recommendation, the PBAC also considered the clinical need and the equity of access advantages associated with an all</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oral therapy.</w:t>
            </w:r>
            <w:r w:rsidR="007C2AE7" w:rsidRPr="001033CF">
              <w:rPr>
                <w:rFonts w:asciiTheme="minorHAnsi" w:hAnsiTheme="minorHAnsi" w:cstheme="minorHAnsi"/>
                <w:color w:val="000000"/>
                <w:sz w:val="18"/>
                <w:szCs w:val="18"/>
              </w:rPr>
              <w:t xml:space="preserve"> </w:t>
            </w:r>
            <w:r w:rsidR="007C2AE7" w:rsidRPr="008A272F">
              <w:rPr>
                <w:rFonts w:asciiTheme="minorHAnsi" w:hAnsiTheme="minorHAnsi" w:cstheme="minorHAnsi"/>
                <w:snapToGrid w:val="0"/>
                <w:sz w:val="18"/>
                <w:szCs w:val="18"/>
              </w:rPr>
              <w:t>The PBAC recommended flow-on changes to the current venetoclax listing to allow its use in combination with ibrutinib in CLL/SLL.</w:t>
            </w:r>
          </w:p>
        </w:tc>
      </w:tr>
      <w:tr w:rsidR="004D59A5" w:rsidRPr="008059F4" w14:paraId="42DD270F"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E81E21" w14:textId="4A73ACFE"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ICOSAPENT ETHYL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1</w:t>
            </w:r>
            <w:r w:rsidR="003E064B" w:rsidRPr="00B0619C">
              <w:rPr>
                <w:rFonts w:asciiTheme="minorHAnsi" w:hAnsiTheme="minorHAnsi" w:cstheme="minorHAnsi"/>
                <w:color w:val="000000"/>
                <w:sz w:val="18"/>
                <w:szCs w:val="18"/>
              </w:rPr>
              <w:t> </w:t>
            </w:r>
            <w:r w:rsidRPr="00B0619C">
              <w:rPr>
                <w:rFonts w:asciiTheme="minorHAnsi" w:hAnsiTheme="minorHAnsi" w:cstheme="minorHAnsi"/>
                <w:color w:val="000000"/>
                <w:sz w:val="18"/>
                <w:szCs w:val="18"/>
              </w:rPr>
              <w:t>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Vazkepa</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SEQIRUS (AUSTRALIA) PTY LTD</w:t>
            </w:r>
            <w:r w:rsidRPr="00B0619C">
              <w:rPr>
                <w:rFonts w:asciiTheme="minorHAnsi" w:hAnsiTheme="minorHAnsi" w:cstheme="minorHAnsi"/>
                <w:color w:val="000000"/>
                <w:sz w:val="18"/>
                <w:szCs w:val="18"/>
              </w:rPr>
              <w:br/>
            </w:r>
          </w:p>
          <w:p w14:paraId="0BDA6E8E" w14:textId="14EBD946"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w:t>
            </w:r>
            <w:r w:rsidR="001165DD"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004D59A5"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5CFEEE3" w14:textId="330D31C3"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sz w:val="18"/>
                <w:szCs w:val="18"/>
              </w:rPr>
              <w:t>Atherosclerotic cardiovascular disease with elevated triglycerides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50C683D" w14:textId="1C3AE467"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(STREAMLINED) listing for the treatment of atherosclerotic cardiovascular disease with elevated triglycerides.</w:t>
            </w:r>
          </w:p>
        </w:tc>
        <w:tc>
          <w:tcPr>
            <w:tcW w:w="1584" w:type="dxa"/>
            <w:shd w:val="clear" w:color="auto" w:fill="auto"/>
            <w:vAlign w:val="center"/>
          </w:tcPr>
          <w:p w14:paraId="6807A39B" w14:textId="594669C0" w:rsidR="004D59A5" w:rsidRPr="001033CF" w:rsidRDefault="00731044"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81C5B09" w14:textId="6D018135" w:rsidR="004D59A5" w:rsidRPr="001033CF" w:rsidRDefault="003E064B"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listing of icosapent ethyl for the treatment of patients with atherosclerotic cardiovascular disease and elevated triglycerides. The PBAC </w:t>
            </w:r>
            <w:r w:rsidR="00E25CC3">
              <w:rPr>
                <w:rFonts w:asciiTheme="minorHAnsi" w:hAnsiTheme="minorHAnsi" w:cstheme="minorHAnsi"/>
                <w:color w:val="000000"/>
                <w:sz w:val="18"/>
                <w:szCs w:val="18"/>
              </w:rPr>
              <w:t>was</w:t>
            </w:r>
            <w:r w:rsidRPr="001033CF">
              <w:rPr>
                <w:rFonts w:asciiTheme="minorHAnsi" w:hAnsiTheme="minorHAnsi" w:cstheme="minorHAnsi"/>
                <w:color w:val="000000"/>
                <w:sz w:val="18"/>
                <w:szCs w:val="18"/>
              </w:rPr>
              <w:t xml:space="preserve"> satisfied that icosapent ethyl provides, for some patients, a significant improvement in efficacy over standard care of care (consisting of dietary modification, lifestyle interventions, and concomitant optimisation of low</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density lipoprotein cholesterol lowering using a statin</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based therapeutic regimen). The PBAC acknowledged the proposals to address the substantive outstanding issues identified in November 2023 in this early re</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entry resubmission and considered the revised price offer and amendments to the economic model were sufficient if further containment of the overall budget impact was achieved.</w:t>
            </w:r>
          </w:p>
        </w:tc>
      </w:tr>
      <w:tr w:rsidR="004D59A5" w:rsidRPr="008059F4" w14:paraId="6C41C9DC"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FC06363" w14:textId="0A76F31D"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INFLUENZA VACCINE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0.5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Flucelvax</w:t>
            </w:r>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Quad</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SEQIRUS (AUSTRALIA) PTY LTD</w:t>
            </w:r>
            <w:r w:rsidRPr="00B0619C">
              <w:rPr>
                <w:rFonts w:asciiTheme="minorHAnsi" w:hAnsiTheme="minorHAnsi" w:cstheme="minorHAnsi"/>
                <w:color w:val="000000"/>
                <w:sz w:val="18"/>
                <w:szCs w:val="18"/>
              </w:rPr>
              <w:br/>
            </w:r>
          </w:p>
          <w:p w14:paraId="116E4539" w14:textId="5B5B494C"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E626476" w14:textId="092A26D4"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Prevention of influenza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FB4EB05" w14:textId="3C57574D"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National Immunisation Program listing for the prevention of influenza in patients aged 6 months and older.</w:t>
            </w:r>
          </w:p>
        </w:tc>
        <w:tc>
          <w:tcPr>
            <w:tcW w:w="1584" w:type="dxa"/>
            <w:shd w:val="clear" w:color="auto" w:fill="auto"/>
            <w:vAlign w:val="center"/>
          </w:tcPr>
          <w:p w14:paraId="4AA8E4B9" w14:textId="238EE013" w:rsidR="004D59A5" w:rsidRPr="001033CF" w:rsidRDefault="00731044"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4C5B791A" w14:textId="623AEEC2" w:rsidR="004D59A5" w:rsidRPr="001033CF" w:rsidRDefault="009C49E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that influenza vaccine (Flucelvax Quad, quadrivalent influenza virus vaccine, surface antigen, inactivated, cell</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based, </w:t>
            </w:r>
            <w:proofErr w:type="spellStart"/>
            <w:r w:rsidRPr="001033CF">
              <w:rPr>
                <w:rFonts w:asciiTheme="minorHAnsi" w:hAnsiTheme="minorHAnsi" w:cstheme="minorHAnsi"/>
                <w:color w:val="000000"/>
                <w:sz w:val="18"/>
                <w:szCs w:val="18"/>
              </w:rPr>
              <w:t>QIVc</w:t>
            </w:r>
            <w:proofErr w:type="spellEnd"/>
            <w:r w:rsidRPr="001033CF">
              <w:rPr>
                <w:rFonts w:asciiTheme="minorHAnsi" w:hAnsiTheme="minorHAnsi" w:cstheme="minorHAnsi"/>
                <w:color w:val="000000"/>
                <w:sz w:val="18"/>
                <w:szCs w:val="18"/>
              </w:rPr>
              <w:t xml:space="preserve">) be a designated vaccine for the purposes of the </w:t>
            </w:r>
            <w:r w:rsidRPr="001033CF">
              <w:rPr>
                <w:rFonts w:asciiTheme="minorHAnsi" w:hAnsiTheme="minorHAnsi" w:cstheme="minorHAnsi"/>
                <w:i/>
                <w:iCs/>
                <w:color w:val="000000"/>
                <w:sz w:val="18"/>
                <w:szCs w:val="18"/>
              </w:rPr>
              <w:t>National Health Act 1953</w:t>
            </w:r>
            <w:r w:rsidRPr="001033CF">
              <w:rPr>
                <w:rFonts w:asciiTheme="minorHAnsi" w:hAnsiTheme="minorHAnsi" w:cstheme="minorHAnsi"/>
                <w:color w:val="000000"/>
                <w:sz w:val="18"/>
                <w:szCs w:val="18"/>
              </w:rPr>
              <w:t>, for vaccination against influenza in children aged ≥6 months to &lt;5</w:t>
            </w:r>
            <w:r w:rsidR="006059CE" w:rsidRPr="001033CF">
              <w:rPr>
                <w:rFonts w:asciiTheme="minorHAnsi" w:hAnsiTheme="minorHAnsi" w:cstheme="minorHAnsi"/>
                <w:color w:val="000000"/>
                <w:sz w:val="18"/>
                <w:szCs w:val="18"/>
              </w:rPr>
              <w:t> </w:t>
            </w:r>
            <w:r w:rsidRPr="001033CF">
              <w:rPr>
                <w:rFonts w:asciiTheme="minorHAnsi" w:hAnsiTheme="minorHAnsi" w:cstheme="minorHAnsi"/>
                <w:color w:val="000000"/>
                <w:sz w:val="18"/>
                <w:szCs w:val="18"/>
              </w:rPr>
              <w:t>years.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 xml:space="preserve">effectiveness of </w:t>
            </w:r>
            <w:proofErr w:type="spellStart"/>
            <w:r w:rsidRPr="001033CF">
              <w:rPr>
                <w:rFonts w:asciiTheme="minorHAnsi" w:hAnsiTheme="minorHAnsi" w:cstheme="minorHAnsi"/>
                <w:color w:val="000000"/>
                <w:sz w:val="18"/>
                <w:szCs w:val="18"/>
              </w:rPr>
              <w:t>QIVc</w:t>
            </w:r>
            <w:proofErr w:type="spellEnd"/>
            <w:r w:rsidRPr="001033CF">
              <w:rPr>
                <w:rFonts w:asciiTheme="minorHAnsi" w:hAnsiTheme="minorHAnsi" w:cstheme="minorHAnsi"/>
                <w:color w:val="000000"/>
                <w:sz w:val="18"/>
                <w:szCs w:val="18"/>
              </w:rPr>
              <w:t xml:space="preserve"> would be acceptable at the same price as was previously recommended for </w:t>
            </w:r>
            <w:proofErr w:type="spellStart"/>
            <w:r w:rsidRPr="001033CF">
              <w:rPr>
                <w:rFonts w:asciiTheme="minorHAnsi" w:hAnsiTheme="minorHAnsi" w:cstheme="minorHAnsi"/>
                <w:color w:val="000000"/>
                <w:sz w:val="18"/>
                <w:szCs w:val="18"/>
              </w:rPr>
              <w:t>QIVc</w:t>
            </w:r>
            <w:proofErr w:type="spellEnd"/>
            <w:r w:rsidRPr="001033CF">
              <w:rPr>
                <w:rFonts w:asciiTheme="minorHAnsi" w:hAnsiTheme="minorHAnsi" w:cstheme="minorHAnsi"/>
                <w:color w:val="000000"/>
                <w:sz w:val="18"/>
                <w:szCs w:val="18"/>
              </w:rPr>
              <w:t xml:space="preserve"> for the current NIP</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funded population.</w:t>
            </w:r>
          </w:p>
        </w:tc>
      </w:tr>
      <w:tr w:rsidR="004D59A5" w:rsidRPr="008059F4" w14:paraId="71C25DB4"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3A56065" w14:textId="04C16D9B" w:rsidR="000F69EF" w:rsidRDefault="004D59A5" w:rsidP="004D59A5">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INFLUENZA VACCINE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0.5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Flublok</w:t>
            </w:r>
            <w:proofErr w:type="spellEnd"/>
            <w:r w:rsidR="001165DD"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Quadrivalent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SANOFI</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AVENTIS AUSTRALIA PTY LTD</w:t>
            </w:r>
            <w:r w:rsidRPr="00B0619C">
              <w:rPr>
                <w:rFonts w:asciiTheme="minorHAnsi" w:hAnsiTheme="minorHAnsi" w:cstheme="minorHAnsi"/>
                <w:color w:val="000000"/>
                <w:sz w:val="18"/>
                <w:szCs w:val="18"/>
              </w:rPr>
              <w:br/>
            </w:r>
          </w:p>
          <w:p w14:paraId="7B3FE599" w14:textId="67061D36" w:rsidR="004D59A5" w:rsidRPr="00B0619C" w:rsidRDefault="000F69EF" w:rsidP="004D59A5">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004D59A5" w:rsidRPr="00B0619C">
              <w:rPr>
                <w:rFonts w:asciiTheme="minorHAnsi" w:hAnsiTheme="minorHAnsi" w:cstheme="minorHAnsi"/>
                <w:color w:val="000000"/>
                <w:sz w:val="18"/>
                <w:szCs w:val="18"/>
              </w:rPr>
              <w:br/>
              <w:t xml:space="preserve">(New </w:t>
            </w:r>
            <w:r w:rsidR="000E76F0">
              <w:rPr>
                <w:rFonts w:asciiTheme="minorHAnsi" w:hAnsiTheme="minorHAnsi" w:cstheme="minorHAnsi"/>
                <w:color w:val="000000"/>
                <w:sz w:val="18"/>
                <w:szCs w:val="18"/>
              </w:rPr>
              <w:t>NIP</w:t>
            </w:r>
            <w:r w:rsidR="000E76F0" w:rsidRPr="00B0619C">
              <w:rPr>
                <w:rFonts w:asciiTheme="minorHAnsi" w:hAnsiTheme="minorHAnsi" w:cstheme="minorHAnsi"/>
                <w:color w:val="000000"/>
                <w:sz w:val="18"/>
                <w:szCs w:val="18"/>
              </w:rPr>
              <w:t xml:space="preserve"> </w:t>
            </w:r>
            <w:r w:rsidR="004D59A5" w:rsidRPr="00B0619C">
              <w:rPr>
                <w:rFonts w:asciiTheme="minorHAnsi" w:hAnsiTheme="minorHAnsi" w:cstheme="minorHAnsi"/>
                <w:color w:val="000000"/>
                <w:sz w:val="18"/>
                <w:szCs w:val="18"/>
              </w:rPr>
              <w:t>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D58065B" w14:textId="7069F677" w:rsidR="004D59A5" w:rsidRPr="00B0619C" w:rsidRDefault="004D59A5" w:rsidP="004D59A5">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Prevention of influenza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4F8C0EE" w14:textId="10E17986" w:rsidR="004D59A5" w:rsidRPr="00B0619C" w:rsidRDefault="004D59A5" w:rsidP="004D59A5">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National Immunisation Program listing for the prevention of influenza in patients aged 65 years and over.</w:t>
            </w:r>
          </w:p>
        </w:tc>
        <w:tc>
          <w:tcPr>
            <w:tcW w:w="1584" w:type="dxa"/>
            <w:shd w:val="clear" w:color="auto" w:fill="auto"/>
            <w:vAlign w:val="center"/>
          </w:tcPr>
          <w:p w14:paraId="260E2535" w14:textId="5CD37618" w:rsidR="004D59A5" w:rsidRPr="001033CF" w:rsidRDefault="00731044" w:rsidP="004D59A5">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7B62552" w14:textId="10E16D41" w:rsidR="004D59A5" w:rsidRPr="001033CF" w:rsidRDefault="009C49E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that influenza vaccine (</w:t>
            </w:r>
            <w:proofErr w:type="spellStart"/>
            <w:r w:rsidRPr="001033CF">
              <w:rPr>
                <w:rFonts w:asciiTheme="minorHAnsi" w:hAnsiTheme="minorHAnsi" w:cstheme="minorHAnsi"/>
                <w:color w:val="000000"/>
                <w:sz w:val="18"/>
                <w:szCs w:val="18"/>
              </w:rPr>
              <w:t>Flublok</w:t>
            </w:r>
            <w:proofErr w:type="spellEnd"/>
            <w:r w:rsidRPr="001033CF">
              <w:rPr>
                <w:rFonts w:asciiTheme="minorHAnsi" w:hAnsiTheme="minorHAnsi" w:cstheme="minorHAnsi"/>
                <w:color w:val="000000"/>
                <w:sz w:val="18"/>
                <w:szCs w:val="18"/>
              </w:rPr>
              <w:t xml:space="preserve"> Quadrivalent, RIV4) be a designated vaccine for the purposes of the </w:t>
            </w:r>
            <w:r w:rsidRPr="001033CF">
              <w:rPr>
                <w:rFonts w:asciiTheme="minorHAnsi" w:hAnsiTheme="minorHAnsi" w:cstheme="minorHAnsi"/>
                <w:i/>
                <w:iCs/>
                <w:color w:val="000000"/>
                <w:sz w:val="18"/>
                <w:szCs w:val="18"/>
              </w:rPr>
              <w:t>National Health Act 1953</w:t>
            </w:r>
            <w:r w:rsidRPr="001033CF">
              <w:rPr>
                <w:rFonts w:asciiTheme="minorHAnsi" w:hAnsiTheme="minorHAnsi" w:cstheme="minorHAnsi"/>
                <w:color w:val="000000"/>
                <w:sz w:val="18"/>
                <w:szCs w:val="18"/>
              </w:rPr>
              <w:t xml:space="preserve"> for vaccination against influenza in people aged at least 65 years of age. The PBAC’s recommendation for listing was based on, among other matters, its assessment that the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effectiveness of RIV4 would be acceptable if it were cost</w:t>
            </w:r>
            <w:r w:rsidR="001165DD" w:rsidRPr="001033CF">
              <w:rPr>
                <w:rFonts w:asciiTheme="minorHAnsi" w:hAnsiTheme="minorHAnsi" w:cstheme="minorHAnsi"/>
                <w:color w:val="000000"/>
                <w:sz w:val="18"/>
                <w:szCs w:val="18"/>
              </w:rPr>
              <w:noBreakHyphen/>
            </w:r>
            <w:r w:rsidRPr="001033CF">
              <w:rPr>
                <w:rFonts w:asciiTheme="minorHAnsi" w:hAnsiTheme="minorHAnsi" w:cstheme="minorHAnsi"/>
                <w:color w:val="000000"/>
                <w:sz w:val="18"/>
                <w:szCs w:val="18"/>
              </w:rPr>
              <w:t>minimised against adjuvanted quadrivalent influenza vaccine.</w:t>
            </w:r>
            <w:r w:rsidR="001849E7" w:rsidRPr="001033CF">
              <w:rPr>
                <w:rFonts w:asciiTheme="minorHAnsi" w:hAnsiTheme="minorHAnsi" w:cstheme="minorHAnsi"/>
                <w:color w:val="000000"/>
                <w:sz w:val="18"/>
                <w:szCs w:val="18"/>
              </w:rPr>
              <w:t xml:space="preserve"> The PBAC considered that the equi-effective doses should be one dose of RIV4 0.5</w:t>
            </w:r>
            <w:r w:rsidR="00034AE8">
              <w:rPr>
                <w:rFonts w:asciiTheme="minorHAnsi" w:hAnsiTheme="minorHAnsi" w:cstheme="minorHAnsi"/>
                <w:color w:val="000000"/>
                <w:sz w:val="18"/>
                <w:szCs w:val="18"/>
              </w:rPr>
              <w:t> </w:t>
            </w:r>
            <w:r w:rsidR="001849E7" w:rsidRPr="001033CF">
              <w:rPr>
                <w:rFonts w:asciiTheme="minorHAnsi" w:hAnsiTheme="minorHAnsi" w:cstheme="minorHAnsi"/>
                <w:color w:val="000000"/>
                <w:sz w:val="18"/>
                <w:szCs w:val="18"/>
              </w:rPr>
              <w:t>mL and one dose of</w:t>
            </w:r>
            <w:r w:rsidR="001849E7" w:rsidRPr="008A272F">
              <w:rPr>
                <w:rFonts w:asciiTheme="minorHAnsi" w:hAnsiTheme="minorHAnsi" w:cstheme="minorHAnsi"/>
                <w:sz w:val="18"/>
                <w:szCs w:val="18"/>
              </w:rPr>
              <w:t xml:space="preserve"> </w:t>
            </w:r>
            <w:r w:rsidR="001849E7" w:rsidRPr="001033CF">
              <w:rPr>
                <w:rFonts w:asciiTheme="minorHAnsi" w:hAnsiTheme="minorHAnsi" w:cstheme="minorHAnsi"/>
                <w:color w:val="000000"/>
                <w:sz w:val="18"/>
                <w:szCs w:val="18"/>
              </w:rPr>
              <w:t xml:space="preserve">adjuvanted egg-based quadrivalent influenza vaccine </w:t>
            </w:r>
            <w:r w:rsidR="0051557F" w:rsidRPr="001033CF">
              <w:rPr>
                <w:rFonts w:asciiTheme="minorHAnsi" w:hAnsiTheme="minorHAnsi" w:cstheme="minorHAnsi"/>
                <w:color w:val="000000"/>
                <w:sz w:val="18"/>
                <w:szCs w:val="18"/>
              </w:rPr>
              <w:t>(</w:t>
            </w:r>
            <w:proofErr w:type="spellStart"/>
            <w:r w:rsidR="001849E7" w:rsidRPr="001033CF">
              <w:rPr>
                <w:rFonts w:asciiTheme="minorHAnsi" w:hAnsiTheme="minorHAnsi" w:cstheme="minorHAnsi"/>
                <w:color w:val="000000"/>
                <w:sz w:val="18"/>
                <w:szCs w:val="18"/>
              </w:rPr>
              <w:t>aQIV</w:t>
            </w:r>
            <w:proofErr w:type="spellEnd"/>
            <w:r w:rsidR="0051557F" w:rsidRPr="001033CF">
              <w:rPr>
                <w:rFonts w:asciiTheme="minorHAnsi" w:hAnsiTheme="minorHAnsi" w:cstheme="minorHAnsi"/>
                <w:color w:val="000000"/>
                <w:sz w:val="18"/>
                <w:szCs w:val="18"/>
              </w:rPr>
              <w:t>)</w:t>
            </w:r>
            <w:r w:rsidR="001849E7" w:rsidRPr="001033CF">
              <w:rPr>
                <w:rFonts w:asciiTheme="minorHAnsi" w:hAnsiTheme="minorHAnsi" w:cstheme="minorHAnsi"/>
                <w:color w:val="000000"/>
                <w:sz w:val="18"/>
                <w:szCs w:val="18"/>
              </w:rPr>
              <w:t xml:space="preserve"> 0.5</w:t>
            </w:r>
            <w:r w:rsidR="00034AE8">
              <w:rPr>
                <w:rFonts w:asciiTheme="minorHAnsi" w:hAnsiTheme="minorHAnsi" w:cstheme="minorHAnsi"/>
                <w:color w:val="000000"/>
                <w:sz w:val="18"/>
                <w:szCs w:val="18"/>
              </w:rPr>
              <w:t> </w:t>
            </w:r>
            <w:r w:rsidR="001849E7" w:rsidRPr="001033CF">
              <w:rPr>
                <w:rFonts w:asciiTheme="minorHAnsi" w:hAnsiTheme="minorHAnsi" w:cstheme="minorHAnsi"/>
                <w:color w:val="000000"/>
                <w:sz w:val="18"/>
                <w:szCs w:val="18"/>
              </w:rPr>
              <w:t>mL.</w:t>
            </w:r>
          </w:p>
        </w:tc>
      </w:tr>
      <w:tr w:rsidR="00F93740" w:rsidRPr="008059F4" w14:paraId="12F566C2"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C6F5587"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IRINOTECAN</w:t>
            </w:r>
            <w:r w:rsidRPr="00B0619C">
              <w:rPr>
                <w:rFonts w:asciiTheme="minorHAnsi" w:hAnsiTheme="minorHAnsi" w:cstheme="minorHAnsi"/>
                <w:color w:val="000000"/>
                <w:sz w:val="18"/>
                <w:szCs w:val="18"/>
              </w:rPr>
              <w:br/>
            </w:r>
          </w:p>
          <w:p w14:paraId="4BC87C5A" w14:textId="19678DC2"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Solution for I.V. infusion containing nanoliposomal irinotecan (as sucrosofate) 43</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Onivyde</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SERVIER LABORATORIES (AUST.) PTY. LTD.</w:t>
            </w:r>
            <w:r w:rsidRPr="00B0619C">
              <w:rPr>
                <w:rFonts w:asciiTheme="minorHAnsi" w:hAnsiTheme="minorHAnsi" w:cstheme="minorHAnsi"/>
                <w:color w:val="000000"/>
                <w:sz w:val="18"/>
                <w:szCs w:val="18"/>
              </w:rPr>
              <w:br/>
            </w:r>
          </w:p>
          <w:p w14:paraId="00720220" w14:textId="7EFA5D0F"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0C82FE3" w14:textId="08D3187E"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Pancreatic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AE1DC07" w14:textId="020279DA"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Section 100 (Efficient Funding of Chemotherapy) Authority Required (STREAMLINED) listing, for use in combination with oxaliplatin, 5</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fluorouracil and folinic acid/leucovorin, for the first</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line treatment of metastatic pancreatic adenocarcinoma</w:t>
            </w:r>
            <w:r w:rsidR="008430F2">
              <w:rPr>
                <w:rFonts w:asciiTheme="minorHAnsi" w:hAnsiTheme="minorHAnsi" w:cstheme="minorHAnsi"/>
                <w:color w:val="000000"/>
                <w:sz w:val="18"/>
                <w:szCs w:val="18"/>
              </w:rPr>
              <w:t xml:space="preserve"> (</w:t>
            </w:r>
            <w:proofErr w:type="spellStart"/>
            <w:r w:rsidR="008430F2">
              <w:rPr>
                <w:rFonts w:asciiTheme="minorHAnsi" w:hAnsiTheme="minorHAnsi" w:cstheme="minorHAnsi"/>
                <w:color w:val="000000"/>
                <w:sz w:val="18"/>
                <w:szCs w:val="18"/>
              </w:rPr>
              <w:t>mPAC</w:t>
            </w:r>
            <w:proofErr w:type="spellEnd"/>
            <w:r w:rsidR="008430F2">
              <w:rPr>
                <w:rFonts w:asciiTheme="minorHAnsi" w:hAnsiTheme="minorHAnsi" w:cstheme="minorHAnsi"/>
                <w:color w:val="000000"/>
                <w:sz w:val="18"/>
                <w:szCs w:val="18"/>
              </w:rPr>
              <w:t>)</w:t>
            </w:r>
            <w:r w:rsidRPr="00B0619C">
              <w:rPr>
                <w:rFonts w:asciiTheme="minorHAnsi" w:hAnsiTheme="minorHAnsi" w:cstheme="minorHAnsi"/>
                <w:color w:val="000000"/>
                <w:sz w:val="18"/>
                <w:szCs w:val="18"/>
              </w:rPr>
              <w:t>.</w:t>
            </w:r>
          </w:p>
        </w:tc>
        <w:tc>
          <w:tcPr>
            <w:tcW w:w="1584" w:type="dxa"/>
            <w:shd w:val="clear" w:color="auto" w:fill="auto"/>
            <w:vAlign w:val="center"/>
          </w:tcPr>
          <w:p w14:paraId="15C2BF3E" w14:textId="1BB7594D"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1065C994" w14:textId="0A89D435" w:rsidR="0032265B" w:rsidRPr="00A47AE0" w:rsidRDefault="0032265B" w:rsidP="006E7B89">
            <w:pPr>
              <w:tabs>
                <w:tab w:val="left" w:pos="1080"/>
              </w:tabs>
              <w:autoSpaceDE w:val="0"/>
              <w:autoSpaceDN w:val="0"/>
              <w:adjustRightInd w:val="0"/>
              <w:jc w:val="both"/>
              <w:rPr>
                <w:rFonts w:asciiTheme="minorHAnsi" w:hAnsiTheme="minorHAnsi" w:cstheme="minorHAnsi"/>
                <w:sz w:val="18"/>
                <w:szCs w:val="18"/>
              </w:rPr>
            </w:pPr>
            <w:r w:rsidRPr="00A47AE0">
              <w:rPr>
                <w:rFonts w:asciiTheme="minorHAnsi" w:hAnsiTheme="minorHAnsi" w:cstheme="minorHAnsi"/>
                <w:sz w:val="18"/>
                <w:szCs w:val="18"/>
              </w:rPr>
              <w:t>The PBAC did not recommend nanoliposomal irinotecan (</w:t>
            </w:r>
            <w:proofErr w:type="spellStart"/>
            <w:r w:rsidRPr="00A47AE0">
              <w:rPr>
                <w:rFonts w:asciiTheme="minorHAnsi" w:hAnsiTheme="minorHAnsi" w:cstheme="minorHAnsi"/>
                <w:sz w:val="18"/>
                <w:szCs w:val="18"/>
              </w:rPr>
              <w:t>nal</w:t>
            </w:r>
            <w:proofErr w:type="spellEnd"/>
            <w:r w:rsidRPr="00A47AE0">
              <w:rPr>
                <w:rFonts w:asciiTheme="minorHAnsi" w:hAnsiTheme="minorHAnsi" w:cstheme="minorHAnsi"/>
                <w:sz w:val="18"/>
                <w:szCs w:val="18"/>
              </w:rPr>
              <w:t xml:space="preserve">-IRI) in combination with oxaliplatin, 5 fluorouracil (5-FU) and leucovorin (LV) for use as a four-drug </w:t>
            </w:r>
            <w:r w:rsidRPr="006E7B89">
              <w:rPr>
                <w:rFonts w:asciiTheme="minorHAnsi" w:hAnsiTheme="minorHAnsi" w:cstheme="minorHAnsi"/>
                <w:sz w:val="18"/>
                <w:szCs w:val="18"/>
              </w:rPr>
              <w:t xml:space="preserve">chemotherapy regimen known as NALIRIFOX, for the first-line treatment of </w:t>
            </w:r>
            <w:proofErr w:type="spellStart"/>
            <w:r w:rsidRPr="006E7B89">
              <w:rPr>
                <w:rFonts w:asciiTheme="minorHAnsi" w:hAnsiTheme="minorHAnsi" w:cstheme="minorHAnsi"/>
                <w:sz w:val="18"/>
                <w:szCs w:val="18"/>
              </w:rPr>
              <w:t>mPAC</w:t>
            </w:r>
            <w:proofErr w:type="spellEnd"/>
            <w:r w:rsidRPr="006E7B89">
              <w:rPr>
                <w:rFonts w:asciiTheme="minorHAnsi" w:hAnsiTheme="minorHAnsi" w:cstheme="minorHAnsi"/>
                <w:sz w:val="18"/>
                <w:szCs w:val="18"/>
              </w:rPr>
              <w:t>. The PBAC considered that the combination regimen known as FOLFIRINOX (containing irinotecan, 5-FU, LV and oxaliplatin) was the relevant main comparator in the proposed population</w:t>
            </w:r>
            <w:r w:rsidRPr="00A47AE0">
              <w:rPr>
                <w:rFonts w:asciiTheme="minorHAnsi" w:hAnsiTheme="minorHAnsi" w:cstheme="minorHAnsi"/>
                <w:sz w:val="18"/>
                <w:szCs w:val="18"/>
              </w:rPr>
              <w:t>, rather than gemcitabine with nanoparticle albumin-bound paclitaxel (</w:t>
            </w:r>
            <w:proofErr w:type="spellStart"/>
            <w:r w:rsidRPr="00A47AE0">
              <w:rPr>
                <w:rFonts w:asciiTheme="minorHAnsi" w:hAnsiTheme="minorHAnsi" w:cstheme="minorHAnsi"/>
                <w:sz w:val="18"/>
                <w:szCs w:val="18"/>
              </w:rPr>
              <w:t>Gem+NabP</w:t>
            </w:r>
            <w:proofErr w:type="spellEnd"/>
            <w:r w:rsidRPr="00A47AE0">
              <w:rPr>
                <w:rFonts w:asciiTheme="minorHAnsi" w:hAnsiTheme="minorHAnsi" w:cstheme="minorHAnsi"/>
                <w:sz w:val="18"/>
                <w:szCs w:val="18"/>
              </w:rPr>
              <w:t>) as nominated by the submission. The PBAC considered that the submission had not established superiority of NALIRIFOX to FOLFIRINOX. The PBAC considered there is a high clinical need for new effective treatments for pancreatic cancer, however the submission’s clinical claims were not supported by the clinical evidence.</w:t>
            </w:r>
          </w:p>
          <w:p w14:paraId="7C8A8A78" w14:textId="77777777" w:rsidR="00F93740" w:rsidRPr="001033CF" w:rsidRDefault="00F93740" w:rsidP="001033CF">
            <w:pPr>
              <w:jc w:val="both"/>
              <w:rPr>
                <w:rFonts w:asciiTheme="minorHAnsi" w:hAnsiTheme="minorHAnsi" w:cstheme="minorHAnsi"/>
                <w:color w:val="000000"/>
                <w:sz w:val="18"/>
                <w:szCs w:val="18"/>
              </w:rPr>
            </w:pPr>
          </w:p>
          <w:p w14:paraId="69EF2643" w14:textId="77777777"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6B2F5C50" w14:textId="3789C949" w:rsidR="00F93740" w:rsidRPr="001033CF" w:rsidRDefault="00A96A4E" w:rsidP="001033CF">
            <w:pPr>
              <w:jc w:val="both"/>
              <w:rPr>
                <w:rFonts w:asciiTheme="minorHAnsi" w:hAnsiTheme="minorHAnsi" w:cstheme="minorHAnsi"/>
                <w:color w:val="000000"/>
                <w:sz w:val="18"/>
                <w:szCs w:val="18"/>
              </w:rPr>
            </w:pPr>
            <w:proofErr w:type="spellStart"/>
            <w:r w:rsidRPr="00A96A4E">
              <w:rPr>
                <w:rFonts w:asciiTheme="minorHAnsi" w:hAnsiTheme="minorHAnsi" w:cstheme="minorHAnsi"/>
                <w:color w:val="000000"/>
                <w:sz w:val="18"/>
                <w:szCs w:val="18"/>
              </w:rPr>
              <w:t>Servier</w:t>
            </w:r>
            <w:proofErr w:type="spellEnd"/>
            <w:r w:rsidRPr="00A96A4E">
              <w:rPr>
                <w:rFonts w:asciiTheme="minorHAnsi" w:hAnsiTheme="minorHAnsi" w:cstheme="minorHAnsi"/>
                <w:color w:val="000000"/>
                <w:sz w:val="18"/>
                <w:szCs w:val="18"/>
              </w:rPr>
              <w:t xml:space="preserve"> is disappointed by this decision but welcomes the PBAC’s recognition of the need for new effective treatment options for patients living with metastatic pancreatic cancer in the first-line setting. </w:t>
            </w:r>
            <w:proofErr w:type="spellStart"/>
            <w:r w:rsidRPr="00A96A4E">
              <w:rPr>
                <w:rFonts w:asciiTheme="minorHAnsi" w:hAnsiTheme="minorHAnsi" w:cstheme="minorHAnsi"/>
                <w:color w:val="000000"/>
                <w:sz w:val="18"/>
                <w:szCs w:val="18"/>
              </w:rPr>
              <w:t>Servier</w:t>
            </w:r>
            <w:proofErr w:type="spellEnd"/>
            <w:r w:rsidRPr="00A96A4E">
              <w:rPr>
                <w:rFonts w:asciiTheme="minorHAnsi" w:hAnsiTheme="minorHAnsi" w:cstheme="minorHAnsi"/>
                <w:color w:val="000000"/>
                <w:sz w:val="18"/>
                <w:szCs w:val="18"/>
              </w:rPr>
              <w:t xml:space="preserve"> will consider options to resolve the issues PBAC have identified, in the hope that Australian patients can access nanoliposomal irinotecan through the PBS for the treatment of pancreatic cancer in a timely way.</w:t>
            </w:r>
          </w:p>
        </w:tc>
      </w:tr>
      <w:tr w:rsidR="00F93740" w:rsidRPr="008059F4" w14:paraId="39F54A75"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EA9FE5D" w14:textId="4632BD02"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LAROTRECTINIB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25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(as sulfate)</w:t>
            </w:r>
            <w:r w:rsidRPr="00B0619C">
              <w:rPr>
                <w:rFonts w:asciiTheme="minorHAnsi" w:hAnsiTheme="minorHAnsi" w:cstheme="minorHAnsi"/>
                <w:color w:val="000000"/>
                <w:sz w:val="18"/>
                <w:szCs w:val="18"/>
              </w:rPr>
              <w:br/>
              <w:t>Capsule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(as sulfate)</w:t>
            </w:r>
            <w:r w:rsidRPr="00B0619C">
              <w:rPr>
                <w:rFonts w:asciiTheme="minorHAnsi" w:hAnsiTheme="minorHAnsi" w:cstheme="minorHAnsi"/>
                <w:color w:val="000000"/>
                <w:sz w:val="18"/>
                <w:szCs w:val="18"/>
              </w:rPr>
              <w:br/>
              <w:t>Oral solution 20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per</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(as sulfate), 50</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2</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Vitrakvi</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BAYER AUSTRALIA LTD</w:t>
            </w:r>
            <w:r w:rsidRPr="00B0619C">
              <w:rPr>
                <w:rFonts w:asciiTheme="minorHAnsi" w:hAnsiTheme="minorHAnsi" w:cstheme="minorHAnsi"/>
                <w:color w:val="000000"/>
                <w:sz w:val="18"/>
                <w:szCs w:val="18"/>
              </w:rPr>
              <w:br/>
            </w:r>
          </w:p>
          <w:p w14:paraId="5B3FEC50" w14:textId="60A969CC"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w:t>
            </w:r>
            <w:r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E598DA8" w14:textId="02FE3276"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Non</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small cell lung cancer (NSCLC) or soft tissue sarcoma (STS) harbouring neurotrophic receptor tyrosine kinase (</w:t>
            </w:r>
            <w:r w:rsidRPr="007C7A9E">
              <w:rPr>
                <w:rFonts w:asciiTheme="minorHAnsi" w:hAnsiTheme="minorHAnsi" w:cstheme="minorHAnsi"/>
                <w:i/>
                <w:iCs/>
                <w:color w:val="000000"/>
                <w:sz w:val="18"/>
                <w:szCs w:val="18"/>
              </w:rPr>
              <w:t>NTRK</w:t>
            </w:r>
            <w:r w:rsidRPr="00B0619C">
              <w:rPr>
                <w:rFonts w:asciiTheme="minorHAnsi" w:hAnsiTheme="minorHAnsi" w:cstheme="minorHAnsi"/>
                <w:color w:val="000000"/>
                <w:sz w:val="18"/>
                <w:szCs w:val="18"/>
              </w:rPr>
              <w:t>) gene fusions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C9C42A5" w14:textId="631D0625"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(Written) listing for the treatment of locally advanced or metastatic NSCLC or STS harbouring</w:t>
            </w:r>
            <w:r w:rsidRPr="007C7A9E">
              <w:rPr>
                <w:rFonts w:asciiTheme="minorHAnsi" w:hAnsiTheme="minorHAnsi" w:cstheme="minorHAnsi"/>
                <w:i/>
                <w:iCs/>
                <w:color w:val="000000"/>
                <w:sz w:val="18"/>
                <w:szCs w:val="18"/>
              </w:rPr>
              <w:t xml:space="preserve"> NTRK</w:t>
            </w:r>
            <w:r w:rsidRPr="00B0619C">
              <w:rPr>
                <w:rFonts w:asciiTheme="minorHAnsi" w:hAnsiTheme="minorHAnsi" w:cstheme="minorHAnsi"/>
                <w:color w:val="000000"/>
                <w:sz w:val="18"/>
                <w:szCs w:val="18"/>
              </w:rPr>
              <w:t xml:space="preserve"> gene fusions. </w:t>
            </w:r>
          </w:p>
        </w:tc>
        <w:tc>
          <w:tcPr>
            <w:tcW w:w="1584" w:type="dxa"/>
            <w:shd w:val="clear" w:color="auto" w:fill="auto"/>
            <w:vAlign w:val="center"/>
          </w:tcPr>
          <w:p w14:paraId="61B57AE6" w14:textId="1DBE2B88"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A38A3EC" w14:textId="2FA9750A"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listing of larotrectinib for the treatment of adults with locally advanced or metastatic NSCLC or STS harbouring </w:t>
            </w:r>
            <w:r w:rsidRPr="001033CF">
              <w:rPr>
                <w:rFonts w:asciiTheme="minorHAnsi" w:hAnsiTheme="minorHAnsi" w:cstheme="minorHAnsi"/>
                <w:i/>
                <w:iCs/>
                <w:color w:val="000000"/>
                <w:sz w:val="18"/>
                <w:szCs w:val="18"/>
              </w:rPr>
              <w:t>NTRK</w:t>
            </w:r>
            <w:r w:rsidRPr="001033CF">
              <w:rPr>
                <w:rFonts w:asciiTheme="minorHAnsi" w:hAnsiTheme="minorHAnsi" w:cstheme="minorHAnsi"/>
                <w:color w:val="000000"/>
                <w:sz w:val="18"/>
                <w:szCs w:val="18"/>
              </w:rPr>
              <w:t xml:space="preserve"> gene fusions. The PBAC noted patients with NSCLC and STS have access to gene panel testing that includes </w:t>
            </w:r>
            <w:r w:rsidRPr="001033CF">
              <w:rPr>
                <w:rFonts w:asciiTheme="minorHAnsi" w:hAnsiTheme="minorHAnsi" w:cstheme="minorHAnsi"/>
                <w:i/>
                <w:iCs/>
                <w:color w:val="000000"/>
                <w:sz w:val="18"/>
                <w:szCs w:val="18"/>
              </w:rPr>
              <w:t>NTRK</w:t>
            </w:r>
            <w:r w:rsidRPr="001033CF">
              <w:rPr>
                <w:rFonts w:asciiTheme="minorHAnsi" w:hAnsiTheme="minorHAnsi" w:cstheme="minorHAnsi"/>
                <w:color w:val="000000"/>
                <w:sz w:val="18"/>
                <w:szCs w:val="18"/>
              </w:rPr>
              <w:t xml:space="preserve"> gene fusions on the MBS. The PBAC noted that patients with glioma, glioneuronal tumour or glioblastoma also have access to testing on the MBS and advised it would be reasonable for larotrectinib to be listed on the PBS for these patients harbouring </w:t>
            </w:r>
            <w:r w:rsidRPr="001033CF">
              <w:rPr>
                <w:rFonts w:asciiTheme="minorHAnsi" w:hAnsiTheme="minorHAnsi" w:cstheme="minorHAnsi"/>
                <w:i/>
                <w:iCs/>
                <w:color w:val="000000"/>
                <w:sz w:val="18"/>
                <w:szCs w:val="18"/>
              </w:rPr>
              <w:t>NTRK</w:t>
            </w:r>
            <w:r w:rsidRPr="001033CF">
              <w:rPr>
                <w:rFonts w:asciiTheme="minorHAnsi" w:hAnsiTheme="minorHAnsi" w:cstheme="minorHAnsi"/>
                <w:color w:val="000000"/>
                <w:sz w:val="18"/>
                <w:szCs w:val="18"/>
              </w:rPr>
              <w:t xml:space="preserve"> gene fusions. The PBAC considered the incremental cost</w:t>
            </w:r>
            <w:r w:rsidRPr="001033CF">
              <w:rPr>
                <w:rFonts w:asciiTheme="minorHAnsi" w:hAnsiTheme="minorHAnsi" w:cstheme="minorHAnsi"/>
                <w:color w:val="000000"/>
                <w:sz w:val="18"/>
                <w:szCs w:val="18"/>
              </w:rPr>
              <w:noBreakHyphen/>
              <w:t>effectiveness ratio was high but acceptable at the price proposed in the pre</w:t>
            </w:r>
            <w:r w:rsidRPr="001033CF">
              <w:rPr>
                <w:rFonts w:asciiTheme="minorHAnsi" w:hAnsiTheme="minorHAnsi" w:cstheme="minorHAnsi"/>
                <w:color w:val="000000"/>
                <w:sz w:val="18"/>
                <w:szCs w:val="18"/>
              </w:rPr>
              <w:noBreakHyphen/>
              <w:t xml:space="preserve">PBAC response. The PBAC noted the very small number of patients that would be eligible for treatment and considered the utilisation estimates were reasonable. </w:t>
            </w:r>
          </w:p>
        </w:tc>
      </w:tr>
      <w:tr w:rsidR="00F93740" w:rsidRPr="008059F4" w14:paraId="61EAC40A"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C0240BC" w14:textId="3778D85A" w:rsidR="00F93740" w:rsidRDefault="00F93740" w:rsidP="00F93740">
            <w:pPr>
              <w:keepLines/>
              <w:jc w:val="center"/>
              <w:rPr>
                <w:rFonts w:asciiTheme="minorHAnsi" w:hAnsiTheme="minorHAnsi" w:cstheme="minorHAnsi"/>
                <w:color w:val="000000"/>
                <w:sz w:val="18"/>
                <w:szCs w:val="18"/>
              </w:rPr>
            </w:pPr>
            <w:bookmarkStart w:id="9" w:name="_Hlk153436283"/>
            <w:r w:rsidRPr="00B0619C">
              <w:rPr>
                <w:rFonts w:asciiTheme="minorHAnsi" w:hAnsiTheme="minorHAnsi" w:cstheme="minorHAnsi"/>
                <w:color w:val="000000"/>
                <w:sz w:val="18"/>
                <w:szCs w:val="18"/>
              </w:rPr>
              <w:t xml:space="preserve">LEBRIKIZUMAB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250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autoinjector</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Ebglyss</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bookmarkEnd w:id="9"/>
            <w:r w:rsidRPr="00B0619C">
              <w:rPr>
                <w:rFonts w:asciiTheme="minorHAnsi" w:hAnsiTheme="minorHAnsi" w:cstheme="minorHAnsi"/>
                <w:color w:val="000000"/>
                <w:sz w:val="18"/>
                <w:szCs w:val="18"/>
              </w:rPr>
              <w:br/>
              <w:t>ELI LILLY AUSTRALIA PTY LTD</w:t>
            </w:r>
            <w:r w:rsidRPr="00B0619C">
              <w:rPr>
                <w:rFonts w:asciiTheme="minorHAnsi" w:hAnsiTheme="minorHAnsi" w:cstheme="minorHAnsi"/>
                <w:color w:val="000000"/>
                <w:sz w:val="18"/>
                <w:szCs w:val="18"/>
              </w:rPr>
              <w:br/>
            </w:r>
          </w:p>
          <w:p w14:paraId="17EF7A28" w14:textId="6E591A47"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92E079A" w14:textId="5B3FDBF6"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Atopic dermatitis</w:t>
            </w:r>
            <w:r w:rsidR="00D45A36">
              <w:rPr>
                <w:rFonts w:asciiTheme="minorHAnsi" w:hAnsiTheme="minorHAnsi" w:cstheme="minorHAnsi"/>
                <w:color w:val="000000"/>
                <w:sz w:val="18"/>
                <w:szCs w:val="18"/>
              </w:rPr>
              <w:t xml:space="preserve"> (AD)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5E68C31" w14:textId="7B21BBF6" w:rsidR="00F93740" w:rsidRPr="00B0619C" w:rsidRDefault="00F93740" w:rsidP="00F93740">
            <w:pPr>
              <w:pStyle w:val="ListParagraph"/>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Authority Required (Telephone/Online) listing for the treatment of severe </w:t>
            </w:r>
            <w:r w:rsidR="00737882">
              <w:rPr>
                <w:rFonts w:asciiTheme="minorHAnsi" w:hAnsiTheme="minorHAnsi" w:cstheme="minorHAnsi"/>
                <w:color w:val="000000"/>
                <w:sz w:val="18"/>
                <w:szCs w:val="18"/>
              </w:rPr>
              <w:t>AD</w:t>
            </w:r>
            <w:r w:rsidRPr="00B0619C">
              <w:rPr>
                <w:rFonts w:asciiTheme="minorHAnsi" w:hAnsiTheme="minorHAnsi" w:cstheme="minorHAnsi"/>
                <w:color w:val="000000"/>
                <w:sz w:val="18"/>
                <w:szCs w:val="18"/>
              </w:rPr>
              <w:t>.</w:t>
            </w:r>
          </w:p>
        </w:tc>
        <w:tc>
          <w:tcPr>
            <w:tcW w:w="1584" w:type="dxa"/>
            <w:shd w:val="clear" w:color="auto" w:fill="auto"/>
            <w:vAlign w:val="center"/>
          </w:tcPr>
          <w:p w14:paraId="089D0733" w14:textId="49FD06F5"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B29E960" w14:textId="4BADBD08"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 xml:space="preserve">The PBAC recommended the listing of lebrikizumab for adult and adolescent patients (12 years of age and older) with severe </w:t>
            </w:r>
            <w:r w:rsidR="00737882" w:rsidRPr="001033CF">
              <w:rPr>
                <w:rFonts w:asciiTheme="minorHAnsi" w:hAnsiTheme="minorHAnsi" w:cstheme="minorHAnsi"/>
                <w:color w:val="000000"/>
                <w:sz w:val="18"/>
                <w:szCs w:val="18"/>
              </w:rPr>
              <w:t>AD</w:t>
            </w:r>
            <w:r w:rsidRPr="001033CF">
              <w:rPr>
                <w:rFonts w:asciiTheme="minorHAnsi" w:hAnsiTheme="minorHAnsi" w:cstheme="minorHAnsi"/>
                <w:color w:val="000000"/>
                <w:sz w:val="18"/>
                <w:szCs w:val="18"/>
              </w:rPr>
              <w:t xml:space="preserve">. The PBAC acknowledged the clinical need for additional systemic treatments for severe AD and considered that </w:t>
            </w:r>
            <w:r w:rsidR="00375165" w:rsidRPr="001033CF">
              <w:rPr>
                <w:rFonts w:asciiTheme="minorHAnsi" w:hAnsiTheme="minorHAnsi" w:cstheme="minorHAnsi"/>
                <w:color w:val="000000"/>
                <w:sz w:val="18"/>
                <w:szCs w:val="18"/>
              </w:rPr>
              <w:t>lebrikizumab</w:t>
            </w:r>
            <w:r w:rsidR="0023358A"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 xml:space="preserve">provides an overall clinical benefit </w:t>
            </w:r>
            <w:proofErr w:type="gramStart"/>
            <w:r w:rsidRPr="001033CF">
              <w:rPr>
                <w:rFonts w:asciiTheme="minorHAnsi" w:hAnsiTheme="minorHAnsi" w:cstheme="minorHAnsi"/>
                <w:color w:val="000000"/>
                <w:sz w:val="18"/>
                <w:szCs w:val="18"/>
              </w:rPr>
              <w:t>similar to</w:t>
            </w:r>
            <w:proofErr w:type="gramEnd"/>
            <w:r w:rsidRPr="001033CF">
              <w:rPr>
                <w:rFonts w:asciiTheme="minorHAnsi" w:hAnsiTheme="minorHAnsi" w:cstheme="minorHAnsi"/>
                <w:color w:val="000000"/>
                <w:sz w:val="18"/>
                <w:szCs w:val="18"/>
              </w:rPr>
              <w:t xml:space="preserve"> the primary comparator dupilumab</w:t>
            </w:r>
            <w:r w:rsidR="0023358A"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and the additional comparator upadacitinib. The PBAC’s recommendation for listing was based on, among other matters, its assessment that the cost</w:t>
            </w:r>
            <w:r w:rsidRPr="001033CF">
              <w:rPr>
                <w:rFonts w:asciiTheme="minorHAnsi" w:hAnsiTheme="minorHAnsi" w:cstheme="minorHAnsi"/>
                <w:color w:val="000000"/>
                <w:sz w:val="18"/>
                <w:szCs w:val="18"/>
              </w:rPr>
              <w:noBreakHyphen/>
              <w:t xml:space="preserve">effectiveness of </w:t>
            </w:r>
            <w:r w:rsidR="00375165" w:rsidRPr="001033CF">
              <w:rPr>
                <w:rFonts w:asciiTheme="minorHAnsi" w:hAnsiTheme="minorHAnsi" w:cstheme="minorHAnsi"/>
                <w:color w:val="000000"/>
                <w:sz w:val="18"/>
                <w:szCs w:val="18"/>
              </w:rPr>
              <w:t>lebrikizumab</w:t>
            </w:r>
            <w:r w:rsidR="0023358A"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would be acceptable if it were cost</w:t>
            </w:r>
            <w:r w:rsidRPr="001033CF">
              <w:rPr>
                <w:rFonts w:asciiTheme="minorHAnsi" w:hAnsiTheme="minorHAnsi" w:cstheme="minorHAnsi"/>
                <w:color w:val="000000"/>
                <w:sz w:val="18"/>
                <w:szCs w:val="18"/>
              </w:rPr>
              <w:noBreakHyphen/>
              <w:t xml:space="preserve">minimised to the lowest cost alternative therapy of </w:t>
            </w:r>
            <w:r w:rsidR="00375165">
              <w:rPr>
                <w:rFonts w:asciiTheme="minorHAnsi" w:hAnsiTheme="minorHAnsi" w:cstheme="minorHAnsi"/>
                <w:color w:val="000000"/>
                <w:sz w:val="18"/>
                <w:szCs w:val="18"/>
              </w:rPr>
              <w:t>dupilumab</w:t>
            </w:r>
            <w:r w:rsidR="0023358A" w:rsidRPr="001033CF">
              <w:rPr>
                <w:rFonts w:asciiTheme="minorHAnsi" w:hAnsiTheme="minorHAnsi" w:cstheme="minorHAnsi"/>
                <w:color w:val="000000"/>
                <w:sz w:val="18"/>
                <w:szCs w:val="18"/>
              </w:rPr>
              <w:t xml:space="preserve"> </w:t>
            </w:r>
            <w:r w:rsidRPr="001033CF">
              <w:rPr>
                <w:rFonts w:asciiTheme="minorHAnsi" w:hAnsiTheme="minorHAnsi" w:cstheme="minorHAnsi"/>
                <w:color w:val="000000"/>
                <w:sz w:val="18"/>
                <w:szCs w:val="18"/>
              </w:rPr>
              <w:t xml:space="preserve">or </w:t>
            </w:r>
            <w:r w:rsidR="00375165">
              <w:rPr>
                <w:rFonts w:asciiTheme="minorHAnsi" w:hAnsiTheme="minorHAnsi" w:cstheme="minorHAnsi"/>
                <w:color w:val="000000"/>
                <w:sz w:val="18"/>
                <w:szCs w:val="18"/>
              </w:rPr>
              <w:t>upadacitinib</w:t>
            </w:r>
            <w:r w:rsidRPr="001033CF">
              <w:rPr>
                <w:rFonts w:asciiTheme="minorHAnsi" w:hAnsiTheme="minorHAnsi" w:cstheme="minorHAnsi"/>
                <w:color w:val="000000"/>
                <w:sz w:val="18"/>
                <w:szCs w:val="18"/>
              </w:rPr>
              <w:t>.</w:t>
            </w:r>
            <w:r w:rsidR="0051557F" w:rsidRPr="001033CF">
              <w:rPr>
                <w:rFonts w:asciiTheme="minorHAnsi" w:hAnsiTheme="minorHAnsi" w:cstheme="minorHAnsi"/>
                <w:color w:val="000000"/>
                <w:sz w:val="18"/>
                <w:szCs w:val="18"/>
              </w:rPr>
              <w:t xml:space="preserve"> </w:t>
            </w:r>
            <w:r w:rsidR="00781F85" w:rsidRPr="001033CF">
              <w:rPr>
                <w:rFonts w:asciiTheme="minorHAnsi" w:hAnsiTheme="minorHAnsi" w:cstheme="minorHAnsi"/>
                <w:color w:val="000000"/>
                <w:sz w:val="18"/>
                <w:szCs w:val="18"/>
              </w:rPr>
              <w:t>The PBAC considered the equi</w:t>
            </w:r>
            <w:r w:rsidR="0023358A" w:rsidRPr="001033CF">
              <w:rPr>
                <w:rFonts w:asciiTheme="minorHAnsi" w:hAnsiTheme="minorHAnsi" w:cstheme="minorHAnsi"/>
                <w:color w:val="000000"/>
                <w:sz w:val="18"/>
                <w:szCs w:val="18"/>
              </w:rPr>
              <w:noBreakHyphen/>
            </w:r>
            <w:r w:rsidR="00781F85" w:rsidRPr="001033CF">
              <w:rPr>
                <w:rFonts w:asciiTheme="minorHAnsi" w:hAnsiTheme="minorHAnsi" w:cstheme="minorHAnsi"/>
                <w:color w:val="000000"/>
                <w:sz w:val="18"/>
                <w:szCs w:val="18"/>
              </w:rPr>
              <w:t>effective doses, for adults and adolescents ≥</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60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 xml:space="preserve">kg, over a 2 year period, are: </w:t>
            </w:r>
            <w:r w:rsidR="00375165" w:rsidRPr="001033CF">
              <w:rPr>
                <w:rFonts w:asciiTheme="minorHAnsi" w:hAnsiTheme="minorHAnsi" w:cstheme="minorHAnsi"/>
                <w:color w:val="000000"/>
                <w:sz w:val="18"/>
                <w:szCs w:val="18"/>
              </w:rPr>
              <w:t>lebrikizumab</w:t>
            </w:r>
            <w:r w:rsidR="00781F85" w:rsidRPr="001033CF">
              <w:rPr>
                <w:rFonts w:asciiTheme="minorHAnsi" w:hAnsiTheme="minorHAnsi" w:cstheme="minorHAnsi"/>
                <w:color w:val="000000"/>
                <w:sz w:val="18"/>
                <w:szCs w:val="18"/>
              </w:rPr>
              <w:t xml:space="preserve"> 500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mg at week 0 and 2, followed by 250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 xml:space="preserve">mg Q2W until week 16, followed by a maintenance dose of </w:t>
            </w:r>
            <w:r w:rsidR="00375165" w:rsidRPr="001033CF">
              <w:rPr>
                <w:rFonts w:asciiTheme="minorHAnsi" w:hAnsiTheme="minorHAnsi" w:cstheme="minorHAnsi"/>
                <w:color w:val="000000"/>
                <w:sz w:val="18"/>
                <w:szCs w:val="18"/>
              </w:rPr>
              <w:t>lebrikizumab</w:t>
            </w:r>
            <w:r w:rsidR="00781F85" w:rsidRPr="001033CF">
              <w:rPr>
                <w:rFonts w:asciiTheme="minorHAnsi" w:hAnsiTheme="minorHAnsi" w:cstheme="minorHAnsi"/>
                <w:color w:val="000000"/>
                <w:sz w:val="18"/>
                <w:szCs w:val="18"/>
              </w:rPr>
              <w:t xml:space="preserve"> 250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 xml:space="preserve">mg Q4W = </w:t>
            </w:r>
            <w:r w:rsidR="00375165">
              <w:rPr>
                <w:rFonts w:asciiTheme="minorHAnsi" w:hAnsiTheme="minorHAnsi" w:cstheme="minorHAnsi"/>
                <w:color w:val="000000"/>
                <w:sz w:val="18"/>
                <w:szCs w:val="18"/>
              </w:rPr>
              <w:t>dupilumab</w:t>
            </w:r>
            <w:r w:rsidR="00781F85" w:rsidRPr="001033CF">
              <w:rPr>
                <w:rFonts w:asciiTheme="minorHAnsi" w:hAnsiTheme="minorHAnsi" w:cstheme="minorHAnsi"/>
                <w:color w:val="000000"/>
                <w:sz w:val="18"/>
                <w:szCs w:val="18"/>
              </w:rPr>
              <w:t xml:space="preserve"> 600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mg at week 0, followed by a maintenance dose of 300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mg Q2W. The PBAC considered the equi-effective dose for adolescents &lt;</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60</w:t>
            </w:r>
            <w:r w:rsidR="0023358A" w:rsidRPr="001033CF">
              <w:rPr>
                <w:rFonts w:asciiTheme="minorHAnsi" w:hAnsiTheme="minorHAnsi" w:cstheme="minorHAnsi"/>
                <w:color w:val="000000"/>
                <w:sz w:val="18"/>
                <w:szCs w:val="18"/>
              </w:rPr>
              <w:t> </w:t>
            </w:r>
            <w:r w:rsidR="00781F85" w:rsidRPr="001033CF">
              <w:rPr>
                <w:rFonts w:asciiTheme="minorHAnsi" w:hAnsiTheme="minorHAnsi" w:cstheme="minorHAnsi"/>
                <w:color w:val="000000"/>
                <w:sz w:val="18"/>
                <w:szCs w:val="18"/>
              </w:rPr>
              <w:t>kg and slow responders were different and should also be accounted for.</w:t>
            </w:r>
          </w:p>
        </w:tc>
      </w:tr>
      <w:tr w:rsidR="00F93740" w:rsidRPr="008059F4" w14:paraId="73CCA187"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4100616" w14:textId="030EA151"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LEVODOPA WITH CARBIDOPA AND ENTACAPONE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Intestinal gel containing levodopa 20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with carbidopa monohydrate 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and with entacapone 20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per</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47</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Lecigon</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STADA PHARMACEUTICALS AUSTRALIA PTY LIMITED</w:t>
            </w:r>
            <w:r w:rsidRPr="00B0619C">
              <w:rPr>
                <w:rFonts w:asciiTheme="minorHAnsi" w:hAnsiTheme="minorHAnsi" w:cstheme="minorHAnsi"/>
                <w:color w:val="000000"/>
                <w:sz w:val="18"/>
                <w:szCs w:val="18"/>
              </w:rPr>
              <w:br/>
            </w:r>
          </w:p>
          <w:p w14:paraId="36CECB75" w14:textId="54D6DE37"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66011E9" w14:textId="4C3E9176"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Parkinson disease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E9BD949" w14:textId="3D4853A6"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(STREAMLINED) listing for the treatment of advanced idiopathic Parkinson disease with severe motor fluctuations despite optimised alternative pharmacological treatment.</w:t>
            </w:r>
          </w:p>
        </w:tc>
        <w:tc>
          <w:tcPr>
            <w:tcW w:w="1584" w:type="dxa"/>
            <w:shd w:val="clear" w:color="auto" w:fill="auto"/>
            <w:vAlign w:val="center"/>
          </w:tcPr>
          <w:p w14:paraId="5BEB7D7D" w14:textId="26926532"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5C10162D" w14:textId="120DCDAB" w:rsidR="00F93740" w:rsidRPr="00390619" w:rsidRDefault="004C7872" w:rsidP="001033CF">
            <w:pPr>
              <w:jc w:val="both"/>
              <w:rPr>
                <w:rFonts w:asciiTheme="minorHAnsi" w:hAnsiTheme="minorHAnsi" w:cstheme="minorHAnsi"/>
                <w:snapToGrid w:val="0"/>
                <w:sz w:val="18"/>
                <w:szCs w:val="18"/>
              </w:rPr>
            </w:pPr>
            <w:r w:rsidRPr="007C7A9E">
              <w:rPr>
                <w:rFonts w:asciiTheme="minorHAnsi" w:hAnsiTheme="minorHAnsi" w:cstheme="minorHAnsi"/>
                <w:snapToGrid w:val="0"/>
                <w:sz w:val="18"/>
                <w:szCs w:val="18"/>
              </w:rPr>
              <w:t xml:space="preserve">The PBAC did not </w:t>
            </w:r>
            <w:r w:rsidRPr="006E7B89">
              <w:rPr>
                <w:rFonts w:asciiTheme="minorHAnsi" w:hAnsiTheme="minorHAnsi" w:cstheme="minorHAnsi"/>
                <w:snapToGrid w:val="0"/>
                <w:sz w:val="18"/>
                <w:szCs w:val="18"/>
              </w:rPr>
              <w:t xml:space="preserve">recommend the listing of levodopa with carbidopa and entacapone intestinal gel (LECIG), in patients with advanced idiopathic Parkinson disease with severe motor fluctuations despite optimised alternative pharmacological treatment. The PBAC was concerned that limitations in the submission’s clinical evidence raised uncertainties about clinical claims vs </w:t>
            </w:r>
            <w:r w:rsidR="00822901" w:rsidRPr="00106AE5">
              <w:rPr>
                <w:rFonts w:asciiTheme="minorHAnsi" w:hAnsiTheme="minorHAnsi" w:cstheme="minorHAnsi"/>
                <w:snapToGrid w:val="0"/>
                <w:sz w:val="18"/>
                <w:szCs w:val="18"/>
              </w:rPr>
              <w:t xml:space="preserve">levodopa with carbidopa intestinal gel </w:t>
            </w:r>
            <w:r w:rsidR="00822901">
              <w:rPr>
                <w:rFonts w:asciiTheme="minorHAnsi" w:hAnsiTheme="minorHAnsi" w:cstheme="minorHAnsi"/>
                <w:snapToGrid w:val="0"/>
                <w:sz w:val="18"/>
                <w:szCs w:val="18"/>
              </w:rPr>
              <w:t>(</w:t>
            </w:r>
            <w:r w:rsidRPr="006E7B89">
              <w:rPr>
                <w:rFonts w:asciiTheme="minorHAnsi" w:hAnsiTheme="minorHAnsi" w:cstheme="minorHAnsi"/>
                <w:snapToGrid w:val="0"/>
                <w:sz w:val="18"/>
                <w:szCs w:val="18"/>
              </w:rPr>
              <w:t>LCIG</w:t>
            </w:r>
            <w:r w:rsidR="00822901">
              <w:rPr>
                <w:rFonts w:asciiTheme="minorHAnsi" w:hAnsiTheme="minorHAnsi" w:cstheme="minorHAnsi"/>
                <w:snapToGrid w:val="0"/>
                <w:sz w:val="18"/>
                <w:szCs w:val="18"/>
              </w:rPr>
              <w:t>)</w:t>
            </w:r>
            <w:r w:rsidRPr="006E7B89">
              <w:rPr>
                <w:rFonts w:asciiTheme="minorHAnsi" w:hAnsiTheme="minorHAnsi" w:cstheme="minorHAnsi"/>
                <w:snapToGrid w:val="0"/>
                <w:sz w:val="18"/>
                <w:szCs w:val="18"/>
              </w:rPr>
              <w:t xml:space="preserve">, but on balance was prepared to accept that the claims of non-inferior efficacy and safety were reasonable. Listing was not recommended because of uncertainty about appropriate equi-effective dosing (that could result in a </w:t>
            </w:r>
            <w:r w:rsidRPr="006E7B89">
              <w:rPr>
                <w:rFonts w:asciiTheme="minorHAnsi" w:hAnsiTheme="minorHAnsi" w:cstheme="minorHAnsi"/>
                <w:sz w:val="18"/>
                <w:szCs w:val="18"/>
              </w:rPr>
              <w:t>substantial net financial impact to the PBS)</w:t>
            </w:r>
            <w:r w:rsidRPr="006E7B89">
              <w:rPr>
                <w:rFonts w:asciiTheme="minorHAnsi" w:hAnsiTheme="minorHAnsi" w:cstheme="minorHAnsi"/>
                <w:snapToGrid w:val="0"/>
                <w:sz w:val="18"/>
                <w:szCs w:val="18"/>
              </w:rPr>
              <w:t xml:space="preserve">. Further, the PBAC considered that there was no clear unmet clinical need for a levodopa-containing intestinal gel formulation, although the use of a smaller infusion pump (with LECIG, relative to the pump used with LCIG) was noted. The PBAC considered that any re-submission should put forward a more conservative equi-effective dose calculation, and that </w:t>
            </w:r>
            <w:r w:rsidR="005D2B25">
              <w:rPr>
                <w:rFonts w:asciiTheme="minorHAnsi" w:hAnsiTheme="minorHAnsi" w:cstheme="minorHAnsi"/>
                <w:snapToGrid w:val="0"/>
                <w:sz w:val="18"/>
                <w:szCs w:val="18"/>
              </w:rPr>
              <w:t xml:space="preserve">an </w:t>
            </w:r>
            <w:r w:rsidRPr="006E7B89">
              <w:rPr>
                <w:rFonts w:asciiTheme="minorHAnsi" w:hAnsiTheme="minorHAnsi" w:cstheme="minorHAnsi"/>
                <w:snapToGrid w:val="0"/>
                <w:sz w:val="18"/>
                <w:szCs w:val="18"/>
              </w:rPr>
              <w:t xml:space="preserve">early re-entry </w:t>
            </w:r>
            <w:r w:rsidR="00026954">
              <w:rPr>
                <w:rFonts w:asciiTheme="minorHAnsi" w:hAnsiTheme="minorHAnsi" w:cstheme="minorHAnsi"/>
                <w:snapToGrid w:val="0"/>
                <w:sz w:val="18"/>
                <w:szCs w:val="18"/>
              </w:rPr>
              <w:t>resubmission</w:t>
            </w:r>
            <w:r w:rsidR="005D2B25">
              <w:rPr>
                <w:rFonts w:asciiTheme="minorHAnsi" w:hAnsiTheme="minorHAnsi" w:cstheme="minorHAnsi"/>
                <w:snapToGrid w:val="0"/>
                <w:sz w:val="18"/>
                <w:szCs w:val="18"/>
              </w:rPr>
              <w:t xml:space="preserve"> </w:t>
            </w:r>
            <w:r w:rsidRPr="006E7B89">
              <w:rPr>
                <w:rFonts w:asciiTheme="minorHAnsi" w:hAnsiTheme="minorHAnsi" w:cstheme="minorHAnsi"/>
                <w:snapToGrid w:val="0"/>
                <w:sz w:val="18"/>
                <w:szCs w:val="18"/>
              </w:rPr>
              <w:t xml:space="preserve">would be appropriate if sufficiently conservative </w:t>
            </w:r>
            <w:r w:rsidRPr="00390619">
              <w:rPr>
                <w:rFonts w:asciiTheme="minorHAnsi" w:hAnsiTheme="minorHAnsi" w:cstheme="minorHAnsi"/>
                <w:snapToGrid w:val="0"/>
                <w:sz w:val="18"/>
                <w:szCs w:val="18"/>
              </w:rPr>
              <w:t>equi-effective dosing was proposed.</w:t>
            </w:r>
          </w:p>
          <w:p w14:paraId="4066B2AE" w14:textId="77777777" w:rsidR="004C7872" w:rsidRPr="004C7872" w:rsidRDefault="004C7872" w:rsidP="001033CF">
            <w:pPr>
              <w:jc w:val="both"/>
              <w:rPr>
                <w:rFonts w:asciiTheme="minorHAnsi" w:hAnsiTheme="minorHAnsi" w:cstheme="minorHAnsi"/>
                <w:color w:val="000000"/>
                <w:sz w:val="18"/>
                <w:szCs w:val="18"/>
              </w:rPr>
            </w:pPr>
          </w:p>
          <w:p w14:paraId="702FB129" w14:textId="77777777" w:rsidR="00F93740" w:rsidRPr="004C7872" w:rsidRDefault="00F93740" w:rsidP="001033CF">
            <w:pPr>
              <w:jc w:val="both"/>
              <w:rPr>
                <w:rFonts w:asciiTheme="minorHAnsi" w:hAnsiTheme="minorHAnsi" w:cstheme="minorHAnsi"/>
                <w:color w:val="000000"/>
                <w:sz w:val="18"/>
                <w:szCs w:val="18"/>
              </w:rPr>
            </w:pPr>
            <w:r w:rsidRPr="004C7872">
              <w:rPr>
                <w:rFonts w:asciiTheme="minorHAnsi" w:hAnsiTheme="minorHAnsi" w:cstheme="minorHAnsi"/>
                <w:color w:val="000000"/>
                <w:sz w:val="18"/>
                <w:szCs w:val="18"/>
                <w:u w:val="single"/>
              </w:rPr>
              <w:t>Sponsor’s Comment:</w:t>
            </w:r>
          </w:p>
          <w:p w14:paraId="743A188C" w14:textId="2517CCB3" w:rsidR="00F93740" w:rsidRPr="001033CF" w:rsidRDefault="00EA3446" w:rsidP="008A272F">
            <w:pPr>
              <w:jc w:val="both"/>
              <w:rPr>
                <w:rFonts w:asciiTheme="minorHAnsi" w:hAnsiTheme="minorHAnsi" w:cstheme="minorHAnsi"/>
                <w:color w:val="000000"/>
                <w:sz w:val="18"/>
                <w:szCs w:val="18"/>
              </w:rPr>
            </w:pPr>
            <w:r w:rsidRPr="00EA3446">
              <w:rPr>
                <w:rFonts w:asciiTheme="minorHAnsi" w:hAnsiTheme="minorHAnsi" w:cstheme="minorHAnsi"/>
                <w:color w:val="000000"/>
                <w:sz w:val="18"/>
                <w:szCs w:val="18"/>
              </w:rPr>
              <w:t>STADA Pharmaceuticals Australia Pty Ltd appreciates the opportunity to resubmit via the early re-entry pathway and is committed to working with the PBAC to bring levodopa with carbidopa and entacapone intestinal gel (LECIG), to Australian patients with advanced idiopathic Parkinson disease, in a timely manner.</w:t>
            </w:r>
          </w:p>
        </w:tc>
      </w:tr>
      <w:tr w:rsidR="00F93740" w:rsidRPr="008059F4" w14:paraId="6BD235FA"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F2DF499" w14:textId="1ADCD27A"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MEPOLIZUMAB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Powder for injection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Injection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dose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Nucala</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GLAXOSMITHKLINE AUSTRALIA PTY LTD</w:t>
            </w:r>
            <w:r w:rsidRPr="00B0619C">
              <w:rPr>
                <w:rFonts w:asciiTheme="minorHAnsi" w:hAnsiTheme="minorHAnsi" w:cstheme="minorHAnsi"/>
                <w:color w:val="000000"/>
                <w:sz w:val="18"/>
                <w:szCs w:val="18"/>
              </w:rPr>
              <w:br/>
            </w:r>
          </w:p>
          <w:p w14:paraId="61ACFAF0" w14:textId="610C8FBC"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423C0C6" w14:textId="5FFEF692"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Uncontrolled severe asthma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CEF49FD" w14:textId="186C01DE" w:rsidR="00737882" w:rsidRDefault="00F93740" w:rsidP="00737882">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change to the restriction level of the existing listings for initial treatment from Authority Required (Written) to Authority Required (Telephone/Online), and for continuing treatment from Authority Required (Written) to Authority Required (STREAMLINED) for the treatment of uncontrolled severe asthma. </w:t>
            </w:r>
          </w:p>
          <w:p w14:paraId="1B81408F" w14:textId="77777777" w:rsidR="00737882" w:rsidRPr="00B0619C" w:rsidRDefault="00737882" w:rsidP="00737882">
            <w:pPr>
              <w:jc w:val="center"/>
              <w:rPr>
                <w:rFonts w:asciiTheme="minorHAnsi" w:hAnsiTheme="minorHAnsi" w:cstheme="minorHAnsi"/>
                <w:color w:val="000000"/>
                <w:sz w:val="18"/>
                <w:szCs w:val="18"/>
              </w:rPr>
            </w:pPr>
          </w:p>
          <w:p w14:paraId="2AA741E0" w14:textId="44CA8F2D"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The submission also requested a change to the current requirement for treating with oral corticosteroids as part of optimised asthma therapy for the initial treatment of uncontrolled severe asthma. </w:t>
            </w:r>
          </w:p>
        </w:tc>
        <w:tc>
          <w:tcPr>
            <w:tcW w:w="1584" w:type="dxa"/>
            <w:shd w:val="clear" w:color="auto" w:fill="auto"/>
            <w:vAlign w:val="center"/>
          </w:tcPr>
          <w:p w14:paraId="6D96EEF6" w14:textId="5632CB10"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2EF4C6CB" w14:textId="05DB3B52" w:rsidR="00737882" w:rsidRPr="001033CF" w:rsidRDefault="00737882" w:rsidP="008A272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amendment to the clinical criteria of mepolizumab for the treatment of uncontrolled severe asthma to remove the</w:t>
            </w:r>
            <w:r w:rsidR="004D73EF">
              <w:rPr>
                <w:rFonts w:asciiTheme="minorHAnsi" w:hAnsiTheme="minorHAnsi" w:cstheme="minorHAnsi"/>
                <w:color w:val="000000"/>
                <w:sz w:val="18"/>
                <w:szCs w:val="18"/>
              </w:rPr>
              <w:t xml:space="preserve"> </w:t>
            </w:r>
            <w:r w:rsidR="004D73EF" w:rsidRPr="004D73EF">
              <w:rPr>
                <w:rFonts w:asciiTheme="minorHAnsi" w:hAnsiTheme="minorHAnsi" w:cstheme="minorHAnsi"/>
                <w:color w:val="000000"/>
                <w:sz w:val="18"/>
                <w:szCs w:val="18"/>
              </w:rPr>
              <w:t>oral corticosteroids (OCS)</w:t>
            </w:r>
            <w:r w:rsidRPr="001033CF">
              <w:rPr>
                <w:rFonts w:asciiTheme="minorHAnsi" w:hAnsiTheme="minorHAnsi" w:cstheme="minorHAnsi"/>
                <w:color w:val="000000"/>
                <w:sz w:val="18"/>
                <w:szCs w:val="18"/>
              </w:rPr>
              <w:t xml:space="preserve"> requirement within the definition of ‘optimised asthma therapy’ to align with current treatment guidelines. The PBAC did not consider that that the change to the OCS clinical criteria would increase the eligible population and therefore considered there to be nil financial impact</w:t>
            </w:r>
            <w:r w:rsidR="004D73EF">
              <w:rPr>
                <w:rFonts w:asciiTheme="minorHAnsi" w:hAnsiTheme="minorHAnsi" w:cstheme="minorHAnsi"/>
                <w:color w:val="000000"/>
                <w:sz w:val="18"/>
                <w:szCs w:val="18"/>
              </w:rPr>
              <w:t xml:space="preserve"> to the Government</w:t>
            </w:r>
            <w:r w:rsidRPr="001033CF">
              <w:rPr>
                <w:rFonts w:asciiTheme="minorHAnsi" w:hAnsiTheme="minorHAnsi" w:cstheme="minorHAnsi"/>
                <w:color w:val="000000"/>
                <w:sz w:val="18"/>
                <w:szCs w:val="18"/>
              </w:rPr>
              <w:t>. The PBAC recommended flow</w:t>
            </w:r>
            <w:r w:rsidRPr="001033CF">
              <w:rPr>
                <w:rFonts w:asciiTheme="minorHAnsi" w:hAnsiTheme="minorHAnsi" w:cstheme="minorHAnsi"/>
                <w:color w:val="000000"/>
                <w:sz w:val="18"/>
                <w:szCs w:val="18"/>
              </w:rPr>
              <w:noBreakHyphen/>
              <w:t>on changes of this amendment to the other PBS</w:t>
            </w:r>
            <w:r w:rsidRPr="001033CF">
              <w:rPr>
                <w:rFonts w:asciiTheme="minorHAnsi" w:hAnsiTheme="minorHAnsi" w:cstheme="minorHAnsi"/>
                <w:color w:val="000000"/>
                <w:sz w:val="18"/>
                <w:szCs w:val="18"/>
              </w:rPr>
              <w:noBreakHyphen/>
              <w:t>listed biologics for uncontrolled severe asthma.</w:t>
            </w:r>
          </w:p>
          <w:p w14:paraId="67D7E38F" w14:textId="77777777" w:rsidR="00737882" w:rsidRPr="001033CF" w:rsidRDefault="00737882" w:rsidP="008A272F">
            <w:pPr>
              <w:jc w:val="both"/>
              <w:rPr>
                <w:rFonts w:asciiTheme="minorHAnsi" w:hAnsiTheme="minorHAnsi" w:cstheme="minorHAnsi"/>
                <w:color w:val="000000"/>
                <w:sz w:val="18"/>
                <w:szCs w:val="18"/>
              </w:rPr>
            </w:pPr>
          </w:p>
          <w:p w14:paraId="525A433C" w14:textId="7BA7E09A" w:rsidR="00F93740" w:rsidRPr="001033CF" w:rsidRDefault="00F93740" w:rsidP="008A272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did not recommend amendments to the authority level for mepolizumab for the treatment of uncontrolled severe asthma. The PBAC considered that, while the available data suggested that the growth of mepolizumab is gradually stabilising, the overall uncontrolled severe asthma market continues to grow. The PBAC therefore considered that it would not be appropriate to amend the circumstances of mepolizumab in isolation, noting the growth of the overall anti</w:t>
            </w:r>
            <w:r w:rsidRPr="001033CF">
              <w:rPr>
                <w:rFonts w:asciiTheme="minorHAnsi" w:hAnsiTheme="minorHAnsi" w:cstheme="minorHAnsi"/>
                <w:color w:val="000000"/>
                <w:sz w:val="18"/>
                <w:szCs w:val="18"/>
              </w:rPr>
              <w:noBreakHyphen/>
            </w:r>
            <w:r w:rsidR="00A0551F" w:rsidRPr="001033CF">
              <w:rPr>
                <w:rFonts w:asciiTheme="minorHAnsi" w:hAnsiTheme="minorHAnsi" w:cstheme="minorHAnsi"/>
                <w:color w:val="000000"/>
                <w:sz w:val="18"/>
                <w:szCs w:val="18"/>
              </w:rPr>
              <w:t>interleukin</w:t>
            </w:r>
            <w:r w:rsidR="00A0551F" w:rsidRPr="001033CF">
              <w:rPr>
                <w:rFonts w:asciiTheme="minorHAnsi" w:hAnsiTheme="minorHAnsi" w:cstheme="minorHAnsi"/>
                <w:color w:val="000000"/>
                <w:sz w:val="18"/>
                <w:szCs w:val="18"/>
              </w:rPr>
              <w:noBreakHyphen/>
              <w:t>5</w:t>
            </w:r>
            <w:r w:rsidRPr="001033CF">
              <w:rPr>
                <w:rFonts w:asciiTheme="minorHAnsi" w:hAnsiTheme="minorHAnsi" w:cstheme="minorHAnsi"/>
                <w:color w:val="000000"/>
                <w:sz w:val="18"/>
                <w:szCs w:val="18"/>
              </w:rPr>
              <w:t xml:space="preserve"> market for uncontrolled severe asthma. </w:t>
            </w:r>
          </w:p>
        </w:tc>
      </w:tr>
      <w:tr w:rsidR="00F93740" w:rsidRPr="008059F4" w14:paraId="0615811D" w14:textId="77777777" w:rsidTr="00671C24">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9CC79D3" w14:textId="69B72D61"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MIGALASTAT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containing migalastat hydrochloride 150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Galafold</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AMICUS THERAPEUTICS PTY LTD</w:t>
            </w:r>
            <w:r w:rsidRPr="00B0619C">
              <w:rPr>
                <w:rFonts w:asciiTheme="minorHAnsi" w:hAnsiTheme="minorHAnsi" w:cstheme="minorHAnsi"/>
                <w:color w:val="000000"/>
                <w:sz w:val="18"/>
                <w:szCs w:val="18"/>
              </w:rPr>
              <w:br/>
            </w:r>
          </w:p>
          <w:p w14:paraId="3930A53F" w14:textId="0B540935"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A402B65" w14:textId="6F584647"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Fabry disease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ACD7C70" w14:textId="46237EF4"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the PBAC consider its previous recommendation to list migalastat as a </w:t>
            </w:r>
            <w:r w:rsidRPr="00B0619C">
              <w:rPr>
                <w:rFonts w:asciiTheme="minorHAnsi" w:hAnsiTheme="minorHAnsi" w:cstheme="minorHAnsi"/>
                <w:sz w:val="18"/>
                <w:szCs w:val="18"/>
              </w:rPr>
              <w:t xml:space="preserve">General Schedule Authority Required (Written) listing for the treatment of Fabry disease, and to request an amendment to the restriction criteria to be consistent with international clinical guidelines for Fabry disease. </w:t>
            </w:r>
          </w:p>
        </w:tc>
        <w:tc>
          <w:tcPr>
            <w:tcW w:w="1584" w:type="dxa"/>
            <w:shd w:val="clear" w:color="auto" w:fill="auto"/>
            <w:vAlign w:val="center"/>
          </w:tcPr>
          <w:p w14:paraId="282B97C0" w14:textId="628EBB3F"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2B696A08" w14:textId="1352833F"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The PBAC recommended the listing of migalastat for the treatment of Fabry disease in patients aged 12 years of age and older who have an amenable mutation and evidence of organ involvement/injury (including renal disease, cardiac disease, ischaemic and cerebrovascular disease, severe gastrointestinal symptoms, and uncontrolled chronic pain). The PBAC noted the proposed cost of migalastat was substantially higher than recommended in December 2022 but considered that, on balance, noting the high clinical need for ongoing access to funded treatments for Fabry disease, migalastat was likely to be of high but acceptable cost</w:t>
            </w:r>
            <w:r w:rsidRPr="001033CF">
              <w:rPr>
                <w:rFonts w:asciiTheme="minorHAnsi" w:hAnsiTheme="minorHAnsi" w:cstheme="minorHAnsi"/>
                <w:color w:val="000000"/>
                <w:sz w:val="18"/>
                <w:szCs w:val="18"/>
              </w:rPr>
              <w:noBreakHyphen/>
              <w:t>effectiveness in the recommended population at the cost per patient per year proposed in the resubmission. The PBAC considered the estimated number of patients with Fabry disease who had evidence of organ involvement/injury was likely to be reasonable. The PBAC acknowledged the importance of treating some patients at an earlier stage of disease but considered the clinical effectiveness and cost</w:t>
            </w:r>
            <w:r w:rsidRPr="001033CF">
              <w:rPr>
                <w:rFonts w:asciiTheme="minorHAnsi" w:hAnsiTheme="minorHAnsi" w:cstheme="minorHAnsi"/>
                <w:color w:val="000000"/>
                <w:sz w:val="18"/>
                <w:szCs w:val="18"/>
              </w:rPr>
              <w:noBreakHyphen/>
              <w:t xml:space="preserve">effectiveness of this was unknown, and therefore did not recommend extending the listing to patients with classical Fabry disease without evidence of organ involvement/injury. </w:t>
            </w:r>
          </w:p>
        </w:tc>
      </w:tr>
      <w:tr w:rsidR="00F93740" w:rsidRPr="008059F4" w14:paraId="51D972BA" w14:textId="77777777" w:rsidTr="00671C24">
        <w:trPr>
          <w:cantSplit/>
          <w:trHeight w:val="32"/>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C6E2AB3" w14:textId="22705BFF"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NIVOLUMAB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concentrate for I.V. infusion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t>Injection concentrate for I.V. infusion 40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Opdivo</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BRISTOL</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MYERS SQUIBB AUSTRALIA PTY LTD</w:t>
            </w:r>
            <w:r w:rsidRPr="00B0619C">
              <w:rPr>
                <w:rFonts w:asciiTheme="minorHAnsi" w:hAnsiTheme="minorHAnsi" w:cstheme="minorHAnsi"/>
                <w:color w:val="000000"/>
                <w:sz w:val="18"/>
                <w:szCs w:val="18"/>
              </w:rPr>
              <w:br/>
            </w:r>
          </w:p>
          <w:p w14:paraId="3186280D" w14:textId="009E7719"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2BB3D6A" w14:textId="4F09CC2E"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Non</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small cell lung cancer (NSCLC)</w:t>
            </w:r>
            <w:r>
              <w:rPr>
                <w:rFonts w:asciiTheme="minorHAnsi" w:hAnsiTheme="minorHAnsi" w:cstheme="minorHAnsi"/>
                <w:color w:val="000000"/>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42FBD72" w14:textId="3A2CA900"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extend the Section 100 (Efficient Funding of Chemotherapy) Authority Required (STREAMLINED) listing for the treatment of neoadjuvant treatment of resectable NSCLC to allow retreatment.</w:t>
            </w:r>
          </w:p>
        </w:tc>
        <w:tc>
          <w:tcPr>
            <w:tcW w:w="1584" w:type="dxa"/>
            <w:shd w:val="clear" w:color="auto" w:fill="auto"/>
            <w:vAlign w:val="center"/>
          </w:tcPr>
          <w:p w14:paraId="1683ADE0" w14:textId="37AF4DFA"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5C63F28D" w14:textId="582BB6AF" w:rsidR="005C6589" w:rsidRPr="007C7A9E" w:rsidRDefault="005C6589" w:rsidP="005E7035">
            <w:pPr>
              <w:jc w:val="both"/>
              <w:rPr>
                <w:rFonts w:asciiTheme="minorHAnsi" w:hAnsiTheme="minorHAnsi" w:cstheme="minorHAnsi"/>
                <w:sz w:val="18"/>
                <w:szCs w:val="18"/>
              </w:rPr>
            </w:pPr>
            <w:r w:rsidRPr="007C7A9E">
              <w:rPr>
                <w:rFonts w:asciiTheme="minorHAnsi" w:hAnsiTheme="minorHAnsi" w:cstheme="minorHAnsi"/>
                <w:sz w:val="18"/>
                <w:szCs w:val="18"/>
              </w:rPr>
              <w:t>At its July 2023 meeting, the PBAC recommended the listing of nivolumab (Opdivo</w:t>
            </w:r>
            <w:r w:rsidRPr="006E7B89">
              <w:rPr>
                <w:rFonts w:asciiTheme="minorHAnsi" w:hAnsiTheme="minorHAnsi" w:cstheme="minorHAnsi"/>
                <w:sz w:val="18"/>
                <w:szCs w:val="18"/>
              </w:rPr>
              <w:t>) for the neoadjuvant treatment of surgically</w:t>
            </w:r>
            <w:r w:rsidR="005E7035">
              <w:rPr>
                <w:rFonts w:asciiTheme="minorHAnsi" w:hAnsiTheme="minorHAnsi" w:cstheme="minorHAnsi"/>
                <w:sz w:val="18"/>
                <w:szCs w:val="18"/>
              </w:rPr>
              <w:noBreakHyphen/>
            </w:r>
            <w:r w:rsidRPr="006E7B89">
              <w:rPr>
                <w:rFonts w:asciiTheme="minorHAnsi" w:hAnsiTheme="minorHAnsi" w:cstheme="minorHAnsi"/>
                <w:sz w:val="18"/>
                <w:szCs w:val="18"/>
              </w:rPr>
              <w:t>resectable NSCLC</w:t>
            </w:r>
            <w:r w:rsidRPr="00CE734B">
              <w:rPr>
                <w:rFonts w:asciiTheme="minorHAnsi" w:hAnsiTheme="minorHAnsi" w:cstheme="minorHAnsi"/>
                <w:sz w:val="18"/>
                <w:szCs w:val="18"/>
              </w:rPr>
              <w:t>. At the March 2024 meeting, the PBAC did not recommend any revisions to its previous advice. Specifically, the PBAC did not recommend retreatment with immunotherapy (IO) in those who relapse with metastatic disease as there was limited evidence to support the effectiveness of IO retreatment following use in surgically</w:t>
            </w:r>
            <w:r w:rsidR="005E7035">
              <w:rPr>
                <w:rFonts w:asciiTheme="minorHAnsi" w:hAnsiTheme="minorHAnsi" w:cstheme="minorHAnsi"/>
                <w:sz w:val="18"/>
                <w:szCs w:val="18"/>
              </w:rPr>
              <w:noBreakHyphen/>
            </w:r>
            <w:r w:rsidRPr="00CE734B">
              <w:rPr>
                <w:rFonts w:asciiTheme="minorHAnsi" w:hAnsiTheme="minorHAnsi" w:cstheme="minorHAnsi"/>
                <w:sz w:val="18"/>
                <w:szCs w:val="18"/>
              </w:rPr>
              <w:t>resectable NSCLC, and this resulted in it being unknown if retreatment was cost-effective. The PBAC also did not recommend a price increase for nivolumab for the scenario of no IO retreatment</w:t>
            </w:r>
            <w:r w:rsidR="005E7035">
              <w:rPr>
                <w:rFonts w:asciiTheme="minorHAnsi" w:hAnsiTheme="minorHAnsi" w:cstheme="minorHAnsi"/>
                <w:sz w:val="18"/>
                <w:szCs w:val="18"/>
              </w:rPr>
              <w:t>.</w:t>
            </w:r>
            <w:r w:rsidRPr="00CE734B">
              <w:rPr>
                <w:rFonts w:asciiTheme="minorHAnsi" w:hAnsiTheme="minorHAnsi" w:cstheme="minorHAnsi"/>
                <w:sz w:val="18"/>
                <w:szCs w:val="18"/>
              </w:rPr>
              <w:t xml:space="preserve"> The PBAC noted the economic model was sensitive to the inputs regarding treatment in the metastatic setting and considered it was unlikely that neoadjuvant nivolumab was cost</w:t>
            </w:r>
            <w:r w:rsidR="005B22FC">
              <w:rPr>
                <w:rFonts w:asciiTheme="minorHAnsi" w:hAnsiTheme="minorHAnsi" w:cstheme="minorHAnsi"/>
                <w:sz w:val="18"/>
                <w:szCs w:val="18"/>
              </w:rPr>
              <w:t xml:space="preserve">-effective </w:t>
            </w:r>
            <w:r w:rsidR="004D7745">
              <w:rPr>
                <w:rFonts w:asciiTheme="minorHAnsi" w:hAnsiTheme="minorHAnsi" w:cstheme="minorHAnsi"/>
                <w:sz w:val="18"/>
                <w:szCs w:val="18"/>
              </w:rPr>
              <w:t>at the proposed</w:t>
            </w:r>
            <w:r w:rsidRPr="007C7A9E">
              <w:rPr>
                <w:rFonts w:asciiTheme="minorHAnsi" w:hAnsiTheme="minorHAnsi" w:cstheme="minorHAnsi"/>
                <w:sz w:val="18"/>
                <w:szCs w:val="18"/>
              </w:rPr>
              <w:t xml:space="preserve"> price. </w:t>
            </w:r>
          </w:p>
          <w:p w14:paraId="095E9BC0" w14:textId="77777777" w:rsidR="00F93740" w:rsidRPr="005C6589" w:rsidRDefault="00F93740" w:rsidP="001033CF">
            <w:pPr>
              <w:jc w:val="both"/>
              <w:rPr>
                <w:rFonts w:asciiTheme="minorHAnsi" w:hAnsiTheme="minorHAnsi" w:cstheme="minorHAnsi"/>
                <w:color w:val="000000"/>
                <w:sz w:val="18"/>
                <w:szCs w:val="18"/>
              </w:rPr>
            </w:pPr>
          </w:p>
          <w:p w14:paraId="0D89D771" w14:textId="77777777" w:rsidR="00F93740" w:rsidRPr="005C6589" w:rsidRDefault="00F93740" w:rsidP="001033CF">
            <w:pPr>
              <w:jc w:val="both"/>
              <w:rPr>
                <w:rFonts w:asciiTheme="minorHAnsi" w:hAnsiTheme="minorHAnsi" w:cstheme="minorHAnsi"/>
                <w:color w:val="000000"/>
                <w:sz w:val="18"/>
                <w:szCs w:val="18"/>
              </w:rPr>
            </w:pPr>
            <w:r w:rsidRPr="005C6589">
              <w:rPr>
                <w:rFonts w:asciiTheme="minorHAnsi" w:hAnsiTheme="minorHAnsi" w:cstheme="minorHAnsi"/>
                <w:color w:val="000000"/>
                <w:sz w:val="18"/>
                <w:szCs w:val="18"/>
                <w:u w:val="single"/>
              </w:rPr>
              <w:t>Sponsor’s Comment:</w:t>
            </w:r>
          </w:p>
          <w:p w14:paraId="54B228F0" w14:textId="434E0762" w:rsidR="00F93740" w:rsidRPr="005C6589" w:rsidRDefault="005E7035" w:rsidP="001033CF">
            <w:pPr>
              <w:jc w:val="both"/>
              <w:rPr>
                <w:rFonts w:asciiTheme="minorHAnsi" w:hAnsiTheme="minorHAnsi" w:cstheme="minorHAnsi"/>
                <w:sz w:val="18"/>
                <w:szCs w:val="18"/>
              </w:rPr>
            </w:pPr>
            <w:r w:rsidRPr="005E7035">
              <w:rPr>
                <w:rFonts w:asciiTheme="minorHAnsi" w:hAnsiTheme="minorHAnsi" w:cstheme="minorHAnsi"/>
                <w:sz w:val="18"/>
                <w:szCs w:val="18"/>
              </w:rPr>
              <w:t>The Sponsor would like to reiterate its commitment to finding a pathway forward for immuno-oncology retreatment across early and advanced disease, as evidenced by this submission and a previous submission provided for melanoma which was recommended (Item 6.09, Nov 2022 PBAC Meeting). BMS Australia are looking forward to working with the PBAC to achieve this important change in treatment paradigm for cancer patients.</w:t>
            </w:r>
          </w:p>
        </w:tc>
      </w:tr>
      <w:tr w:rsidR="00F93740" w:rsidRPr="008059F4" w14:paraId="587A77AC"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2319CA8" w14:textId="4AC9DDC9"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NIVOLUMAB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concentrate for I.V. infusion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10</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t>Injection concentrate for I.V. infusion 40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4</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Opdivo</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BRISTOL</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MYERS SQUIBB AUSTRALIA PTY LTD</w:t>
            </w:r>
            <w:r w:rsidRPr="00B0619C">
              <w:rPr>
                <w:rFonts w:asciiTheme="minorHAnsi" w:hAnsiTheme="minorHAnsi" w:cstheme="minorHAnsi"/>
                <w:color w:val="000000"/>
                <w:sz w:val="18"/>
                <w:szCs w:val="18"/>
              </w:rPr>
              <w:br/>
            </w:r>
          </w:p>
          <w:p w14:paraId="337D1556" w14:textId="782DED68"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outstanding</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1656C7E"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Muscle invasive urothelial</w:t>
            </w:r>
          </w:p>
          <w:p w14:paraId="60A84F05" w14:textId="7AFFCAF4"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carcinoma (MIUC)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3EC574C" w14:textId="7C186FF7"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reconsideration for a Section 100 (Efficient Funding of Chemotherapy) Authority Required (Telephone/Online) listing for the adjuvant treatment of high</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risk MIUC. This matter was deferred at the November 2023 PBAC meeting.</w:t>
            </w:r>
          </w:p>
        </w:tc>
        <w:tc>
          <w:tcPr>
            <w:tcW w:w="1584" w:type="dxa"/>
            <w:shd w:val="clear" w:color="auto" w:fill="auto"/>
            <w:vAlign w:val="center"/>
          </w:tcPr>
          <w:p w14:paraId="0CDDC858" w14:textId="379387AA"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35B8141" w14:textId="7FC34BF2"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nivolumab for the adjuvant treatment of high</w:t>
            </w:r>
            <w:r w:rsidRPr="001033CF">
              <w:rPr>
                <w:rFonts w:asciiTheme="minorHAnsi" w:hAnsiTheme="minorHAnsi" w:cstheme="minorHAnsi"/>
                <w:sz w:val="18"/>
                <w:szCs w:val="18"/>
              </w:rPr>
              <w:noBreakHyphen/>
              <w:t>risk MIUC in patients who have received prior neoadjuvant platinum</w:t>
            </w:r>
            <w:r w:rsidRPr="001033CF">
              <w:rPr>
                <w:rFonts w:asciiTheme="minorHAnsi" w:hAnsiTheme="minorHAnsi" w:cstheme="minorHAnsi"/>
                <w:sz w:val="18"/>
                <w:szCs w:val="18"/>
              </w:rPr>
              <w:noBreakHyphen/>
              <w:t>based chemotherapy (NAC). The PBAC considered that there was a moderate clinical need for more effective therapies for this indication and that an improvement in disease free survival was demonstrated in patients who had received prior NAC. The PBAC reaffirmed its view that the clinical criterion allowing use in patients who have a contraindication or intolerance to NAC be removed as there were important cost and quality use of medicines issues arising from use in this patient population with no proven benefit. The PBAC noted the price offered in the revised proposal and considered it addressed the Committee</w:t>
            </w:r>
            <w:r w:rsidR="00F00315">
              <w:rPr>
                <w:rFonts w:asciiTheme="minorHAnsi" w:hAnsiTheme="minorHAnsi" w:cstheme="minorHAnsi"/>
                <w:sz w:val="18"/>
                <w:szCs w:val="18"/>
              </w:rPr>
              <w:t>’</w:t>
            </w:r>
            <w:r w:rsidRPr="001033CF">
              <w:rPr>
                <w:rFonts w:asciiTheme="minorHAnsi" w:hAnsiTheme="minorHAnsi" w:cstheme="minorHAnsi"/>
                <w:sz w:val="18"/>
                <w:szCs w:val="18"/>
              </w:rPr>
              <w:t>s previous concerns regarding cost</w:t>
            </w:r>
            <w:r w:rsidRPr="001033CF">
              <w:rPr>
                <w:rFonts w:asciiTheme="minorHAnsi" w:hAnsiTheme="minorHAnsi" w:cstheme="minorHAnsi"/>
                <w:sz w:val="18"/>
                <w:szCs w:val="18"/>
              </w:rPr>
              <w:noBreakHyphen/>
              <w:t>effectiveness. The PBAC accepted the revised financial estimates with the contraindicated population removed and considered these would be an appropriate basis for a risk sharing arrangement.</w:t>
            </w:r>
          </w:p>
        </w:tc>
      </w:tr>
      <w:tr w:rsidR="00F93740" w:rsidRPr="008059F4" w14:paraId="3A164EF2" w14:textId="77777777" w:rsidTr="00C06A3F">
        <w:trPr>
          <w:cantSplit/>
          <w:trHeight w:val="32"/>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E59D7E1" w14:textId="7E1B16C0"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OFATUMUMAB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injection 20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0.4</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Kesimpta</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NOVARTIS PHARMACEUTICALS AUSTRALIA PTY LIMITED</w:t>
            </w:r>
            <w:r w:rsidRPr="00B0619C">
              <w:rPr>
                <w:rFonts w:asciiTheme="minorHAnsi" w:hAnsiTheme="minorHAnsi" w:cstheme="minorHAnsi"/>
                <w:color w:val="000000"/>
                <w:sz w:val="18"/>
                <w:szCs w:val="18"/>
              </w:rPr>
              <w:br/>
            </w:r>
          </w:p>
          <w:p w14:paraId="051C3262" w14:textId="0EB47308"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5C58968" w14:textId="7B61C08E"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Multiple sclerosis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6353047" w14:textId="70250CE1"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separating the current higher efficacy disease modifying therapies (DMT) tier into two distinct efficacy tiers. </w:t>
            </w:r>
          </w:p>
        </w:tc>
        <w:tc>
          <w:tcPr>
            <w:tcW w:w="1584" w:type="dxa"/>
            <w:shd w:val="clear" w:color="auto" w:fill="auto"/>
            <w:vAlign w:val="center"/>
          </w:tcPr>
          <w:p w14:paraId="6189D0EF" w14:textId="6DDD42B7"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66E34E5E" w14:textId="2FE1619A" w:rsidR="00F93740" w:rsidRDefault="00822901" w:rsidP="00671C24">
            <w:pPr>
              <w:keepLines/>
              <w:jc w:val="both"/>
              <w:rPr>
                <w:rFonts w:asciiTheme="minorHAnsi" w:hAnsiTheme="minorHAnsi" w:cstheme="minorHAnsi"/>
                <w:color w:val="000000"/>
                <w:sz w:val="18"/>
                <w:szCs w:val="18"/>
              </w:rPr>
            </w:pPr>
            <w:r w:rsidRPr="00822901">
              <w:rPr>
                <w:rFonts w:asciiTheme="minorHAnsi" w:hAnsiTheme="minorHAnsi" w:cstheme="minorHAnsi"/>
                <w:color w:val="000000"/>
                <w:sz w:val="18"/>
                <w:szCs w:val="18"/>
              </w:rPr>
              <w:t>The PBAC did not recommend separating the current higher efficacy DMT tier into two distinct efficacy tiers on the basis that the clinical evidence presented did not adequately support the submission’s underlying claim that ofatumumab (proposed as a high-efficacy tier DMT) has superior comparative effectiveness versus fingolimod (as a proxy for the proposed mid-efficacy tier DMTs). In the absence of direct comparative evidence or randomised controlled trials with a common reference arm, the submission included a two-step indirect comparison; however, the PBAC considered there were substantial transitivity issues between the studies included in this comparison. The PBAC further considered the unanchored adjusted comparisons presented were associated with an unknown amount of bias and did not sufficiently address the transitivity issues between the studies. Overall, the PBAC considered the clinical evidence was not sufficiently reliable for the purposes of establishing superiority.</w:t>
            </w:r>
          </w:p>
          <w:p w14:paraId="57899F9F" w14:textId="77777777" w:rsidR="00822901" w:rsidRPr="001033CF" w:rsidRDefault="00822901" w:rsidP="00671C24">
            <w:pPr>
              <w:keepLines/>
              <w:jc w:val="both"/>
              <w:rPr>
                <w:rFonts w:asciiTheme="minorHAnsi" w:hAnsiTheme="minorHAnsi" w:cstheme="minorHAnsi"/>
                <w:color w:val="000000"/>
                <w:sz w:val="18"/>
                <w:szCs w:val="18"/>
              </w:rPr>
            </w:pPr>
          </w:p>
          <w:p w14:paraId="39424C6F" w14:textId="77777777" w:rsidR="00F93740" w:rsidRPr="001033CF" w:rsidRDefault="00F93740" w:rsidP="00671C24">
            <w:pPr>
              <w:keepLines/>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7F21430D" w14:textId="4CB65312" w:rsidR="00F93740" w:rsidRPr="001033CF" w:rsidRDefault="00F95B4E" w:rsidP="001033CF">
            <w:pPr>
              <w:jc w:val="both"/>
              <w:rPr>
                <w:rFonts w:asciiTheme="minorHAnsi" w:hAnsiTheme="minorHAnsi" w:cstheme="minorHAnsi"/>
                <w:sz w:val="18"/>
                <w:szCs w:val="18"/>
              </w:rPr>
            </w:pPr>
            <w:r w:rsidRPr="008B5F66">
              <w:rPr>
                <w:rFonts w:asciiTheme="minorHAnsi" w:hAnsiTheme="minorHAnsi" w:cstheme="minorHAnsi"/>
                <w:color w:val="000000"/>
                <w:sz w:val="18"/>
                <w:szCs w:val="18"/>
              </w:rPr>
              <w:t>The sponsor had no comment.</w:t>
            </w:r>
          </w:p>
        </w:tc>
      </w:tr>
      <w:tr w:rsidR="00F93740" w:rsidRPr="008059F4" w14:paraId="6E0A84E4" w14:textId="77777777" w:rsidTr="00C06A3F">
        <w:trPr>
          <w:trHeight w:val="17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A3D0C1A" w14:textId="393F889C"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OSILODROSTAT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1</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Isturisa</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RECORDATI RARE DISEASES AUSTRALIA PTY. LTD.</w:t>
            </w:r>
            <w:r w:rsidRPr="00B0619C">
              <w:rPr>
                <w:rFonts w:asciiTheme="minorHAnsi" w:hAnsiTheme="minorHAnsi" w:cstheme="minorHAnsi"/>
                <w:color w:val="000000"/>
                <w:sz w:val="18"/>
                <w:szCs w:val="18"/>
              </w:rPr>
              <w:br/>
            </w:r>
          </w:p>
          <w:p w14:paraId="76D0FC0B" w14:textId="3F9E854E"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Standard re</w:t>
            </w:r>
            <w:r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A6217E6" w14:textId="1B5FD031"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Cushing syndrome</w:t>
            </w:r>
            <w:r w:rsidR="00A84CB3">
              <w:rPr>
                <w:rFonts w:asciiTheme="minorHAnsi" w:hAnsiTheme="minorHAnsi" w:cstheme="minorHAnsi"/>
                <w:color w:val="000000"/>
                <w:sz w:val="18"/>
                <w:szCs w:val="18"/>
              </w:rPr>
              <w:t xml:space="preserve"> (CS)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03BAD98" w14:textId="22DA2988"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Resubmission to request the General Schedule Authority Required (Telephone/Online) listing for the treatment of endogenous </w:t>
            </w:r>
            <w:r w:rsidR="00A84CB3">
              <w:rPr>
                <w:rFonts w:asciiTheme="minorHAnsi" w:hAnsiTheme="minorHAnsi" w:cstheme="minorHAnsi"/>
                <w:color w:val="000000"/>
                <w:sz w:val="18"/>
                <w:szCs w:val="18"/>
              </w:rPr>
              <w:t>CS</w:t>
            </w:r>
            <w:r w:rsidRPr="00B0619C">
              <w:rPr>
                <w:rFonts w:asciiTheme="minorHAnsi" w:hAnsiTheme="minorHAnsi" w:cstheme="minorHAnsi"/>
                <w:color w:val="000000"/>
                <w:sz w:val="18"/>
                <w:szCs w:val="18"/>
              </w:rPr>
              <w:t>.</w:t>
            </w:r>
          </w:p>
        </w:tc>
        <w:tc>
          <w:tcPr>
            <w:tcW w:w="1584" w:type="dxa"/>
            <w:shd w:val="clear" w:color="auto" w:fill="auto"/>
            <w:vAlign w:val="center"/>
          </w:tcPr>
          <w:p w14:paraId="7C7F6E4A" w14:textId="373FCC56"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616BBB6B" w14:textId="2BC039BD"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rPr>
              <w:t xml:space="preserve">The PBAC did not recommend osilodrostat for the treatment of adult patients with endogenous CS who were not candidates for surgery or for whom surgery was not curative. The PBAC accepted that osilodrostat represented an effective therapy for a disease where high clinical need exists. The PBAC considered that the economic model was not reliable for decision-making as it did not capture the important long-term </w:t>
            </w:r>
            <w:r w:rsidR="002C6D72" w:rsidRPr="00A84CB3">
              <w:rPr>
                <w:rFonts w:asciiTheme="minorHAnsi" w:hAnsiTheme="minorHAnsi" w:cstheme="minorHAnsi"/>
                <w:sz w:val="18"/>
                <w:szCs w:val="18"/>
              </w:rPr>
              <w:t>quality</w:t>
            </w:r>
            <w:r w:rsidR="002C6D72">
              <w:rPr>
                <w:rFonts w:asciiTheme="minorHAnsi" w:hAnsiTheme="minorHAnsi" w:cstheme="minorHAnsi"/>
                <w:sz w:val="18"/>
                <w:szCs w:val="18"/>
              </w:rPr>
              <w:noBreakHyphen/>
            </w:r>
            <w:r w:rsidRPr="00A84CB3">
              <w:rPr>
                <w:rFonts w:asciiTheme="minorHAnsi" w:hAnsiTheme="minorHAnsi" w:cstheme="minorHAnsi"/>
                <w:sz w:val="18"/>
                <w:szCs w:val="18"/>
              </w:rPr>
              <w:t>of</w:t>
            </w:r>
            <w:r w:rsidR="002C6D72">
              <w:rPr>
                <w:rFonts w:asciiTheme="minorHAnsi" w:hAnsiTheme="minorHAnsi" w:cstheme="minorHAnsi"/>
                <w:sz w:val="18"/>
                <w:szCs w:val="18"/>
              </w:rPr>
              <w:noBreakHyphen/>
            </w:r>
            <w:r w:rsidRPr="00A84CB3">
              <w:rPr>
                <w:rFonts w:asciiTheme="minorHAnsi" w:hAnsiTheme="minorHAnsi" w:cstheme="minorHAnsi"/>
                <w:sz w:val="18"/>
                <w:szCs w:val="18"/>
              </w:rPr>
              <w:t>life</w:t>
            </w:r>
            <w:r w:rsidR="00835819">
              <w:rPr>
                <w:rFonts w:asciiTheme="minorHAnsi" w:hAnsiTheme="minorHAnsi" w:cstheme="minorHAnsi"/>
                <w:sz w:val="18"/>
                <w:szCs w:val="18"/>
              </w:rPr>
              <w:t xml:space="preserve"> (QoL)</w:t>
            </w:r>
            <w:r w:rsidRPr="00A84CB3">
              <w:rPr>
                <w:rFonts w:asciiTheme="minorHAnsi" w:hAnsiTheme="minorHAnsi" w:cstheme="minorHAnsi"/>
                <w:sz w:val="18"/>
                <w:szCs w:val="18"/>
              </w:rPr>
              <w:t xml:space="preserve"> benefits associated with osilodrostat, resulting in an unreliable model and a very high and uncertain </w:t>
            </w:r>
            <w:r w:rsidR="00EE3E87">
              <w:rPr>
                <w:rFonts w:asciiTheme="minorHAnsi" w:hAnsiTheme="minorHAnsi" w:cstheme="minorHAnsi"/>
                <w:sz w:val="18"/>
                <w:szCs w:val="18"/>
              </w:rPr>
              <w:t xml:space="preserve">incremental </w:t>
            </w:r>
            <w:r w:rsidR="002C6D72" w:rsidRPr="00A84CB3">
              <w:rPr>
                <w:rFonts w:asciiTheme="minorHAnsi" w:hAnsiTheme="minorHAnsi" w:cstheme="minorHAnsi"/>
                <w:sz w:val="18"/>
                <w:szCs w:val="18"/>
              </w:rPr>
              <w:t>cost</w:t>
            </w:r>
            <w:r w:rsidR="002C6D72">
              <w:rPr>
                <w:rFonts w:asciiTheme="minorHAnsi" w:hAnsiTheme="minorHAnsi" w:cstheme="minorHAnsi"/>
                <w:sz w:val="18"/>
                <w:szCs w:val="18"/>
              </w:rPr>
              <w:noBreakHyphen/>
            </w:r>
            <w:r w:rsidRPr="00A84CB3">
              <w:rPr>
                <w:rFonts w:asciiTheme="minorHAnsi" w:hAnsiTheme="minorHAnsi" w:cstheme="minorHAnsi"/>
                <w:sz w:val="18"/>
                <w:szCs w:val="18"/>
              </w:rPr>
              <w:t>effectiveness ratio</w:t>
            </w:r>
            <w:r w:rsidR="001426D3">
              <w:rPr>
                <w:rFonts w:asciiTheme="minorHAnsi" w:hAnsiTheme="minorHAnsi" w:cstheme="minorHAnsi"/>
                <w:sz w:val="18"/>
                <w:szCs w:val="18"/>
              </w:rPr>
              <w:t xml:space="preserve"> (ICER)</w:t>
            </w:r>
            <w:r w:rsidRPr="00A84CB3">
              <w:rPr>
                <w:rFonts w:asciiTheme="minorHAnsi" w:hAnsiTheme="minorHAnsi" w:cstheme="minorHAnsi"/>
                <w:sz w:val="18"/>
                <w:szCs w:val="18"/>
              </w:rPr>
              <w:t>. The PBAC considered osilodrostat addresses a high and urgent unmet clinical need and was expected to provide a substantial and clinically relevant improvement in efficacy, over placebo.</w:t>
            </w:r>
            <w:r w:rsidR="002C6D72">
              <w:rPr>
                <w:rFonts w:asciiTheme="minorHAnsi" w:hAnsiTheme="minorHAnsi" w:cstheme="minorHAnsi"/>
                <w:sz w:val="18"/>
                <w:szCs w:val="18"/>
              </w:rPr>
              <w:t xml:space="preserve"> </w:t>
            </w:r>
            <w:r w:rsidRPr="00A84CB3">
              <w:rPr>
                <w:rFonts w:asciiTheme="minorHAnsi" w:hAnsiTheme="minorHAnsi" w:cstheme="minorHAnsi"/>
                <w:sz w:val="18"/>
                <w:szCs w:val="18"/>
              </w:rPr>
              <w:t>The PBAC nominated an early resolution pathway for this item.</w:t>
            </w:r>
          </w:p>
          <w:p w14:paraId="3AF042B9" w14:textId="77777777" w:rsidR="00EE3E87" w:rsidRDefault="00EE3E87" w:rsidP="00A84CB3">
            <w:pPr>
              <w:contextualSpacing/>
              <w:jc w:val="both"/>
              <w:rPr>
                <w:rFonts w:asciiTheme="minorHAnsi" w:hAnsiTheme="minorHAnsi" w:cstheme="minorHAnsi"/>
                <w:sz w:val="18"/>
                <w:szCs w:val="18"/>
              </w:rPr>
            </w:pPr>
          </w:p>
          <w:p w14:paraId="7D01E03E" w14:textId="6C9F6B9C"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rPr>
              <w:t xml:space="preserve">The previous submission was considered in March 2023. </w:t>
            </w:r>
          </w:p>
          <w:p w14:paraId="4C04ABB3" w14:textId="77777777" w:rsidR="00A84CB3" w:rsidRPr="00A84CB3" w:rsidRDefault="00A84CB3" w:rsidP="00A84CB3">
            <w:pPr>
              <w:contextualSpacing/>
              <w:jc w:val="both"/>
              <w:rPr>
                <w:rFonts w:asciiTheme="minorHAnsi" w:hAnsiTheme="minorHAnsi" w:cstheme="minorHAnsi"/>
                <w:sz w:val="18"/>
                <w:szCs w:val="18"/>
              </w:rPr>
            </w:pPr>
          </w:p>
          <w:p w14:paraId="6A3BD18F" w14:textId="77777777"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u w:val="single"/>
              </w:rPr>
              <w:t>Comparator: placebo</w:t>
            </w:r>
          </w:p>
          <w:p w14:paraId="11D3F3DF" w14:textId="08CA0068"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rPr>
              <w:t>The PBAC reaffirmed its previous consideration that the placebo comparator was the most relevant given that ketoconazole was deregistered by the TGA and metyrapone was used as an off</w:t>
            </w:r>
            <w:r w:rsidR="002C6D72">
              <w:rPr>
                <w:rFonts w:asciiTheme="minorHAnsi" w:hAnsiTheme="minorHAnsi" w:cstheme="minorHAnsi"/>
                <w:sz w:val="18"/>
                <w:szCs w:val="18"/>
              </w:rPr>
              <w:noBreakHyphen/>
            </w:r>
            <w:r w:rsidRPr="00A84CB3">
              <w:rPr>
                <w:rFonts w:asciiTheme="minorHAnsi" w:hAnsiTheme="minorHAnsi" w:cstheme="minorHAnsi"/>
                <w:sz w:val="18"/>
                <w:szCs w:val="18"/>
              </w:rPr>
              <w:t>label therapy</w:t>
            </w:r>
            <w:r w:rsidR="002C6D72">
              <w:rPr>
                <w:rFonts w:asciiTheme="minorHAnsi" w:hAnsiTheme="minorHAnsi" w:cstheme="minorHAnsi"/>
                <w:sz w:val="18"/>
                <w:szCs w:val="18"/>
              </w:rPr>
              <w:t>.</w:t>
            </w:r>
          </w:p>
          <w:p w14:paraId="0B3F765A" w14:textId="487E55EB"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u w:val="single"/>
              </w:rPr>
              <w:t>Clinical claim</w:t>
            </w:r>
            <w:r w:rsidRPr="00EE3E87">
              <w:rPr>
                <w:rFonts w:asciiTheme="minorHAnsi" w:hAnsiTheme="minorHAnsi" w:cstheme="minorHAnsi"/>
                <w:sz w:val="18"/>
                <w:szCs w:val="18"/>
                <w:u w:val="single"/>
              </w:rPr>
              <w:t>:</w:t>
            </w:r>
            <w:r w:rsidRPr="005406D0">
              <w:rPr>
                <w:rFonts w:asciiTheme="minorHAnsi" w:hAnsiTheme="minorHAnsi" w:cstheme="minorHAnsi"/>
                <w:sz w:val="18"/>
                <w:szCs w:val="18"/>
                <w:u w:val="single"/>
              </w:rPr>
              <w:t xml:space="preserve"> </w:t>
            </w:r>
            <w:r w:rsidRPr="00EE3E87">
              <w:rPr>
                <w:rFonts w:asciiTheme="minorHAnsi" w:hAnsiTheme="minorHAnsi" w:cstheme="minorHAnsi"/>
                <w:sz w:val="18"/>
                <w:szCs w:val="18"/>
                <w:u w:val="single"/>
              </w:rPr>
              <w:t>Superior</w:t>
            </w:r>
            <w:r w:rsidRPr="00A84CB3">
              <w:rPr>
                <w:rFonts w:asciiTheme="minorHAnsi" w:hAnsiTheme="minorHAnsi" w:cstheme="minorHAnsi"/>
                <w:sz w:val="18"/>
                <w:szCs w:val="18"/>
                <w:u w:val="single"/>
              </w:rPr>
              <w:t xml:space="preserve"> in terms of effectiveness and non</w:t>
            </w:r>
            <w:r w:rsidR="002C6D72">
              <w:rPr>
                <w:rFonts w:asciiTheme="minorHAnsi" w:hAnsiTheme="minorHAnsi" w:cstheme="minorHAnsi"/>
                <w:sz w:val="18"/>
                <w:szCs w:val="18"/>
                <w:u w:val="single"/>
              </w:rPr>
              <w:noBreakHyphen/>
            </w:r>
            <w:r w:rsidRPr="00A84CB3">
              <w:rPr>
                <w:rFonts w:asciiTheme="minorHAnsi" w:hAnsiTheme="minorHAnsi" w:cstheme="minorHAnsi"/>
                <w:sz w:val="18"/>
                <w:szCs w:val="18"/>
                <w:u w:val="single"/>
              </w:rPr>
              <w:t>inferior in terms of safety compared to placebo.</w:t>
            </w:r>
            <w:r w:rsidRPr="00A84CB3">
              <w:rPr>
                <w:rFonts w:asciiTheme="minorHAnsi" w:hAnsiTheme="minorHAnsi" w:cstheme="minorHAnsi"/>
                <w:sz w:val="18"/>
                <w:szCs w:val="18"/>
              </w:rPr>
              <w:t xml:space="preserve"> </w:t>
            </w:r>
          </w:p>
          <w:p w14:paraId="1CAC00FC" w14:textId="46226351"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rPr>
              <w:t>The PBAC considered that the claim of superior comparative effectiveness was reasonable for the surrogate outcomes of complete or partial response, and acknowledged the important long-term benefits associated with durable response to cortisol level.</w:t>
            </w:r>
            <w:r w:rsidR="001426D3">
              <w:rPr>
                <w:rFonts w:asciiTheme="minorHAnsi" w:hAnsiTheme="minorHAnsi" w:cstheme="minorHAnsi"/>
                <w:sz w:val="18"/>
                <w:szCs w:val="18"/>
              </w:rPr>
              <w:t xml:space="preserve"> </w:t>
            </w:r>
          </w:p>
          <w:p w14:paraId="7DCD5CA9" w14:textId="31B304CB"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rPr>
              <w:t xml:space="preserve">The PBAC considered that the adverse events were generally manageable, and the claim of non-inferior comparative safety was reasonable, noting regular monitoring of side effects of hypocortisolism was required. </w:t>
            </w:r>
          </w:p>
          <w:p w14:paraId="4A68BEC6" w14:textId="77777777"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u w:val="single"/>
              </w:rPr>
              <w:t>Economic claim:</w:t>
            </w:r>
            <w:r w:rsidRPr="005406D0">
              <w:rPr>
                <w:rFonts w:asciiTheme="minorHAnsi" w:hAnsiTheme="minorHAnsi" w:cstheme="minorHAnsi"/>
                <w:sz w:val="18"/>
                <w:szCs w:val="18"/>
                <w:u w:val="single"/>
              </w:rPr>
              <w:t xml:space="preserve"> </w:t>
            </w:r>
            <w:r w:rsidRPr="00A84CB3">
              <w:rPr>
                <w:rFonts w:asciiTheme="minorHAnsi" w:hAnsiTheme="minorHAnsi" w:cstheme="minorHAnsi"/>
                <w:sz w:val="18"/>
                <w:szCs w:val="18"/>
                <w:u w:val="single"/>
              </w:rPr>
              <w:t>Cost utility analysis versus placebo</w:t>
            </w:r>
          </w:p>
          <w:p w14:paraId="2F6B83AE" w14:textId="26780965" w:rsidR="00A84CB3" w:rsidRPr="00A84CB3" w:rsidRDefault="00A84CB3" w:rsidP="00A84CB3">
            <w:pPr>
              <w:contextualSpacing/>
              <w:jc w:val="both"/>
              <w:rPr>
                <w:rFonts w:asciiTheme="minorHAnsi" w:hAnsiTheme="minorHAnsi" w:cstheme="minorHAnsi"/>
                <w:sz w:val="18"/>
                <w:szCs w:val="18"/>
              </w:rPr>
            </w:pPr>
            <w:r w:rsidRPr="00A84CB3">
              <w:rPr>
                <w:rFonts w:asciiTheme="minorHAnsi" w:hAnsiTheme="minorHAnsi" w:cstheme="minorHAnsi"/>
                <w:sz w:val="18"/>
                <w:szCs w:val="18"/>
              </w:rPr>
              <w:t xml:space="preserve">The PBAC considered that despite the resubmission’s attempt to model long-term use of osilodrostat, the inputs informing the model, particularly survival and QoL remained uncertain, the </w:t>
            </w:r>
            <w:r w:rsidRPr="00A84CB3">
              <w:rPr>
                <w:rFonts w:asciiTheme="minorHAnsi" w:hAnsiTheme="minorHAnsi" w:cstheme="minorHAnsi"/>
                <w:sz w:val="18"/>
                <w:szCs w:val="18"/>
              </w:rPr>
              <w:lastRenderedPageBreak/>
              <w:t>base case ICER was too high, and it was unlikely to adequately represent the cost</w:t>
            </w:r>
            <w:r w:rsidR="00835819">
              <w:rPr>
                <w:rFonts w:asciiTheme="minorHAnsi" w:hAnsiTheme="minorHAnsi" w:cstheme="minorHAnsi"/>
                <w:sz w:val="18"/>
                <w:szCs w:val="18"/>
              </w:rPr>
              <w:noBreakHyphen/>
            </w:r>
            <w:r w:rsidRPr="00A84CB3">
              <w:rPr>
                <w:rFonts w:asciiTheme="minorHAnsi" w:hAnsiTheme="minorHAnsi" w:cstheme="minorHAnsi"/>
                <w:sz w:val="18"/>
                <w:szCs w:val="18"/>
              </w:rPr>
              <w:t>effectiveness of osilodrostat.</w:t>
            </w:r>
          </w:p>
          <w:p w14:paraId="09408E37" w14:textId="77777777" w:rsidR="00A84CB3" w:rsidRPr="001033CF" w:rsidRDefault="00A84CB3" w:rsidP="001033CF">
            <w:pPr>
              <w:jc w:val="both"/>
              <w:rPr>
                <w:rFonts w:asciiTheme="minorHAnsi" w:hAnsiTheme="minorHAnsi" w:cstheme="minorHAnsi"/>
                <w:color w:val="000000"/>
                <w:sz w:val="18"/>
                <w:szCs w:val="18"/>
              </w:rPr>
            </w:pPr>
          </w:p>
          <w:p w14:paraId="557A75AA" w14:textId="77777777"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3FB7176D" w14:textId="5B0BFB03" w:rsidR="00F93740" w:rsidRPr="001033CF" w:rsidRDefault="00985723" w:rsidP="001033CF">
            <w:pPr>
              <w:jc w:val="both"/>
              <w:rPr>
                <w:rFonts w:asciiTheme="minorHAnsi" w:hAnsiTheme="minorHAnsi" w:cstheme="minorHAnsi"/>
                <w:sz w:val="18"/>
                <w:szCs w:val="18"/>
              </w:rPr>
            </w:pPr>
            <w:r w:rsidRPr="00985723">
              <w:rPr>
                <w:rFonts w:asciiTheme="minorHAnsi" w:hAnsiTheme="minorHAnsi" w:cstheme="minorHAnsi"/>
                <w:sz w:val="18"/>
                <w:szCs w:val="18"/>
              </w:rPr>
              <w:t>Recordati Rare Diseases acknowledges the PBAC's recommendation and will continue to work with the Committee to make Isturisa available on the PBS for all eligible patients with endogenous Cushing's Syndrome.</w:t>
            </w:r>
          </w:p>
        </w:tc>
      </w:tr>
      <w:tr w:rsidR="00F93740" w:rsidRPr="008059F4" w14:paraId="3C697A62"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04F27B19" w14:textId="37100D4E" w:rsidR="00F93740"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PEGCETACOPLAN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for intravitreal injection 15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0.1</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(150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per</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Syfovre</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APELLIS AUSTRALIA PTY LTD</w:t>
            </w:r>
            <w:r w:rsidRPr="00B0619C">
              <w:rPr>
                <w:rFonts w:asciiTheme="minorHAnsi" w:hAnsiTheme="minorHAnsi" w:cstheme="minorHAnsi"/>
                <w:color w:val="000000"/>
                <w:sz w:val="18"/>
                <w:szCs w:val="18"/>
              </w:rPr>
              <w:br/>
            </w:r>
          </w:p>
          <w:p w14:paraId="173DDFCD" w14:textId="3CBBEC16" w:rsidR="00F93740" w:rsidRPr="00B0619C" w:rsidRDefault="00F93740" w:rsidP="00F93740">
            <w:pPr>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Pr="00B0619C">
              <w:rPr>
                <w:rFonts w:asciiTheme="minorHAnsi" w:hAnsiTheme="minorHAnsi" w:cstheme="minorHAnsi"/>
                <w:color w:val="000000"/>
                <w:sz w:val="18"/>
                <w:szCs w:val="18"/>
              </w:rPr>
              <w:br/>
              <w:t>(New PBS listing)</w:t>
            </w:r>
          </w:p>
          <w:p w14:paraId="3BBF7039" w14:textId="77777777" w:rsidR="00F93740" w:rsidRPr="00B0619C" w:rsidRDefault="00F93740" w:rsidP="00F93740">
            <w:pPr>
              <w:jc w:val="center"/>
              <w:rPr>
                <w:rFonts w:asciiTheme="minorHAnsi" w:hAnsiTheme="minorHAnsi" w:cstheme="minorHAnsi"/>
                <w:color w:val="000000"/>
                <w:sz w:val="18"/>
                <w:szCs w:val="18"/>
              </w:rPr>
            </w:pPr>
          </w:p>
          <w:p w14:paraId="5CB45FA6" w14:textId="3A410FC0" w:rsidR="00F93740" w:rsidRPr="00B0619C"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WITHDRAWN</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63D72" w14:textId="6D0618CE"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Geographic atrophy secondary to age related macular disease</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66300598" w14:textId="48B40642"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(Written) listing for the treatment of non</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subfoveal geographic atrophy that is secondary to age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 xml:space="preserve">related macular degeneration. </w:t>
            </w:r>
          </w:p>
        </w:tc>
        <w:tc>
          <w:tcPr>
            <w:tcW w:w="1584" w:type="dxa"/>
            <w:shd w:val="clear" w:color="auto" w:fill="BFBFBF" w:themeFill="background1" w:themeFillShade="BF"/>
            <w:vAlign w:val="center"/>
          </w:tcPr>
          <w:p w14:paraId="5B53877C" w14:textId="5D60F27D"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2E819623" w14:textId="6B439F9E"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color w:val="000000"/>
                <w:sz w:val="18"/>
                <w:szCs w:val="18"/>
              </w:rPr>
              <w:t>This item was withdrawn.</w:t>
            </w:r>
          </w:p>
        </w:tc>
      </w:tr>
      <w:tr w:rsidR="00F93740" w:rsidRPr="008059F4" w14:paraId="6BE0C26A" w14:textId="77777777" w:rsidTr="00671C24">
        <w:trPr>
          <w:cantSplit/>
          <w:trHeight w:val="1323"/>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DCFF56E"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PRASUGREL</w:t>
            </w:r>
          </w:p>
          <w:p w14:paraId="1C40719A" w14:textId="6358A111"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Tablet 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Tablet 10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Prasugrel SCP™</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GENERIC HEALTH PTY LTD</w:t>
            </w:r>
            <w:r w:rsidRPr="00B0619C">
              <w:rPr>
                <w:rFonts w:asciiTheme="minorHAnsi" w:hAnsiTheme="minorHAnsi" w:cstheme="minorHAnsi"/>
                <w:color w:val="000000"/>
                <w:sz w:val="18"/>
                <w:szCs w:val="18"/>
              </w:rPr>
              <w:br/>
            </w:r>
          </w:p>
          <w:p w14:paraId="449E43C4" w14:textId="27600E43"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69A8209" w14:textId="78A89907"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Acute coronary syndrome </w:t>
            </w:r>
            <w:r w:rsidR="00D576CD">
              <w:rPr>
                <w:rFonts w:asciiTheme="minorHAnsi" w:hAnsiTheme="minorHAnsi" w:cstheme="minorHAnsi"/>
                <w:color w:val="000000"/>
                <w:sz w:val="18"/>
                <w:szCs w:val="18"/>
              </w:rPr>
              <w:t>(ACS)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07B3FD9" w14:textId="5DA47B62"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Authority Required (STREAMLINED) listing, in combination with aspirin, for the treatment of </w:t>
            </w:r>
            <w:r w:rsidR="00D576CD">
              <w:rPr>
                <w:rFonts w:asciiTheme="minorHAnsi" w:hAnsiTheme="minorHAnsi" w:cstheme="minorHAnsi"/>
                <w:color w:val="000000"/>
                <w:sz w:val="18"/>
                <w:szCs w:val="18"/>
              </w:rPr>
              <w:t>ACS</w:t>
            </w:r>
            <w:r w:rsidRPr="00B0619C">
              <w:rPr>
                <w:rFonts w:asciiTheme="minorHAnsi" w:hAnsiTheme="minorHAnsi" w:cstheme="minorHAnsi"/>
                <w:color w:val="000000"/>
                <w:sz w:val="18"/>
                <w:szCs w:val="18"/>
              </w:rPr>
              <w:t xml:space="preserve"> (myocardial infarction or unstable angina) managed by percutaneous coronary intervention.</w:t>
            </w:r>
          </w:p>
        </w:tc>
        <w:tc>
          <w:tcPr>
            <w:tcW w:w="1584" w:type="dxa"/>
            <w:shd w:val="clear" w:color="auto" w:fill="auto"/>
            <w:vAlign w:val="center"/>
          </w:tcPr>
          <w:p w14:paraId="434D6AF5" w14:textId="5D4F8737"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35A639A6" w14:textId="1221E044" w:rsidR="00F93740" w:rsidRDefault="00D576CD" w:rsidP="001033CF">
            <w:pPr>
              <w:jc w:val="both"/>
              <w:rPr>
                <w:rFonts w:asciiTheme="minorHAnsi" w:hAnsiTheme="minorHAnsi" w:cstheme="minorHAnsi"/>
                <w:color w:val="000000"/>
                <w:sz w:val="18"/>
                <w:szCs w:val="18"/>
              </w:rPr>
            </w:pPr>
            <w:r w:rsidRPr="00D576CD">
              <w:rPr>
                <w:rFonts w:asciiTheme="minorHAnsi" w:hAnsiTheme="minorHAnsi" w:cstheme="minorHAnsi"/>
                <w:color w:val="000000"/>
                <w:sz w:val="18"/>
                <w:szCs w:val="18"/>
              </w:rPr>
              <w:t>The PBAC did not recommend prasugrel, in combination with aspirin, for the treatment of ACS i.e., myocardial infarction (MI) or unstable angina, managed by percutaneous coronary intervention (PCI). The PBAC considered that there was a low clinical need for prasugrel. The PBAC noted that the submission presented a comparison between prasugrel and ticagrelor, with clopidogrel nominated as a secondary comparator; however, the PBAC considered that both ticagrelor and clopidogrel were relevant comparators. The PBAC considered the clinical claim that prasugrel was superior compared to ticagrelor in terms of efficacy was not reasonable, instead considering that prasugrel was non-inferior compared to ticagrelor, but that the claim of non-inferior safety was reasonable. The PBAC recalled that it had previously considered that the superior comparative clinical benefit of prasugrel over clopidogrel, in terms of reduced non-fatal MI events, marginally outweighed the inferior comparative safety profile in terms of a higher incidence of adverse bleeding events. Given that the claim of superior efficacy compared to ticagrelor was not accepted and noting the numerous errors and issues with the economic evaluation, the PBAC considered that the model comparing prasugrel with ticagrelor was unreliable for decision making.</w:t>
            </w:r>
            <w:r>
              <w:rPr>
                <w:rFonts w:asciiTheme="minorHAnsi" w:hAnsiTheme="minorHAnsi" w:cstheme="minorHAnsi"/>
                <w:color w:val="000000"/>
                <w:sz w:val="18"/>
                <w:szCs w:val="18"/>
              </w:rPr>
              <w:t xml:space="preserve"> The PBAC recommended the early re</w:t>
            </w:r>
            <w:r>
              <w:rPr>
                <w:rFonts w:asciiTheme="minorHAnsi" w:hAnsiTheme="minorHAnsi" w:cstheme="minorHAnsi"/>
                <w:color w:val="000000"/>
                <w:sz w:val="18"/>
                <w:szCs w:val="18"/>
              </w:rPr>
              <w:noBreakHyphen/>
              <w:t>entry resubmission pathway for this item.</w:t>
            </w:r>
          </w:p>
          <w:p w14:paraId="5FE61929" w14:textId="77777777" w:rsidR="00D576CD" w:rsidRPr="001033CF" w:rsidRDefault="00D576CD" w:rsidP="001033CF">
            <w:pPr>
              <w:jc w:val="both"/>
              <w:rPr>
                <w:rFonts w:asciiTheme="minorHAnsi" w:hAnsiTheme="minorHAnsi" w:cstheme="minorHAnsi"/>
                <w:color w:val="000000"/>
                <w:sz w:val="18"/>
                <w:szCs w:val="18"/>
              </w:rPr>
            </w:pPr>
          </w:p>
          <w:p w14:paraId="44FE651A" w14:textId="77777777"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0C0D0E0D" w14:textId="593E5C7A" w:rsidR="00F93740" w:rsidRPr="001033CF" w:rsidRDefault="006D36C9" w:rsidP="001033CF">
            <w:pPr>
              <w:jc w:val="both"/>
              <w:rPr>
                <w:rFonts w:asciiTheme="minorHAnsi" w:hAnsiTheme="minorHAnsi" w:cstheme="minorHAnsi"/>
                <w:sz w:val="18"/>
                <w:szCs w:val="18"/>
              </w:rPr>
            </w:pPr>
            <w:r w:rsidRPr="006D36C9">
              <w:rPr>
                <w:rFonts w:asciiTheme="minorHAnsi" w:hAnsiTheme="minorHAnsi" w:cstheme="minorHAnsi"/>
                <w:sz w:val="18"/>
                <w:szCs w:val="18"/>
              </w:rPr>
              <w:t>Generic Health appreciates the opportunity to resubmit via the early re-entry pathway and is committed to working with the PBAC to bring Prasugrel to Australians in a timely manner for the treatment of ACS (myocardial infarction or unstable angina) managed by percutaneous coronary intervention, in combination with aspirin.</w:t>
            </w:r>
          </w:p>
        </w:tc>
      </w:tr>
      <w:tr w:rsidR="00F93740" w:rsidRPr="008059F4" w14:paraId="74362673"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585AA7F5" w14:textId="11C489FA" w:rsidR="00F93740"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RAVULIZUMAB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Solution concentrate for I.V. infusion 300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3</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t xml:space="preserve">Solution concentrate for I.V. infusion </w:t>
            </w:r>
            <w:r w:rsidRPr="00B0619C">
              <w:rPr>
                <w:rFonts w:asciiTheme="minorHAnsi" w:hAnsiTheme="minorHAnsi" w:cstheme="minorHAnsi"/>
                <w:color w:val="000000"/>
                <w:sz w:val="18"/>
                <w:szCs w:val="18"/>
              </w:rPr>
              <w:br/>
              <w:t>1,100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11</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Ultomiris</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ALEXION PHARMACEUTICALS AUSTRALASIA PTY LTD</w:t>
            </w:r>
            <w:r w:rsidRPr="00B0619C">
              <w:rPr>
                <w:rFonts w:asciiTheme="minorHAnsi" w:hAnsiTheme="minorHAnsi" w:cstheme="minorHAnsi"/>
                <w:color w:val="000000"/>
                <w:sz w:val="18"/>
                <w:szCs w:val="18"/>
              </w:rPr>
              <w:br/>
            </w:r>
          </w:p>
          <w:p w14:paraId="616FBA6F" w14:textId="08FE12CB" w:rsidR="00F93740" w:rsidRPr="00B0619C" w:rsidRDefault="00F93740" w:rsidP="00D050C0">
            <w:pPr>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500D0B" w14:textId="53C7A931"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Generalised myasthenia gravis (</w:t>
            </w:r>
            <w:proofErr w:type="spellStart"/>
            <w:r w:rsidRPr="00B0619C">
              <w:rPr>
                <w:rFonts w:asciiTheme="minorHAnsi" w:hAnsiTheme="minorHAnsi" w:cstheme="minorHAnsi"/>
                <w:color w:val="000000"/>
                <w:sz w:val="18"/>
                <w:szCs w:val="18"/>
              </w:rPr>
              <w:t>gMG</w:t>
            </w:r>
            <w:proofErr w:type="spellEnd"/>
            <w:r w:rsidRPr="00B0619C">
              <w:rPr>
                <w:rFonts w:asciiTheme="minorHAnsi" w:hAnsiTheme="minorHAnsi" w:cstheme="minorHAnsi"/>
                <w:color w:val="000000"/>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181114DF" w14:textId="5BAB9FA5"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Section 100 (Highly Specialised Drugs Program) Authority Required (Written) listing for the treatment of adult patients with </w:t>
            </w:r>
            <w:proofErr w:type="spellStart"/>
            <w:r w:rsidRPr="00B0619C">
              <w:rPr>
                <w:rFonts w:asciiTheme="minorHAnsi" w:hAnsiTheme="minorHAnsi" w:cstheme="minorHAnsi"/>
                <w:color w:val="000000"/>
                <w:sz w:val="18"/>
                <w:szCs w:val="18"/>
              </w:rPr>
              <w:t>gMG</w:t>
            </w:r>
            <w:proofErr w:type="spellEnd"/>
            <w:r w:rsidRPr="00B0619C">
              <w:rPr>
                <w:rFonts w:asciiTheme="minorHAnsi" w:hAnsiTheme="minorHAnsi" w:cstheme="minorHAnsi"/>
                <w:color w:val="000000"/>
                <w:sz w:val="18"/>
                <w:szCs w:val="18"/>
              </w:rPr>
              <w:t xml:space="preserve"> who </w:t>
            </w:r>
            <w:proofErr w:type="gramStart"/>
            <w:r w:rsidRPr="00B0619C">
              <w:rPr>
                <w:rFonts w:asciiTheme="minorHAnsi" w:hAnsiTheme="minorHAnsi" w:cstheme="minorHAnsi"/>
                <w:color w:val="000000"/>
                <w:sz w:val="18"/>
                <w:szCs w:val="18"/>
              </w:rPr>
              <w:t>are anti</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acetylcholine receptor antibody</w:t>
            </w:r>
            <w:proofErr w:type="gramEnd"/>
            <w:r w:rsidRPr="00B0619C">
              <w:rPr>
                <w:rFonts w:asciiTheme="minorHAnsi" w:hAnsiTheme="minorHAnsi" w:cstheme="minorHAnsi"/>
                <w:color w:val="000000"/>
                <w:sz w:val="18"/>
                <w:szCs w:val="18"/>
              </w:rPr>
              <w:t xml:space="preserve"> positive.</w:t>
            </w:r>
          </w:p>
        </w:tc>
        <w:tc>
          <w:tcPr>
            <w:tcW w:w="1584" w:type="dxa"/>
            <w:shd w:val="clear" w:color="auto" w:fill="BFBFBF" w:themeFill="background1" w:themeFillShade="BF"/>
            <w:vAlign w:val="center"/>
          </w:tcPr>
          <w:p w14:paraId="625A797D" w14:textId="429E9498"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43F39F61" w14:textId="58B76BE0"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color w:val="000000"/>
                <w:sz w:val="18"/>
                <w:szCs w:val="18"/>
              </w:rPr>
              <w:t>To be considered at a future PBAC meeting</w:t>
            </w:r>
          </w:p>
        </w:tc>
      </w:tr>
      <w:tr w:rsidR="00F93740" w:rsidRPr="008059F4" w14:paraId="13ABB42B" w14:textId="77777777" w:rsidTr="00671C24">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7FAFFF" w14:textId="0BC9199B"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RELUGOLIX WITH ESTRADIOL AND WITH NORETHISTERONE ACETATE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containing relugolix 40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with estradiol (as hemihydrate) 1</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and with norethisterone acetate 0.5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Ryeqo</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GEDEON RICHTER AUSTRALIA PTY LTD</w:t>
            </w:r>
            <w:r w:rsidRPr="00B0619C">
              <w:rPr>
                <w:rFonts w:asciiTheme="minorHAnsi" w:hAnsiTheme="minorHAnsi" w:cstheme="minorHAnsi"/>
                <w:color w:val="000000"/>
                <w:sz w:val="18"/>
                <w:szCs w:val="18"/>
              </w:rPr>
              <w:br/>
            </w:r>
          </w:p>
          <w:p w14:paraId="479E9653" w14:textId="4AEF58A5"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9F9D4A8" w14:textId="650AE2E6"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Endometriosis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05FF716" w14:textId="6DAF90EE"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(STREAMLINED) listing for the treatment of moderate to severe pain associated with endometriosis.</w:t>
            </w:r>
          </w:p>
        </w:tc>
        <w:tc>
          <w:tcPr>
            <w:tcW w:w="1584" w:type="dxa"/>
            <w:shd w:val="clear" w:color="auto" w:fill="auto"/>
            <w:vAlign w:val="center"/>
          </w:tcPr>
          <w:p w14:paraId="2C9700D4" w14:textId="1A69B112"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80785FB" w14:textId="3C2834BB"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relugolix with estradiol and with norethisterone acetate (Ryeqo), for treatment of moderate to severe pain associated with endometriosis. The PBAC’s recommendation for listing was based on its assessment that the cost</w:t>
            </w:r>
            <w:r w:rsidRPr="001033CF">
              <w:rPr>
                <w:rFonts w:asciiTheme="minorHAnsi" w:hAnsiTheme="minorHAnsi" w:cstheme="minorHAnsi"/>
                <w:sz w:val="18"/>
                <w:szCs w:val="18"/>
              </w:rPr>
              <w:noBreakHyphen/>
              <w:t xml:space="preserve">effectiveness of Ryeqo would be acceptable if it were no more costly over a </w:t>
            </w:r>
            <w:r w:rsidR="00EE2876" w:rsidRPr="001033CF">
              <w:rPr>
                <w:rFonts w:asciiTheme="minorHAnsi" w:hAnsiTheme="minorHAnsi" w:cstheme="minorHAnsi"/>
                <w:sz w:val="18"/>
                <w:szCs w:val="18"/>
              </w:rPr>
              <w:t>12</w:t>
            </w:r>
            <w:r w:rsidR="00EE2876" w:rsidRPr="001033CF">
              <w:rPr>
                <w:rFonts w:asciiTheme="minorHAnsi" w:hAnsiTheme="minorHAnsi" w:cstheme="minorHAnsi"/>
                <w:sz w:val="18"/>
                <w:szCs w:val="18"/>
              </w:rPr>
              <w:noBreakHyphen/>
            </w:r>
            <w:r w:rsidRPr="001033CF">
              <w:rPr>
                <w:rFonts w:asciiTheme="minorHAnsi" w:hAnsiTheme="minorHAnsi" w:cstheme="minorHAnsi"/>
                <w:sz w:val="18"/>
                <w:szCs w:val="18"/>
              </w:rPr>
              <w:t>month period than 12</w:t>
            </w:r>
            <w:r w:rsidR="00C51FC3">
              <w:rPr>
                <w:rFonts w:asciiTheme="minorHAnsi" w:hAnsiTheme="minorHAnsi" w:cstheme="minorHAnsi"/>
                <w:sz w:val="18"/>
                <w:szCs w:val="18"/>
              </w:rPr>
              <w:t> </w:t>
            </w:r>
            <w:r w:rsidRPr="001033CF">
              <w:rPr>
                <w:rFonts w:asciiTheme="minorHAnsi" w:hAnsiTheme="minorHAnsi" w:cstheme="minorHAnsi"/>
                <w:sz w:val="18"/>
                <w:szCs w:val="18"/>
              </w:rPr>
              <w:t xml:space="preserve">months of </w:t>
            </w:r>
            <w:r w:rsidR="00EE2876" w:rsidRPr="001033CF">
              <w:rPr>
                <w:rFonts w:asciiTheme="minorHAnsi" w:hAnsiTheme="minorHAnsi" w:cstheme="minorHAnsi"/>
                <w:sz w:val="18"/>
                <w:szCs w:val="18"/>
              </w:rPr>
              <w:t>gonadotropin hormone-releasing hormone (</w:t>
            </w:r>
            <w:r w:rsidRPr="001033CF">
              <w:rPr>
                <w:rFonts w:asciiTheme="minorHAnsi" w:hAnsiTheme="minorHAnsi" w:cstheme="minorHAnsi"/>
                <w:sz w:val="18"/>
                <w:szCs w:val="18"/>
              </w:rPr>
              <w:t>GnRH</w:t>
            </w:r>
            <w:r w:rsidR="00EE2876" w:rsidRPr="001033CF">
              <w:rPr>
                <w:rFonts w:asciiTheme="minorHAnsi" w:hAnsiTheme="minorHAnsi" w:cstheme="minorHAnsi"/>
                <w:sz w:val="18"/>
                <w:szCs w:val="18"/>
              </w:rPr>
              <w:t>)</w:t>
            </w:r>
            <w:r w:rsidRPr="001033CF">
              <w:rPr>
                <w:rFonts w:asciiTheme="minorHAnsi" w:hAnsiTheme="minorHAnsi" w:cstheme="minorHAnsi"/>
                <w:sz w:val="18"/>
                <w:szCs w:val="18"/>
              </w:rPr>
              <w:t xml:space="preserve"> therapy (plus add</w:t>
            </w:r>
            <w:r w:rsidRPr="001033CF">
              <w:rPr>
                <w:rFonts w:asciiTheme="minorHAnsi" w:hAnsiTheme="minorHAnsi" w:cstheme="minorHAnsi"/>
                <w:sz w:val="18"/>
                <w:szCs w:val="18"/>
              </w:rPr>
              <w:noBreakHyphen/>
              <w:t xml:space="preserve">back therapy) as currently supplied through the PBS. The PBAC noted based on current PBS restrictions that GnRH therapy is available as 6 months of goserelin and 6 months of </w:t>
            </w:r>
            <w:proofErr w:type="spellStart"/>
            <w:r w:rsidRPr="001033CF">
              <w:rPr>
                <w:rFonts w:asciiTheme="minorHAnsi" w:hAnsiTheme="minorHAnsi" w:cstheme="minorHAnsi"/>
                <w:sz w:val="18"/>
                <w:szCs w:val="18"/>
              </w:rPr>
              <w:t>nafarelin</w:t>
            </w:r>
            <w:proofErr w:type="spellEnd"/>
            <w:r w:rsidRPr="001033CF">
              <w:rPr>
                <w:rFonts w:asciiTheme="minorHAnsi" w:hAnsiTheme="minorHAnsi" w:cstheme="minorHAnsi"/>
                <w:sz w:val="18"/>
                <w:szCs w:val="18"/>
              </w:rPr>
              <w:t>. The PBAC acknowledged that Ryeqo would be used on average for more than 12</w:t>
            </w:r>
            <w:r w:rsidR="00C51FC3">
              <w:rPr>
                <w:rFonts w:asciiTheme="minorHAnsi" w:hAnsiTheme="minorHAnsi" w:cstheme="minorHAnsi"/>
                <w:sz w:val="18"/>
                <w:szCs w:val="18"/>
              </w:rPr>
              <w:t> </w:t>
            </w:r>
            <w:r w:rsidRPr="001033CF">
              <w:rPr>
                <w:rFonts w:asciiTheme="minorHAnsi" w:hAnsiTheme="minorHAnsi" w:cstheme="minorHAnsi"/>
                <w:sz w:val="18"/>
                <w:szCs w:val="18"/>
              </w:rPr>
              <w:t>months and considered the cost calculated for the first 12</w:t>
            </w:r>
            <w:r w:rsidR="00C51FC3">
              <w:rPr>
                <w:rFonts w:asciiTheme="minorHAnsi" w:hAnsiTheme="minorHAnsi" w:cstheme="minorHAnsi"/>
                <w:sz w:val="18"/>
                <w:szCs w:val="18"/>
              </w:rPr>
              <w:t> </w:t>
            </w:r>
            <w:r w:rsidRPr="001033CF">
              <w:rPr>
                <w:rFonts w:asciiTheme="minorHAnsi" w:hAnsiTheme="minorHAnsi" w:cstheme="minorHAnsi"/>
                <w:sz w:val="18"/>
                <w:szCs w:val="18"/>
              </w:rPr>
              <w:t xml:space="preserve">months of therapy provides an appropriate frame of reference for the cost of therapy beyond 12 months. The PBAC noted that based on the proposed price, the cost of Ryeqo, including </w:t>
            </w:r>
            <w:r w:rsidR="00EE2876" w:rsidRPr="001033CF">
              <w:rPr>
                <w:rFonts w:asciiTheme="minorHAnsi" w:hAnsiTheme="minorHAnsi" w:cstheme="minorHAnsi"/>
                <w:sz w:val="18"/>
                <w:szCs w:val="18"/>
              </w:rPr>
              <w:t xml:space="preserve">bone mineral density (BMD) </w:t>
            </w:r>
            <w:r w:rsidRPr="001033CF">
              <w:rPr>
                <w:rFonts w:asciiTheme="minorHAnsi" w:hAnsiTheme="minorHAnsi" w:cstheme="minorHAnsi"/>
                <w:sz w:val="18"/>
                <w:szCs w:val="18"/>
              </w:rPr>
              <w:t>monitoring and goserelin implantation costs, was lower over 12</w:t>
            </w:r>
            <w:r w:rsidR="008C703F" w:rsidRPr="001033CF">
              <w:rPr>
                <w:rFonts w:asciiTheme="minorHAnsi" w:hAnsiTheme="minorHAnsi" w:cstheme="minorHAnsi"/>
                <w:sz w:val="18"/>
                <w:szCs w:val="18"/>
              </w:rPr>
              <w:t> </w:t>
            </w:r>
            <w:r w:rsidRPr="001033CF">
              <w:rPr>
                <w:rFonts w:asciiTheme="minorHAnsi" w:hAnsiTheme="minorHAnsi" w:cstheme="minorHAnsi"/>
                <w:sz w:val="18"/>
                <w:szCs w:val="18"/>
              </w:rPr>
              <w:t>months than the comparator costs and was therefore considered cost</w:t>
            </w:r>
            <w:r w:rsidRPr="001033CF">
              <w:rPr>
                <w:rFonts w:asciiTheme="minorHAnsi" w:hAnsiTheme="minorHAnsi" w:cstheme="minorHAnsi"/>
                <w:sz w:val="18"/>
                <w:szCs w:val="18"/>
              </w:rPr>
              <w:noBreakHyphen/>
              <w:t>effective. The PBAC acknowledged the clinical need for new treatments for endometriosis. The PBAC noted that there were significant safety concerns regarding bone mineral density loss, particularly for younger women, and where patients receive ongoing treatment with Gn</w:t>
            </w:r>
            <w:r w:rsidR="005B22FC">
              <w:rPr>
                <w:rFonts w:asciiTheme="minorHAnsi" w:hAnsiTheme="minorHAnsi" w:cstheme="minorHAnsi"/>
                <w:sz w:val="18"/>
                <w:szCs w:val="18"/>
              </w:rPr>
              <w:t>R</w:t>
            </w:r>
            <w:r w:rsidRPr="001033CF">
              <w:rPr>
                <w:rFonts w:asciiTheme="minorHAnsi" w:hAnsiTheme="minorHAnsi" w:cstheme="minorHAnsi"/>
                <w:sz w:val="18"/>
                <w:szCs w:val="18"/>
              </w:rPr>
              <w:t>H therapy, including Ryeqo, for more than 1</w:t>
            </w:r>
            <w:r w:rsidRPr="001033CF">
              <w:rPr>
                <w:rFonts w:asciiTheme="minorHAnsi" w:eastAsia="Symbol" w:hAnsiTheme="minorHAnsi" w:cstheme="minorHAnsi"/>
                <w:sz w:val="18"/>
                <w:szCs w:val="18"/>
              </w:rPr>
              <w:t>-</w:t>
            </w:r>
            <w:r w:rsidR="008C703F" w:rsidRPr="001033CF">
              <w:rPr>
                <w:rFonts w:asciiTheme="minorHAnsi" w:hAnsiTheme="minorHAnsi" w:cstheme="minorHAnsi"/>
                <w:sz w:val="18"/>
                <w:szCs w:val="18"/>
              </w:rPr>
              <w:t>2 </w:t>
            </w:r>
            <w:r w:rsidRPr="001033CF">
              <w:rPr>
                <w:rFonts w:asciiTheme="minorHAnsi" w:hAnsiTheme="minorHAnsi" w:cstheme="minorHAnsi"/>
                <w:sz w:val="18"/>
                <w:szCs w:val="18"/>
              </w:rPr>
              <w:t>years. The PBAC noted this could be monitored for at risk patients using BMD testing. The PBAC considered that the listing of Ryeqo, as a fixed dose combination, with the potential for ongoing treatment for 2</w:t>
            </w:r>
            <w:r w:rsidR="00671C24">
              <w:rPr>
                <w:rFonts w:asciiTheme="minorHAnsi" w:hAnsiTheme="minorHAnsi" w:cstheme="minorHAnsi"/>
                <w:sz w:val="18"/>
                <w:szCs w:val="18"/>
              </w:rPr>
              <w:t> </w:t>
            </w:r>
            <w:r w:rsidRPr="001033CF">
              <w:rPr>
                <w:rFonts w:asciiTheme="minorHAnsi" w:hAnsiTheme="minorHAnsi" w:cstheme="minorHAnsi"/>
                <w:sz w:val="18"/>
                <w:szCs w:val="18"/>
              </w:rPr>
              <w:t>years or longer, is likely to result in a net cost to the PBS. The PBAC advised that revisions to prevalence and uptake were required as well as a risk sharing arrangement to manage the uncertainties in the financial estimates.</w:t>
            </w:r>
          </w:p>
        </w:tc>
      </w:tr>
      <w:tr w:rsidR="00F93740" w:rsidRPr="008059F4" w14:paraId="30CE448A" w14:textId="77777777" w:rsidTr="00D47391">
        <w:trPr>
          <w:trHeight w:val="755"/>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3CD451" w14:textId="3613CC5F" w:rsidR="00F93740" w:rsidRDefault="00F93740" w:rsidP="00F93740">
            <w:pPr>
              <w:keepLines/>
              <w:jc w:val="center"/>
              <w:rPr>
                <w:rFonts w:asciiTheme="minorHAnsi" w:hAnsiTheme="minorHAnsi" w:cstheme="minorHAnsi"/>
                <w:color w:val="000000"/>
                <w:sz w:val="18"/>
                <w:szCs w:val="18"/>
              </w:rPr>
            </w:pPr>
            <w:bookmarkStart w:id="10" w:name="_Hlk164866879"/>
            <w:r w:rsidRPr="00B0619C">
              <w:rPr>
                <w:rFonts w:asciiTheme="minorHAnsi" w:hAnsiTheme="minorHAnsi" w:cstheme="minorHAnsi"/>
                <w:color w:val="000000"/>
                <w:sz w:val="18"/>
                <w:szCs w:val="18"/>
              </w:rPr>
              <w:lastRenderedPageBreak/>
              <w:t>RESPIRATORY SYNCYTIAL VIRUS VACCINE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0.5</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Abrysvo</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bookmarkEnd w:id="10"/>
            <w:r w:rsidRPr="00B0619C">
              <w:rPr>
                <w:rFonts w:asciiTheme="minorHAnsi" w:hAnsiTheme="minorHAnsi" w:cstheme="minorHAnsi"/>
                <w:color w:val="000000"/>
                <w:sz w:val="18"/>
                <w:szCs w:val="18"/>
              </w:rPr>
              <w:br/>
              <w:t>PFIZER AUSTRALIA PTY LTD</w:t>
            </w:r>
            <w:r w:rsidRPr="00B0619C">
              <w:rPr>
                <w:rFonts w:asciiTheme="minorHAnsi" w:hAnsiTheme="minorHAnsi" w:cstheme="minorHAnsi"/>
                <w:color w:val="000000"/>
                <w:sz w:val="18"/>
                <w:szCs w:val="18"/>
              </w:rPr>
              <w:br/>
            </w:r>
          </w:p>
          <w:p w14:paraId="1B5C9C06" w14:textId="10C74EA9"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1</w:t>
            </w:r>
            <w:r w:rsidRPr="00B0619C">
              <w:rPr>
                <w:rFonts w:asciiTheme="minorHAnsi" w:hAnsiTheme="minorHAnsi" w:cstheme="minorHAnsi"/>
                <w:color w:val="000000"/>
                <w:sz w:val="18"/>
                <w:szCs w:val="18"/>
              </w:rPr>
              <w:br/>
              <w:t xml:space="preserve">(New </w:t>
            </w:r>
            <w:r>
              <w:rPr>
                <w:rFonts w:asciiTheme="minorHAnsi" w:hAnsiTheme="minorHAnsi" w:cstheme="minorHAnsi"/>
                <w:color w:val="000000"/>
                <w:sz w:val="18"/>
                <w:szCs w:val="18"/>
              </w:rPr>
              <w:t>NIP</w:t>
            </w:r>
            <w:r w:rsidRPr="00B0619C">
              <w:rPr>
                <w:rFonts w:asciiTheme="minorHAnsi" w:hAnsiTheme="minorHAnsi" w:cstheme="minorHAnsi"/>
                <w:color w:val="000000"/>
                <w:sz w:val="18"/>
                <w:szCs w:val="18"/>
              </w:rPr>
              <w:t xml:space="preserve">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ADA650D" w14:textId="6001AB78"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7637984" w14:textId="2212D7A3"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National Immunisation Program listing for the prevention of lower respiratory tract illness caused by RSV in infants from birth through to 6 months of age by active immunisation of pregnant individuals.</w:t>
            </w:r>
          </w:p>
        </w:tc>
        <w:tc>
          <w:tcPr>
            <w:tcW w:w="1584" w:type="dxa"/>
            <w:shd w:val="clear" w:color="auto" w:fill="auto"/>
            <w:vAlign w:val="center"/>
          </w:tcPr>
          <w:p w14:paraId="7E3995F7" w14:textId="31FBB52C"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070ED98D" w14:textId="40CA4C53" w:rsidR="00303697" w:rsidRDefault="00303697" w:rsidP="001033CF">
            <w:pPr>
              <w:jc w:val="both"/>
              <w:rPr>
                <w:rFonts w:asciiTheme="minorHAnsi" w:hAnsiTheme="minorHAnsi" w:cstheme="minorHAnsi"/>
                <w:color w:val="000000"/>
                <w:sz w:val="18"/>
                <w:szCs w:val="18"/>
              </w:rPr>
            </w:pPr>
            <w:bookmarkStart w:id="11" w:name="_Hlk164866679"/>
            <w:r w:rsidRPr="00303697">
              <w:rPr>
                <w:rFonts w:asciiTheme="minorHAnsi" w:hAnsiTheme="minorHAnsi" w:cstheme="minorHAnsi"/>
                <w:color w:val="000000"/>
                <w:sz w:val="18"/>
                <w:szCs w:val="18"/>
              </w:rPr>
              <w:t>The PBAC did not recommend recombinant syncytial pre-fusion F protein vaccine (RSVpreF) for the prevention of lower respiratory tract illness (LRTI) caused by RSV in infants from birth through 6 months of age by active immunisation of pregnant women. The PBAC noted the clinical trial evidence presented in the submission showed there was a reduced risk of medically attended lower respiratory tract illness (MA-LRTI) and severe MA-LRTI due to RSV among infants during the first 6</w:t>
            </w:r>
            <w:r w:rsidR="00671C24">
              <w:rPr>
                <w:rFonts w:asciiTheme="minorHAnsi" w:hAnsiTheme="minorHAnsi" w:cstheme="minorHAnsi"/>
                <w:color w:val="000000"/>
                <w:sz w:val="18"/>
                <w:szCs w:val="18"/>
              </w:rPr>
              <w:t> </w:t>
            </w:r>
            <w:r w:rsidRPr="00303697">
              <w:rPr>
                <w:rFonts w:asciiTheme="minorHAnsi" w:hAnsiTheme="minorHAnsi" w:cstheme="minorHAnsi"/>
                <w:color w:val="000000"/>
                <w:sz w:val="18"/>
                <w:szCs w:val="18"/>
              </w:rPr>
              <w:t xml:space="preserve">months of life in RSV-vaccinated versus placebo-vaccinated individuals. The PBAC considered that the adverse event profile of RSVpreF was acceptable compared to placebo. The PBAC considered that the incremental cost-effectiveness ratio was high and uncertain. The PBAC considered that a price reduction would be required to ensure the vaccine was cost-effective in the proposed circumstances of use. </w:t>
            </w:r>
          </w:p>
          <w:p w14:paraId="628DABC4" w14:textId="77777777" w:rsidR="00303697" w:rsidRDefault="00303697" w:rsidP="001033CF">
            <w:pPr>
              <w:jc w:val="both"/>
              <w:rPr>
                <w:rFonts w:asciiTheme="minorHAnsi" w:hAnsiTheme="minorHAnsi" w:cstheme="minorHAnsi"/>
                <w:color w:val="000000"/>
                <w:sz w:val="18"/>
                <w:szCs w:val="18"/>
              </w:rPr>
            </w:pPr>
          </w:p>
          <w:p w14:paraId="4ED2A351" w14:textId="7BA0CAB6" w:rsidR="00F93740" w:rsidRDefault="00303697" w:rsidP="001033CF">
            <w:pPr>
              <w:jc w:val="both"/>
              <w:rPr>
                <w:rFonts w:asciiTheme="minorHAnsi" w:hAnsiTheme="minorHAnsi" w:cstheme="minorHAnsi"/>
                <w:color w:val="000000"/>
                <w:sz w:val="18"/>
                <w:szCs w:val="18"/>
              </w:rPr>
            </w:pPr>
            <w:r w:rsidRPr="00303697">
              <w:rPr>
                <w:rFonts w:asciiTheme="minorHAnsi" w:hAnsiTheme="minorHAnsi" w:cstheme="minorHAnsi"/>
                <w:color w:val="000000"/>
                <w:sz w:val="18"/>
                <w:szCs w:val="18"/>
              </w:rPr>
              <w:t>The PBAC nominated the Early Resolution re-submission pathway for this item.</w:t>
            </w:r>
          </w:p>
          <w:p w14:paraId="48EED2C1" w14:textId="77777777" w:rsidR="00303697" w:rsidRPr="001033CF" w:rsidRDefault="00303697" w:rsidP="001033CF">
            <w:pPr>
              <w:jc w:val="both"/>
              <w:rPr>
                <w:rFonts w:asciiTheme="minorHAnsi" w:hAnsiTheme="minorHAnsi" w:cstheme="minorHAnsi"/>
                <w:color w:val="000000"/>
                <w:sz w:val="18"/>
                <w:szCs w:val="18"/>
              </w:rPr>
            </w:pPr>
          </w:p>
          <w:p w14:paraId="01D03A1D" w14:textId="77777777"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023B1CD8" w14:textId="0B2D77EC" w:rsidR="00F93740" w:rsidRPr="001033CF" w:rsidRDefault="007B3E48" w:rsidP="001033CF">
            <w:pPr>
              <w:jc w:val="both"/>
              <w:rPr>
                <w:rFonts w:asciiTheme="minorHAnsi" w:hAnsiTheme="minorHAnsi" w:cstheme="minorHAnsi"/>
                <w:sz w:val="18"/>
                <w:szCs w:val="18"/>
              </w:rPr>
            </w:pPr>
            <w:r w:rsidRPr="007B3E48">
              <w:rPr>
                <w:rFonts w:asciiTheme="minorHAnsi" w:hAnsiTheme="minorHAnsi" w:cstheme="minorHAnsi"/>
                <w:sz w:val="18"/>
                <w:szCs w:val="18"/>
              </w:rPr>
              <w:t xml:space="preserve">Pfizer welcomes the PBAC’s acknowledgement of the high and urgent unmet clinical need for prevention of RSV in infants from birth through 6 months of age and the clinical benefit of Abrysvo compared to placebo. Pfizer will continue to work collaboratively with the PBAC and Department of Health and Aged Care to deliver access to Abrysvo for pregnant individuals via the proposed </w:t>
            </w:r>
            <w:r w:rsidR="00E76B6E">
              <w:rPr>
                <w:rFonts w:asciiTheme="minorHAnsi" w:hAnsiTheme="minorHAnsi" w:cstheme="minorHAnsi"/>
                <w:sz w:val="18"/>
                <w:szCs w:val="18"/>
              </w:rPr>
              <w:t>N</w:t>
            </w:r>
            <w:r w:rsidRPr="007B3E48">
              <w:rPr>
                <w:rFonts w:asciiTheme="minorHAnsi" w:hAnsiTheme="minorHAnsi" w:cstheme="minorHAnsi"/>
                <w:sz w:val="18"/>
                <w:szCs w:val="18"/>
              </w:rPr>
              <w:t xml:space="preserve">ational </w:t>
            </w:r>
            <w:r w:rsidR="00E76B6E">
              <w:rPr>
                <w:rFonts w:asciiTheme="minorHAnsi" w:hAnsiTheme="minorHAnsi" w:cstheme="minorHAnsi"/>
                <w:sz w:val="18"/>
                <w:szCs w:val="18"/>
              </w:rPr>
              <w:t>I</w:t>
            </w:r>
            <w:r w:rsidRPr="007B3E48">
              <w:rPr>
                <w:rFonts w:asciiTheme="minorHAnsi" w:hAnsiTheme="minorHAnsi" w:cstheme="minorHAnsi"/>
                <w:sz w:val="18"/>
                <w:szCs w:val="18"/>
              </w:rPr>
              <w:t xml:space="preserve">mmunisation </w:t>
            </w:r>
            <w:r w:rsidR="00E76B6E">
              <w:rPr>
                <w:rFonts w:asciiTheme="minorHAnsi" w:hAnsiTheme="minorHAnsi" w:cstheme="minorHAnsi"/>
                <w:sz w:val="18"/>
                <w:szCs w:val="18"/>
              </w:rPr>
              <w:t>P</w:t>
            </w:r>
            <w:r w:rsidRPr="007B3E48">
              <w:rPr>
                <w:rFonts w:asciiTheme="minorHAnsi" w:hAnsiTheme="minorHAnsi" w:cstheme="minorHAnsi"/>
                <w:sz w:val="18"/>
                <w:szCs w:val="18"/>
              </w:rPr>
              <w:t>rogram.</w:t>
            </w:r>
            <w:bookmarkEnd w:id="11"/>
          </w:p>
        </w:tc>
      </w:tr>
      <w:tr w:rsidR="00F93740" w:rsidRPr="008059F4" w14:paraId="7C3B55FA"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E0E51BF" w14:textId="4C4527C1" w:rsidR="00F93740" w:rsidRDefault="00F93740" w:rsidP="00F93740">
            <w:pPr>
              <w:keepLines/>
              <w:jc w:val="center"/>
              <w:rPr>
                <w:rFonts w:asciiTheme="minorHAnsi" w:hAnsiTheme="minorHAnsi" w:cstheme="minorHAnsi"/>
                <w:color w:val="000000"/>
                <w:sz w:val="18"/>
                <w:szCs w:val="18"/>
              </w:rPr>
            </w:pPr>
            <w:bookmarkStart w:id="12" w:name="_Hlk153801964"/>
            <w:r w:rsidRPr="00B0619C">
              <w:rPr>
                <w:rFonts w:asciiTheme="minorHAnsi" w:hAnsiTheme="minorHAnsi" w:cstheme="minorHAnsi"/>
                <w:color w:val="000000"/>
                <w:sz w:val="18"/>
                <w:szCs w:val="18"/>
              </w:rPr>
              <w:lastRenderedPageBreak/>
              <w:t>RIMEGEPANT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(orally disintegrating) 75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Nurtec</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ODT</w:t>
            </w:r>
            <w:r w:rsidRPr="00B0619C">
              <w:rPr>
                <w:rFonts w:asciiTheme="minorHAnsi" w:hAnsiTheme="minorHAnsi" w:cstheme="minorHAnsi"/>
                <w:color w:val="000000"/>
                <w:sz w:val="18"/>
                <w:szCs w:val="18"/>
              </w:rPr>
              <w:br/>
            </w:r>
            <w:bookmarkEnd w:id="12"/>
            <w:r w:rsidRPr="00B0619C">
              <w:rPr>
                <w:rFonts w:asciiTheme="minorHAnsi" w:hAnsiTheme="minorHAnsi" w:cstheme="minorHAnsi"/>
                <w:color w:val="000000"/>
                <w:sz w:val="18"/>
                <w:szCs w:val="18"/>
              </w:rPr>
              <w:br/>
              <w:t>PFIZER AUSTRALIA PTY LTD</w:t>
            </w:r>
            <w:r w:rsidRPr="00B0619C">
              <w:rPr>
                <w:rFonts w:asciiTheme="minorHAnsi" w:hAnsiTheme="minorHAnsi" w:cstheme="minorHAnsi"/>
                <w:color w:val="000000"/>
                <w:sz w:val="18"/>
                <w:szCs w:val="18"/>
              </w:rPr>
              <w:br/>
            </w:r>
          </w:p>
          <w:p w14:paraId="28594C01" w14:textId="2F844C9C"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w:t>
            </w:r>
            <w:r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4C57F22" w14:textId="12B3CDD7"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sz w:val="18"/>
                <w:szCs w:val="18"/>
              </w:rPr>
              <w:t>Acute migraine attacks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AAFABE" w14:textId="16EC79DD"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(STREAMLINED) listing for adults with migraine who have not responded adequately to treatment of at least two triptans.</w:t>
            </w:r>
          </w:p>
        </w:tc>
        <w:tc>
          <w:tcPr>
            <w:tcW w:w="1584" w:type="dxa"/>
            <w:shd w:val="clear" w:color="auto" w:fill="auto"/>
            <w:vAlign w:val="center"/>
          </w:tcPr>
          <w:p w14:paraId="6562181F" w14:textId="036DD072"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03AC1EF3" w14:textId="27E9A3F5" w:rsidR="002C6D72" w:rsidRPr="002C6D72" w:rsidRDefault="002C6D72" w:rsidP="002C6D72">
            <w:pPr>
              <w:jc w:val="both"/>
              <w:rPr>
                <w:rFonts w:asciiTheme="minorHAnsi" w:hAnsiTheme="minorHAnsi" w:cstheme="minorHAnsi"/>
                <w:snapToGrid w:val="0"/>
                <w:sz w:val="18"/>
                <w:szCs w:val="18"/>
              </w:rPr>
            </w:pPr>
            <w:r w:rsidRPr="002C6D72">
              <w:rPr>
                <w:rFonts w:asciiTheme="minorHAnsi" w:hAnsiTheme="minorHAnsi" w:cstheme="minorHAnsi"/>
                <w:snapToGrid w:val="0"/>
                <w:sz w:val="18"/>
                <w:szCs w:val="18"/>
              </w:rPr>
              <w:t xml:space="preserve">The PBAC did not recommend rimegepant for the acute treatment of adults with migraine who have not responded adequately, are intolerant or contraindicated to analgesics and at least two selective 5-hydroxytryptamine receptor agonists (triptans). The PBAC acknowledged that there was a clinical need for new, oral treatments for the acute treatment of migraine and considered that rimegepant provided a benefit over best supportive care (BSC) in terms of efficacy. However, the PBAC considered that the resubmission did not appropriately address the issues raised in July 2023 relating to the economic evaluation and the financial impact estimates. The PBAC noted that </w:t>
            </w:r>
            <w:proofErr w:type="gramStart"/>
            <w:r w:rsidRPr="002C6D72">
              <w:rPr>
                <w:rFonts w:asciiTheme="minorHAnsi" w:hAnsiTheme="minorHAnsi" w:cstheme="minorHAnsi"/>
                <w:snapToGrid w:val="0"/>
                <w:sz w:val="18"/>
                <w:szCs w:val="18"/>
              </w:rPr>
              <w:t>a number of</w:t>
            </w:r>
            <w:proofErr w:type="gramEnd"/>
            <w:r w:rsidRPr="002C6D72">
              <w:rPr>
                <w:rFonts w:asciiTheme="minorHAnsi" w:hAnsiTheme="minorHAnsi" w:cstheme="minorHAnsi"/>
                <w:snapToGrid w:val="0"/>
                <w:sz w:val="18"/>
                <w:szCs w:val="18"/>
              </w:rPr>
              <w:t xml:space="preserve"> the suggested changes from July 2023 were not incorporated into the revised economic model and that the revised model was highly optimistic. Despite this, the PBAC considered that the revised incremental cost</w:t>
            </w:r>
            <w:r>
              <w:rPr>
                <w:rFonts w:asciiTheme="minorHAnsi" w:hAnsiTheme="minorHAnsi" w:cstheme="minorHAnsi"/>
                <w:snapToGrid w:val="0"/>
                <w:sz w:val="18"/>
                <w:szCs w:val="18"/>
              </w:rPr>
              <w:noBreakHyphen/>
            </w:r>
            <w:r w:rsidRPr="002C6D72">
              <w:rPr>
                <w:rFonts w:asciiTheme="minorHAnsi" w:hAnsiTheme="minorHAnsi" w:cstheme="minorHAnsi"/>
                <w:snapToGrid w:val="0"/>
                <w:sz w:val="18"/>
                <w:szCs w:val="18"/>
              </w:rPr>
              <w:t>effectiveness ratio</w:t>
            </w:r>
            <w:r>
              <w:rPr>
                <w:rFonts w:asciiTheme="minorHAnsi" w:hAnsiTheme="minorHAnsi" w:cstheme="minorHAnsi"/>
                <w:snapToGrid w:val="0"/>
                <w:sz w:val="18"/>
                <w:szCs w:val="18"/>
              </w:rPr>
              <w:t xml:space="preserve"> (ICER)</w:t>
            </w:r>
            <w:r w:rsidRPr="002C6D72">
              <w:rPr>
                <w:rFonts w:asciiTheme="minorHAnsi" w:hAnsiTheme="minorHAnsi" w:cstheme="minorHAnsi"/>
                <w:snapToGrid w:val="0"/>
                <w:sz w:val="18"/>
                <w:szCs w:val="18"/>
              </w:rPr>
              <w:t xml:space="preserve"> presented in the resubmission was high and that rimegepant was not cost</w:t>
            </w:r>
            <w:r>
              <w:rPr>
                <w:rFonts w:asciiTheme="minorHAnsi" w:hAnsiTheme="minorHAnsi" w:cstheme="minorHAnsi"/>
                <w:snapToGrid w:val="0"/>
                <w:sz w:val="18"/>
                <w:szCs w:val="18"/>
              </w:rPr>
              <w:noBreakHyphen/>
            </w:r>
            <w:r w:rsidRPr="002C6D72">
              <w:rPr>
                <w:rFonts w:asciiTheme="minorHAnsi" w:hAnsiTheme="minorHAnsi" w:cstheme="minorHAnsi"/>
                <w:snapToGrid w:val="0"/>
                <w:sz w:val="18"/>
                <w:szCs w:val="18"/>
              </w:rPr>
              <w:t xml:space="preserve">effective at the price proposed in the resubmission. Further, the PBAC noted that although it had considered that the utilisation estimates presented in the July 2023 submission were reasonable, the resubmission presented revised utilisation estimates which </w:t>
            </w:r>
            <w:r w:rsidR="00131D1A">
              <w:rPr>
                <w:rFonts w:asciiTheme="minorHAnsi" w:hAnsiTheme="minorHAnsi" w:cstheme="minorHAnsi"/>
                <w:snapToGrid w:val="0"/>
                <w:sz w:val="18"/>
                <w:szCs w:val="18"/>
              </w:rPr>
              <w:t>were substantially higher than the previous submission</w:t>
            </w:r>
            <w:r w:rsidRPr="002C6D72">
              <w:rPr>
                <w:rFonts w:asciiTheme="minorHAnsi" w:hAnsiTheme="minorHAnsi" w:cstheme="minorHAnsi"/>
                <w:snapToGrid w:val="0"/>
                <w:sz w:val="18"/>
                <w:szCs w:val="18"/>
              </w:rPr>
              <w:t xml:space="preserve">. This resulted in an estimated financial impact that, despite the </w:t>
            </w:r>
            <w:r w:rsidR="00C61943">
              <w:rPr>
                <w:rFonts w:asciiTheme="minorHAnsi" w:hAnsiTheme="minorHAnsi" w:cstheme="minorHAnsi"/>
                <w:snapToGrid w:val="0"/>
                <w:sz w:val="18"/>
                <w:szCs w:val="18"/>
              </w:rPr>
              <w:t>lower proposed</w:t>
            </w:r>
            <w:r w:rsidRPr="002C6D72">
              <w:rPr>
                <w:rFonts w:asciiTheme="minorHAnsi" w:hAnsiTheme="minorHAnsi" w:cstheme="minorHAnsi"/>
                <w:snapToGrid w:val="0"/>
                <w:sz w:val="18"/>
                <w:szCs w:val="18"/>
              </w:rPr>
              <w:t xml:space="preserve"> price, was over 2.5 times higher than in July 2023. The PBAC noted that the patient population was difficult to define and considered that there would likely be broad use of rimegepant. However, the PBAC considered that the proposed Risk Sharing Arrangement (RSA) was not reasonable and did not mitigate the financial risk to Government.</w:t>
            </w:r>
            <w:r w:rsidR="001426D3">
              <w:rPr>
                <w:rFonts w:asciiTheme="minorHAnsi" w:hAnsiTheme="minorHAnsi" w:cstheme="minorHAnsi"/>
                <w:snapToGrid w:val="0"/>
                <w:sz w:val="18"/>
                <w:szCs w:val="18"/>
              </w:rPr>
              <w:t xml:space="preserve"> </w:t>
            </w:r>
          </w:p>
          <w:p w14:paraId="7D2C0446" w14:textId="145EB069" w:rsidR="002C6D72" w:rsidRPr="002C6D72" w:rsidRDefault="002C6D72" w:rsidP="002C6D72">
            <w:pPr>
              <w:jc w:val="both"/>
              <w:rPr>
                <w:rFonts w:asciiTheme="minorHAnsi" w:hAnsiTheme="minorHAnsi" w:cstheme="minorHAnsi"/>
                <w:snapToGrid w:val="0"/>
                <w:sz w:val="18"/>
                <w:szCs w:val="18"/>
              </w:rPr>
            </w:pPr>
          </w:p>
          <w:p w14:paraId="238D61E4" w14:textId="77777777" w:rsidR="001426D3" w:rsidRPr="002C6D72" w:rsidRDefault="001426D3" w:rsidP="001426D3">
            <w:pPr>
              <w:jc w:val="both"/>
              <w:rPr>
                <w:rFonts w:asciiTheme="minorHAnsi" w:hAnsiTheme="minorHAnsi" w:cstheme="minorHAnsi"/>
                <w:snapToGrid w:val="0"/>
                <w:sz w:val="18"/>
                <w:szCs w:val="18"/>
              </w:rPr>
            </w:pPr>
            <w:r w:rsidRPr="002C6D72">
              <w:rPr>
                <w:rFonts w:asciiTheme="minorHAnsi" w:hAnsiTheme="minorHAnsi" w:cstheme="minorHAnsi"/>
                <w:snapToGrid w:val="0"/>
                <w:sz w:val="18"/>
                <w:szCs w:val="18"/>
              </w:rPr>
              <w:t>The previous submission was considered in July 2023.</w:t>
            </w:r>
          </w:p>
          <w:p w14:paraId="1CACF3E2" w14:textId="77777777" w:rsidR="002C6D72" w:rsidRPr="002C6D72" w:rsidRDefault="002C6D72" w:rsidP="002C6D72">
            <w:pPr>
              <w:jc w:val="both"/>
              <w:rPr>
                <w:rFonts w:asciiTheme="minorHAnsi" w:hAnsiTheme="minorHAnsi" w:cstheme="minorHAnsi"/>
                <w:snapToGrid w:val="0"/>
                <w:sz w:val="18"/>
                <w:szCs w:val="18"/>
              </w:rPr>
            </w:pPr>
          </w:p>
          <w:p w14:paraId="527C0288" w14:textId="77777777" w:rsidR="002C6D72" w:rsidRDefault="002C6D72" w:rsidP="002C6D72">
            <w:pPr>
              <w:jc w:val="both"/>
              <w:rPr>
                <w:rFonts w:asciiTheme="minorHAnsi" w:hAnsiTheme="minorHAnsi" w:cstheme="minorHAnsi"/>
                <w:snapToGrid w:val="0"/>
                <w:sz w:val="18"/>
                <w:szCs w:val="18"/>
              </w:rPr>
            </w:pPr>
            <w:r w:rsidRPr="002C6D72">
              <w:rPr>
                <w:rFonts w:asciiTheme="minorHAnsi" w:hAnsiTheme="minorHAnsi" w:cstheme="minorHAnsi"/>
                <w:snapToGrid w:val="0"/>
                <w:sz w:val="18"/>
                <w:szCs w:val="18"/>
                <w:u w:val="single"/>
              </w:rPr>
              <w:t>Comparator: Best supportive care (BSC):</w:t>
            </w:r>
            <w:r w:rsidRPr="002C6D72">
              <w:rPr>
                <w:rFonts w:asciiTheme="minorHAnsi" w:hAnsiTheme="minorHAnsi" w:cstheme="minorHAnsi"/>
                <w:snapToGrid w:val="0"/>
                <w:sz w:val="18"/>
                <w:szCs w:val="18"/>
              </w:rPr>
              <w:t xml:space="preserve"> </w:t>
            </w:r>
          </w:p>
          <w:p w14:paraId="3214E1B8" w14:textId="5D33A462" w:rsidR="002C6D72" w:rsidRPr="002C6D72" w:rsidRDefault="002C6D72" w:rsidP="002C6D72">
            <w:pPr>
              <w:jc w:val="both"/>
              <w:rPr>
                <w:rFonts w:asciiTheme="minorHAnsi" w:hAnsiTheme="minorHAnsi" w:cstheme="minorHAnsi"/>
                <w:snapToGrid w:val="0"/>
                <w:sz w:val="18"/>
                <w:szCs w:val="18"/>
              </w:rPr>
            </w:pPr>
            <w:r w:rsidRPr="002C6D72">
              <w:rPr>
                <w:rFonts w:asciiTheme="minorHAnsi" w:hAnsiTheme="minorHAnsi" w:cstheme="minorHAnsi"/>
                <w:snapToGrid w:val="0"/>
                <w:sz w:val="18"/>
                <w:szCs w:val="18"/>
              </w:rPr>
              <w:t>The PBAC reaffirmed its previous view that the proposed comparator was reasonable.</w:t>
            </w:r>
          </w:p>
          <w:p w14:paraId="141253BE" w14:textId="77777777" w:rsidR="002C6D72" w:rsidRPr="001426D3" w:rsidRDefault="002C6D72" w:rsidP="002C6D72">
            <w:pPr>
              <w:jc w:val="both"/>
              <w:rPr>
                <w:rFonts w:asciiTheme="minorHAnsi" w:hAnsiTheme="minorHAnsi" w:cstheme="minorHAnsi"/>
                <w:snapToGrid w:val="0"/>
                <w:sz w:val="18"/>
                <w:szCs w:val="18"/>
                <w:u w:val="single"/>
              </w:rPr>
            </w:pPr>
            <w:r w:rsidRPr="001426D3">
              <w:rPr>
                <w:rFonts w:asciiTheme="minorHAnsi" w:hAnsiTheme="minorHAnsi" w:cstheme="minorHAnsi"/>
                <w:snapToGrid w:val="0"/>
                <w:sz w:val="18"/>
                <w:szCs w:val="18"/>
                <w:u w:val="single"/>
              </w:rPr>
              <w:t>Clinical claim: Superior effectiveness and non-inferior safety compared to BSC:</w:t>
            </w:r>
          </w:p>
          <w:p w14:paraId="1E234F3B" w14:textId="77777777" w:rsidR="002C6D72" w:rsidRPr="002C6D72" w:rsidRDefault="002C6D72" w:rsidP="002C6D72">
            <w:pPr>
              <w:jc w:val="both"/>
              <w:rPr>
                <w:rFonts w:asciiTheme="minorHAnsi" w:hAnsiTheme="minorHAnsi" w:cstheme="minorHAnsi"/>
                <w:snapToGrid w:val="0"/>
                <w:sz w:val="18"/>
                <w:szCs w:val="18"/>
              </w:rPr>
            </w:pPr>
            <w:r w:rsidRPr="002C6D72">
              <w:rPr>
                <w:rFonts w:asciiTheme="minorHAnsi" w:hAnsiTheme="minorHAnsi" w:cstheme="minorHAnsi"/>
                <w:snapToGrid w:val="0"/>
                <w:sz w:val="18"/>
                <w:szCs w:val="18"/>
              </w:rPr>
              <w:lastRenderedPageBreak/>
              <w:t>The PBAC recalled it had previously considered that that a single dose of rimegepant was superior compared to BSC in terms of treating acute migraine but that the long-term treatment effect of rimegepant was uncertain, and that rimegepant was non-inferior compared to BSC in terms of the safety. The PBAC reaffirmed its previous view.</w:t>
            </w:r>
          </w:p>
          <w:p w14:paraId="5309089B" w14:textId="77777777" w:rsidR="002C6D72" w:rsidRPr="007A7605" w:rsidRDefault="002C6D72" w:rsidP="002C6D72">
            <w:pPr>
              <w:jc w:val="both"/>
              <w:rPr>
                <w:rFonts w:asciiTheme="minorHAnsi" w:hAnsiTheme="minorHAnsi" w:cstheme="minorHAnsi"/>
                <w:snapToGrid w:val="0"/>
                <w:sz w:val="18"/>
                <w:szCs w:val="18"/>
                <w:u w:val="single"/>
              </w:rPr>
            </w:pPr>
            <w:r w:rsidRPr="007A7605">
              <w:rPr>
                <w:rFonts w:asciiTheme="minorHAnsi" w:hAnsiTheme="minorHAnsi" w:cstheme="minorHAnsi"/>
                <w:snapToGrid w:val="0"/>
                <w:sz w:val="18"/>
                <w:szCs w:val="18"/>
                <w:u w:val="single"/>
              </w:rPr>
              <w:t xml:space="preserve">Economic claim: Cost-utility versus placebo: </w:t>
            </w:r>
          </w:p>
          <w:p w14:paraId="1C9C018C" w14:textId="77777777" w:rsidR="002C6D72" w:rsidRPr="002C6D72" w:rsidRDefault="002C6D72" w:rsidP="002C6D72">
            <w:pPr>
              <w:jc w:val="both"/>
              <w:rPr>
                <w:rFonts w:asciiTheme="minorHAnsi" w:hAnsiTheme="minorHAnsi" w:cstheme="minorHAnsi"/>
                <w:snapToGrid w:val="0"/>
                <w:sz w:val="18"/>
                <w:szCs w:val="18"/>
              </w:rPr>
            </w:pPr>
            <w:r w:rsidRPr="002C6D72">
              <w:rPr>
                <w:rFonts w:asciiTheme="minorHAnsi" w:hAnsiTheme="minorHAnsi" w:cstheme="minorHAnsi"/>
                <w:snapToGrid w:val="0"/>
                <w:sz w:val="18"/>
                <w:szCs w:val="18"/>
              </w:rPr>
              <w:t xml:space="preserve">The PBAC noted that </w:t>
            </w:r>
            <w:proofErr w:type="gramStart"/>
            <w:r w:rsidRPr="002C6D72">
              <w:rPr>
                <w:rFonts w:asciiTheme="minorHAnsi" w:hAnsiTheme="minorHAnsi" w:cstheme="minorHAnsi"/>
                <w:snapToGrid w:val="0"/>
                <w:sz w:val="18"/>
                <w:szCs w:val="18"/>
              </w:rPr>
              <w:t>a number of</w:t>
            </w:r>
            <w:proofErr w:type="gramEnd"/>
            <w:r w:rsidRPr="002C6D72">
              <w:rPr>
                <w:rFonts w:asciiTheme="minorHAnsi" w:hAnsiTheme="minorHAnsi" w:cstheme="minorHAnsi"/>
                <w:snapToGrid w:val="0"/>
                <w:sz w:val="18"/>
                <w:szCs w:val="18"/>
              </w:rPr>
              <w:t xml:space="preserve"> suggested changes were not incorporated into the revised model. The PBAC considered that the revised model presented was optimistic and that the resultant ICER and cost per tablet remained high.</w:t>
            </w:r>
          </w:p>
          <w:p w14:paraId="50390FC4" w14:textId="77777777" w:rsidR="00F93740" w:rsidRPr="001033CF" w:rsidRDefault="00F93740" w:rsidP="001033CF">
            <w:pPr>
              <w:jc w:val="both"/>
              <w:rPr>
                <w:rFonts w:asciiTheme="minorHAnsi" w:hAnsiTheme="minorHAnsi" w:cstheme="minorHAnsi"/>
                <w:color w:val="000000"/>
                <w:sz w:val="18"/>
                <w:szCs w:val="18"/>
              </w:rPr>
            </w:pPr>
          </w:p>
          <w:p w14:paraId="381EB901" w14:textId="77777777"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0230A1CB" w14:textId="77777777" w:rsidR="007F2B31" w:rsidRDefault="007F2B31" w:rsidP="007F2B31">
            <w:pPr>
              <w:jc w:val="both"/>
              <w:rPr>
                <w:rFonts w:asciiTheme="minorHAnsi" w:hAnsiTheme="minorHAnsi" w:cstheme="minorHAnsi"/>
                <w:snapToGrid w:val="0"/>
                <w:sz w:val="18"/>
                <w:szCs w:val="18"/>
              </w:rPr>
            </w:pPr>
            <w:r w:rsidRPr="007F2B31">
              <w:rPr>
                <w:rFonts w:asciiTheme="minorHAnsi" w:hAnsiTheme="minorHAnsi" w:cstheme="minorHAnsi"/>
                <w:snapToGrid w:val="0"/>
                <w:sz w:val="18"/>
                <w:szCs w:val="18"/>
              </w:rPr>
              <w:t>While disappointed with the PBAC's decision not to recommend rimegepant for the treatment of acute migraine attacks, Pfizer welcomes the PBAC's continued acknowledgment of the burden of acute migraine and clinical unmet need for novel effective treatments such as rimegepant.</w:t>
            </w:r>
          </w:p>
          <w:p w14:paraId="14EE7560" w14:textId="77777777" w:rsidR="007F2B31" w:rsidRPr="007F2B31" w:rsidRDefault="007F2B31" w:rsidP="007F2B31">
            <w:pPr>
              <w:jc w:val="both"/>
              <w:rPr>
                <w:rFonts w:asciiTheme="minorHAnsi" w:hAnsiTheme="minorHAnsi" w:cstheme="minorHAnsi"/>
                <w:snapToGrid w:val="0"/>
                <w:sz w:val="18"/>
                <w:szCs w:val="18"/>
              </w:rPr>
            </w:pPr>
          </w:p>
          <w:p w14:paraId="7F4459F0" w14:textId="1EBBA8BD" w:rsidR="00F93740" w:rsidRPr="001033CF" w:rsidRDefault="007F2B31" w:rsidP="007F2B31">
            <w:pPr>
              <w:jc w:val="both"/>
              <w:rPr>
                <w:rFonts w:asciiTheme="minorHAnsi" w:hAnsiTheme="minorHAnsi" w:cstheme="minorHAnsi"/>
                <w:sz w:val="18"/>
                <w:szCs w:val="18"/>
              </w:rPr>
            </w:pPr>
            <w:r w:rsidRPr="007F2B31">
              <w:rPr>
                <w:rFonts w:asciiTheme="minorHAnsi" w:hAnsiTheme="minorHAnsi" w:cstheme="minorHAnsi"/>
                <w:snapToGrid w:val="0"/>
                <w:sz w:val="18"/>
                <w:szCs w:val="18"/>
              </w:rPr>
              <w:t>Pfizer’s resubmission included significant changes intended to address the early re-entry criteria. Pfizer hopes to continue working with the PBAC and the Department of Health and Aged Care to enable access for rimegepant to patients suffering from acute migraine attacks. Pfizer views the PBAC preferred financial estimates as likely underestimating the potential use in clinical practice substantially, for use of rimegepant in acute migraine attacks within the Pfizer proposed restrictions.</w:t>
            </w:r>
          </w:p>
        </w:tc>
      </w:tr>
      <w:tr w:rsidR="00F93740" w:rsidRPr="008059F4" w14:paraId="3E9E624A" w14:textId="77777777" w:rsidTr="00671C24">
        <w:trPr>
          <w:cantSplit/>
          <w:trHeight w:val="189"/>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90BD513"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RISPERIDONE</w:t>
            </w:r>
          </w:p>
          <w:p w14:paraId="25F9FFD0" w14:textId="77777777" w:rsidR="00F93740" w:rsidRPr="00B0619C" w:rsidRDefault="00F93740" w:rsidP="00F93740">
            <w:pPr>
              <w:jc w:val="center"/>
              <w:rPr>
                <w:rFonts w:asciiTheme="minorHAnsi" w:hAnsiTheme="minorHAnsi" w:cstheme="minorHAnsi"/>
                <w:color w:val="000000"/>
                <w:sz w:val="18"/>
                <w:szCs w:val="18"/>
              </w:rPr>
            </w:pPr>
          </w:p>
          <w:p w14:paraId="02D7941A" w14:textId="2C6DDD4B"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I.M. injection (modified release), set containing 1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 powder for injection 75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and 1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 diluent 383 microlitres</w:t>
            </w:r>
          </w:p>
          <w:p w14:paraId="23594C24" w14:textId="4FC90276"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I.M. injection (modified release), set containing 1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 powder for injection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and 1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 diluent 490 microlitres</w:t>
            </w:r>
          </w:p>
          <w:p w14:paraId="33CAB861" w14:textId="77777777" w:rsidR="00F93740" w:rsidRPr="00B0619C" w:rsidRDefault="00F93740" w:rsidP="00F93740">
            <w:pPr>
              <w:jc w:val="center"/>
              <w:rPr>
                <w:rFonts w:asciiTheme="minorHAnsi" w:hAnsiTheme="minorHAnsi" w:cstheme="minorHAnsi"/>
                <w:color w:val="000000"/>
                <w:sz w:val="18"/>
                <w:szCs w:val="18"/>
              </w:rPr>
            </w:pPr>
          </w:p>
          <w:p w14:paraId="03102DAB" w14:textId="7D084C65" w:rsidR="00F93740" w:rsidRPr="00B0619C" w:rsidRDefault="00F93740" w:rsidP="00F93740">
            <w:pPr>
              <w:jc w:val="center"/>
              <w:rPr>
                <w:rFonts w:asciiTheme="minorHAnsi" w:hAnsiTheme="minorHAnsi" w:cstheme="minorHAnsi"/>
                <w:color w:val="000000"/>
                <w:sz w:val="18"/>
                <w:szCs w:val="18"/>
              </w:rPr>
            </w:pPr>
            <w:proofErr w:type="spellStart"/>
            <w:r w:rsidRPr="00B0619C">
              <w:rPr>
                <w:rFonts w:asciiTheme="minorHAnsi" w:hAnsiTheme="minorHAnsi" w:cstheme="minorHAnsi"/>
                <w:color w:val="000000"/>
                <w:sz w:val="18"/>
                <w:szCs w:val="18"/>
              </w:rPr>
              <w:t>Okedi</w:t>
            </w:r>
            <w:proofErr w:type="spellEnd"/>
            <w:r w:rsidRPr="001165DD">
              <w:rPr>
                <w:rFonts w:asciiTheme="minorHAnsi" w:hAnsiTheme="minorHAnsi" w:cstheme="minorHAnsi"/>
                <w:color w:val="000000"/>
                <w:sz w:val="18"/>
                <w:szCs w:val="18"/>
              </w:rPr>
              <w:t>®</w:t>
            </w:r>
          </w:p>
          <w:p w14:paraId="1EB4B717" w14:textId="77777777" w:rsidR="00F93740" w:rsidRPr="00B0619C" w:rsidRDefault="00F93740" w:rsidP="00F93740">
            <w:pPr>
              <w:jc w:val="center"/>
              <w:rPr>
                <w:rFonts w:asciiTheme="minorHAnsi" w:hAnsiTheme="minorHAnsi" w:cstheme="minorHAnsi"/>
                <w:color w:val="000000"/>
                <w:sz w:val="18"/>
                <w:szCs w:val="18"/>
              </w:rPr>
            </w:pPr>
          </w:p>
          <w:p w14:paraId="15E0A927" w14:textId="59729C5F" w:rsidR="00F93740" w:rsidRPr="00C06A3F" w:rsidRDefault="00777F38" w:rsidP="00F93740">
            <w:pPr>
              <w:jc w:val="center"/>
              <w:rPr>
                <w:rFonts w:asciiTheme="minorHAnsi" w:hAnsiTheme="minorHAnsi" w:cstheme="minorHAnsi"/>
                <w:color w:val="000000"/>
                <w:sz w:val="18"/>
                <w:szCs w:val="18"/>
              </w:rPr>
            </w:pPr>
            <w:r w:rsidRPr="00C06A3F">
              <w:rPr>
                <w:rFonts w:asciiTheme="minorHAnsi" w:hAnsiTheme="minorHAnsi" w:cstheme="minorHAnsi"/>
                <w:sz w:val="18"/>
                <w:szCs w:val="18"/>
              </w:rPr>
              <w:t>SERVIER LABORATORIES (AUST.) PTY. LTD</w:t>
            </w:r>
          </w:p>
          <w:p w14:paraId="66C605B2" w14:textId="77777777" w:rsidR="00F93740" w:rsidRDefault="00F93740" w:rsidP="00F93740">
            <w:pPr>
              <w:jc w:val="center"/>
              <w:rPr>
                <w:rFonts w:asciiTheme="minorHAnsi" w:hAnsiTheme="minorHAnsi" w:cstheme="minorHAnsi"/>
                <w:color w:val="000000"/>
                <w:sz w:val="18"/>
                <w:szCs w:val="18"/>
              </w:rPr>
            </w:pPr>
          </w:p>
          <w:p w14:paraId="22A524C4" w14:textId="71D78F31" w:rsidR="00F93740" w:rsidRPr="00B0619C" w:rsidRDefault="00F93740" w:rsidP="00F93740">
            <w:pPr>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p>
          <w:p w14:paraId="3869773D" w14:textId="55D57746" w:rsidR="00F93740" w:rsidRPr="00B0619C"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110413E" w14:textId="794D8AB3"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A3B873" w14:textId="7E84486A"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w:t>
            </w:r>
            <w:r>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Required (STREAMLINED) listing for the</w:t>
            </w:r>
            <w:r>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treatment of schizophrenia.</w:t>
            </w:r>
          </w:p>
        </w:tc>
        <w:tc>
          <w:tcPr>
            <w:tcW w:w="1584" w:type="dxa"/>
            <w:shd w:val="clear" w:color="auto" w:fill="auto"/>
            <w:vAlign w:val="center"/>
          </w:tcPr>
          <w:p w14:paraId="4EE7CDD9" w14:textId="56E3CAE3"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409D2EE" w14:textId="4A241E1A"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risperidone in</w:t>
            </w:r>
            <w:r w:rsidRPr="001033CF">
              <w:rPr>
                <w:rFonts w:asciiTheme="minorHAnsi" w:hAnsiTheme="minorHAnsi" w:cstheme="minorHAnsi"/>
                <w:sz w:val="18"/>
                <w:szCs w:val="18"/>
              </w:rPr>
              <w:noBreakHyphen/>
              <w:t>situ microparticles (ISM) 4</w:t>
            </w:r>
            <w:r w:rsidRPr="001033CF">
              <w:rPr>
                <w:rFonts w:asciiTheme="minorHAnsi" w:hAnsiTheme="minorHAnsi" w:cstheme="minorHAnsi"/>
                <w:sz w:val="18"/>
                <w:szCs w:val="18"/>
              </w:rPr>
              <w:noBreakHyphen/>
              <w:t>weekly long</w:t>
            </w:r>
            <w:r w:rsidRPr="001033CF">
              <w:rPr>
                <w:rFonts w:asciiTheme="minorHAnsi" w:hAnsiTheme="minorHAnsi" w:cstheme="minorHAnsi"/>
                <w:sz w:val="18"/>
                <w:szCs w:val="18"/>
              </w:rPr>
              <w:noBreakHyphen/>
              <w:t>acting injection (LAI) 75 mg and 100 mg for the treatment of schizophrenia in adults for whom tolerability and effectiveness has been established with oral risperidone, on a cost</w:t>
            </w:r>
            <w:r w:rsidRPr="001033CF">
              <w:rPr>
                <w:rFonts w:asciiTheme="minorHAnsi" w:hAnsiTheme="minorHAnsi" w:cstheme="minorHAnsi"/>
                <w:sz w:val="18"/>
                <w:szCs w:val="18"/>
              </w:rPr>
              <w:noBreakHyphen/>
              <w:t>minimisation basis with paliperidone 1</w:t>
            </w:r>
            <w:r w:rsidRPr="001033CF">
              <w:rPr>
                <w:rFonts w:asciiTheme="minorHAnsi" w:hAnsiTheme="minorHAnsi" w:cstheme="minorHAnsi"/>
                <w:sz w:val="18"/>
                <w:szCs w:val="18"/>
              </w:rPr>
              <w:noBreakHyphen/>
              <w:t>monthly LAI (PP1M) and risperidone 2</w:t>
            </w:r>
            <w:r w:rsidRPr="001033CF">
              <w:rPr>
                <w:rFonts w:asciiTheme="minorHAnsi" w:hAnsiTheme="minorHAnsi" w:cstheme="minorHAnsi"/>
                <w:sz w:val="18"/>
                <w:szCs w:val="18"/>
              </w:rPr>
              <w:noBreakHyphen/>
              <w:t xml:space="preserve">weekly LAI Risperdal </w:t>
            </w:r>
            <w:proofErr w:type="spellStart"/>
            <w:r w:rsidRPr="001033CF">
              <w:rPr>
                <w:rFonts w:asciiTheme="minorHAnsi" w:hAnsiTheme="minorHAnsi" w:cstheme="minorHAnsi"/>
                <w:sz w:val="18"/>
                <w:szCs w:val="18"/>
              </w:rPr>
              <w:t>Consta</w:t>
            </w:r>
            <w:proofErr w:type="spellEnd"/>
            <w:r w:rsidR="00005EC6" w:rsidRPr="001033CF">
              <w:rPr>
                <w:rFonts w:asciiTheme="minorHAnsi" w:hAnsiTheme="minorHAnsi" w:cstheme="minorHAnsi"/>
                <w:sz w:val="18"/>
                <w:szCs w:val="18"/>
              </w:rPr>
              <w:t>®</w:t>
            </w:r>
            <w:r w:rsidRPr="001033CF">
              <w:rPr>
                <w:rFonts w:asciiTheme="minorHAnsi" w:hAnsiTheme="minorHAnsi" w:cstheme="minorHAnsi"/>
                <w:sz w:val="18"/>
                <w:szCs w:val="18"/>
              </w:rPr>
              <w:t xml:space="preserve"> (RC). The PBAC’s recommendation for listing was based on, among other matters, its assessment that the cost</w:t>
            </w:r>
            <w:r w:rsidRPr="001033CF">
              <w:rPr>
                <w:rFonts w:asciiTheme="minorHAnsi" w:hAnsiTheme="minorHAnsi" w:cstheme="minorHAnsi"/>
                <w:sz w:val="18"/>
                <w:szCs w:val="18"/>
              </w:rPr>
              <w:noBreakHyphen/>
              <w:t>effectiveness of risperidone ISM would be acceptable if it were cost</w:t>
            </w:r>
            <w:r w:rsidRPr="001033CF">
              <w:rPr>
                <w:rFonts w:asciiTheme="minorHAnsi" w:hAnsiTheme="minorHAnsi" w:cstheme="minorHAnsi"/>
                <w:sz w:val="18"/>
                <w:szCs w:val="18"/>
              </w:rPr>
              <w:noBreakHyphen/>
              <w:t>minimised to the lowest cost comparator (RC, paliperidone LAIs, or aripiprazole 4</w:t>
            </w:r>
            <w:r w:rsidRPr="001033CF">
              <w:rPr>
                <w:rFonts w:asciiTheme="minorHAnsi" w:hAnsiTheme="minorHAnsi" w:cstheme="minorHAnsi"/>
                <w:sz w:val="18"/>
                <w:szCs w:val="18"/>
              </w:rPr>
              <w:noBreakHyphen/>
              <w:t>weekly) for the same indication.</w:t>
            </w:r>
          </w:p>
          <w:p w14:paraId="55123457" w14:textId="77777777" w:rsidR="00F93740" w:rsidRPr="001033CF" w:rsidRDefault="00F93740" w:rsidP="001033CF">
            <w:pPr>
              <w:jc w:val="both"/>
              <w:rPr>
                <w:rFonts w:asciiTheme="minorHAnsi" w:hAnsiTheme="minorHAnsi" w:cstheme="minorHAnsi"/>
                <w:sz w:val="18"/>
                <w:szCs w:val="18"/>
              </w:rPr>
            </w:pPr>
          </w:p>
          <w:p w14:paraId="1FCA2EC5" w14:textId="2A72C124" w:rsidR="00005EC6"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considered the equi</w:t>
            </w:r>
            <w:r w:rsidRPr="001033CF">
              <w:rPr>
                <w:rFonts w:asciiTheme="minorHAnsi" w:hAnsiTheme="minorHAnsi" w:cstheme="minorHAnsi"/>
                <w:sz w:val="18"/>
                <w:szCs w:val="18"/>
              </w:rPr>
              <w:noBreakHyphen/>
              <w:t>effective doses to be:</w:t>
            </w:r>
          </w:p>
          <w:p w14:paraId="6DA92FFD" w14:textId="0F683B8D" w:rsidR="00005EC6" w:rsidRPr="002518F5" w:rsidRDefault="00F93740" w:rsidP="00D050C0">
            <w:pPr>
              <w:pStyle w:val="ListParagraph"/>
              <w:numPr>
                <w:ilvl w:val="0"/>
                <w:numId w:val="51"/>
              </w:numPr>
              <w:ind w:left="295" w:hanging="284"/>
              <w:jc w:val="both"/>
              <w:rPr>
                <w:rFonts w:asciiTheme="minorHAnsi" w:hAnsiTheme="minorHAnsi" w:cstheme="minorHAnsi"/>
                <w:sz w:val="18"/>
                <w:szCs w:val="18"/>
              </w:rPr>
            </w:pPr>
            <w:r w:rsidRPr="00D050C0">
              <w:rPr>
                <w:rFonts w:asciiTheme="minorHAnsi" w:hAnsiTheme="minorHAnsi" w:cstheme="minorHAnsi"/>
                <w:sz w:val="18"/>
                <w:szCs w:val="18"/>
              </w:rPr>
              <w:t>Risperidone ISM 75 mg every 4 weeks = RC 37.5 mg every 2</w:t>
            </w:r>
            <w:r w:rsidR="00005EC6" w:rsidRPr="001033CF">
              <w:rPr>
                <w:rFonts w:asciiTheme="minorHAnsi" w:hAnsiTheme="minorHAnsi" w:cstheme="minorHAnsi"/>
                <w:sz w:val="18"/>
                <w:szCs w:val="18"/>
              </w:rPr>
              <w:t> </w:t>
            </w:r>
            <w:r w:rsidRPr="002518F5">
              <w:rPr>
                <w:rFonts w:asciiTheme="minorHAnsi" w:hAnsiTheme="minorHAnsi" w:cstheme="minorHAnsi"/>
                <w:sz w:val="18"/>
                <w:szCs w:val="18"/>
              </w:rPr>
              <w:t>weeks</w:t>
            </w:r>
          </w:p>
          <w:p w14:paraId="52D97703" w14:textId="67A42708" w:rsidR="00005EC6" w:rsidRPr="002518F5" w:rsidRDefault="00F93740" w:rsidP="00D050C0">
            <w:pPr>
              <w:pStyle w:val="ListParagraph"/>
              <w:numPr>
                <w:ilvl w:val="0"/>
                <w:numId w:val="51"/>
              </w:numPr>
              <w:ind w:left="295" w:hanging="284"/>
              <w:jc w:val="both"/>
              <w:rPr>
                <w:rFonts w:asciiTheme="minorHAnsi" w:hAnsiTheme="minorHAnsi" w:cstheme="minorHAnsi"/>
                <w:sz w:val="18"/>
                <w:szCs w:val="18"/>
              </w:rPr>
            </w:pPr>
            <w:r w:rsidRPr="002518F5">
              <w:rPr>
                <w:rFonts w:asciiTheme="minorHAnsi" w:hAnsiTheme="minorHAnsi" w:cstheme="minorHAnsi"/>
                <w:sz w:val="18"/>
                <w:szCs w:val="18"/>
              </w:rPr>
              <w:t>Risperidone ISM 75 mg every 4 weeks = PP1M 75 mg monthly</w:t>
            </w:r>
          </w:p>
          <w:p w14:paraId="5832871C" w14:textId="2CC14FEA" w:rsidR="00005EC6" w:rsidRPr="00D050C0" w:rsidRDefault="00F93740" w:rsidP="00D050C0">
            <w:pPr>
              <w:pStyle w:val="ListParagraph"/>
              <w:numPr>
                <w:ilvl w:val="0"/>
                <w:numId w:val="51"/>
              </w:numPr>
              <w:ind w:left="295" w:hanging="284"/>
              <w:jc w:val="both"/>
              <w:rPr>
                <w:rFonts w:asciiTheme="minorHAnsi" w:hAnsiTheme="minorHAnsi" w:cstheme="minorHAnsi"/>
                <w:sz w:val="18"/>
                <w:szCs w:val="18"/>
              </w:rPr>
            </w:pPr>
            <w:r w:rsidRPr="002518F5">
              <w:rPr>
                <w:rFonts w:asciiTheme="minorHAnsi" w:hAnsiTheme="minorHAnsi" w:cstheme="minorHAnsi"/>
                <w:sz w:val="18"/>
                <w:szCs w:val="18"/>
              </w:rPr>
              <w:t>Risperidone ISM 100 mg every 4 weeks = RC 50 mg every 2</w:t>
            </w:r>
            <w:r w:rsidR="00005EC6" w:rsidRPr="001033CF">
              <w:rPr>
                <w:rFonts w:asciiTheme="minorHAnsi" w:hAnsiTheme="minorHAnsi" w:cstheme="minorHAnsi"/>
                <w:sz w:val="18"/>
                <w:szCs w:val="18"/>
              </w:rPr>
              <w:t> </w:t>
            </w:r>
            <w:r w:rsidRPr="00D050C0">
              <w:rPr>
                <w:rFonts w:asciiTheme="minorHAnsi" w:hAnsiTheme="minorHAnsi" w:cstheme="minorHAnsi"/>
                <w:sz w:val="18"/>
                <w:szCs w:val="18"/>
              </w:rPr>
              <w:t>weeks</w:t>
            </w:r>
          </w:p>
          <w:p w14:paraId="2DD0CEE8" w14:textId="60FC55F4" w:rsidR="00F93740" w:rsidRPr="00D050C0" w:rsidRDefault="00F93740" w:rsidP="00D050C0">
            <w:pPr>
              <w:pStyle w:val="ListParagraph"/>
              <w:numPr>
                <w:ilvl w:val="0"/>
                <w:numId w:val="51"/>
              </w:numPr>
              <w:ind w:left="295" w:hanging="284"/>
              <w:jc w:val="both"/>
              <w:rPr>
                <w:rFonts w:asciiTheme="minorHAnsi" w:hAnsiTheme="minorHAnsi" w:cstheme="minorHAnsi"/>
                <w:sz w:val="18"/>
                <w:szCs w:val="18"/>
              </w:rPr>
            </w:pPr>
            <w:r w:rsidRPr="00D050C0">
              <w:rPr>
                <w:rFonts w:asciiTheme="minorHAnsi" w:hAnsiTheme="minorHAnsi" w:cstheme="minorHAnsi"/>
                <w:sz w:val="18"/>
                <w:szCs w:val="18"/>
              </w:rPr>
              <w:t>Risperidone ISM 100 mg every 4 weeks = PP1M 100 mg monthly.</w:t>
            </w:r>
          </w:p>
        </w:tc>
      </w:tr>
      <w:tr w:rsidR="00F93740" w:rsidRPr="008059F4" w14:paraId="4A477C62"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1FD6D70" w14:textId="6FCCAB7D"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ROMOSOZUMAB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105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1.17</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Evenity</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AMGEN AUSTRALIA PTY LIMITED</w:t>
            </w:r>
            <w:r w:rsidRPr="00B0619C">
              <w:rPr>
                <w:rFonts w:asciiTheme="minorHAnsi" w:hAnsiTheme="minorHAnsi" w:cstheme="minorHAnsi"/>
                <w:color w:val="000000"/>
                <w:sz w:val="18"/>
                <w:szCs w:val="18"/>
              </w:rPr>
              <w:br/>
            </w:r>
          </w:p>
          <w:p w14:paraId="4B51B300" w14:textId="598E9C0F"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84CEE7B" w14:textId="0470F58A"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Osteoporosis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A65923D" w14:textId="5669EFA6"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the PBAC consider its previous recommendation to list romosozumab as a General Schedule Authority Required</w:t>
            </w:r>
            <w:r>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(Telephone/Online) listing for the treatment of severe osteoporosis in the first</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line setting.</w:t>
            </w:r>
          </w:p>
        </w:tc>
        <w:tc>
          <w:tcPr>
            <w:tcW w:w="1584" w:type="dxa"/>
            <w:shd w:val="clear" w:color="auto" w:fill="auto"/>
            <w:vAlign w:val="center"/>
          </w:tcPr>
          <w:p w14:paraId="05A818C9" w14:textId="602A7101"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1CCB9CB5" w14:textId="31BB8510" w:rsidR="00F93740" w:rsidRPr="001033CF" w:rsidRDefault="00F93740" w:rsidP="00671C24">
            <w:pPr>
              <w:keepLines/>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romosozumab for the treatment of severe osteoporosis in the first</w:t>
            </w:r>
            <w:r w:rsidRPr="001033CF">
              <w:rPr>
                <w:rFonts w:asciiTheme="minorHAnsi" w:hAnsiTheme="minorHAnsi" w:cstheme="minorHAnsi"/>
                <w:sz w:val="18"/>
                <w:szCs w:val="18"/>
              </w:rPr>
              <w:noBreakHyphen/>
              <w:t>line setting. The PBAC considered that romosozumab provides, for some patients a significant improvement in efficacy over alendronate. The PBAC considered that the submission’s proposed changes to the economic model inputs resulted in the cost</w:t>
            </w:r>
            <w:r w:rsidRPr="001033CF">
              <w:rPr>
                <w:rFonts w:asciiTheme="minorHAnsi" w:hAnsiTheme="minorHAnsi" w:cstheme="minorHAnsi"/>
                <w:sz w:val="18"/>
                <w:szCs w:val="18"/>
              </w:rPr>
              <w:noBreakHyphen/>
              <w:t xml:space="preserve">effectiveness estimate being </w:t>
            </w:r>
            <w:proofErr w:type="gramStart"/>
            <w:r w:rsidRPr="001033CF">
              <w:rPr>
                <w:rFonts w:asciiTheme="minorHAnsi" w:hAnsiTheme="minorHAnsi" w:cstheme="minorHAnsi"/>
                <w:sz w:val="18"/>
                <w:szCs w:val="18"/>
              </w:rPr>
              <w:t>uncertain, but</w:t>
            </w:r>
            <w:proofErr w:type="gramEnd"/>
            <w:r w:rsidRPr="001033CF">
              <w:rPr>
                <w:rFonts w:asciiTheme="minorHAnsi" w:hAnsiTheme="minorHAnsi" w:cstheme="minorHAnsi"/>
                <w:sz w:val="18"/>
                <w:szCs w:val="18"/>
              </w:rPr>
              <w:t xml:space="preserve"> considered that this could be mitigated through a combined </w:t>
            </w:r>
            <w:r w:rsidR="00DB2810" w:rsidRPr="001033CF">
              <w:rPr>
                <w:rFonts w:asciiTheme="minorHAnsi" w:hAnsiTheme="minorHAnsi" w:cstheme="minorHAnsi"/>
                <w:sz w:val="18"/>
                <w:szCs w:val="18"/>
              </w:rPr>
              <w:t xml:space="preserve">risk sharing arrangement </w:t>
            </w:r>
            <w:r w:rsidRPr="001033CF">
              <w:rPr>
                <w:rFonts w:asciiTheme="minorHAnsi" w:hAnsiTheme="minorHAnsi" w:cstheme="minorHAnsi"/>
                <w:sz w:val="18"/>
                <w:szCs w:val="18"/>
              </w:rPr>
              <w:t>across the first</w:t>
            </w:r>
            <w:r w:rsidRPr="001033CF">
              <w:rPr>
                <w:rFonts w:asciiTheme="minorHAnsi" w:hAnsiTheme="minorHAnsi" w:cstheme="minorHAnsi"/>
                <w:sz w:val="18"/>
                <w:szCs w:val="18"/>
              </w:rPr>
              <w:noBreakHyphen/>
              <w:t xml:space="preserve"> and second</w:t>
            </w:r>
            <w:r w:rsidRPr="001033CF">
              <w:rPr>
                <w:rFonts w:asciiTheme="minorHAnsi" w:hAnsiTheme="minorHAnsi" w:cstheme="minorHAnsi"/>
                <w:sz w:val="18"/>
                <w:szCs w:val="18"/>
              </w:rPr>
              <w:noBreakHyphen/>
              <w:t>line settings with first</w:t>
            </w:r>
            <w:r w:rsidRPr="001033CF">
              <w:rPr>
                <w:rFonts w:asciiTheme="minorHAnsi" w:hAnsiTheme="minorHAnsi" w:cstheme="minorHAnsi"/>
                <w:sz w:val="18"/>
                <w:szCs w:val="18"/>
              </w:rPr>
              <w:noBreakHyphen/>
              <w:t>line expenditure caps based on the price at which it had previously considered romosozumab to be cost</w:t>
            </w:r>
            <w:r w:rsidRPr="001033CF">
              <w:rPr>
                <w:rFonts w:asciiTheme="minorHAnsi" w:hAnsiTheme="minorHAnsi" w:cstheme="minorHAnsi"/>
                <w:sz w:val="18"/>
                <w:szCs w:val="18"/>
              </w:rPr>
              <w:noBreakHyphen/>
              <w:t>effective. The PBAC further advised that the caps for the second</w:t>
            </w:r>
            <w:r w:rsidRPr="001033CF">
              <w:rPr>
                <w:rFonts w:asciiTheme="minorHAnsi" w:hAnsiTheme="minorHAnsi" w:cstheme="minorHAnsi"/>
                <w:sz w:val="18"/>
                <w:szCs w:val="18"/>
              </w:rPr>
              <w:noBreakHyphen/>
              <w:t>line setting should be revised to reflect no further growth in this setting (</w:t>
            </w:r>
            <w:r w:rsidR="00DB2810" w:rsidRPr="001033CF">
              <w:rPr>
                <w:rFonts w:asciiTheme="minorHAnsi" w:hAnsiTheme="minorHAnsi" w:cstheme="minorHAnsi"/>
                <w:sz w:val="18"/>
                <w:szCs w:val="18"/>
              </w:rPr>
              <w:t>i.e.,</w:t>
            </w:r>
            <w:r w:rsidRPr="001033CF">
              <w:rPr>
                <w:rFonts w:asciiTheme="minorHAnsi" w:hAnsiTheme="minorHAnsi" w:cstheme="minorHAnsi"/>
                <w:sz w:val="18"/>
                <w:szCs w:val="18"/>
              </w:rPr>
              <w:t xml:space="preserve"> utilisation remaining at the most recent levels).</w:t>
            </w:r>
          </w:p>
        </w:tc>
      </w:tr>
      <w:tr w:rsidR="00F93740" w:rsidRPr="008059F4" w14:paraId="68196014"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8EE3E6" w14:textId="793D4834"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SELUMETINIB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10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t>Capsule 25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Koselugo</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ALEXION PHARMACEUTICALS AUSTRALASIA PTY LTD</w:t>
            </w:r>
            <w:r w:rsidRPr="00B0619C">
              <w:rPr>
                <w:rFonts w:asciiTheme="minorHAnsi" w:hAnsiTheme="minorHAnsi" w:cstheme="minorHAnsi"/>
                <w:color w:val="000000"/>
                <w:sz w:val="18"/>
                <w:szCs w:val="18"/>
              </w:rPr>
              <w:br/>
            </w:r>
          </w:p>
          <w:p w14:paraId="00A675FD" w14:textId="40152E50"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Facilitated resolution</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D0915EC" w14:textId="385BC63E"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Neurofibromatosis type 1 (NF1)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09ABC41" w14:textId="33D1021B"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General Schedule Authority Required (Written) listing for the treatment of symptomatic, inoperable plexiform neurofibroma(s) in paediatric patients aged 2 years and over with NF1.</w:t>
            </w:r>
          </w:p>
        </w:tc>
        <w:tc>
          <w:tcPr>
            <w:tcW w:w="1584" w:type="dxa"/>
            <w:shd w:val="clear" w:color="auto" w:fill="auto"/>
            <w:vAlign w:val="center"/>
          </w:tcPr>
          <w:p w14:paraId="3B34CD76" w14:textId="1F9CA5F6"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73BB00C4" w14:textId="520752CE"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selumetinib for the treatment of symptomatic inoperable plexiform neurofibroma(s) in paediatric patients with NF1. The PBAC noted the high clinical need for treatments for this condition and considered that selumetinib provided a clinical benefit for patients compared to best supportive care. The PBAC considered that the resubmission had addressed most of the issues raised in the previous submission adequately; however, noted that the incremental cost</w:t>
            </w:r>
            <w:r w:rsidRPr="001033CF">
              <w:rPr>
                <w:rFonts w:asciiTheme="minorHAnsi" w:hAnsiTheme="minorHAnsi" w:cstheme="minorHAnsi"/>
                <w:sz w:val="18"/>
                <w:szCs w:val="18"/>
              </w:rPr>
              <w:noBreakHyphen/>
              <w:t>effectiveness ratio (ICER) remained high. The PBAC considered that a further reduction in cost would be required to achieve an acceptable ICER. The PBAC considered the estimated number of treated patients would form a reasonable basis for a risk</w:t>
            </w:r>
            <w:r w:rsidR="005711BF" w:rsidRPr="001033CF">
              <w:rPr>
                <w:rFonts w:asciiTheme="minorHAnsi" w:hAnsiTheme="minorHAnsi" w:cstheme="minorHAnsi"/>
                <w:sz w:val="18"/>
                <w:szCs w:val="18"/>
              </w:rPr>
              <w:t xml:space="preserve"> </w:t>
            </w:r>
            <w:r w:rsidRPr="001033CF">
              <w:rPr>
                <w:rFonts w:asciiTheme="minorHAnsi" w:hAnsiTheme="minorHAnsi" w:cstheme="minorHAnsi"/>
                <w:sz w:val="18"/>
                <w:szCs w:val="18"/>
              </w:rPr>
              <w:t>sharing arrangement</w:t>
            </w:r>
            <w:r w:rsidR="004C664B" w:rsidRPr="001033CF">
              <w:rPr>
                <w:rFonts w:asciiTheme="minorHAnsi" w:hAnsiTheme="minorHAnsi" w:cstheme="minorHAnsi"/>
                <w:sz w:val="18"/>
                <w:szCs w:val="18"/>
              </w:rPr>
              <w:t>.</w:t>
            </w:r>
            <w:r w:rsidRPr="001033CF">
              <w:rPr>
                <w:rFonts w:asciiTheme="minorHAnsi" w:hAnsiTheme="minorHAnsi" w:cstheme="minorHAnsi"/>
                <w:sz w:val="18"/>
                <w:szCs w:val="18"/>
              </w:rPr>
              <w:t xml:space="preserve"> </w:t>
            </w:r>
          </w:p>
        </w:tc>
      </w:tr>
      <w:tr w:rsidR="00F93740" w:rsidRPr="008059F4" w14:paraId="1924E5E9"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F366D4F" w14:textId="1E8DF6D8"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SIPONIMOD</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1</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(as </w:t>
            </w:r>
            <w:proofErr w:type="spellStart"/>
            <w:r w:rsidRPr="00B0619C">
              <w:rPr>
                <w:rFonts w:asciiTheme="minorHAnsi" w:hAnsiTheme="minorHAnsi" w:cstheme="minorHAnsi"/>
                <w:color w:val="000000"/>
                <w:sz w:val="18"/>
                <w:szCs w:val="18"/>
              </w:rPr>
              <w:t>hemifumarate</w:t>
            </w:r>
            <w:proofErr w:type="spellEnd"/>
            <w:r w:rsidRPr="00B0619C">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Mayzent</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NOVARTIS PHARMACEUTICALS AUSTRALIA PTY LIMITED</w:t>
            </w:r>
            <w:r w:rsidRPr="00B0619C">
              <w:rPr>
                <w:rFonts w:asciiTheme="minorHAnsi" w:hAnsiTheme="minorHAnsi" w:cstheme="minorHAnsi"/>
                <w:color w:val="000000"/>
                <w:sz w:val="18"/>
                <w:szCs w:val="18"/>
              </w:rPr>
              <w:br/>
            </w:r>
          </w:p>
          <w:p w14:paraId="48A0335A" w14:textId="5FBB2658"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4DEEE3E" w14:textId="6A3DDE9E"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Multiple sclerosis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766A59A" w14:textId="46CEE0F4"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(STREAMLINED) listing of a new strength of siponimod for the treatment of relapsing</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remitting multiple sclerosis.</w:t>
            </w:r>
          </w:p>
        </w:tc>
        <w:tc>
          <w:tcPr>
            <w:tcW w:w="1584" w:type="dxa"/>
            <w:shd w:val="clear" w:color="auto" w:fill="auto"/>
            <w:vAlign w:val="center"/>
          </w:tcPr>
          <w:p w14:paraId="77EBE00E" w14:textId="10F7D559"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2EFF747F" w14:textId="5407ACD5"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 xml:space="preserve">The PBAC recommended the listing of siponimod 1 mg tablet under the same circumstances as the current </w:t>
            </w:r>
            <w:r w:rsidR="004C664B" w:rsidRPr="001033CF">
              <w:rPr>
                <w:rFonts w:asciiTheme="minorHAnsi" w:hAnsiTheme="minorHAnsi" w:cstheme="minorHAnsi"/>
                <w:sz w:val="18"/>
                <w:szCs w:val="18"/>
              </w:rPr>
              <w:t>PBS</w:t>
            </w:r>
            <w:r w:rsidR="004C664B" w:rsidRPr="001033CF">
              <w:rPr>
                <w:rFonts w:asciiTheme="minorHAnsi" w:hAnsiTheme="minorHAnsi" w:cstheme="minorHAnsi"/>
                <w:sz w:val="18"/>
                <w:szCs w:val="18"/>
              </w:rPr>
              <w:noBreakHyphen/>
            </w:r>
            <w:r w:rsidRPr="001033CF">
              <w:rPr>
                <w:rFonts w:asciiTheme="minorHAnsi" w:hAnsiTheme="minorHAnsi" w:cstheme="minorHAnsi"/>
                <w:sz w:val="18"/>
                <w:szCs w:val="18"/>
              </w:rPr>
              <w:t>listed siponimod 0.25 mg tablet 120</w:t>
            </w:r>
            <w:r w:rsidRPr="001033CF">
              <w:rPr>
                <w:rFonts w:asciiTheme="minorHAnsi" w:hAnsiTheme="minorHAnsi" w:cstheme="minorHAnsi"/>
                <w:sz w:val="18"/>
                <w:szCs w:val="18"/>
              </w:rPr>
              <w:noBreakHyphen/>
              <w:t>unit pack size. The PBAC advised that this recommendation was made on a cost</w:t>
            </w:r>
            <w:r w:rsidRPr="001033CF">
              <w:rPr>
                <w:rFonts w:asciiTheme="minorHAnsi" w:hAnsiTheme="minorHAnsi" w:cstheme="minorHAnsi"/>
                <w:sz w:val="18"/>
                <w:szCs w:val="18"/>
              </w:rPr>
              <w:noBreakHyphen/>
              <w:t>minimisation basis to siponimod 0.25 mg tablet 120</w:t>
            </w:r>
            <w:r w:rsidRPr="001033CF">
              <w:rPr>
                <w:rFonts w:asciiTheme="minorHAnsi" w:hAnsiTheme="minorHAnsi" w:cstheme="minorHAnsi"/>
                <w:sz w:val="18"/>
                <w:szCs w:val="18"/>
              </w:rPr>
              <w:noBreakHyphen/>
              <w:t>unit pack size. The PBAC considered the listing of this pack size would reduce the tablet burden for patients on a 1 mg dose.</w:t>
            </w:r>
          </w:p>
        </w:tc>
      </w:tr>
      <w:tr w:rsidR="00F93740" w:rsidRPr="008059F4" w14:paraId="2BCD69C4"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31288E"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SODIUM ZIRCONIUM CYCLOSILICATE</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Sachet containing powder for oral suspension (as hydrate) 5 g</w:t>
            </w:r>
          </w:p>
          <w:p w14:paraId="435442C5" w14:textId="72D94887"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Sachet containing powder for oral suspension (as hydrate) 10 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Lokelma</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ASTRAZENECA PTY LTD</w:t>
            </w:r>
            <w:r w:rsidRPr="00B0619C">
              <w:rPr>
                <w:rFonts w:asciiTheme="minorHAnsi" w:hAnsiTheme="minorHAnsi" w:cstheme="minorHAnsi"/>
                <w:color w:val="000000"/>
                <w:sz w:val="18"/>
                <w:szCs w:val="18"/>
              </w:rPr>
              <w:br/>
            </w:r>
          </w:p>
          <w:p w14:paraId="329355D5" w14:textId="5548F11A"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950A372" w14:textId="6BE381CF"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Chronic hyperkalaemia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59B28CE" w14:textId="5ADC367B"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Authority Required (Telephone/Online) listing for the treatment of chronic hyperkalaemia in patients with chronic kidney disease</w:t>
            </w:r>
            <w:r w:rsidR="004C664B">
              <w:rPr>
                <w:rFonts w:asciiTheme="minorHAnsi" w:hAnsiTheme="minorHAnsi" w:cstheme="minorHAnsi"/>
                <w:color w:val="000000"/>
                <w:sz w:val="18"/>
                <w:szCs w:val="18"/>
              </w:rPr>
              <w:t xml:space="preserve"> (CKD)</w:t>
            </w:r>
            <w:r w:rsidRPr="00B0619C">
              <w:rPr>
                <w:rFonts w:asciiTheme="minorHAnsi" w:hAnsiTheme="minorHAnsi" w:cstheme="minorHAnsi"/>
                <w:color w:val="000000"/>
                <w:sz w:val="18"/>
                <w:szCs w:val="18"/>
              </w:rPr>
              <w:t xml:space="preserve"> Stage 3</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4.</w:t>
            </w:r>
          </w:p>
        </w:tc>
        <w:tc>
          <w:tcPr>
            <w:tcW w:w="1584" w:type="dxa"/>
            <w:shd w:val="clear" w:color="auto" w:fill="auto"/>
            <w:vAlign w:val="center"/>
          </w:tcPr>
          <w:p w14:paraId="2C7918E4" w14:textId="1B49517A"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CBCA331" w14:textId="0C931DDB"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sodium zirconium cyclosilicate (SZC) for the treatment of chronic hyperkalaemia in patients with CKD Stage 3</w:t>
            </w:r>
            <w:r w:rsidRPr="001033CF">
              <w:rPr>
                <w:rFonts w:asciiTheme="minorHAnsi" w:hAnsiTheme="minorHAnsi" w:cstheme="minorHAnsi"/>
                <w:sz w:val="18"/>
                <w:szCs w:val="18"/>
              </w:rPr>
              <w:noBreakHyphen/>
              <w:t>4. The PBAC accepted that SZC was likely non</w:t>
            </w:r>
            <w:r w:rsidRPr="001033CF">
              <w:rPr>
                <w:rFonts w:asciiTheme="minorHAnsi" w:hAnsiTheme="minorHAnsi" w:cstheme="minorHAnsi"/>
                <w:sz w:val="18"/>
                <w:szCs w:val="18"/>
              </w:rPr>
              <w:noBreakHyphen/>
              <w:t>inferior in terms of efficacy, and similar in terms of safety, to patiromer. The PBAC considered that a cost</w:t>
            </w:r>
            <w:r w:rsidRPr="001033CF">
              <w:rPr>
                <w:rFonts w:asciiTheme="minorHAnsi" w:hAnsiTheme="minorHAnsi" w:cstheme="minorHAnsi"/>
                <w:sz w:val="18"/>
                <w:szCs w:val="18"/>
              </w:rPr>
              <w:noBreakHyphen/>
              <w:t>minimisation approach between SZC and patiromer was appropriate and considered that the addition of SZC to the PBS should not result in any additional cost to Government.</w:t>
            </w:r>
            <w:r w:rsidR="00A24070" w:rsidRPr="001033CF">
              <w:rPr>
                <w:rFonts w:asciiTheme="minorHAnsi" w:hAnsiTheme="minorHAnsi" w:cstheme="minorHAnsi"/>
                <w:sz w:val="18"/>
                <w:szCs w:val="18"/>
              </w:rPr>
              <w:t xml:space="preserve"> The PBAC considered that the equi</w:t>
            </w:r>
            <w:r w:rsidR="0023358A" w:rsidRPr="001033CF">
              <w:rPr>
                <w:rFonts w:asciiTheme="minorHAnsi" w:hAnsiTheme="minorHAnsi" w:cstheme="minorHAnsi"/>
                <w:sz w:val="18"/>
                <w:szCs w:val="18"/>
              </w:rPr>
              <w:noBreakHyphen/>
            </w:r>
            <w:r w:rsidR="00A24070" w:rsidRPr="001033CF">
              <w:rPr>
                <w:rFonts w:asciiTheme="minorHAnsi" w:hAnsiTheme="minorHAnsi" w:cstheme="minorHAnsi"/>
                <w:sz w:val="18"/>
                <w:szCs w:val="18"/>
              </w:rPr>
              <w:t>effective doses were 1 sachet of SZC (either 5</w:t>
            </w:r>
            <w:r w:rsidR="0023358A" w:rsidRPr="001033CF">
              <w:rPr>
                <w:rFonts w:asciiTheme="minorHAnsi" w:hAnsiTheme="minorHAnsi" w:cstheme="minorHAnsi"/>
                <w:sz w:val="18"/>
                <w:szCs w:val="18"/>
              </w:rPr>
              <w:t> </w:t>
            </w:r>
            <w:r w:rsidR="00A24070" w:rsidRPr="001033CF">
              <w:rPr>
                <w:rFonts w:asciiTheme="minorHAnsi" w:hAnsiTheme="minorHAnsi" w:cstheme="minorHAnsi"/>
                <w:sz w:val="18"/>
                <w:szCs w:val="18"/>
              </w:rPr>
              <w:t>g or 10</w:t>
            </w:r>
            <w:r w:rsidR="0023358A" w:rsidRPr="001033CF">
              <w:rPr>
                <w:rFonts w:asciiTheme="minorHAnsi" w:hAnsiTheme="minorHAnsi" w:cstheme="minorHAnsi"/>
                <w:sz w:val="18"/>
                <w:szCs w:val="18"/>
              </w:rPr>
              <w:t> </w:t>
            </w:r>
            <w:r w:rsidR="00A24070" w:rsidRPr="001033CF">
              <w:rPr>
                <w:rFonts w:asciiTheme="minorHAnsi" w:hAnsiTheme="minorHAnsi" w:cstheme="minorHAnsi"/>
                <w:sz w:val="18"/>
                <w:szCs w:val="18"/>
              </w:rPr>
              <w:t>g) = 1 sachet of patiromer (either 8.4</w:t>
            </w:r>
            <w:r w:rsidR="0023358A" w:rsidRPr="001033CF">
              <w:rPr>
                <w:rFonts w:asciiTheme="minorHAnsi" w:hAnsiTheme="minorHAnsi" w:cstheme="minorHAnsi"/>
                <w:sz w:val="18"/>
                <w:szCs w:val="18"/>
              </w:rPr>
              <w:t> </w:t>
            </w:r>
            <w:r w:rsidR="00A24070" w:rsidRPr="001033CF">
              <w:rPr>
                <w:rFonts w:asciiTheme="minorHAnsi" w:hAnsiTheme="minorHAnsi" w:cstheme="minorHAnsi"/>
                <w:sz w:val="18"/>
                <w:szCs w:val="18"/>
              </w:rPr>
              <w:t>g or 16.8</w:t>
            </w:r>
            <w:r w:rsidR="0023358A" w:rsidRPr="001033CF">
              <w:rPr>
                <w:rFonts w:asciiTheme="minorHAnsi" w:hAnsiTheme="minorHAnsi" w:cstheme="minorHAnsi"/>
                <w:sz w:val="18"/>
                <w:szCs w:val="18"/>
              </w:rPr>
              <w:t> </w:t>
            </w:r>
            <w:r w:rsidR="00A24070" w:rsidRPr="001033CF">
              <w:rPr>
                <w:rFonts w:asciiTheme="minorHAnsi" w:hAnsiTheme="minorHAnsi" w:cstheme="minorHAnsi"/>
                <w:sz w:val="18"/>
                <w:szCs w:val="18"/>
              </w:rPr>
              <w:t>g)</w:t>
            </w:r>
            <w:r w:rsidR="0023358A" w:rsidRPr="001033CF">
              <w:rPr>
                <w:rFonts w:asciiTheme="minorHAnsi" w:hAnsiTheme="minorHAnsi" w:cstheme="minorHAnsi"/>
                <w:sz w:val="18"/>
                <w:szCs w:val="18"/>
              </w:rPr>
              <w:t>.</w:t>
            </w:r>
          </w:p>
        </w:tc>
      </w:tr>
      <w:tr w:rsidR="00F93740" w:rsidRPr="008059F4" w14:paraId="3981DBCC"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4B08E8" w14:textId="0893AC86"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TADALAFIL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20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Tadalis</w:t>
            </w:r>
            <w:proofErr w:type="spellEnd"/>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CIPLA AUSTRALIA PTY LTD</w:t>
            </w:r>
            <w:r w:rsidRPr="00B0619C">
              <w:rPr>
                <w:rFonts w:asciiTheme="minorHAnsi" w:hAnsiTheme="minorHAnsi" w:cstheme="minorHAnsi"/>
                <w:color w:val="000000"/>
                <w:sz w:val="18"/>
                <w:szCs w:val="18"/>
              </w:rPr>
              <w:br/>
            </w:r>
          </w:p>
          <w:p w14:paraId="6E95A36D" w14:textId="28D9D56C"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DAB8F1F" w14:textId="7D8D10CA"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Pulmonary arterial hypertension (PAH)</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99E8249" w14:textId="23A31C3A"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listing of a new pack size for tadalafil 20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of 60 tablets under the same conditions as the existing listings of the 56</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pack size for the treatment of PAH.</w:t>
            </w:r>
          </w:p>
        </w:tc>
        <w:tc>
          <w:tcPr>
            <w:tcW w:w="1584" w:type="dxa"/>
            <w:shd w:val="clear" w:color="auto" w:fill="auto"/>
            <w:vAlign w:val="center"/>
          </w:tcPr>
          <w:p w14:paraId="10F90543" w14:textId="13B95BC7"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C4B8D8B" w14:textId="63BDA1DD"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a new pack size (60</w:t>
            </w:r>
            <w:r w:rsidR="00881BC8" w:rsidRPr="001033CF">
              <w:rPr>
                <w:rFonts w:asciiTheme="minorHAnsi" w:hAnsiTheme="minorHAnsi" w:cstheme="minorHAnsi"/>
                <w:sz w:val="18"/>
                <w:szCs w:val="18"/>
              </w:rPr>
              <w:t> </w:t>
            </w:r>
            <w:r w:rsidRPr="001033CF">
              <w:rPr>
                <w:rFonts w:asciiTheme="minorHAnsi" w:hAnsiTheme="minorHAnsi" w:cstheme="minorHAnsi"/>
                <w:sz w:val="18"/>
                <w:szCs w:val="18"/>
              </w:rPr>
              <w:t>tablets) of tadalafil 20 mg (</w:t>
            </w:r>
            <w:proofErr w:type="spellStart"/>
            <w:r w:rsidRPr="001033CF">
              <w:rPr>
                <w:rFonts w:asciiTheme="minorHAnsi" w:hAnsiTheme="minorHAnsi" w:cstheme="minorHAnsi"/>
                <w:sz w:val="18"/>
                <w:szCs w:val="18"/>
              </w:rPr>
              <w:t>Tadalis</w:t>
            </w:r>
            <w:proofErr w:type="spellEnd"/>
            <w:r w:rsidRPr="001033CF">
              <w:rPr>
                <w:rFonts w:asciiTheme="minorHAnsi" w:hAnsiTheme="minorHAnsi" w:cstheme="minorHAnsi"/>
                <w:sz w:val="18"/>
                <w:szCs w:val="18"/>
              </w:rPr>
              <w:t xml:space="preserve"> 20) on the PBS for the treatment of </w:t>
            </w:r>
            <w:r w:rsidR="000B0C47" w:rsidRPr="001033CF">
              <w:rPr>
                <w:rFonts w:asciiTheme="minorHAnsi" w:hAnsiTheme="minorHAnsi" w:cstheme="minorHAnsi"/>
                <w:sz w:val="18"/>
                <w:szCs w:val="18"/>
              </w:rPr>
              <w:t>PAH</w:t>
            </w:r>
            <w:r w:rsidRPr="001033CF">
              <w:rPr>
                <w:rFonts w:asciiTheme="minorHAnsi" w:hAnsiTheme="minorHAnsi" w:cstheme="minorHAnsi"/>
                <w:sz w:val="18"/>
                <w:szCs w:val="18"/>
              </w:rPr>
              <w:t xml:space="preserve"> on a cost</w:t>
            </w:r>
            <w:r w:rsidRPr="001033CF">
              <w:rPr>
                <w:rFonts w:asciiTheme="minorHAnsi" w:hAnsiTheme="minorHAnsi" w:cstheme="minorHAnsi"/>
                <w:sz w:val="18"/>
                <w:szCs w:val="18"/>
              </w:rPr>
              <w:noBreakHyphen/>
              <w:t xml:space="preserve">minimisation basis and at the same price per tablet as the currently listed pack size (56 tablets). The PBAC advised that </w:t>
            </w:r>
            <w:proofErr w:type="spellStart"/>
            <w:r w:rsidRPr="001033CF">
              <w:rPr>
                <w:rFonts w:asciiTheme="minorHAnsi" w:hAnsiTheme="minorHAnsi" w:cstheme="minorHAnsi"/>
                <w:sz w:val="18"/>
                <w:szCs w:val="18"/>
              </w:rPr>
              <w:t>Tadalis</w:t>
            </w:r>
            <w:proofErr w:type="spellEnd"/>
            <w:r w:rsidRPr="001033CF">
              <w:rPr>
                <w:rFonts w:asciiTheme="minorHAnsi" w:hAnsiTheme="minorHAnsi" w:cstheme="minorHAnsi"/>
                <w:sz w:val="18"/>
                <w:szCs w:val="18"/>
              </w:rPr>
              <w:t xml:space="preserve"> 20 (60</w:t>
            </w:r>
            <w:r w:rsidRPr="001033CF">
              <w:rPr>
                <w:rFonts w:asciiTheme="minorHAnsi" w:hAnsiTheme="minorHAnsi" w:cstheme="minorHAnsi"/>
                <w:sz w:val="18"/>
                <w:szCs w:val="18"/>
              </w:rPr>
              <w:noBreakHyphen/>
              <w:t xml:space="preserve">tablet pack) should not be marked as equivalent in the </w:t>
            </w:r>
            <w:r w:rsidR="00BA738A" w:rsidRPr="001033CF">
              <w:rPr>
                <w:rFonts w:asciiTheme="minorHAnsi" w:hAnsiTheme="minorHAnsi" w:cstheme="minorHAnsi"/>
                <w:sz w:val="18"/>
                <w:szCs w:val="18"/>
              </w:rPr>
              <w:t>PBS</w:t>
            </w:r>
            <w:r w:rsidRPr="001033CF">
              <w:rPr>
                <w:rFonts w:asciiTheme="minorHAnsi" w:hAnsiTheme="minorHAnsi" w:cstheme="minorHAnsi"/>
                <w:sz w:val="18"/>
                <w:szCs w:val="18"/>
              </w:rPr>
              <w:t xml:space="preserve"> for the purposes of substitution (i.e. ‘a’ flagged) to </w:t>
            </w:r>
            <w:proofErr w:type="spellStart"/>
            <w:r w:rsidRPr="001033CF">
              <w:rPr>
                <w:rFonts w:asciiTheme="minorHAnsi" w:hAnsiTheme="minorHAnsi" w:cstheme="minorHAnsi"/>
                <w:sz w:val="18"/>
                <w:szCs w:val="18"/>
              </w:rPr>
              <w:t>Tadalca</w:t>
            </w:r>
            <w:proofErr w:type="spellEnd"/>
            <w:r w:rsidRPr="001033CF">
              <w:rPr>
                <w:rFonts w:asciiTheme="minorHAnsi" w:hAnsiTheme="minorHAnsi" w:cstheme="minorHAnsi"/>
                <w:sz w:val="18"/>
                <w:szCs w:val="18"/>
              </w:rPr>
              <w:t xml:space="preserve"> (tadalafil 20 mg, 56</w:t>
            </w:r>
            <w:r w:rsidR="00D63E3D" w:rsidRPr="001033CF">
              <w:rPr>
                <w:rFonts w:asciiTheme="minorHAnsi" w:hAnsiTheme="minorHAnsi" w:cstheme="minorHAnsi"/>
                <w:sz w:val="18"/>
                <w:szCs w:val="18"/>
              </w:rPr>
              <w:t> </w:t>
            </w:r>
            <w:r w:rsidRPr="001033CF">
              <w:rPr>
                <w:rFonts w:asciiTheme="minorHAnsi" w:hAnsiTheme="minorHAnsi" w:cstheme="minorHAnsi"/>
                <w:sz w:val="18"/>
                <w:szCs w:val="18"/>
              </w:rPr>
              <w:t xml:space="preserve">tablets) and </w:t>
            </w:r>
            <w:proofErr w:type="spellStart"/>
            <w:r w:rsidRPr="001033CF">
              <w:rPr>
                <w:rFonts w:asciiTheme="minorHAnsi" w:hAnsiTheme="minorHAnsi" w:cstheme="minorHAnsi"/>
                <w:sz w:val="18"/>
                <w:szCs w:val="18"/>
              </w:rPr>
              <w:t>Adcirca</w:t>
            </w:r>
            <w:proofErr w:type="spellEnd"/>
            <w:r w:rsidR="00BA738A" w:rsidRPr="001033CF">
              <w:rPr>
                <w:rFonts w:asciiTheme="minorHAnsi" w:hAnsiTheme="minorHAnsi" w:cstheme="minorHAnsi"/>
                <w:sz w:val="18"/>
                <w:szCs w:val="18"/>
              </w:rPr>
              <w:t>®</w:t>
            </w:r>
            <w:r w:rsidRPr="001033CF">
              <w:rPr>
                <w:rFonts w:asciiTheme="minorHAnsi" w:hAnsiTheme="minorHAnsi" w:cstheme="minorHAnsi"/>
                <w:sz w:val="18"/>
                <w:szCs w:val="18"/>
              </w:rPr>
              <w:t xml:space="preserve"> (tadalafil 20 mg, 56 tablets) due to the difference in maximum quantity between these products (i.e., 60</w:t>
            </w:r>
            <w:r w:rsidR="00671C24">
              <w:rPr>
                <w:rFonts w:asciiTheme="minorHAnsi" w:hAnsiTheme="minorHAnsi" w:cstheme="minorHAnsi"/>
                <w:sz w:val="18"/>
                <w:szCs w:val="18"/>
              </w:rPr>
              <w:t> </w:t>
            </w:r>
            <w:r w:rsidR="00BA738A" w:rsidRPr="001033CF">
              <w:rPr>
                <w:rFonts w:asciiTheme="minorHAnsi" w:hAnsiTheme="minorHAnsi" w:cstheme="minorHAnsi"/>
                <w:sz w:val="18"/>
                <w:szCs w:val="18"/>
              </w:rPr>
              <w:t>tablets</w:t>
            </w:r>
            <w:r w:rsidRPr="001033CF">
              <w:rPr>
                <w:rFonts w:asciiTheme="minorHAnsi" w:hAnsiTheme="minorHAnsi" w:cstheme="minorHAnsi"/>
                <w:sz w:val="18"/>
                <w:szCs w:val="18"/>
              </w:rPr>
              <w:t xml:space="preserve"> versus 56 tablets).</w:t>
            </w:r>
          </w:p>
        </w:tc>
      </w:tr>
      <w:tr w:rsidR="00F93740" w:rsidRPr="008059F4" w14:paraId="40E54D91" w14:textId="77777777" w:rsidTr="00671C24">
        <w:trPr>
          <w:cantSplit/>
          <w:trHeight w:val="42"/>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E0FB43A" w14:textId="78D6A7DB"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TALAZOPARIB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Capsule 0.1</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t>
            </w:r>
          </w:p>
          <w:p w14:paraId="0B81C76D" w14:textId="382AF34C"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Capsule 0.25</w:t>
            </w:r>
            <w:r>
              <w:rPr>
                <w:rFonts w:asciiTheme="minorHAnsi" w:hAnsiTheme="minorHAnsi" w:cstheme="minorHAnsi"/>
                <w:color w:val="000000"/>
                <w:sz w:val="18"/>
                <w:szCs w:val="18"/>
              </w:rPr>
              <w:t> mg</w:t>
            </w:r>
          </w:p>
          <w:p w14:paraId="0CCC5679" w14:textId="2833E049"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Capsule 0.35</w:t>
            </w:r>
            <w:r>
              <w:rPr>
                <w:rFonts w:asciiTheme="minorHAnsi" w:hAnsiTheme="minorHAnsi" w:cstheme="minorHAnsi"/>
                <w:color w:val="000000"/>
                <w:sz w:val="18"/>
                <w:szCs w:val="18"/>
              </w:rPr>
              <w:t> mg</w:t>
            </w:r>
          </w:p>
          <w:p w14:paraId="66A21460" w14:textId="1F9647E8"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Capsule 0.5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Talzenna</w:t>
            </w:r>
            <w:proofErr w:type="spellEnd"/>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PFIZER AUSTRALIA PTY LTD</w:t>
            </w:r>
            <w:r w:rsidRPr="00B0619C">
              <w:rPr>
                <w:rFonts w:asciiTheme="minorHAnsi" w:hAnsiTheme="minorHAnsi" w:cstheme="minorHAnsi"/>
                <w:color w:val="000000"/>
                <w:sz w:val="18"/>
                <w:szCs w:val="18"/>
              </w:rPr>
              <w:br/>
            </w:r>
          </w:p>
          <w:p w14:paraId="24C61D34" w14:textId="7C26D83F"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F5B10BB" w14:textId="3E9096B3"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Prostate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39DC2A8" w14:textId="78CB81BC"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a General Schedule Authority Required (STREAMLINED) listing, in combination with enzalutamide, for the treatment of metastatic </w:t>
            </w:r>
            <w:r w:rsidR="002F6157" w:rsidRPr="00B0619C">
              <w:rPr>
                <w:rFonts w:asciiTheme="minorHAnsi" w:hAnsiTheme="minorHAnsi" w:cstheme="minorHAnsi"/>
                <w:color w:val="000000"/>
                <w:sz w:val="18"/>
                <w:szCs w:val="18"/>
              </w:rPr>
              <w:t>castration</w:t>
            </w:r>
            <w:r w:rsidR="002F6157">
              <w:rPr>
                <w:rFonts w:asciiTheme="minorHAnsi" w:hAnsiTheme="minorHAnsi" w:cstheme="minorHAnsi"/>
                <w:color w:val="000000"/>
                <w:sz w:val="18"/>
                <w:szCs w:val="18"/>
              </w:rPr>
              <w:noBreakHyphen/>
            </w:r>
            <w:r w:rsidR="002F6157" w:rsidRPr="00B0619C">
              <w:rPr>
                <w:rFonts w:asciiTheme="minorHAnsi" w:hAnsiTheme="minorHAnsi" w:cstheme="minorHAnsi"/>
                <w:color w:val="000000"/>
                <w:sz w:val="18"/>
                <w:szCs w:val="18"/>
              </w:rPr>
              <w:t>resistant</w:t>
            </w:r>
            <w:r w:rsidR="002F6157">
              <w:rPr>
                <w:rFonts w:asciiTheme="minorHAnsi" w:hAnsiTheme="minorHAnsi" w:cstheme="minorHAnsi"/>
                <w:color w:val="000000"/>
                <w:sz w:val="18"/>
                <w:szCs w:val="18"/>
              </w:rPr>
              <w:t xml:space="preserve"> prostate cancer (mCRPC)</w:t>
            </w:r>
            <w:r w:rsidRPr="00B0619C">
              <w:rPr>
                <w:rFonts w:asciiTheme="minorHAnsi" w:hAnsiTheme="minorHAnsi" w:cstheme="minorHAnsi"/>
                <w:color w:val="000000"/>
                <w:sz w:val="18"/>
                <w:szCs w:val="18"/>
              </w:rPr>
              <w:t xml:space="preserve"> in patients with a Breast Cancer Gene 1 (</w:t>
            </w:r>
            <w:r w:rsidRPr="005406D0">
              <w:rPr>
                <w:rFonts w:asciiTheme="minorHAnsi" w:hAnsiTheme="minorHAnsi" w:cstheme="minorHAnsi"/>
                <w:i/>
                <w:iCs/>
                <w:color w:val="000000"/>
                <w:sz w:val="18"/>
                <w:szCs w:val="18"/>
              </w:rPr>
              <w:t>BRCA1</w:t>
            </w:r>
            <w:r w:rsidRPr="00B0619C">
              <w:rPr>
                <w:rFonts w:asciiTheme="minorHAnsi" w:hAnsiTheme="minorHAnsi" w:cstheme="minorHAnsi"/>
                <w:color w:val="000000"/>
                <w:sz w:val="18"/>
                <w:szCs w:val="18"/>
              </w:rPr>
              <w:t xml:space="preserve">) or </w:t>
            </w:r>
            <w:r w:rsidRPr="005406D0">
              <w:rPr>
                <w:rFonts w:asciiTheme="minorHAnsi" w:hAnsiTheme="minorHAnsi" w:cstheme="minorHAnsi"/>
                <w:i/>
                <w:iCs/>
                <w:color w:val="000000"/>
                <w:sz w:val="18"/>
                <w:szCs w:val="18"/>
              </w:rPr>
              <w:t>BRCA2</w:t>
            </w:r>
            <w:r w:rsidRPr="00B0619C">
              <w:rPr>
                <w:rFonts w:asciiTheme="minorHAnsi" w:hAnsiTheme="minorHAnsi" w:cstheme="minorHAnsi"/>
                <w:color w:val="000000"/>
                <w:sz w:val="18"/>
                <w:szCs w:val="18"/>
              </w:rPr>
              <w:t xml:space="preserve"> mutation who have not received prior treatment with a novel hormonal agent</w:t>
            </w:r>
            <w:r w:rsidR="002F6157">
              <w:rPr>
                <w:rFonts w:asciiTheme="minorHAnsi" w:hAnsiTheme="minorHAnsi" w:cstheme="minorHAnsi"/>
                <w:color w:val="000000"/>
                <w:sz w:val="18"/>
                <w:szCs w:val="18"/>
              </w:rPr>
              <w:t xml:space="preserve"> (NHA)</w:t>
            </w:r>
            <w:r w:rsidRPr="00B0619C">
              <w:rPr>
                <w:rFonts w:asciiTheme="minorHAnsi" w:hAnsiTheme="minorHAnsi" w:cstheme="minorHAnsi"/>
                <w:color w:val="000000"/>
                <w:sz w:val="18"/>
                <w:szCs w:val="18"/>
              </w:rPr>
              <w:t>.</w:t>
            </w:r>
          </w:p>
        </w:tc>
        <w:tc>
          <w:tcPr>
            <w:tcW w:w="1584" w:type="dxa"/>
            <w:shd w:val="clear" w:color="auto" w:fill="auto"/>
            <w:vAlign w:val="center"/>
          </w:tcPr>
          <w:p w14:paraId="16417004" w14:textId="5288E007" w:rsidR="00F93740" w:rsidRPr="001033CF" w:rsidRDefault="008C703F"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Recommended</w:t>
            </w:r>
          </w:p>
        </w:tc>
        <w:tc>
          <w:tcPr>
            <w:tcW w:w="4836" w:type="dxa"/>
            <w:shd w:val="clear" w:color="auto" w:fill="auto"/>
            <w:vAlign w:val="center"/>
          </w:tcPr>
          <w:p w14:paraId="38E4F1A9" w14:textId="6D6E12DA" w:rsidR="002F6157" w:rsidRPr="002F6157" w:rsidRDefault="002F6157" w:rsidP="002F6157">
            <w:pPr>
              <w:jc w:val="both"/>
              <w:rPr>
                <w:rFonts w:asciiTheme="minorHAnsi" w:hAnsiTheme="minorHAnsi" w:cstheme="minorHAnsi"/>
                <w:color w:val="000000"/>
                <w:sz w:val="18"/>
                <w:szCs w:val="18"/>
              </w:rPr>
            </w:pPr>
            <w:r w:rsidRPr="002F6157">
              <w:rPr>
                <w:rFonts w:asciiTheme="minorHAnsi" w:hAnsiTheme="minorHAnsi" w:cstheme="minorHAnsi"/>
                <w:color w:val="000000"/>
                <w:sz w:val="18"/>
                <w:szCs w:val="18"/>
              </w:rPr>
              <w:t xml:space="preserve">The PBAC did not recommend talazoparib, for use in combination with enzalutamide, for the treatment of mCRPC in patients with </w:t>
            </w:r>
            <w:r w:rsidRPr="002F6157">
              <w:rPr>
                <w:rFonts w:asciiTheme="minorHAnsi" w:hAnsiTheme="minorHAnsi" w:cstheme="minorHAnsi"/>
                <w:i/>
                <w:iCs/>
                <w:color w:val="000000"/>
                <w:sz w:val="18"/>
                <w:szCs w:val="18"/>
              </w:rPr>
              <w:t>BRCA</w:t>
            </w:r>
            <w:r w:rsidRPr="005406D0">
              <w:rPr>
                <w:rFonts w:asciiTheme="minorHAnsi" w:hAnsiTheme="minorHAnsi" w:cstheme="minorHAnsi"/>
                <w:i/>
                <w:iCs/>
                <w:color w:val="000000"/>
                <w:sz w:val="18"/>
                <w:szCs w:val="18"/>
              </w:rPr>
              <w:t>1/2</w:t>
            </w:r>
            <w:r w:rsidRPr="002F6157">
              <w:rPr>
                <w:rFonts w:asciiTheme="minorHAnsi" w:hAnsiTheme="minorHAnsi" w:cstheme="minorHAnsi"/>
                <w:color w:val="000000"/>
                <w:sz w:val="18"/>
                <w:szCs w:val="18"/>
              </w:rPr>
              <w:t xml:space="preserve"> pathogenic variants who have not received prior treatment with </w:t>
            </w:r>
            <w:proofErr w:type="gramStart"/>
            <w:r w:rsidRPr="002F6157">
              <w:rPr>
                <w:rFonts w:asciiTheme="minorHAnsi" w:hAnsiTheme="minorHAnsi" w:cstheme="minorHAnsi"/>
                <w:color w:val="000000"/>
                <w:sz w:val="18"/>
                <w:szCs w:val="18"/>
              </w:rPr>
              <w:t>a</w:t>
            </w:r>
            <w:proofErr w:type="gramEnd"/>
            <w:r w:rsidRPr="002F6157">
              <w:rPr>
                <w:rFonts w:asciiTheme="minorHAnsi" w:hAnsiTheme="minorHAnsi" w:cstheme="minorHAnsi"/>
                <w:color w:val="000000"/>
                <w:sz w:val="18"/>
                <w:szCs w:val="18"/>
              </w:rPr>
              <w:t xml:space="preserve"> NHA. Although the PBAC considered that talazoparib + enzalutamide was likely superior to enzalutamide alone, it noted that the precise magnitude of the benefit in clinical practice was uncertain given that the results were based on a small, post-hoc subgroup of patients with </w:t>
            </w:r>
            <w:r w:rsidRPr="005406D0">
              <w:rPr>
                <w:rFonts w:asciiTheme="minorHAnsi" w:hAnsiTheme="minorHAnsi" w:cstheme="minorHAnsi"/>
                <w:i/>
                <w:iCs/>
                <w:color w:val="000000"/>
                <w:sz w:val="18"/>
                <w:szCs w:val="18"/>
              </w:rPr>
              <w:t>BRCA1/2</w:t>
            </w:r>
            <w:r w:rsidRPr="002F6157">
              <w:rPr>
                <w:rFonts w:asciiTheme="minorHAnsi" w:hAnsiTheme="minorHAnsi" w:cstheme="minorHAnsi"/>
                <w:color w:val="000000"/>
                <w:sz w:val="18"/>
                <w:szCs w:val="18"/>
              </w:rPr>
              <w:t xml:space="preserve"> pathogenetic variants. Additionally, the PBAC considered that the incremental cost</w:t>
            </w:r>
            <w:r>
              <w:rPr>
                <w:rFonts w:asciiTheme="minorHAnsi" w:hAnsiTheme="minorHAnsi" w:cstheme="minorHAnsi"/>
                <w:color w:val="000000"/>
                <w:sz w:val="18"/>
                <w:szCs w:val="18"/>
              </w:rPr>
              <w:noBreakHyphen/>
            </w:r>
            <w:r w:rsidRPr="002F6157">
              <w:rPr>
                <w:rFonts w:asciiTheme="minorHAnsi" w:hAnsiTheme="minorHAnsi" w:cstheme="minorHAnsi"/>
                <w:color w:val="000000"/>
                <w:sz w:val="18"/>
                <w:szCs w:val="18"/>
              </w:rPr>
              <w:t>effectiveness ratio presented in the pre-PBAC response was high and uncertain and that utilisation was likely overestimated. The PBAC noted that there is an existing risk</w:t>
            </w:r>
            <w:r>
              <w:rPr>
                <w:rFonts w:asciiTheme="minorHAnsi" w:hAnsiTheme="minorHAnsi" w:cstheme="minorHAnsi"/>
                <w:color w:val="000000"/>
                <w:sz w:val="18"/>
                <w:szCs w:val="18"/>
              </w:rPr>
              <w:t xml:space="preserve"> </w:t>
            </w:r>
            <w:r w:rsidRPr="002F6157">
              <w:rPr>
                <w:rFonts w:asciiTheme="minorHAnsi" w:hAnsiTheme="minorHAnsi" w:cstheme="minorHAnsi"/>
                <w:color w:val="000000"/>
                <w:sz w:val="18"/>
                <w:szCs w:val="18"/>
              </w:rPr>
              <w:t>sharing arrangement for olaparib monotherapy and considered that it would be appropriate for talazoparib + enzalutamide to join this.</w:t>
            </w:r>
          </w:p>
          <w:p w14:paraId="4217BC2F" w14:textId="77777777" w:rsidR="002F6157" w:rsidRPr="002F6157" w:rsidRDefault="002F6157" w:rsidP="002F6157">
            <w:pPr>
              <w:jc w:val="both"/>
              <w:rPr>
                <w:rFonts w:asciiTheme="minorHAnsi" w:hAnsiTheme="minorHAnsi" w:cstheme="minorHAnsi"/>
                <w:color w:val="000000"/>
                <w:sz w:val="18"/>
                <w:szCs w:val="18"/>
                <w:lang w:val="en-GB"/>
              </w:rPr>
            </w:pPr>
          </w:p>
          <w:p w14:paraId="239B1E1C" w14:textId="77777777" w:rsidR="002F6157" w:rsidRPr="002F6157" w:rsidRDefault="002F6157" w:rsidP="002F6157">
            <w:pPr>
              <w:jc w:val="both"/>
              <w:rPr>
                <w:rFonts w:asciiTheme="minorHAnsi" w:hAnsiTheme="minorHAnsi" w:cstheme="minorHAnsi"/>
                <w:color w:val="000000"/>
                <w:sz w:val="18"/>
                <w:szCs w:val="18"/>
                <w:lang w:val="en-GB"/>
              </w:rPr>
            </w:pPr>
            <w:r w:rsidRPr="002F6157">
              <w:rPr>
                <w:rFonts w:asciiTheme="minorHAnsi" w:hAnsiTheme="minorHAnsi" w:cstheme="minorHAnsi"/>
                <w:color w:val="000000"/>
                <w:sz w:val="18"/>
                <w:szCs w:val="18"/>
                <w:lang w:val="en-GB"/>
              </w:rPr>
              <w:t xml:space="preserve">The PBAC nominated the Early Re-Entry resubmission pathway for this item. </w:t>
            </w:r>
          </w:p>
          <w:p w14:paraId="0BB6F76A" w14:textId="77777777" w:rsidR="00F93740" w:rsidRPr="001033CF" w:rsidRDefault="00F93740" w:rsidP="001033CF">
            <w:pPr>
              <w:jc w:val="both"/>
              <w:rPr>
                <w:rFonts w:asciiTheme="minorHAnsi" w:hAnsiTheme="minorHAnsi" w:cstheme="minorHAnsi"/>
                <w:color w:val="000000"/>
                <w:sz w:val="18"/>
                <w:szCs w:val="18"/>
              </w:rPr>
            </w:pPr>
          </w:p>
          <w:p w14:paraId="053E64D8" w14:textId="77777777" w:rsidR="00F93740" w:rsidRPr="001033CF" w:rsidRDefault="00F93740" w:rsidP="001033CF">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6772F9C8" w14:textId="17E16934" w:rsidR="00F93740" w:rsidRPr="001033CF" w:rsidRDefault="00D34057" w:rsidP="001033CF">
            <w:pPr>
              <w:jc w:val="both"/>
              <w:rPr>
                <w:rFonts w:asciiTheme="minorHAnsi" w:hAnsiTheme="minorHAnsi" w:cstheme="minorHAnsi"/>
                <w:sz w:val="18"/>
                <w:szCs w:val="18"/>
              </w:rPr>
            </w:pPr>
            <w:r w:rsidRPr="00D34057">
              <w:rPr>
                <w:rFonts w:asciiTheme="minorHAnsi" w:hAnsiTheme="minorHAnsi" w:cstheme="minorHAnsi"/>
                <w:color w:val="000000"/>
                <w:sz w:val="18"/>
                <w:szCs w:val="18"/>
              </w:rPr>
              <w:t>Pfizer welcomes the opportunity to resubmit via the early re</w:t>
            </w:r>
            <w:r w:rsidR="00E62433">
              <w:rPr>
                <w:rFonts w:asciiTheme="minorHAnsi" w:hAnsiTheme="minorHAnsi" w:cstheme="minorHAnsi"/>
                <w:color w:val="000000"/>
                <w:sz w:val="18"/>
                <w:szCs w:val="18"/>
              </w:rPr>
              <w:noBreakHyphen/>
            </w:r>
            <w:r w:rsidRPr="00D34057">
              <w:rPr>
                <w:rFonts w:asciiTheme="minorHAnsi" w:hAnsiTheme="minorHAnsi" w:cstheme="minorHAnsi"/>
                <w:color w:val="000000"/>
                <w:sz w:val="18"/>
                <w:szCs w:val="18"/>
              </w:rPr>
              <w:t xml:space="preserve">entry pathway. Pfizer looks forward to continuing to work with the PBAC and the Department of Health and Aged Care to provide access to talazoparib for the treatment of mCRPC in patients with </w:t>
            </w:r>
            <w:r w:rsidRPr="00D47391">
              <w:rPr>
                <w:rFonts w:asciiTheme="minorHAnsi" w:hAnsiTheme="minorHAnsi" w:cstheme="minorHAnsi"/>
                <w:i/>
                <w:iCs/>
                <w:color w:val="000000"/>
                <w:sz w:val="18"/>
                <w:szCs w:val="18"/>
              </w:rPr>
              <w:t>BRCA1/2</w:t>
            </w:r>
            <w:r w:rsidRPr="00D34057">
              <w:rPr>
                <w:rFonts w:asciiTheme="minorHAnsi" w:hAnsiTheme="minorHAnsi" w:cstheme="minorHAnsi"/>
                <w:color w:val="000000"/>
                <w:sz w:val="18"/>
                <w:szCs w:val="18"/>
              </w:rPr>
              <w:t xml:space="preserve"> pathogenic variants.</w:t>
            </w:r>
          </w:p>
        </w:tc>
      </w:tr>
      <w:tr w:rsidR="00F93740" w:rsidRPr="008059F4" w14:paraId="7183D1E8" w14:textId="77777777" w:rsidTr="00D47391">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0F38304"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TIOTROPIUM</w:t>
            </w:r>
          </w:p>
          <w:p w14:paraId="48F61B9A" w14:textId="77777777" w:rsidR="00F93740" w:rsidRPr="00B0619C" w:rsidRDefault="00F93740" w:rsidP="00F93740">
            <w:pPr>
              <w:jc w:val="center"/>
              <w:rPr>
                <w:rFonts w:asciiTheme="minorHAnsi" w:hAnsiTheme="minorHAnsi" w:cstheme="minorHAnsi"/>
                <w:color w:val="000000"/>
                <w:sz w:val="18"/>
                <w:szCs w:val="18"/>
              </w:rPr>
            </w:pPr>
          </w:p>
          <w:p w14:paraId="248DB332" w14:textId="54C97D86" w:rsidR="00F93740" w:rsidRPr="00B0619C" w:rsidRDefault="00F93740" w:rsidP="00F93740">
            <w:pPr>
              <w:jc w:val="center"/>
              <w:rPr>
                <w:rFonts w:asciiTheme="minorHAnsi" w:hAnsiTheme="minorHAnsi" w:cstheme="minorHAnsi"/>
                <w:sz w:val="18"/>
                <w:szCs w:val="18"/>
              </w:rPr>
            </w:pPr>
            <w:r w:rsidRPr="00B0619C">
              <w:rPr>
                <w:rFonts w:asciiTheme="minorHAnsi" w:hAnsiTheme="minorHAnsi" w:cstheme="minorHAnsi"/>
                <w:sz w:val="18"/>
                <w:szCs w:val="18"/>
              </w:rPr>
              <w:t>Capsule containing powder for oral inhalation 18 micrograms (as bromide monohydrate)</w:t>
            </w:r>
          </w:p>
          <w:p w14:paraId="6B204D3E" w14:textId="77777777" w:rsidR="00F93740" w:rsidRPr="00B0619C" w:rsidRDefault="00F93740" w:rsidP="00F93740">
            <w:pPr>
              <w:jc w:val="center"/>
              <w:rPr>
                <w:rFonts w:asciiTheme="minorHAnsi" w:hAnsiTheme="minorHAnsi" w:cstheme="minorHAnsi"/>
                <w:color w:val="000000"/>
                <w:sz w:val="18"/>
                <w:szCs w:val="18"/>
              </w:rPr>
            </w:pPr>
          </w:p>
          <w:p w14:paraId="514039AF" w14:textId="5072C09A" w:rsidR="00F93740" w:rsidRPr="00B0619C" w:rsidRDefault="00F93740" w:rsidP="00F93740">
            <w:pPr>
              <w:jc w:val="center"/>
              <w:rPr>
                <w:rFonts w:asciiTheme="minorHAnsi" w:hAnsiTheme="minorHAnsi" w:cstheme="minorHAnsi"/>
                <w:sz w:val="18"/>
                <w:szCs w:val="18"/>
              </w:rPr>
            </w:pPr>
            <w:r w:rsidRPr="00B0619C">
              <w:rPr>
                <w:rFonts w:asciiTheme="minorHAnsi" w:hAnsiTheme="minorHAnsi" w:cstheme="minorHAnsi"/>
                <w:sz w:val="18"/>
                <w:szCs w:val="18"/>
              </w:rPr>
              <w:t>Tiotropium Lupin</w:t>
            </w:r>
          </w:p>
          <w:p w14:paraId="27F1D9A6" w14:textId="77777777" w:rsidR="00F93740" w:rsidRPr="00B0619C" w:rsidRDefault="00F93740" w:rsidP="00F93740">
            <w:pPr>
              <w:jc w:val="center"/>
              <w:rPr>
                <w:rFonts w:asciiTheme="minorHAnsi" w:hAnsiTheme="minorHAnsi" w:cstheme="minorHAnsi"/>
                <w:color w:val="000000"/>
                <w:sz w:val="18"/>
                <w:szCs w:val="18"/>
              </w:rPr>
            </w:pPr>
          </w:p>
          <w:p w14:paraId="04377E70" w14:textId="77777777" w:rsidR="00F93740" w:rsidRPr="00B0619C" w:rsidRDefault="00F93740" w:rsidP="00F93740">
            <w:pPr>
              <w:jc w:val="center"/>
              <w:rPr>
                <w:rFonts w:asciiTheme="minorHAnsi" w:hAnsiTheme="minorHAnsi" w:cstheme="minorHAnsi"/>
                <w:sz w:val="18"/>
                <w:szCs w:val="18"/>
              </w:rPr>
            </w:pPr>
            <w:r w:rsidRPr="00B0619C">
              <w:rPr>
                <w:rFonts w:asciiTheme="minorHAnsi" w:hAnsiTheme="minorHAnsi" w:cstheme="minorHAnsi"/>
                <w:sz w:val="18"/>
                <w:szCs w:val="18"/>
              </w:rPr>
              <w:t>GENERIC HEALTH PTY LTD</w:t>
            </w:r>
          </w:p>
          <w:p w14:paraId="5FFA4CF4" w14:textId="77777777" w:rsidR="00F93740" w:rsidRDefault="00F93740" w:rsidP="00F93740">
            <w:pPr>
              <w:jc w:val="center"/>
              <w:rPr>
                <w:rFonts w:asciiTheme="minorHAnsi" w:hAnsiTheme="minorHAnsi" w:cstheme="minorHAnsi"/>
                <w:color w:val="000000"/>
                <w:sz w:val="18"/>
                <w:szCs w:val="18"/>
              </w:rPr>
            </w:pPr>
          </w:p>
          <w:p w14:paraId="00CEDDBC" w14:textId="3336AC01" w:rsidR="00F93740" w:rsidRPr="00B0619C" w:rsidRDefault="00F93740" w:rsidP="00F93740">
            <w:pPr>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p>
          <w:p w14:paraId="3AAD6443" w14:textId="2067044F" w:rsidR="00F93740" w:rsidRPr="00B0619C"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8EC26A6" w14:textId="2B1D121C"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sz w:val="18"/>
                <w:szCs w:val="18"/>
              </w:rPr>
              <w:t>Chronic obstructive pulmonary disease (COPD)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54C739F" w14:textId="77777777"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General Schedule Restricted Benefit listing of</w:t>
            </w:r>
          </w:p>
          <w:p w14:paraId="06936CA6" w14:textId="30FC5E20"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 new form of tiotropium for the treatment of COPD.</w:t>
            </w:r>
          </w:p>
        </w:tc>
        <w:tc>
          <w:tcPr>
            <w:tcW w:w="1584" w:type="dxa"/>
            <w:shd w:val="clear" w:color="auto" w:fill="auto"/>
            <w:vAlign w:val="center"/>
          </w:tcPr>
          <w:p w14:paraId="60BBD493" w14:textId="3E944307"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20D6F50E" w14:textId="49502B3D"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 xml:space="preserve">The PBAC recommended the listing of a new product containing tiotropium, Tiotropium Lupin for use with </w:t>
            </w:r>
            <w:proofErr w:type="spellStart"/>
            <w:r w:rsidRPr="001033CF">
              <w:rPr>
                <w:rFonts w:asciiTheme="minorHAnsi" w:hAnsiTheme="minorHAnsi" w:cstheme="minorHAnsi"/>
                <w:sz w:val="18"/>
                <w:szCs w:val="18"/>
              </w:rPr>
              <w:t>LupinHaler</w:t>
            </w:r>
            <w:proofErr w:type="spellEnd"/>
            <w:r w:rsidRPr="001033CF">
              <w:rPr>
                <w:rFonts w:asciiTheme="minorHAnsi" w:hAnsiTheme="minorHAnsi" w:cstheme="minorHAnsi"/>
                <w:sz w:val="18"/>
                <w:szCs w:val="18"/>
              </w:rPr>
              <w:t>® as an alternative to the currently PBS</w:t>
            </w:r>
            <w:r w:rsidRPr="001033CF">
              <w:rPr>
                <w:rFonts w:asciiTheme="minorHAnsi" w:hAnsiTheme="minorHAnsi" w:cstheme="minorHAnsi"/>
                <w:sz w:val="18"/>
                <w:szCs w:val="18"/>
              </w:rPr>
              <w:noBreakHyphen/>
              <w:t xml:space="preserve">listed Spiriva® for use with </w:t>
            </w:r>
            <w:proofErr w:type="spellStart"/>
            <w:r w:rsidRPr="001033CF">
              <w:rPr>
                <w:rFonts w:asciiTheme="minorHAnsi" w:hAnsiTheme="minorHAnsi" w:cstheme="minorHAnsi"/>
                <w:sz w:val="18"/>
                <w:szCs w:val="18"/>
              </w:rPr>
              <w:t>Handihaler</w:t>
            </w:r>
            <w:proofErr w:type="spellEnd"/>
            <w:r w:rsidRPr="001033CF">
              <w:rPr>
                <w:rFonts w:asciiTheme="minorHAnsi" w:hAnsiTheme="minorHAnsi" w:cstheme="minorHAnsi"/>
                <w:sz w:val="18"/>
                <w:szCs w:val="18"/>
              </w:rPr>
              <w:t>® for the treatment of COPD. The PBAC recommended the listing on a cost</w:t>
            </w:r>
            <w:r w:rsidRPr="001033CF">
              <w:rPr>
                <w:rFonts w:asciiTheme="minorHAnsi" w:hAnsiTheme="minorHAnsi" w:cstheme="minorHAnsi"/>
                <w:sz w:val="18"/>
                <w:szCs w:val="18"/>
              </w:rPr>
              <w:noBreakHyphen/>
              <w:t>minimisation basis to the lowest cost PBS</w:t>
            </w:r>
            <w:r w:rsidRPr="001033CF">
              <w:rPr>
                <w:rFonts w:asciiTheme="minorHAnsi" w:hAnsiTheme="minorHAnsi" w:cstheme="minorHAnsi"/>
                <w:sz w:val="18"/>
                <w:szCs w:val="18"/>
              </w:rPr>
              <w:noBreakHyphen/>
              <w:t xml:space="preserve">listed tiotropium brand for COPD. The PBAC noted that the TGA considered Tiotropium Lupin to be bioequivalent to Spiriva, and that </w:t>
            </w:r>
            <w:proofErr w:type="spellStart"/>
            <w:r w:rsidRPr="001033CF">
              <w:rPr>
                <w:rFonts w:asciiTheme="minorHAnsi" w:hAnsiTheme="minorHAnsi" w:cstheme="minorHAnsi"/>
                <w:sz w:val="18"/>
                <w:szCs w:val="18"/>
              </w:rPr>
              <w:t>Braltus</w:t>
            </w:r>
            <w:proofErr w:type="spellEnd"/>
            <w:r w:rsidRPr="001033CF">
              <w:rPr>
                <w:rFonts w:asciiTheme="minorHAnsi" w:hAnsiTheme="minorHAnsi" w:cstheme="minorHAnsi"/>
                <w:sz w:val="18"/>
                <w:szCs w:val="18"/>
              </w:rPr>
              <w:t xml:space="preserve">® (for use with the Zonda® device) is currently marked as equivalent to Spiriva. The PBAC advised that Tiotropium Lupin, Spiriva, and </w:t>
            </w:r>
            <w:proofErr w:type="spellStart"/>
            <w:r w:rsidRPr="001033CF">
              <w:rPr>
                <w:rFonts w:asciiTheme="minorHAnsi" w:hAnsiTheme="minorHAnsi" w:cstheme="minorHAnsi"/>
                <w:sz w:val="18"/>
                <w:szCs w:val="18"/>
              </w:rPr>
              <w:t>Braltus</w:t>
            </w:r>
            <w:proofErr w:type="spellEnd"/>
            <w:r w:rsidRPr="001033CF">
              <w:rPr>
                <w:rFonts w:asciiTheme="minorHAnsi" w:hAnsiTheme="minorHAnsi" w:cstheme="minorHAnsi"/>
                <w:sz w:val="18"/>
                <w:szCs w:val="18"/>
              </w:rPr>
              <w:t xml:space="preserve"> should be treated as equivalent for the purposes of substitution (i.e., ‘a’</w:t>
            </w:r>
            <w:r w:rsidR="009D7B53" w:rsidRPr="001033CF">
              <w:rPr>
                <w:rFonts w:asciiTheme="minorHAnsi" w:hAnsiTheme="minorHAnsi" w:cstheme="minorHAnsi"/>
                <w:sz w:val="18"/>
                <w:szCs w:val="18"/>
              </w:rPr>
              <w:t xml:space="preserve"> </w:t>
            </w:r>
            <w:r w:rsidRPr="001033CF">
              <w:rPr>
                <w:rFonts w:asciiTheme="minorHAnsi" w:hAnsiTheme="minorHAnsi" w:cstheme="minorHAnsi"/>
                <w:sz w:val="18"/>
                <w:szCs w:val="18"/>
              </w:rPr>
              <w:t xml:space="preserve">flagged in the Schedule). The PBAC noted that while the operational steps of the delivery devices for all three brands of tiotropium (Spiriva, </w:t>
            </w:r>
            <w:proofErr w:type="spellStart"/>
            <w:r w:rsidRPr="001033CF">
              <w:rPr>
                <w:rFonts w:asciiTheme="minorHAnsi" w:hAnsiTheme="minorHAnsi" w:cstheme="minorHAnsi"/>
                <w:sz w:val="18"/>
                <w:szCs w:val="18"/>
              </w:rPr>
              <w:t>Braltus</w:t>
            </w:r>
            <w:proofErr w:type="spellEnd"/>
            <w:r w:rsidRPr="001033CF">
              <w:rPr>
                <w:rFonts w:asciiTheme="minorHAnsi" w:hAnsiTheme="minorHAnsi" w:cstheme="minorHAnsi"/>
                <w:sz w:val="18"/>
                <w:szCs w:val="18"/>
              </w:rPr>
              <w:t xml:space="preserve"> and Tiotropium Lupin) are comparable, each product is intended for use only with its respective delivery device. The PBAC was satisfied that, consistent with its March 2019 consideration for </w:t>
            </w:r>
            <w:proofErr w:type="spellStart"/>
            <w:r w:rsidRPr="001033CF">
              <w:rPr>
                <w:rFonts w:asciiTheme="minorHAnsi" w:hAnsiTheme="minorHAnsi" w:cstheme="minorHAnsi"/>
                <w:sz w:val="18"/>
                <w:szCs w:val="18"/>
              </w:rPr>
              <w:t>Braltus</w:t>
            </w:r>
            <w:proofErr w:type="spellEnd"/>
            <w:r w:rsidRPr="001033CF">
              <w:rPr>
                <w:rFonts w:asciiTheme="minorHAnsi" w:hAnsiTheme="minorHAnsi" w:cstheme="minorHAnsi"/>
                <w:sz w:val="18"/>
                <w:szCs w:val="18"/>
              </w:rPr>
              <w:t xml:space="preserve">, the differences in the use of each device for tiotropium inhalation could be managed adequately through regular patient education and counselling on device administration, provided by prescribers and pharmacists. </w:t>
            </w:r>
          </w:p>
        </w:tc>
      </w:tr>
      <w:tr w:rsidR="00F93740" w:rsidRPr="008059F4" w14:paraId="62B44061" w14:textId="77777777" w:rsidTr="6706DB5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B4E239A" w14:textId="359054F5"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TOFACITINIB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Tablet (modified release) 11</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Xeljanz</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t xml:space="preserve"> XR</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PFIZER AUSTRALIA PTY LTD</w:t>
            </w:r>
            <w:r w:rsidRPr="00B0619C">
              <w:rPr>
                <w:rFonts w:asciiTheme="minorHAnsi" w:hAnsiTheme="minorHAnsi" w:cstheme="minorHAnsi"/>
                <w:color w:val="000000"/>
                <w:sz w:val="18"/>
                <w:szCs w:val="18"/>
              </w:rPr>
              <w:br/>
            </w:r>
          </w:p>
          <w:p w14:paraId="22A46CD4" w14:textId="42E426FB"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8EFCC9F" w14:textId="7483B496"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Rheumatoid arthritis (RA)</w:t>
            </w:r>
            <w:r w:rsidRPr="00B0619C">
              <w:rPr>
                <w:rFonts w:asciiTheme="minorHAnsi" w:hAnsiTheme="minorHAnsi" w:cstheme="minorHAnsi"/>
                <w:color w:val="000000"/>
                <w:sz w:val="18"/>
                <w:szCs w:val="18"/>
              </w:rPr>
              <w:br/>
              <w:t xml:space="preserve">Psoriatic arthritis (PsA)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289ADCD" w14:textId="541D86C1"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listing of a new form and strength for tofacitinib under the same conditions as the existing listings of tofacitinib 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for the treatment of severe active RA and severe PsA.</w:t>
            </w:r>
          </w:p>
        </w:tc>
        <w:tc>
          <w:tcPr>
            <w:tcW w:w="1584" w:type="dxa"/>
            <w:shd w:val="clear" w:color="auto" w:fill="auto"/>
            <w:vAlign w:val="center"/>
          </w:tcPr>
          <w:p w14:paraId="36DD7A99" w14:textId="7165CE9B"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69B5135A" w14:textId="785BC708"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a new form and strength of tofacitinib (tofacitinib tablet (modified release) 11 mg (Xeljanz XR)) under the same circumstances as the current PBS listings for tofacitinib 5 mg tablets for the treatment of severe active RA and severe PsA. The PBAC recommended listing Xeljanz XR on a cost</w:t>
            </w:r>
            <w:r w:rsidRPr="001033CF">
              <w:rPr>
                <w:rFonts w:asciiTheme="minorHAnsi" w:hAnsiTheme="minorHAnsi" w:cstheme="minorHAnsi"/>
                <w:sz w:val="18"/>
                <w:szCs w:val="18"/>
              </w:rPr>
              <w:noBreakHyphen/>
              <w:t>minimisation basis with the least costly PBS</w:t>
            </w:r>
            <w:r w:rsidRPr="001033CF">
              <w:rPr>
                <w:rFonts w:asciiTheme="minorHAnsi" w:hAnsiTheme="minorHAnsi" w:cstheme="minorHAnsi"/>
                <w:sz w:val="18"/>
                <w:szCs w:val="18"/>
              </w:rPr>
              <w:noBreakHyphen/>
              <w:t>listed biological disease</w:t>
            </w:r>
            <w:r w:rsidRPr="001033CF">
              <w:rPr>
                <w:rFonts w:asciiTheme="minorHAnsi" w:hAnsiTheme="minorHAnsi" w:cstheme="minorHAnsi"/>
                <w:sz w:val="18"/>
                <w:szCs w:val="18"/>
              </w:rPr>
              <w:noBreakHyphen/>
              <w:t>modifying anti</w:t>
            </w:r>
            <w:r w:rsidRPr="001033CF">
              <w:rPr>
                <w:rFonts w:asciiTheme="minorHAnsi" w:hAnsiTheme="minorHAnsi" w:cstheme="minorHAnsi"/>
                <w:sz w:val="18"/>
                <w:szCs w:val="18"/>
              </w:rPr>
              <w:noBreakHyphen/>
              <w:t>rheumatic drug (bDMARD) for severe active RA and severe PsA. The PBAC considered that the submission did not provide evidence to demonstrate that Xeljanz XR provides, for some patients, a significant improvement in efficacy or reduction in toxicity compared to any of the currently listed bDMARDs for severe active RA and severe PsA. The PBAC considered that any of the currently PBS</w:t>
            </w:r>
            <w:r w:rsidRPr="001033CF">
              <w:rPr>
                <w:rFonts w:asciiTheme="minorHAnsi" w:hAnsiTheme="minorHAnsi" w:cstheme="minorHAnsi"/>
                <w:sz w:val="18"/>
                <w:szCs w:val="18"/>
              </w:rPr>
              <w:noBreakHyphen/>
              <w:t>listed bDMARDs for these conditions could be an alternative therapy to Xeljanz XR. The PBAC advised the equi</w:t>
            </w:r>
            <w:r w:rsidRPr="001033CF">
              <w:rPr>
                <w:rFonts w:asciiTheme="minorHAnsi" w:hAnsiTheme="minorHAnsi" w:cstheme="minorHAnsi"/>
                <w:sz w:val="18"/>
                <w:szCs w:val="18"/>
              </w:rPr>
              <w:noBreakHyphen/>
              <w:t>effective doses were: Xeljanz XR 11 mg (1 tablet once daily), tofacitinib 5 mg (1 tablet twice daily), and doses of alternative bDMARDs derived from the relevant Product Information documents.</w:t>
            </w:r>
          </w:p>
        </w:tc>
      </w:tr>
      <w:tr w:rsidR="00F93740" w:rsidRPr="008059F4" w14:paraId="58576965"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9041E59" w14:textId="41FFB3DB"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TRASTUZUMAB DERUXTECAN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Powder for I.V. infusion 100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Enhertu</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ASTRAZENECA PTY LTD</w:t>
            </w:r>
            <w:r w:rsidRPr="00B0619C">
              <w:rPr>
                <w:rFonts w:asciiTheme="minorHAnsi" w:hAnsiTheme="minorHAnsi" w:cstheme="minorHAnsi"/>
                <w:color w:val="000000"/>
                <w:sz w:val="18"/>
                <w:szCs w:val="18"/>
              </w:rPr>
              <w:br/>
            </w:r>
          </w:p>
          <w:p w14:paraId="5F291C6A" w14:textId="094F2759"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Early re</w:t>
            </w:r>
            <w:r w:rsidRPr="001165DD">
              <w:rPr>
                <w:rFonts w:asciiTheme="minorHAnsi" w:hAnsiTheme="minorHAnsi" w:cstheme="minorHAnsi"/>
                <w:color w:val="000000"/>
                <w:sz w:val="18"/>
                <w:szCs w:val="18"/>
              </w:rPr>
              <w:noBreakHyphen/>
            </w:r>
            <w:r>
              <w:rPr>
                <w:rFonts w:asciiTheme="minorHAnsi" w:hAnsiTheme="minorHAnsi" w:cstheme="minorHAnsi"/>
                <w:color w:val="000000"/>
                <w:sz w:val="18"/>
                <w:szCs w:val="18"/>
              </w:rPr>
              <w:t>entry</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733F456" w14:textId="2B1D9868"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sz w:val="18"/>
                <w:szCs w:val="18"/>
              </w:rPr>
              <w:t>Human epidermal growth factor receptor 2 (HER2)</w:t>
            </w:r>
            <w:r w:rsidRPr="001165DD">
              <w:rPr>
                <w:rFonts w:asciiTheme="minorHAnsi" w:hAnsiTheme="minorHAnsi" w:cstheme="minorHAnsi"/>
                <w:sz w:val="18"/>
                <w:szCs w:val="18"/>
              </w:rPr>
              <w:noBreakHyphen/>
            </w:r>
            <w:r w:rsidRPr="00B0619C">
              <w:rPr>
                <w:rFonts w:asciiTheme="minorHAnsi" w:hAnsiTheme="minorHAnsi" w:cstheme="minorHAnsi"/>
                <w:sz w:val="18"/>
                <w:szCs w:val="18"/>
              </w:rPr>
              <w:t>low breast cancer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F315B50" w14:textId="7B33F300"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Resubmission to request a Section 100 (Efficient Funding of Chemotherapy) Authority Required (Telephone/Online) listing for the treatment of patients with HER2</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low unresectable or metastatic breast cancer.</w:t>
            </w:r>
          </w:p>
        </w:tc>
        <w:tc>
          <w:tcPr>
            <w:tcW w:w="1584" w:type="dxa"/>
            <w:shd w:val="clear" w:color="auto" w:fill="auto"/>
            <w:vAlign w:val="center"/>
          </w:tcPr>
          <w:p w14:paraId="1388DE43" w14:textId="4E9A2001"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4C36DC9" w14:textId="62726989"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trastuzumab deruxtecan (T</w:t>
            </w:r>
            <w:r w:rsidRPr="001033CF">
              <w:rPr>
                <w:rFonts w:asciiTheme="minorHAnsi" w:hAnsiTheme="minorHAnsi" w:cstheme="minorHAnsi"/>
                <w:sz w:val="18"/>
                <w:szCs w:val="18"/>
              </w:rPr>
              <w:noBreakHyphen/>
              <w:t xml:space="preserve">DXd) for the treatment of patients with </w:t>
            </w:r>
            <w:r w:rsidR="00A82518" w:rsidRPr="001033CF">
              <w:rPr>
                <w:rFonts w:asciiTheme="minorHAnsi" w:hAnsiTheme="minorHAnsi" w:cstheme="minorHAnsi"/>
                <w:sz w:val="18"/>
                <w:szCs w:val="18"/>
              </w:rPr>
              <w:t>HER2</w:t>
            </w:r>
            <w:r w:rsidR="00A82518" w:rsidRPr="001033CF">
              <w:rPr>
                <w:rFonts w:asciiTheme="minorHAnsi" w:hAnsiTheme="minorHAnsi" w:cstheme="minorHAnsi"/>
                <w:sz w:val="18"/>
                <w:szCs w:val="18"/>
              </w:rPr>
              <w:noBreakHyphen/>
            </w:r>
            <w:r w:rsidRPr="001033CF">
              <w:rPr>
                <w:rFonts w:asciiTheme="minorHAnsi" w:hAnsiTheme="minorHAnsi" w:cstheme="minorHAnsi"/>
                <w:sz w:val="18"/>
                <w:szCs w:val="18"/>
              </w:rPr>
              <w:t>low unresectable or metastatic breast cancer. The PBAC reiterated its previous consideration that T</w:t>
            </w:r>
            <w:r w:rsidRPr="001033CF">
              <w:rPr>
                <w:rFonts w:asciiTheme="minorHAnsi" w:hAnsiTheme="minorHAnsi" w:cstheme="minorHAnsi"/>
                <w:sz w:val="18"/>
                <w:szCs w:val="18"/>
              </w:rPr>
              <w:noBreakHyphen/>
              <w:t>DXd was superior to chemotherapy and there was a moderate clinical need for additional treatments in this therapeutic area. The PBAC considered the incremental cost</w:t>
            </w:r>
            <w:r w:rsidRPr="001033CF">
              <w:rPr>
                <w:rFonts w:asciiTheme="minorHAnsi" w:hAnsiTheme="minorHAnsi" w:cstheme="minorHAnsi"/>
                <w:sz w:val="18"/>
                <w:szCs w:val="18"/>
              </w:rPr>
              <w:noBreakHyphen/>
              <w:t>effectiveness ratio remained high at the price proposed in the pre</w:t>
            </w:r>
            <w:r w:rsidRPr="001033CF">
              <w:rPr>
                <w:rFonts w:asciiTheme="minorHAnsi" w:hAnsiTheme="minorHAnsi" w:cstheme="minorHAnsi"/>
                <w:sz w:val="18"/>
                <w:szCs w:val="18"/>
              </w:rPr>
              <w:noBreakHyphen/>
              <w:t>PBAC response and a further reduction in treatment cost would be required. The PBAC considered the estimated number of treated patients provided in the pre</w:t>
            </w:r>
            <w:r w:rsidRPr="001033CF">
              <w:rPr>
                <w:rFonts w:asciiTheme="minorHAnsi" w:hAnsiTheme="minorHAnsi" w:cstheme="minorHAnsi"/>
                <w:sz w:val="18"/>
                <w:szCs w:val="18"/>
              </w:rPr>
              <w:noBreakHyphen/>
              <w:t xml:space="preserve">PBAC response was reasonable. The PBAC noted the very high financial cost and risk to the Commonwealth and advised a risk share arrangement would be appropriate. </w:t>
            </w:r>
          </w:p>
        </w:tc>
      </w:tr>
      <w:tr w:rsidR="00F93740" w:rsidRPr="008059F4" w14:paraId="04A95B91"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B5468D" w14:textId="06D3E284"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USTEKINUMAB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45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45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Injection 90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90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Stelara</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JANSSEN</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CILAG PTY LTD</w:t>
            </w:r>
            <w:r w:rsidRPr="00B0619C">
              <w:rPr>
                <w:rFonts w:asciiTheme="minorHAnsi" w:hAnsiTheme="minorHAnsi" w:cstheme="minorHAnsi"/>
                <w:color w:val="000000"/>
                <w:sz w:val="18"/>
                <w:szCs w:val="18"/>
              </w:rPr>
              <w:br/>
            </w:r>
          </w:p>
          <w:p w14:paraId="6DA195C9" w14:textId="3E8AACE7"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4</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AFC222C" w14:textId="1DCC2751"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Psoriatic arthritis (PsA) </w:t>
            </w:r>
            <w:r w:rsidRPr="00B0619C">
              <w:rPr>
                <w:rFonts w:asciiTheme="minorHAnsi" w:hAnsiTheme="minorHAnsi" w:cstheme="minorHAnsi"/>
                <w:color w:val="000000"/>
                <w:sz w:val="18"/>
                <w:szCs w:val="18"/>
              </w:rPr>
              <w:br/>
              <w:t>Crohn disease (CD)</w:t>
            </w:r>
            <w:r w:rsidRPr="00B0619C">
              <w:rPr>
                <w:rFonts w:asciiTheme="minorHAnsi" w:hAnsiTheme="minorHAnsi" w:cstheme="minorHAnsi"/>
                <w:color w:val="000000"/>
                <w:sz w:val="18"/>
                <w:szCs w:val="18"/>
              </w:rPr>
              <w:br/>
              <w:t>Chronic plaque psoriasis (CPP)</w:t>
            </w:r>
            <w:r w:rsidRPr="00B0619C">
              <w:rPr>
                <w:rFonts w:asciiTheme="minorHAnsi" w:hAnsiTheme="minorHAnsi" w:cstheme="minorHAnsi"/>
                <w:color w:val="000000"/>
                <w:sz w:val="18"/>
                <w:szCs w:val="18"/>
              </w:rPr>
              <w:br/>
              <w:t>Ulcerative colitis</w:t>
            </w:r>
            <w:r w:rsidR="006003EE">
              <w:rPr>
                <w:rFonts w:asciiTheme="minorHAnsi" w:hAnsiTheme="minorHAnsi" w:cstheme="minorHAnsi"/>
                <w:color w:val="000000"/>
                <w:sz w:val="18"/>
                <w:szCs w:val="18"/>
              </w:rPr>
              <w:t xml:space="preserve"> (UC)</w:t>
            </w:r>
            <w:r w:rsidRPr="00B0619C">
              <w:rPr>
                <w:rFonts w:asciiTheme="minorHAnsi" w:hAnsiTheme="minorHAnsi" w:cstheme="minorHAnsi"/>
                <w:color w:val="000000"/>
                <w:sz w:val="18"/>
                <w:szCs w:val="18"/>
              </w:rPr>
              <w:br/>
              <w:t>Fistulising Crohn disease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B7F063" w14:textId="3FC9EC9E"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Authority Required (Written) listing of new forms, and amendments to the current restrictions for severe CD and severe CPP to align with a change in the quantity required for adult patients resulting from the new listings.</w:t>
            </w:r>
          </w:p>
        </w:tc>
        <w:tc>
          <w:tcPr>
            <w:tcW w:w="1584" w:type="dxa"/>
            <w:shd w:val="clear" w:color="auto" w:fill="auto"/>
            <w:vAlign w:val="center"/>
          </w:tcPr>
          <w:p w14:paraId="5C8DF049" w14:textId="1A1B4976"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34EDD7B6" w14:textId="5BBFB680" w:rsidR="006003EE"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ustekinumab (UST) 45 mg and 90 mg pre</w:t>
            </w:r>
            <w:r w:rsidRPr="001033CF">
              <w:rPr>
                <w:rFonts w:asciiTheme="minorHAnsi" w:hAnsiTheme="minorHAnsi" w:cstheme="minorHAnsi"/>
                <w:sz w:val="18"/>
                <w:szCs w:val="18"/>
              </w:rPr>
              <w:noBreakHyphen/>
              <w:t>filled syringe (PFS) and pre</w:t>
            </w:r>
            <w:r w:rsidRPr="001033CF">
              <w:rPr>
                <w:rFonts w:asciiTheme="minorHAnsi" w:hAnsiTheme="minorHAnsi" w:cstheme="minorHAnsi"/>
                <w:sz w:val="18"/>
                <w:szCs w:val="18"/>
              </w:rPr>
              <w:noBreakHyphen/>
              <w:t xml:space="preserve">filled pen (PFP) under the same circumstances as the currently listed UST 45 mg injection vial for the treatment of severe </w:t>
            </w:r>
            <w:r w:rsidR="006003EE" w:rsidRPr="001033CF">
              <w:rPr>
                <w:rFonts w:asciiTheme="minorHAnsi" w:hAnsiTheme="minorHAnsi" w:cstheme="minorHAnsi"/>
                <w:sz w:val="18"/>
                <w:szCs w:val="18"/>
              </w:rPr>
              <w:t>PsA</w:t>
            </w:r>
            <w:r w:rsidRPr="001033CF">
              <w:rPr>
                <w:rFonts w:asciiTheme="minorHAnsi" w:hAnsiTheme="minorHAnsi" w:cstheme="minorHAnsi"/>
                <w:sz w:val="18"/>
                <w:szCs w:val="18"/>
              </w:rPr>
              <w:t xml:space="preserve">, severe CPP, severe CD, moderate to severe </w:t>
            </w:r>
            <w:r w:rsidR="006003EE" w:rsidRPr="001033CF">
              <w:rPr>
                <w:rFonts w:asciiTheme="minorHAnsi" w:hAnsiTheme="minorHAnsi" w:cstheme="minorHAnsi"/>
                <w:sz w:val="18"/>
                <w:szCs w:val="18"/>
              </w:rPr>
              <w:t>UC</w:t>
            </w:r>
            <w:r w:rsidRPr="001033CF">
              <w:rPr>
                <w:rFonts w:asciiTheme="minorHAnsi" w:hAnsiTheme="minorHAnsi" w:cstheme="minorHAnsi"/>
                <w:sz w:val="18"/>
                <w:szCs w:val="18"/>
              </w:rPr>
              <w:t xml:space="preserve"> and complex refractory fistulising </w:t>
            </w:r>
            <w:r w:rsidR="006003EE" w:rsidRPr="001033CF">
              <w:rPr>
                <w:rFonts w:asciiTheme="minorHAnsi" w:hAnsiTheme="minorHAnsi" w:cstheme="minorHAnsi"/>
                <w:sz w:val="18"/>
                <w:szCs w:val="18"/>
              </w:rPr>
              <w:t>CD</w:t>
            </w:r>
            <w:r w:rsidRPr="001033CF">
              <w:rPr>
                <w:rFonts w:asciiTheme="minorHAnsi" w:hAnsiTheme="minorHAnsi" w:cstheme="minorHAnsi"/>
                <w:sz w:val="18"/>
                <w:szCs w:val="18"/>
              </w:rPr>
              <w:t xml:space="preserve"> on the PBS. The PBAC also recommended amendments to the current restrictions for severe CD and severe CPP to align with changes in the quantity required for adult patients following the proposed new listings. The PBAC made its recommendation based on, among other matters, its assessment that the cost</w:t>
            </w:r>
            <w:r w:rsidRPr="001033CF">
              <w:rPr>
                <w:rFonts w:asciiTheme="minorHAnsi" w:hAnsiTheme="minorHAnsi" w:cstheme="minorHAnsi"/>
                <w:sz w:val="18"/>
                <w:szCs w:val="18"/>
              </w:rPr>
              <w:noBreakHyphen/>
              <w:t>effectiveness of UST would be acceptable if it were cost</w:t>
            </w:r>
            <w:r w:rsidRPr="001033CF">
              <w:rPr>
                <w:rFonts w:asciiTheme="minorHAnsi" w:hAnsiTheme="minorHAnsi" w:cstheme="minorHAnsi"/>
                <w:sz w:val="18"/>
                <w:szCs w:val="18"/>
              </w:rPr>
              <w:noBreakHyphen/>
              <w:t>minimised to the least costly alternative biological disease modifying anti</w:t>
            </w:r>
            <w:r w:rsidRPr="001033CF">
              <w:rPr>
                <w:rFonts w:asciiTheme="minorHAnsi" w:hAnsiTheme="minorHAnsi" w:cstheme="minorHAnsi"/>
                <w:sz w:val="18"/>
                <w:szCs w:val="18"/>
              </w:rPr>
              <w:noBreakHyphen/>
              <w:t>rheumatic drug for each of the above</w:t>
            </w:r>
            <w:r w:rsidRPr="001033CF">
              <w:rPr>
                <w:rFonts w:asciiTheme="minorHAnsi" w:hAnsiTheme="minorHAnsi" w:cstheme="minorHAnsi"/>
                <w:sz w:val="18"/>
                <w:szCs w:val="18"/>
              </w:rPr>
              <w:noBreakHyphen/>
              <w:t>mentioned indications, based on previously advised equi</w:t>
            </w:r>
            <w:r w:rsidRPr="001033CF">
              <w:rPr>
                <w:rFonts w:asciiTheme="minorHAnsi" w:hAnsiTheme="minorHAnsi" w:cstheme="minorHAnsi"/>
                <w:sz w:val="18"/>
                <w:szCs w:val="18"/>
              </w:rPr>
              <w:noBreakHyphen/>
              <w:t xml:space="preserve">effective doses. </w:t>
            </w:r>
          </w:p>
          <w:p w14:paraId="517E1EFD" w14:textId="77777777" w:rsidR="006003EE" w:rsidRPr="001033CF" w:rsidRDefault="006003EE" w:rsidP="001033CF">
            <w:pPr>
              <w:jc w:val="both"/>
              <w:rPr>
                <w:rFonts w:asciiTheme="minorHAnsi" w:hAnsiTheme="minorHAnsi" w:cstheme="minorHAnsi"/>
                <w:sz w:val="18"/>
                <w:szCs w:val="18"/>
              </w:rPr>
            </w:pPr>
          </w:p>
          <w:p w14:paraId="16A0B45F" w14:textId="433318E4"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considered</w:t>
            </w:r>
            <w:r w:rsidR="006003EE" w:rsidRPr="001033CF">
              <w:rPr>
                <w:rFonts w:asciiTheme="minorHAnsi" w:hAnsiTheme="minorHAnsi" w:cstheme="minorHAnsi"/>
                <w:sz w:val="18"/>
                <w:szCs w:val="18"/>
              </w:rPr>
              <w:t xml:space="preserve"> that</w:t>
            </w:r>
            <w:r w:rsidRPr="001033CF">
              <w:rPr>
                <w:rFonts w:asciiTheme="minorHAnsi" w:hAnsiTheme="minorHAnsi" w:cstheme="minorHAnsi"/>
                <w:sz w:val="18"/>
                <w:szCs w:val="18"/>
              </w:rPr>
              <w:t xml:space="preserve"> equivalent strengths and forms of Stelara and Wezlana (i.e. Stelara PFS and Wezlana PFS; Stelara and Wezlana injection vial) should be treated as equivalent to each other for the purposes of substitution (i.e. ‘a’ flagged in the schedule).</w:t>
            </w:r>
          </w:p>
          <w:p w14:paraId="188DF328" w14:textId="77777777" w:rsidR="00F93740" w:rsidRPr="001033CF" w:rsidRDefault="00F93740" w:rsidP="001033CF">
            <w:pPr>
              <w:jc w:val="both"/>
              <w:rPr>
                <w:rFonts w:asciiTheme="minorHAnsi" w:hAnsiTheme="minorHAnsi" w:cstheme="minorHAnsi"/>
                <w:sz w:val="18"/>
                <w:szCs w:val="18"/>
              </w:rPr>
            </w:pPr>
          </w:p>
          <w:p w14:paraId="205B228D" w14:textId="1E09D137" w:rsidR="00361D52" w:rsidRPr="001033CF" w:rsidRDefault="00F93740" w:rsidP="001033CF">
            <w:pPr>
              <w:jc w:val="both"/>
              <w:rPr>
                <w:rFonts w:asciiTheme="minorHAnsi" w:eastAsia="SimSun" w:hAnsiTheme="minorHAnsi" w:cstheme="minorHAnsi"/>
                <w:sz w:val="18"/>
                <w:szCs w:val="18"/>
              </w:rPr>
            </w:pPr>
            <w:r w:rsidRPr="001033CF">
              <w:rPr>
                <w:rFonts w:asciiTheme="minorHAnsi" w:hAnsiTheme="minorHAnsi" w:cstheme="minorHAnsi"/>
                <w:sz w:val="18"/>
                <w:szCs w:val="18"/>
              </w:rPr>
              <w:t>The PBAC considered the equi</w:t>
            </w:r>
            <w:r w:rsidRPr="001033CF">
              <w:rPr>
                <w:rFonts w:asciiTheme="minorHAnsi" w:hAnsiTheme="minorHAnsi" w:cstheme="minorHAnsi"/>
                <w:sz w:val="18"/>
                <w:szCs w:val="18"/>
              </w:rPr>
              <w:noBreakHyphen/>
              <w:t>effective doses to be as follows:</w:t>
            </w:r>
          </w:p>
          <w:p w14:paraId="0223D852" w14:textId="79ABE725" w:rsidR="00361D52" w:rsidRPr="001033CF" w:rsidRDefault="00F93740" w:rsidP="00D050C0">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 xml:space="preserve">1 x UST 45 mg PFS and PFP = 1 x UST 45 mg vial </w:t>
            </w:r>
          </w:p>
          <w:p w14:paraId="77E4B120" w14:textId="52CF712C" w:rsidR="006003EE" w:rsidRPr="001033CF" w:rsidRDefault="00F93740" w:rsidP="00D050C0">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 xml:space="preserve">1 x UST 90 mg PFS and PFP = 2 x UST 45 mg vial </w:t>
            </w:r>
          </w:p>
          <w:p w14:paraId="4C48170E" w14:textId="2F2591A8" w:rsidR="00F93740" w:rsidRPr="001033CF" w:rsidRDefault="00F93740" w:rsidP="00D050C0">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1 x UST 90 mg PFP = 1 x UST 90 mg PFS</w:t>
            </w:r>
          </w:p>
        </w:tc>
      </w:tr>
      <w:tr w:rsidR="00F93740" w:rsidRPr="008059F4" w14:paraId="2293785A"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3AFF6EE" w14:textId="4F946466"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USTEKINUMAB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45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t>Injection 45</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0.5</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90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Solution for I.V. infusion 130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26</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Wezlana</w:t>
            </w:r>
            <w:r w:rsidR="00361D52">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AMGEN AUSTRALIA PTY LIMITED</w:t>
            </w:r>
            <w:r w:rsidRPr="00B0619C">
              <w:rPr>
                <w:rFonts w:asciiTheme="minorHAnsi" w:hAnsiTheme="minorHAnsi" w:cstheme="minorHAnsi"/>
                <w:color w:val="000000"/>
                <w:sz w:val="18"/>
                <w:szCs w:val="18"/>
              </w:rPr>
              <w:br/>
            </w:r>
          </w:p>
          <w:p w14:paraId="707B7246" w14:textId="47F4F5DE"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3</w:t>
            </w:r>
            <w:r w:rsidRPr="00B0619C">
              <w:rPr>
                <w:rFonts w:asciiTheme="minorHAnsi" w:hAnsiTheme="minorHAnsi" w:cstheme="minorHAnsi"/>
                <w:color w:val="000000"/>
                <w:sz w:val="18"/>
                <w:szCs w:val="18"/>
              </w:rPr>
              <w:b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ADBEA67" w14:textId="3C3CEE4B"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Psoriatic arthritis (PsA)</w:t>
            </w:r>
            <w:r w:rsidRPr="00B0619C">
              <w:rPr>
                <w:rFonts w:asciiTheme="minorHAnsi" w:hAnsiTheme="minorHAnsi" w:cstheme="minorHAnsi"/>
                <w:color w:val="000000"/>
                <w:sz w:val="18"/>
                <w:szCs w:val="18"/>
              </w:rPr>
              <w:br/>
              <w:t>Crohn disease (CD)</w:t>
            </w:r>
            <w:r w:rsidRPr="00B0619C">
              <w:rPr>
                <w:rFonts w:asciiTheme="minorHAnsi" w:hAnsiTheme="minorHAnsi" w:cstheme="minorHAnsi"/>
                <w:color w:val="000000"/>
                <w:sz w:val="18"/>
                <w:szCs w:val="18"/>
              </w:rPr>
              <w:br/>
              <w:t>Chronic plaque psoriasis (CPP)</w:t>
            </w:r>
            <w:r w:rsidRPr="00B0619C">
              <w:rPr>
                <w:rFonts w:asciiTheme="minorHAnsi" w:hAnsiTheme="minorHAnsi" w:cstheme="minorHAnsi"/>
                <w:color w:val="000000"/>
                <w:sz w:val="18"/>
                <w:szCs w:val="18"/>
              </w:rPr>
              <w:br/>
              <w:t>Ulcerative colitis (UC)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1BC5EBC" w14:textId="3A3561F1"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General Schedule and Section 100 (Highly Specialised Drugs Program) Authority Required (STREAMLINED) listings of ustekinumab biosimilar under the same conditions as its reference biologic.</w:t>
            </w:r>
          </w:p>
        </w:tc>
        <w:tc>
          <w:tcPr>
            <w:tcW w:w="1584" w:type="dxa"/>
            <w:shd w:val="clear" w:color="auto" w:fill="auto"/>
            <w:vAlign w:val="center"/>
          </w:tcPr>
          <w:p w14:paraId="628B5306" w14:textId="6EB51660"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05F7C39C" w14:textId="46210D6D" w:rsidR="00F93740" w:rsidRPr="00A84CB3" w:rsidRDefault="00F93740" w:rsidP="001033CF">
            <w:pPr>
              <w:jc w:val="both"/>
              <w:rPr>
                <w:rFonts w:asciiTheme="minorHAnsi" w:hAnsiTheme="minorHAnsi" w:cstheme="minorHAnsi"/>
                <w:sz w:val="18"/>
                <w:szCs w:val="18"/>
              </w:rPr>
            </w:pPr>
            <w:r w:rsidRPr="00A84CB3">
              <w:rPr>
                <w:rFonts w:asciiTheme="minorHAnsi" w:hAnsiTheme="minorHAnsi" w:cstheme="minorHAnsi"/>
                <w:sz w:val="18"/>
                <w:szCs w:val="18"/>
              </w:rPr>
              <w:t>The PBAC recommended the listing of a new biosimilar brand of ustekinumab (Wezlana) in the forms of injection 45 mg in 0.5 mL, injection 90 mg in 1 mL single use pre</w:t>
            </w:r>
            <w:r w:rsidRPr="00A84CB3">
              <w:rPr>
                <w:rFonts w:asciiTheme="minorHAnsi" w:hAnsiTheme="minorHAnsi" w:cstheme="minorHAnsi"/>
                <w:sz w:val="18"/>
                <w:szCs w:val="18"/>
              </w:rPr>
              <w:noBreakHyphen/>
              <w:t>filled syringe (PFS) and solution for I.V. infusion 130 mg in 25 mL under the same circumstances as the PBS</w:t>
            </w:r>
            <w:r w:rsidRPr="00A84CB3">
              <w:rPr>
                <w:rFonts w:asciiTheme="minorHAnsi" w:hAnsiTheme="minorHAnsi" w:cstheme="minorHAnsi"/>
                <w:sz w:val="18"/>
                <w:szCs w:val="18"/>
              </w:rPr>
              <w:noBreakHyphen/>
              <w:t>listed reference biologic, Stelara</w:t>
            </w:r>
            <w:r w:rsidR="00361D52" w:rsidRPr="00A84CB3">
              <w:rPr>
                <w:rFonts w:asciiTheme="minorHAnsi" w:hAnsiTheme="minorHAnsi" w:cstheme="minorHAnsi"/>
                <w:sz w:val="18"/>
                <w:szCs w:val="18"/>
              </w:rPr>
              <w:t>®</w:t>
            </w:r>
            <w:r w:rsidRPr="00A84CB3">
              <w:rPr>
                <w:rFonts w:asciiTheme="minorHAnsi" w:hAnsiTheme="minorHAnsi" w:cstheme="minorHAnsi"/>
                <w:sz w:val="18"/>
                <w:szCs w:val="18"/>
              </w:rPr>
              <w:t>, for the treatment of adult and paediatric severe CPP, severe CD, moderate to severe UC, complex refractory fistulising CD and severe PsA. The PBAC also recommended injection 45 mg in 0.5 mL single use PFS for adult and paediatric severe CPP and PsA and injection 90 mg in 1 mL single use PFS for severe CD and adult CPP under the same circumstances as Stelara.</w:t>
            </w:r>
          </w:p>
          <w:p w14:paraId="6AD6BB07" w14:textId="77777777" w:rsidR="00F93740" w:rsidRPr="00A84CB3" w:rsidRDefault="00F93740" w:rsidP="00A84CB3">
            <w:pPr>
              <w:ind w:left="11"/>
              <w:jc w:val="both"/>
              <w:rPr>
                <w:rFonts w:asciiTheme="minorHAnsi" w:hAnsiTheme="minorHAnsi" w:cstheme="minorHAnsi"/>
                <w:sz w:val="18"/>
                <w:szCs w:val="18"/>
              </w:rPr>
            </w:pPr>
          </w:p>
          <w:p w14:paraId="35A257ED" w14:textId="1E9CB85D" w:rsidR="00F93740" w:rsidRPr="00A84CB3" w:rsidRDefault="00F93740" w:rsidP="00A84CB3">
            <w:pPr>
              <w:ind w:left="11"/>
              <w:jc w:val="both"/>
              <w:rPr>
                <w:rFonts w:asciiTheme="minorHAnsi" w:hAnsiTheme="minorHAnsi" w:cstheme="minorHAnsi"/>
                <w:sz w:val="18"/>
                <w:szCs w:val="18"/>
              </w:rPr>
            </w:pPr>
            <w:r w:rsidRPr="00A84CB3">
              <w:rPr>
                <w:rFonts w:asciiTheme="minorHAnsi" w:hAnsiTheme="minorHAnsi" w:cstheme="minorHAnsi"/>
                <w:sz w:val="18"/>
                <w:szCs w:val="18"/>
              </w:rPr>
              <w:t>The PBAC’s recommendation for listing was based on, among other matters, its assessment that the cost</w:t>
            </w:r>
            <w:r w:rsidRPr="00A84CB3">
              <w:rPr>
                <w:rFonts w:asciiTheme="minorHAnsi" w:hAnsiTheme="minorHAnsi" w:cstheme="minorHAnsi"/>
                <w:sz w:val="18"/>
                <w:szCs w:val="18"/>
              </w:rPr>
              <w:noBreakHyphen/>
              <w:t>effectiveness of Wezlana would be acceptable if it were cost</w:t>
            </w:r>
            <w:r w:rsidRPr="00A84CB3">
              <w:rPr>
                <w:rFonts w:asciiTheme="minorHAnsi" w:hAnsiTheme="minorHAnsi" w:cstheme="minorHAnsi"/>
                <w:sz w:val="18"/>
                <w:szCs w:val="18"/>
              </w:rPr>
              <w:noBreakHyphen/>
              <w:t>minimised to Stelara.</w:t>
            </w:r>
          </w:p>
          <w:p w14:paraId="65D590A0" w14:textId="77777777" w:rsidR="00F93740" w:rsidRPr="00A84CB3" w:rsidRDefault="00F93740" w:rsidP="00A84CB3">
            <w:pPr>
              <w:ind w:left="11"/>
              <w:jc w:val="both"/>
              <w:rPr>
                <w:rFonts w:asciiTheme="minorHAnsi" w:hAnsiTheme="minorHAnsi" w:cstheme="minorHAnsi"/>
                <w:sz w:val="18"/>
                <w:szCs w:val="18"/>
              </w:rPr>
            </w:pPr>
          </w:p>
          <w:p w14:paraId="0A6FBDA1" w14:textId="4AA8F867" w:rsidR="00361D52" w:rsidRPr="00A84CB3" w:rsidRDefault="00F93740" w:rsidP="00A84CB3">
            <w:pPr>
              <w:ind w:left="11"/>
              <w:jc w:val="both"/>
              <w:rPr>
                <w:rFonts w:asciiTheme="minorHAnsi" w:hAnsiTheme="minorHAnsi" w:cstheme="minorHAnsi"/>
                <w:sz w:val="18"/>
                <w:szCs w:val="18"/>
              </w:rPr>
            </w:pPr>
            <w:r w:rsidRPr="00A84CB3">
              <w:rPr>
                <w:rFonts w:asciiTheme="minorHAnsi" w:hAnsiTheme="minorHAnsi" w:cstheme="minorHAnsi"/>
                <w:sz w:val="18"/>
                <w:szCs w:val="18"/>
              </w:rPr>
              <w:t>The PBAC advised that biosimilar uptake drivers, including the differential authority requirements for subsequent continuing treatment between the reference and biosimilar brand and inclusion of an administrative note encouraging the use of biosimilar brand for treatment naïve patients, should apply to Wezlana. The PBAC advised that equivalent strengths and forms of Stelara PFS and Wezlana PFS should be treated as equivalent to each other; and equivalent strengths and forms of Stelara and Wezlana injection vial should be treated as equivalent for the purposes of substitution (i.e. ‘a’ flagged in the schedule). The PBAC advised the equi</w:t>
            </w:r>
            <w:r w:rsidRPr="00A84CB3">
              <w:rPr>
                <w:rFonts w:asciiTheme="minorHAnsi" w:hAnsiTheme="minorHAnsi" w:cstheme="minorHAnsi"/>
                <w:sz w:val="18"/>
                <w:szCs w:val="18"/>
              </w:rPr>
              <w:noBreakHyphen/>
              <w:t>effective doses to be the following:</w:t>
            </w:r>
          </w:p>
          <w:p w14:paraId="28FD33F8" w14:textId="5CCCBA17" w:rsidR="00361D52" w:rsidRPr="001033CF" w:rsidRDefault="00F93740" w:rsidP="00A84CB3">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Wezlana 1 x 45 mg injection vial = Stelara 1 x 45 mg injection vial</w:t>
            </w:r>
          </w:p>
          <w:p w14:paraId="13F3BE52" w14:textId="09FFC811" w:rsidR="00361D52" w:rsidRPr="001033CF" w:rsidRDefault="00F93740" w:rsidP="00A84CB3">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 xml:space="preserve">Wezlana 1 x 45 mg PFS = Stelara 1 x 45 mg PFS </w:t>
            </w:r>
          </w:p>
          <w:p w14:paraId="7FA893FF" w14:textId="3BF108E9" w:rsidR="00361D52" w:rsidRPr="001033CF" w:rsidRDefault="00F93740" w:rsidP="00A84CB3">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Wezlana 1 x 90 mg PFS = Stelara 2 x 45 mg injection vial</w:t>
            </w:r>
          </w:p>
          <w:p w14:paraId="15FCE96B" w14:textId="50559E59" w:rsidR="00F93740" w:rsidRPr="001033CF" w:rsidRDefault="00F93740" w:rsidP="00A84CB3">
            <w:pPr>
              <w:pStyle w:val="ListParagraph"/>
              <w:numPr>
                <w:ilvl w:val="0"/>
                <w:numId w:val="51"/>
              </w:numPr>
              <w:ind w:left="295" w:hanging="284"/>
              <w:jc w:val="both"/>
              <w:rPr>
                <w:rFonts w:asciiTheme="minorHAnsi" w:hAnsiTheme="minorHAnsi" w:cstheme="minorHAnsi"/>
                <w:sz w:val="18"/>
                <w:szCs w:val="18"/>
              </w:rPr>
            </w:pPr>
            <w:r w:rsidRPr="001033CF">
              <w:rPr>
                <w:rFonts w:asciiTheme="minorHAnsi" w:hAnsiTheme="minorHAnsi" w:cstheme="minorHAnsi"/>
                <w:sz w:val="18"/>
                <w:szCs w:val="18"/>
              </w:rPr>
              <w:t xml:space="preserve">Wezlana 1 x 130 mg injection vial = Stelara 1 x 130 mg injection vial </w:t>
            </w:r>
          </w:p>
        </w:tc>
      </w:tr>
      <w:tr w:rsidR="00F93740" w:rsidRPr="008059F4" w14:paraId="261AA935"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51DFD46" w14:textId="2CABAAC4" w:rsidR="00F93740"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VEDOLIZUMAB</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Injection 108</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0.68</w:t>
            </w:r>
            <w:r>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use pre</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Powder for injection 300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Entyvio</w:t>
            </w:r>
            <w:r w:rsidRPr="001165DD">
              <w:rPr>
                <w:rFonts w:asciiTheme="minorHAnsi" w:hAnsiTheme="minorHAnsi" w:cstheme="minorHAnsi"/>
                <w:color w:val="000000"/>
                <w:sz w:val="18"/>
                <w:szCs w:val="18"/>
              </w:rPr>
              <w:t>®</w:t>
            </w:r>
            <w:r w:rsidRPr="00B0619C">
              <w:rPr>
                <w:rFonts w:asciiTheme="minorHAnsi" w:hAnsiTheme="minorHAnsi" w:cstheme="minorHAnsi"/>
                <w:color w:val="000000"/>
                <w:sz w:val="18"/>
                <w:szCs w:val="18"/>
              </w:rPr>
              <w:br/>
            </w:r>
            <w:r w:rsidRPr="00B0619C">
              <w:rPr>
                <w:rFonts w:asciiTheme="minorHAnsi" w:hAnsiTheme="minorHAnsi" w:cstheme="minorHAnsi"/>
                <w:color w:val="000000"/>
                <w:sz w:val="18"/>
                <w:szCs w:val="18"/>
              </w:rPr>
              <w:br/>
              <w:t>TAKEDA PHARMACEUTICALS AUSTRALIA PTY. LTD.</w:t>
            </w:r>
            <w:r w:rsidRPr="00B0619C">
              <w:rPr>
                <w:rFonts w:asciiTheme="minorHAnsi" w:hAnsiTheme="minorHAnsi" w:cstheme="minorHAnsi"/>
                <w:color w:val="000000"/>
                <w:sz w:val="18"/>
                <w:szCs w:val="18"/>
              </w:rPr>
              <w:br/>
            </w:r>
          </w:p>
          <w:p w14:paraId="175621CA" w14:textId="078489C9" w:rsidR="00F93740" w:rsidRPr="00B0619C" w:rsidRDefault="00F93740" w:rsidP="00F93740">
            <w:pPr>
              <w:keepLines/>
              <w:jc w:val="center"/>
              <w:rPr>
                <w:rFonts w:asciiTheme="minorHAnsi" w:hAnsiTheme="minorHAnsi" w:cstheme="minorHAnsi"/>
                <w:color w:val="000000"/>
                <w:sz w:val="18"/>
                <w:szCs w:val="18"/>
              </w:rPr>
            </w:pPr>
            <w:r>
              <w:rPr>
                <w:rFonts w:asciiTheme="minorHAnsi" w:hAnsiTheme="minorHAnsi" w:cstheme="minorHAnsi"/>
                <w:color w:val="000000"/>
                <w:sz w:val="18"/>
                <w:szCs w:val="18"/>
              </w:rPr>
              <w:t>Category 2</w:t>
            </w:r>
            <w:r w:rsidRPr="00B0619C">
              <w:rPr>
                <w:rFonts w:asciiTheme="minorHAnsi" w:hAnsiTheme="minorHAnsi" w:cstheme="minorHAnsi"/>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E5B11A8" w14:textId="238FBA26"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Crohn disease (CD)</w:t>
            </w:r>
            <w:r w:rsidRPr="00B0619C">
              <w:rPr>
                <w:rFonts w:asciiTheme="minorHAnsi" w:hAnsiTheme="minorHAnsi" w:cstheme="minorHAnsi"/>
                <w:color w:val="000000"/>
                <w:sz w:val="18"/>
                <w:szCs w:val="18"/>
              </w:rPr>
              <w:br/>
              <w:t>Ulcerative colitis (UC)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CD66C30" w14:textId="4694181E" w:rsidR="00F93740" w:rsidRPr="00B0619C" w:rsidRDefault="00F93740" w:rsidP="00F9374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change to the clinical criteria to allow an additional dose of vedolizumab 300</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at Week 10 for the initial treatment of severe CD. </w:t>
            </w:r>
            <w:r w:rsidRPr="00B0619C">
              <w:rPr>
                <w:rFonts w:asciiTheme="minorHAnsi" w:hAnsiTheme="minorHAnsi" w:cstheme="minorHAnsi"/>
                <w:color w:val="000000"/>
                <w:sz w:val="18"/>
                <w:szCs w:val="18"/>
              </w:rPr>
              <w:br/>
            </w:r>
          </w:p>
          <w:p w14:paraId="66C13A9D" w14:textId="790164B8"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The submission also requested the removal of the requirement to assess the risk of developing progressive multifocal leukoencephalopathy during this treatment from all PBS listings for vedolizumab.</w:t>
            </w:r>
          </w:p>
        </w:tc>
        <w:tc>
          <w:tcPr>
            <w:tcW w:w="1584" w:type="dxa"/>
            <w:shd w:val="clear" w:color="auto" w:fill="auto"/>
            <w:vAlign w:val="center"/>
          </w:tcPr>
          <w:p w14:paraId="1DF2780C" w14:textId="2C66EAB5"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Recommended</w:t>
            </w:r>
          </w:p>
        </w:tc>
        <w:tc>
          <w:tcPr>
            <w:tcW w:w="4836" w:type="dxa"/>
            <w:shd w:val="clear" w:color="auto" w:fill="auto"/>
            <w:vAlign w:val="center"/>
          </w:tcPr>
          <w:p w14:paraId="79F4241F" w14:textId="5C6F0A59"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sz w:val="18"/>
                <w:szCs w:val="18"/>
              </w:rPr>
              <w:t>The PBAC recommended the listing of an additional dose of vedolizumab 300 mg at week 10 for the initial treatment of severe CD for patients who have not responded to therapy after the existing three dose induction therapy. The PBAC also recommended the removal of the requirement to assess the risk of developing progressive multifocal leukoencephalopathy during this treatment from all PBS listings for vedolizumab. The PBAC noted that the additional dose is currently provided to eligible patients through the sponsor’s compassionate access program. The PBAC also noted advice from specialists that this approach is being used in clinical practice and hospital settings. The PBAC noted input from Crohn’s and Colitis Australia supporting the inclusion of the additional dose. The PBAC recommended that the listing of the additional dose should be cost</w:t>
            </w:r>
            <w:r w:rsidRPr="001033CF">
              <w:rPr>
                <w:rFonts w:asciiTheme="minorHAnsi" w:hAnsiTheme="minorHAnsi" w:cstheme="minorHAnsi"/>
                <w:sz w:val="18"/>
                <w:szCs w:val="18"/>
              </w:rPr>
              <w:noBreakHyphen/>
              <w:t>neutral to the Government and that the sponsor was supportive of this approach. The PBAC noted minor flow</w:t>
            </w:r>
            <w:r w:rsidRPr="001033CF">
              <w:rPr>
                <w:rFonts w:asciiTheme="minorHAnsi" w:hAnsiTheme="minorHAnsi" w:cstheme="minorHAnsi"/>
                <w:sz w:val="18"/>
                <w:szCs w:val="18"/>
              </w:rPr>
              <w:noBreakHyphen/>
              <w:t>on restriction changes to the prescribing instructions of the subcutaneous form of vedolizumab indicated for severe CD.</w:t>
            </w:r>
          </w:p>
        </w:tc>
      </w:tr>
      <w:tr w:rsidR="00F93740" w:rsidRPr="005F725D" w14:paraId="76D47454" w14:textId="77777777" w:rsidTr="6706DB5C">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7A231E99" w14:textId="0CC30720" w:rsidR="00F93740" w:rsidRDefault="00F93740" w:rsidP="00F93740">
            <w:pPr>
              <w:jc w:val="center"/>
              <w:rPr>
                <w:rFonts w:asciiTheme="minorHAnsi" w:hAnsiTheme="minorHAnsi" w:cstheme="minorHAnsi"/>
                <w:sz w:val="18"/>
                <w:szCs w:val="18"/>
              </w:rPr>
            </w:pPr>
            <w:r w:rsidRPr="00B0619C">
              <w:rPr>
                <w:rFonts w:asciiTheme="minorHAnsi" w:hAnsiTheme="minorHAnsi" w:cstheme="minorHAnsi"/>
                <w:sz w:val="18"/>
                <w:szCs w:val="18"/>
              </w:rPr>
              <w:t>VENETOCLAX</w:t>
            </w:r>
            <w:r w:rsidRPr="00B0619C">
              <w:rPr>
                <w:rFonts w:asciiTheme="minorHAnsi" w:hAnsiTheme="minorHAnsi" w:cstheme="minorHAnsi"/>
                <w:sz w:val="18"/>
                <w:szCs w:val="18"/>
              </w:rPr>
              <w:br/>
            </w:r>
            <w:r w:rsidRPr="00B0619C">
              <w:rPr>
                <w:rFonts w:asciiTheme="minorHAnsi" w:hAnsiTheme="minorHAnsi" w:cstheme="minorHAnsi"/>
                <w:sz w:val="18"/>
                <w:szCs w:val="18"/>
              </w:rPr>
              <w:br/>
              <w:t>Pack containing 14 tablets venetoclax 10</w:t>
            </w:r>
            <w:r>
              <w:rPr>
                <w:rFonts w:asciiTheme="minorHAnsi" w:hAnsiTheme="minorHAnsi" w:cstheme="minorHAnsi"/>
                <w:sz w:val="18"/>
                <w:szCs w:val="18"/>
              </w:rPr>
              <w:t> mg</w:t>
            </w:r>
            <w:r w:rsidRPr="00B0619C">
              <w:rPr>
                <w:rFonts w:asciiTheme="minorHAnsi" w:hAnsiTheme="minorHAnsi" w:cstheme="minorHAnsi"/>
                <w:sz w:val="18"/>
                <w:szCs w:val="18"/>
              </w:rPr>
              <w:t xml:space="preserve"> and 7 tablets venetoclax 50</w:t>
            </w:r>
            <w:r>
              <w:rPr>
                <w:rFonts w:asciiTheme="minorHAnsi" w:hAnsiTheme="minorHAnsi" w:cstheme="minorHAnsi"/>
                <w:sz w:val="18"/>
                <w:szCs w:val="18"/>
              </w:rPr>
              <w:t> mg</w:t>
            </w:r>
            <w:r w:rsidRPr="00B0619C">
              <w:rPr>
                <w:rFonts w:asciiTheme="minorHAnsi" w:hAnsiTheme="minorHAnsi" w:cstheme="minorHAnsi"/>
                <w:sz w:val="18"/>
                <w:szCs w:val="18"/>
              </w:rPr>
              <w:t xml:space="preserve"> and 7 tablets venetoclax 100</w:t>
            </w:r>
            <w:r>
              <w:rPr>
                <w:rFonts w:asciiTheme="minorHAnsi" w:hAnsiTheme="minorHAnsi" w:cstheme="minorHAnsi"/>
                <w:sz w:val="18"/>
                <w:szCs w:val="18"/>
              </w:rPr>
              <w:t> mg</w:t>
            </w:r>
            <w:r w:rsidRPr="00B0619C">
              <w:rPr>
                <w:rFonts w:asciiTheme="minorHAnsi" w:hAnsiTheme="minorHAnsi" w:cstheme="minorHAnsi"/>
                <w:sz w:val="18"/>
                <w:szCs w:val="18"/>
              </w:rPr>
              <w:t xml:space="preserve"> and 14 tablets venetoclax 100</w:t>
            </w:r>
            <w:r>
              <w:rPr>
                <w:rFonts w:asciiTheme="minorHAnsi" w:hAnsiTheme="minorHAnsi" w:cstheme="minorHAnsi"/>
                <w:sz w:val="18"/>
                <w:szCs w:val="18"/>
              </w:rPr>
              <w:t> mg</w:t>
            </w:r>
            <w:r w:rsidRPr="00B0619C">
              <w:rPr>
                <w:rFonts w:asciiTheme="minorHAnsi" w:hAnsiTheme="minorHAnsi" w:cstheme="minorHAnsi"/>
                <w:sz w:val="18"/>
                <w:szCs w:val="18"/>
              </w:rPr>
              <w:br/>
              <w:t>Tablet 10</w:t>
            </w:r>
            <w:r>
              <w:rPr>
                <w:rFonts w:asciiTheme="minorHAnsi" w:hAnsiTheme="minorHAnsi" w:cstheme="minorHAnsi"/>
                <w:sz w:val="18"/>
                <w:szCs w:val="18"/>
              </w:rPr>
              <w:t> mg</w:t>
            </w:r>
            <w:r w:rsidRPr="00B0619C">
              <w:rPr>
                <w:rFonts w:asciiTheme="minorHAnsi" w:hAnsiTheme="minorHAnsi" w:cstheme="minorHAnsi"/>
                <w:sz w:val="18"/>
                <w:szCs w:val="18"/>
              </w:rPr>
              <w:br/>
              <w:t>Tablet 50</w:t>
            </w:r>
            <w:r>
              <w:rPr>
                <w:rFonts w:asciiTheme="minorHAnsi" w:hAnsiTheme="minorHAnsi" w:cstheme="minorHAnsi"/>
                <w:sz w:val="18"/>
                <w:szCs w:val="18"/>
              </w:rPr>
              <w:t> mg</w:t>
            </w:r>
            <w:r w:rsidRPr="00B0619C">
              <w:rPr>
                <w:rFonts w:asciiTheme="minorHAnsi" w:hAnsiTheme="minorHAnsi" w:cstheme="minorHAnsi"/>
                <w:sz w:val="18"/>
                <w:szCs w:val="18"/>
              </w:rPr>
              <w:br/>
              <w:t>Tablet 100</w:t>
            </w:r>
            <w:r>
              <w:rPr>
                <w:rFonts w:asciiTheme="minorHAnsi" w:hAnsiTheme="minorHAnsi" w:cstheme="minorHAnsi"/>
                <w:sz w:val="18"/>
                <w:szCs w:val="18"/>
              </w:rPr>
              <w:t> mg</w:t>
            </w:r>
            <w:r w:rsidRPr="00B0619C">
              <w:rPr>
                <w:rFonts w:asciiTheme="minorHAnsi" w:hAnsiTheme="minorHAnsi" w:cstheme="minorHAnsi"/>
                <w:sz w:val="18"/>
                <w:szCs w:val="18"/>
              </w:rPr>
              <w:br/>
            </w:r>
            <w:r w:rsidRPr="00B0619C">
              <w:rPr>
                <w:rFonts w:asciiTheme="minorHAnsi" w:hAnsiTheme="minorHAnsi" w:cstheme="minorHAnsi"/>
                <w:sz w:val="18"/>
                <w:szCs w:val="18"/>
              </w:rPr>
              <w:br/>
              <w:t>Venclexta®</w:t>
            </w:r>
            <w:r w:rsidRPr="00B0619C">
              <w:rPr>
                <w:rFonts w:asciiTheme="minorHAnsi" w:hAnsiTheme="minorHAnsi" w:cstheme="minorHAnsi"/>
                <w:sz w:val="18"/>
                <w:szCs w:val="18"/>
              </w:rPr>
              <w:br/>
            </w:r>
            <w:r w:rsidRPr="00B0619C">
              <w:rPr>
                <w:rFonts w:asciiTheme="minorHAnsi" w:hAnsiTheme="minorHAnsi" w:cstheme="minorHAnsi"/>
                <w:sz w:val="18"/>
                <w:szCs w:val="18"/>
              </w:rPr>
              <w:br/>
              <w:t>ABBVIE PTY LTD</w:t>
            </w:r>
            <w:r w:rsidRPr="00B0619C">
              <w:rPr>
                <w:rFonts w:asciiTheme="minorHAnsi" w:hAnsiTheme="minorHAnsi" w:cstheme="minorHAnsi"/>
                <w:sz w:val="18"/>
                <w:szCs w:val="18"/>
              </w:rPr>
              <w:br/>
            </w:r>
          </w:p>
          <w:p w14:paraId="4581EDA4" w14:textId="59D22452" w:rsidR="00F93740" w:rsidRPr="00B0619C" w:rsidRDefault="00F93740" w:rsidP="00F93740">
            <w:pPr>
              <w:jc w:val="center"/>
              <w:rPr>
                <w:rFonts w:asciiTheme="minorHAnsi" w:hAnsiTheme="minorHAnsi" w:cstheme="minorHAnsi"/>
                <w:sz w:val="18"/>
                <w:szCs w:val="18"/>
              </w:rPr>
            </w:pPr>
            <w:r>
              <w:rPr>
                <w:rFonts w:asciiTheme="minorHAnsi" w:hAnsiTheme="minorHAnsi" w:cstheme="minorHAnsi"/>
                <w:color w:val="000000"/>
                <w:sz w:val="18"/>
                <w:szCs w:val="18"/>
              </w:rPr>
              <w:t>Category 3</w:t>
            </w:r>
            <w:r w:rsidRPr="00B0619C">
              <w:rPr>
                <w:rFonts w:asciiTheme="minorHAnsi" w:hAnsiTheme="minorHAnsi" w:cstheme="minorHAnsi"/>
                <w:sz w:val="18"/>
                <w:szCs w:val="18"/>
              </w:rPr>
              <w:br/>
              <w:t>(Other matters)</w:t>
            </w:r>
          </w:p>
          <w:p w14:paraId="24867DBA" w14:textId="77777777" w:rsidR="00F93740" w:rsidRPr="00B0619C" w:rsidRDefault="00F93740" w:rsidP="00F93740">
            <w:pPr>
              <w:jc w:val="center"/>
              <w:rPr>
                <w:rFonts w:asciiTheme="minorHAnsi" w:hAnsiTheme="minorHAnsi" w:cstheme="minorHAnsi"/>
                <w:sz w:val="18"/>
                <w:szCs w:val="18"/>
              </w:rPr>
            </w:pPr>
          </w:p>
          <w:p w14:paraId="1337A111" w14:textId="5692178B" w:rsidR="00F93740" w:rsidRPr="00B0619C" w:rsidRDefault="00F93740" w:rsidP="00F93740">
            <w:pPr>
              <w:keepLines/>
              <w:jc w:val="center"/>
              <w:rPr>
                <w:rFonts w:asciiTheme="minorHAnsi" w:hAnsiTheme="minorHAnsi" w:cstheme="minorHAnsi"/>
                <w:color w:val="000000"/>
                <w:sz w:val="18"/>
                <w:szCs w:val="18"/>
              </w:rPr>
            </w:pPr>
            <w:r w:rsidRPr="00B0619C">
              <w:rPr>
                <w:rFonts w:asciiTheme="minorHAnsi" w:hAnsiTheme="minorHAnsi" w:cstheme="minorHAnsi"/>
                <w:sz w:val="18"/>
                <w:szCs w:val="18"/>
              </w:rPr>
              <w:t>WITHDRAWN</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2AC711" w14:textId="3D9E1A92" w:rsidR="00F93740" w:rsidRPr="00B0619C" w:rsidRDefault="00F93740" w:rsidP="00F93740">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Chronic lymphocytic leukaemia (CLL)</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7C23B25C" w14:textId="756E1C2B" w:rsidR="00F93740" w:rsidRPr="00B0619C" w:rsidRDefault="00F93740" w:rsidP="00F93740">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To request consideration of the current treatment duration and the eligible population being treated with venetoclax in the treatment of CLL. </w:t>
            </w:r>
          </w:p>
        </w:tc>
        <w:tc>
          <w:tcPr>
            <w:tcW w:w="1584" w:type="dxa"/>
            <w:shd w:val="clear" w:color="auto" w:fill="BFBFBF" w:themeFill="background1" w:themeFillShade="BF"/>
            <w:vAlign w:val="center"/>
          </w:tcPr>
          <w:p w14:paraId="007E75CD" w14:textId="3D1B98C5" w:rsidR="00F93740" w:rsidRPr="001033CF" w:rsidRDefault="00F93740" w:rsidP="00F93740">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0E79EF0D" w14:textId="66C09694" w:rsidR="00F93740" w:rsidRPr="001033CF" w:rsidRDefault="00F93740" w:rsidP="001033CF">
            <w:pPr>
              <w:jc w:val="both"/>
              <w:rPr>
                <w:rFonts w:asciiTheme="minorHAnsi" w:hAnsiTheme="minorHAnsi" w:cstheme="minorHAnsi"/>
                <w:sz w:val="18"/>
                <w:szCs w:val="18"/>
              </w:rPr>
            </w:pPr>
            <w:r w:rsidRPr="001033CF">
              <w:rPr>
                <w:rFonts w:asciiTheme="minorHAnsi" w:hAnsiTheme="minorHAnsi" w:cstheme="minorHAnsi"/>
                <w:color w:val="000000"/>
                <w:sz w:val="18"/>
                <w:szCs w:val="18"/>
              </w:rPr>
              <w:t>This item was withdrawn.</w:t>
            </w:r>
          </w:p>
        </w:tc>
      </w:tr>
    </w:tbl>
    <w:p w14:paraId="6CF6B033" w14:textId="1CFCDB80" w:rsidR="009B3BC3" w:rsidRDefault="009B3BC3" w:rsidP="00BB57B7">
      <w:pPr>
        <w:rPr>
          <w:rFonts w:asciiTheme="minorHAnsi" w:hAnsiTheme="minorHAnsi" w:cstheme="minorHAnsi"/>
          <w:b/>
          <w:sz w:val="18"/>
          <w:szCs w:val="18"/>
          <w:lang w:val="en-US"/>
        </w:rPr>
      </w:pPr>
    </w:p>
    <w:p w14:paraId="2B7D8C7A" w14:textId="77777777" w:rsidR="009B3BC3" w:rsidRDefault="009B3BC3">
      <w:pPr>
        <w:rPr>
          <w:rFonts w:asciiTheme="minorHAnsi" w:hAnsiTheme="minorHAnsi" w:cstheme="minorHAnsi"/>
          <w:b/>
          <w:sz w:val="18"/>
          <w:szCs w:val="18"/>
          <w:lang w:val="en-US"/>
        </w:rPr>
      </w:pPr>
      <w:r>
        <w:rPr>
          <w:rFonts w:asciiTheme="minorHAnsi" w:hAnsiTheme="minorHAnsi" w:cstheme="minorHAnsi"/>
          <w:b/>
          <w:sz w:val="18"/>
          <w:szCs w:val="18"/>
          <w:lang w:val="en-US"/>
        </w:rPr>
        <w:br w:type="page"/>
      </w:r>
    </w:p>
    <w:p w14:paraId="50CB1A33" w14:textId="77777777" w:rsidR="00D97548" w:rsidRDefault="00D97548" w:rsidP="00D97548">
      <w:pPr>
        <w:rPr>
          <w:rFonts w:asciiTheme="minorHAnsi" w:hAnsiTheme="minorHAnsi" w:cstheme="minorHAnsi"/>
          <w:b/>
          <w:sz w:val="18"/>
          <w:szCs w:val="18"/>
          <w:lang w:val="en-US"/>
        </w:rPr>
      </w:pPr>
    </w:p>
    <w:tbl>
      <w:tblPr>
        <w:tblW w:w="5002" w:type="pct"/>
        <w:tblLayout w:type="fixed"/>
        <w:tblLook w:val="04A0" w:firstRow="1" w:lastRow="0" w:firstColumn="1" w:lastColumn="0" w:noHBand="0" w:noVBand="1"/>
      </w:tblPr>
      <w:tblGrid>
        <w:gridCol w:w="3824"/>
        <w:gridCol w:w="3827"/>
        <w:gridCol w:w="3685"/>
        <w:gridCol w:w="4058"/>
      </w:tblGrid>
      <w:tr w:rsidR="00D97548" w:rsidRPr="00D232DC" w14:paraId="2C5D3C4C" w14:textId="77777777">
        <w:trPr>
          <w:cantSplit/>
          <w:trHeight w:val="699"/>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8E428" w14:textId="77777777" w:rsidR="00D97548" w:rsidRPr="00D232DC" w:rsidRDefault="00D97548" w:rsidP="000F71CE">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42158CE7" w14:textId="77777777" w:rsidR="00D97548" w:rsidRPr="00D232DC" w:rsidRDefault="00D97548" w:rsidP="000F71CE">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4FCB4080" w14:textId="77777777" w:rsidR="00D97548" w:rsidRPr="00D232DC" w:rsidRDefault="00D97548" w:rsidP="000F71CE">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43764C63" w14:textId="2DBF2057" w:rsidR="00D97548" w:rsidRPr="00D232DC" w:rsidRDefault="00B0619C" w:rsidP="000F71CE">
            <w:pPr>
              <w:widowControl w:val="0"/>
              <w:jc w:val="center"/>
              <w:rPr>
                <w:rFonts w:asciiTheme="minorHAnsi" w:hAnsiTheme="minorHAnsi" w:cstheme="minorHAnsi"/>
                <w:b/>
                <w:bCs/>
                <w:snapToGrid w:val="0"/>
                <w:color w:val="000000"/>
                <w:sz w:val="18"/>
                <w:szCs w:val="18"/>
              </w:rPr>
            </w:pPr>
            <w:r w:rsidRPr="00D232DC">
              <w:rPr>
                <w:rFonts w:asciiTheme="minorHAnsi" w:hAnsiTheme="minorHAnsi" w:cstheme="minorHAnsi"/>
                <w:b/>
                <w:bCs/>
                <w:snapToGrid w:val="0"/>
                <w:color w:val="000000"/>
                <w:sz w:val="18"/>
                <w:szCs w:val="18"/>
              </w:rPr>
              <w:t>PBAC OUTCOME</w:t>
            </w:r>
          </w:p>
        </w:tc>
      </w:tr>
      <w:tr w:rsidR="00915F1E" w:rsidRPr="00D232DC" w14:paraId="7E6E0439" w14:textId="77777777" w:rsidTr="00A84CB3">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AA259DB" w14:textId="77777777" w:rsidR="00915F1E" w:rsidRPr="00A84CB3" w:rsidRDefault="00915F1E" w:rsidP="00915F1E">
            <w:pPr>
              <w:jc w:val="center"/>
              <w:rPr>
                <w:rFonts w:asciiTheme="minorHAnsi" w:hAnsiTheme="minorHAnsi" w:cstheme="minorHAnsi"/>
                <w:sz w:val="18"/>
                <w:szCs w:val="18"/>
              </w:rPr>
            </w:pPr>
            <w:r w:rsidRPr="00A84CB3">
              <w:rPr>
                <w:rFonts w:asciiTheme="minorHAnsi" w:hAnsiTheme="minorHAnsi" w:cstheme="minorHAnsi"/>
                <w:sz w:val="18"/>
                <w:szCs w:val="18"/>
              </w:rPr>
              <w:t>BECLOMETASONE WITH FORMOTEROL</w:t>
            </w:r>
          </w:p>
          <w:p w14:paraId="615DDED4" w14:textId="00BD7AE4" w:rsidR="00915F1E" w:rsidRPr="00A84CB3" w:rsidRDefault="00915F1E" w:rsidP="00915F1E">
            <w:pPr>
              <w:jc w:val="center"/>
              <w:rPr>
                <w:rFonts w:asciiTheme="minorHAnsi" w:hAnsiTheme="minorHAnsi" w:cstheme="minorHAnsi"/>
                <w:color w:val="000000"/>
                <w:sz w:val="18"/>
                <w:szCs w:val="18"/>
              </w:rPr>
            </w:pPr>
            <w:r w:rsidRPr="00A84CB3">
              <w:rPr>
                <w:rFonts w:asciiTheme="minorHAnsi" w:hAnsiTheme="minorHAnsi" w:cstheme="minorHAnsi"/>
                <w:sz w:val="18"/>
                <w:szCs w:val="18"/>
              </w:rPr>
              <w:br/>
              <w:t>Pressurised inhalation containing</w:t>
            </w:r>
            <w:r w:rsidRPr="00A84CB3">
              <w:rPr>
                <w:rFonts w:asciiTheme="minorHAnsi" w:hAnsiTheme="minorHAnsi" w:cstheme="minorHAnsi"/>
                <w:color w:val="000000"/>
                <w:sz w:val="18"/>
                <w:szCs w:val="18"/>
              </w:rPr>
              <w:t xml:space="preserve"> beclometasone dipropionate 100 micrograms and formoterol fumarate dihydrate 6 micrograms per dose, 120</w:t>
            </w:r>
            <w:r>
              <w:rPr>
                <w:rFonts w:asciiTheme="minorHAnsi" w:hAnsiTheme="minorHAnsi" w:cstheme="minorHAnsi"/>
                <w:color w:val="000000"/>
                <w:sz w:val="18"/>
                <w:szCs w:val="18"/>
              </w:rPr>
              <w:t> </w:t>
            </w:r>
            <w:r w:rsidRPr="00A84CB3">
              <w:rPr>
                <w:rFonts w:asciiTheme="minorHAnsi" w:hAnsiTheme="minorHAnsi" w:cstheme="minorHAnsi"/>
                <w:color w:val="000000"/>
                <w:sz w:val="18"/>
                <w:szCs w:val="18"/>
              </w:rPr>
              <w:t>dose</w:t>
            </w:r>
          </w:p>
          <w:p w14:paraId="693A54AA" w14:textId="77777777" w:rsidR="00915F1E" w:rsidRPr="00A84CB3" w:rsidRDefault="00915F1E" w:rsidP="00915F1E">
            <w:pPr>
              <w:jc w:val="center"/>
              <w:rPr>
                <w:rFonts w:asciiTheme="minorHAnsi" w:hAnsiTheme="minorHAnsi" w:cstheme="minorHAnsi"/>
                <w:color w:val="000000"/>
                <w:sz w:val="18"/>
                <w:szCs w:val="18"/>
              </w:rPr>
            </w:pPr>
          </w:p>
          <w:p w14:paraId="7DCEDBF0" w14:textId="715190CA" w:rsidR="00915F1E" w:rsidRPr="00A84CB3" w:rsidRDefault="00915F1E" w:rsidP="00A84CB3">
            <w:pPr>
              <w:jc w:val="center"/>
              <w:rPr>
                <w:rFonts w:asciiTheme="minorHAnsi" w:hAnsiTheme="minorHAnsi" w:cstheme="minorHAnsi"/>
                <w:color w:val="000000"/>
                <w:sz w:val="18"/>
                <w:szCs w:val="18"/>
              </w:rPr>
            </w:pPr>
            <w:r w:rsidRPr="00A84CB3">
              <w:rPr>
                <w:rFonts w:asciiTheme="minorHAnsi" w:hAnsiTheme="minorHAnsi" w:cstheme="minorHAnsi"/>
                <w:color w:val="000000"/>
                <w:sz w:val="18"/>
                <w:szCs w:val="18"/>
              </w:rPr>
              <w:t>Fostair</w:t>
            </w:r>
            <w:r w:rsidR="009D7B53" w:rsidRPr="001165DD">
              <w:rPr>
                <w:rFonts w:asciiTheme="minorHAnsi" w:hAnsiTheme="minorHAnsi" w:cstheme="minorHAnsi"/>
                <w:color w:val="000000"/>
                <w:sz w:val="18"/>
                <w:szCs w:val="18"/>
              </w:rPr>
              <w:t>®</w:t>
            </w:r>
          </w:p>
          <w:p w14:paraId="12F3A36A" w14:textId="41B2150E" w:rsidR="00915F1E" w:rsidRPr="00915F1E" w:rsidRDefault="00915F1E" w:rsidP="00915F1E">
            <w:pPr>
              <w:jc w:val="center"/>
              <w:rPr>
                <w:rFonts w:asciiTheme="minorHAnsi" w:hAnsiTheme="minorHAnsi" w:cstheme="minorHAnsi"/>
                <w:sz w:val="18"/>
                <w:szCs w:val="18"/>
              </w:rPr>
            </w:pPr>
            <w:r w:rsidRPr="00A84CB3">
              <w:rPr>
                <w:rFonts w:asciiTheme="minorHAnsi" w:hAnsiTheme="minorHAnsi" w:cstheme="minorHAnsi"/>
                <w:color w:val="000000"/>
                <w:sz w:val="18"/>
                <w:szCs w:val="18"/>
              </w:rPr>
              <w:t>Chiesi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7D0CFD5" w14:textId="7B95DC6C" w:rsidR="00915F1E" w:rsidRPr="00915F1E" w:rsidRDefault="00915F1E" w:rsidP="00915F1E">
            <w:pPr>
              <w:widowControl w:val="0"/>
              <w:jc w:val="center"/>
              <w:rPr>
                <w:rFonts w:asciiTheme="minorHAnsi" w:hAnsiTheme="minorHAnsi" w:cstheme="minorHAnsi"/>
                <w:bCs/>
                <w:sz w:val="18"/>
                <w:szCs w:val="18"/>
              </w:rPr>
            </w:pPr>
            <w:r w:rsidRPr="00A84CB3">
              <w:rPr>
                <w:rFonts w:asciiTheme="minorHAnsi" w:hAnsiTheme="minorHAnsi" w:cstheme="minorHAnsi"/>
                <w:bCs/>
                <w:sz w:val="18"/>
                <w:szCs w:val="18"/>
              </w:rPr>
              <w:t>Chronic obstructive pulmonary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10C1EC4F" w14:textId="21A8143F" w:rsidR="00915F1E" w:rsidRPr="00915F1E" w:rsidRDefault="00915F1E" w:rsidP="00915F1E">
            <w:pPr>
              <w:widowControl w:val="0"/>
              <w:jc w:val="center"/>
              <w:rPr>
                <w:rFonts w:asciiTheme="minorHAnsi" w:hAnsiTheme="minorHAnsi" w:cstheme="minorHAnsi"/>
                <w:sz w:val="18"/>
                <w:szCs w:val="18"/>
              </w:rPr>
            </w:pPr>
            <w:r w:rsidRPr="00915F1E">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7A934293" w14:textId="0A0A4431" w:rsidR="00915F1E" w:rsidRPr="00361D52" w:rsidRDefault="00514F8E" w:rsidP="00915F1E">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915F1E" w:rsidRPr="00A84CB3">
              <w:rPr>
                <w:rFonts w:asciiTheme="minorHAnsi" w:hAnsiTheme="minorHAnsi" w:cstheme="minorHAnsi"/>
                <w:sz w:val="18"/>
                <w:szCs w:val="18"/>
              </w:rPr>
              <w:t>he</w:t>
            </w:r>
            <w:r w:rsidR="00915F1E" w:rsidRPr="00361D52">
              <w:rPr>
                <w:rFonts w:asciiTheme="minorHAnsi" w:hAnsiTheme="minorHAnsi" w:cstheme="minorHAnsi"/>
                <w:bCs/>
                <w:snapToGrid w:val="0"/>
                <w:sz w:val="18"/>
                <w:szCs w:val="18"/>
              </w:rPr>
              <w:t xml:space="preserve"> PBAC rescinded the March 2022 recommendation for beclometasone with formoterol.</w:t>
            </w:r>
          </w:p>
        </w:tc>
      </w:tr>
      <w:tr w:rsidR="00B0619C" w:rsidRPr="00D232DC" w14:paraId="2C0490E4"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766F799" w14:textId="77777777" w:rsidR="00B0619C" w:rsidRPr="00B0619C" w:rsidRDefault="00B0619C" w:rsidP="000F71CE">
            <w:pPr>
              <w:jc w:val="center"/>
              <w:rPr>
                <w:rFonts w:asciiTheme="minorHAnsi" w:hAnsiTheme="minorHAnsi" w:cstheme="minorHAnsi"/>
                <w:sz w:val="18"/>
                <w:szCs w:val="18"/>
              </w:rPr>
            </w:pPr>
            <w:r w:rsidRPr="00B0619C">
              <w:rPr>
                <w:rFonts w:asciiTheme="minorHAnsi" w:hAnsiTheme="minorHAnsi" w:cstheme="minorHAnsi"/>
                <w:sz w:val="18"/>
                <w:szCs w:val="18"/>
              </w:rPr>
              <w:t>BIMEKIZUMAB</w:t>
            </w:r>
          </w:p>
          <w:p w14:paraId="24358BF0" w14:textId="0FE29B9D" w:rsidR="00B0619C" w:rsidRDefault="00B0619C"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Solution for 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Solution for injection 160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p>
          <w:p w14:paraId="4D8E46FB" w14:textId="77777777" w:rsidR="000F71CE" w:rsidRPr="00B0619C" w:rsidRDefault="000F71CE" w:rsidP="00D5372A">
            <w:pPr>
              <w:jc w:val="center"/>
              <w:rPr>
                <w:rFonts w:asciiTheme="minorHAnsi" w:hAnsiTheme="minorHAnsi" w:cstheme="minorHAnsi"/>
                <w:color w:val="000000"/>
                <w:sz w:val="18"/>
                <w:szCs w:val="18"/>
              </w:rPr>
            </w:pPr>
          </w:p>
          <w:p w14:paraId="35464A7C" w14:textId="0378888A" w:rsidR="00B0619C" w:rsidRDefault="00B0619C" w:rsidP="000F71CE">
            <w:pPr>
              <w:jc w:val="center"/>
              <w:rPr>
                <w:rFonts w:asciiTheme="minorHAnsi" w:hAnsiTheme="minorHAnsi" w:cstheme="minorHAnsi"/>
                <w:color w:val="000000"/>
                <w:sz w:val="18"/>
                <w:szCs w:val="18"/>
                <w:vertAlign w:val="superscript"/>
              </w:rPr>
            </w:pPr>
            <w:r w:rsidRPr="00B0619C">
              <w:rPr>
                <w:rFonts w:asciiTheme="minorHAnsi" w:hAnsiTheme="minorHAnsi" w:cstheme="minorHAnsi"/>
                <w:color w:val="000000"/>
                <w:sz w:val="18"/>
                <w:szCs w:val="18"/>
              </w:rPr>
              <w:t>Bimzelx</w:t>
            </w:r>
            <w:r w:rsidR="001165DD" w:rsidRPr="001165DD">
              <w:rPr>
                <w:rFonts w:asciiTheme="minorHAnsi" w:hAnsiTheme="minorHAnsi" w:cstheme="minorHAnsi"/>
                <w:color w:val="000000"/>
                <w:sz w:val="18"/>
                <w:szCs w:val="18"/>
              </w:rPr>
              <w:t>®</w:t>
            </w:r>
          </w:p>
          <w:p w14:paraId="4EA5F9CA" w14:textId="77777777" w:rsidR="000F71CE" w:rsidRPr="00B0619C" w:rsidRDefault="000F71CE" w:rsidP="00D5372A">
            <w:pPr>
              <w:jc w:val="center"/>
              <w:rPr>
                <w:rFonts w:asciiTheme="minorHAnsi" w:hAnsiTheme="minorHAnsi" w:cstheme="minorHAnsi"/>
                <w:color w:val="000000"/>
                <w:sz w:val="18"/>
                <w:szCs w:val="18"/>
              </w:rPr>
            </w:pPr>
          </w:p>
          <w:p w14:paraId="0034F250" w14:textId="630F3085" w:rsidR="00B0619C" w:rsidRPr="00B0619C" w:rsidRDefault="00B0619C" w:rsidP="00D5372A">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UCB Australia Proprietary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A4090BA" w14:textId="24C814BC" w:rsidR="00B0619C" w:rsidRPr="00B0619C" w:rsidRDefault="00B0619C" w:rsidP="000F71CE">
            <w:pPr>
              <w:widowControl w:val="0"/>
              <w:jc w:val="center"/>
              <w:rPr>
                <w:rFonts w:asciiTheme="minorHAnsi" w:hAnsiTheme="minorHAnsi" w:cstheme="minorHAnsi"/>
                <w:bCs/>
                <w:sz w:val="18"/>
                <w:szCs w:val="18"/>
              </w:rPr>
            </w:pPr>
            <w:r w:rsidRPr="00B0619C">
              <w:rPr>
                <w:rFonts w:asciiTheme="minorHAnsi" w:hAnsiTheme="minorHAnsi" w:cstheme="minorHAnsi"/>
                <w:bCs/>
                <w:sz w:val="18"/>
                <w:szCs w:val="18"/>
              </w:rPr>
              <w:t>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9FCE2BF" w14:textId="6F4B0B9E" w:rsidR="00B0619C" w:rsidRPr="00B0619C" w:rsidRDefault="000F71CE" w:rsidP="000F71CE">
            <w:pPr>
              <w:widowControl w:val="0"/>
              <w:jc w:val="center"/>
              <w:rPr>
                <w:rFonts w:asciiTheme="minorHAnsi" w:hAnsiTheme="minorHAnsi" w:cstheme="minorHAnsi"/>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593A3ED" w14:textId="67BA591E" w:rsidR="00B0619C" w:rsidRPr="00361D52" w:rsidRDefault="00514F8E" w:rsidP="000F71CE">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rescinded the March 2022 recommendation for bimekizumab</w:t>
            </w:r>
            <w:r>
              <w:rPr>
                <w:rFonts w:asciiTheme="minorHAnsi" w:hAnsiTheme="minorHAnsi" w:cstheme="minorHAnsi"/>
                <w:sz w:val="18"/>
                <w:szCs w:val="18"/>
              </w:rPr>
              <w:t>.</w:t>
            </w:r>
          </w:p>
        </w:tc>
      </w:tr>
      <w:tr w:rsidR="00D97548" w:rsidRPr="00D232DC" w14:paraId="7F66A77D"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37BD831" w14:textId="77777777" w:rsidR="00D97548"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DUPILUMAB </w:t>
            </w:r>
          </w:p>
          <w:p w14:paraId="3C35336A" w14:textId="77777777" w:rsidR="000F71CE" w:rsidRPr="00B0619C" w:rsidRDefault="000F71CE" w:rsidP="00D5372A">
            <w:pPr>
              <w:jc w:val="center"/>
              <w:rPr>
                <w:rFonts w:asciiTheme="minorHAnsi" w:hAnsiTheme="minorHAnsi" w:cstheme="minorHAnsi"/>
                <w:color w:val="000000"/>
                <w:sz w:val="18"/>
                <w:szCs w:val="18"/>
              </w:rPr>
            </w:pPr>
          </w:p>
          <w:p w14:paraId="41218D64" w14:textId="59D121B4" w:rsidR="00D97548"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Injection 200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1.14</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dose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300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dose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p>
          <w:p w14:paraId="60FDAB75" w14:textId="77777777" w:rsidR="000F71CE" w:rsidRPr="00B0619C" w:rsidRDefault="000F71CE" w:rsidP="00D5372A">
            <w:pPr>
              <w:jc w:val="center"/>
              <w:rPr>
                <w:rFonts w:asciiTheme="minorHAnsi" w:hAnsiTheme="minorHAnsi" w:cstheme="minorHAnsi"/>
                <w:color w:val="000000"/>
                <w:sz w:val="18"/>
                <w:szCs w:val="18"/>
              </w:rPr>
            </w:pPr>
          </w:p>
          <w:p w14:paraId="3F3A1B02" w14:textId="4706D3D3" w:rsidR="00D97548" w:rsidRDefault="00D97548" w:rsidP="000F71CE">
            <w:pPr>
              <w:jc w:val="center"/>
              <w:rPr>
                <w:rFonts w:asciiTheme="minorHAnsi" w:hAnsiTheme="minorHAnsi" w:cstheme="minorHAnsi"/>
                <w:color w:val="000000"/>
                <w:sz w:val="18"/>
                <w:szCs w:val="18"/>
                <w:vertAlign w:val="superscript"/>
              </w:rPr>
            </w:pPr>
            <w:r w:rsidRPr="00B0619C">
              <w:rPr>
                <w:rFonts w:asciiTheme="minorHAnsi" w:hAnsiTheme="minorHAnsi" w:cstheme="minorHAnsi"/>
                <w:color w:val="000000"/>
                <w:sz w:val="18"/>
                <w:szCs w:val="18"/>
              </w:rPr>
              <w:t>Dupixent</w:t>
            </w:r>
            <w:r w:rsidR="001165DD" w:rsidRPr="001165DD">
              <w:rPr>
                <w:rFonts w:asciiTheme="minorHAnsi" w:hAnsiTheme="minorHAnsi" w:cstheme="minorHAnsi"/>
                <w:color w:val="000000"/>
                <w:sz w:val="18"/>
                <w:szCs w:val="18"/>
              </w:rPr>
              <w:t>®</w:t>
            </w:r>
          </w:p>
          <w:p w14:paraId="769D3C9E" w14:textId="77777777" w:rsidR="000F71CE" w:rsidRPr="00B0619C" w:rsidRDefault="000F71CE" w:rsidP="00D5372A">
            <w:pPr>
              <w:jc w:val="center"/>
              <w:rPr>
                <w:rFonts w:asciiTheme="minorHAnsi" w:hAnsiTheme="minorHAnsi" w:cstheme="minorHAnsi"/>
                <w:color w:val="000000"/>
                <w:sz w:val="18"/>
                <w:szCs w:val="18"/>
              </w:rPr>
            </w:pPr>
          </w:p>
          <w:p w14:paraId="7E9B746C" w14:textId="3EE9D8DB" w:rsidR="00D97548" w:rsidRPr="00B0619C" w:rsidRDefault="00D97548" w:rsidP="00915F1E">
            <w:pPr>
              <w:jc w:val="center"/>
              <w:rPr>
                <w:rFonts w:asciiTheme="minorHAnsi" w:hAnsiTheme="minorHAnsi" w:cstheme="minorHAnsi"/>
                <w:sz w:val="18"/>
                <w:szCs w:val="18"/>
              </w:rPr>
            </w:pPr>
            <w:r w:rsidRPr="00B0619C">
              <w:rPr>
                <w:rFonts w:asciiTheme="minorHAnsi" w:hAnsiTheme="minorHAnsi" w:cstheme="minorHAnsi"/>
                <w:color w:val="000000"/>
                <w:sz w:val="18"/>
                <w:szCs w:val="18"/>
              </w:rPr>
              <w:t>Sanofi</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Aventis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0B494D6" w14:textId="34F9EA1B" w:rsidR="00D97548" w:rsidRPr="00B0619C" w:rsidRDefault="00D97548" w:rsidP="000F71CE">
            <w:pPr>
              <w:widowControl w:val="0"/>
              <w:jc w:val="center"/>
              <w:rPr>
                <w:rFonts w:asciiTheme="minorHAnsi" w:hAnsiTheme="minorHAnsi" w:cstheme="minorHAnsi"/>
                <w:bCs/>
                <w:sz w:val="18"/>
                <w:szCs w:val="18"/>
                <w:lang w:eastAsia="en-US"/>
              </w:rPr>
            </w:pPr>
            <w:r w:rsidRPr="00B0619C">
              <w:rPr>
                <w:rFonts w:asciiTheme="minorHAnsi" w:hAnsiTheme="minorHAnsi" w:cstheme="minorHAnsi"/>
                <w:bCs/>
                <w:sz w:val="18"/>
                <w:szCs w:val="18"/>
              </w:rPr>
              <w:t>Atopic dermatitis in children 6 to 11 years of age</w:t>
            </w:r>
          </w:p>
        </w:tc>
        <w:tc>
          <w:tcPr>
            <w:tcW w:w="1197" w:type="pct"/>
            <w:tcBorders>
              <w:top w:val="single" w:sz="4" w:space="0" w:color="auto"/>
              <w:left w:val="nil"/>
              <w:bottom w:val="single" w:sz="4" w:space="0" w:color="auto"/>
              <w:right w:val="single" w:sz="4" w:space="0" w:color="auto"/>
            </w:tcBorders>
            <w:shd w:val="clear" w:color="auto" w:fill="auto"/>
            <w:vAlign w:val="center"/>
          </w:tcPr>
          <w:p w14:paraId="2ABE9416" w14:textId="77777777" w:rsidR="00D97548" w:rsidRPr="00B0619C" w:rsidRDefault="00D97548" w:rsidP="000F71CE">
            <w:pPr>
              <w:widowControl w:val="0"/>
              <w:jc w:val="center"/>
              <w:rPr>
                <w:rFonts w:asciiTheme="minorHAnsi" w:hAnsiTheme="minorHAnsi" w:cstheme="minorHAnsi"/>
                <w:sz w:val="18"/>
                <w:szCs w:val="18"/>
                <w:lang w:eastAsia="en-US"/>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6C43C843" w14:textId="04EFE511" w:rsidR="00D97548" w:rsidRPr="00361D52" w:rsidRDefault="00514F8E" w:rsidP="000F71CE">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extended the March 2022 recommendation for dupilumab for an additional 12 months.</w:t>
            </w:r>
          </w:p>
        </w:tc>
      </w:tr>
      <w:tr w:rsidR="00D97548" w:rsidRPr="00D232DC" w14:paraId="2AA906F0"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0F9EBB9" w14:textId="77777777" w:rsidR="00D97548" w:rsidRDefault="00D97548" w:rsidP="000F71CE">
            <w:pPr>
              <w:jc w:val="center"/>
              <w:rPr>
                <w:rFonts w:asciiTheme="minorHAnsi" w:hAnsiTheme="minorHAnsi" w:cstheme="minorHAnsi"/>
                <w:sz w:val="18"/>
                <w:szCs w:val="18"/>
              </w:rPr>
            </w:pPr>
            <w:r w:rsidRPr="00B0619C">
              <w:rPr>
                <w:rFonts w:asciiTheme="minorHAnsi" w:hAnsiTheme="minorHAnsi" w:cstheme="minorHAnsi"/>
                <w:sz w:val="18"/>
                <w:szCs w:val="18"/>
              </w:rPr>
              <w:lastRenderedPageBreak/>
              <w:t>ENOXAPARIN</w:t>
            </w:r>
          </w:p>
          <w:p w14:paraId="6FE011D9" w14:textId="77777777" w:rsidR="000F71CE" w:rsidRPr="00B0619C" w:rsidRDefault="000F71CE" w:rsidP="00D5372A">
            <w:pPr>
              <w:jc w:val="center"/>
              <w:rPr>
                <w:rFonts w:asciiTheme="minorHAnsi" w:hAnsiTheme="minorHAnsi" w:cstheme="minorHAnsi"/>
                <w:sz w:val="18"/>
                <w:szCs w:val="18"/>
              </w:rPr>
            </w:pPr>
          </w:p>
          <w:p w14:paraId="2ED4D4AD" w14:textId="2E58BCE7"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100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(10,000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1</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pre</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filled syringe</w:t>
            </w:r>
          </w:p>
          <w:p w14:paraId="35EFBABA" w14:textId="4ACAEB0E"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120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(12,000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0.8</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syringe</w:t>
            </w:r>
          </w:p>
          <w:p w14:paraId="48DB4F28" w14:textId="224CF036"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150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(15,000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1</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syringe</w:t>
            </w:r>
          </w:p>
          <w:p w14:paraId="2078865A" w14:textId="3E73849E"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20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(2,000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0.2</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pre</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filled syringe</w:t>
            </w:r>
          </w:p>
          <w:p w14:paraId="4AC6F5D9" w14:textId="6C9AEF70"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40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(4,000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0.4</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pre</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filled syringe</w:t>
            </w:r>
          </w:p>
          <w:p w14:paraId="4DD266CA" w14:textId="1491AEEB"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60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(6,000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0.6</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pre</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filled syringe</w:t>
            </w:r>
          </w:p>
          <w:p w14:paraId="1BBE2EDF" w14:textId="457642E0"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Injection containing enoxaparin sodium 80</w:t>
            </w:r>
            <w:r w:rsidR="001165DD">
              <w:rPr>
                <w:rFonts w:asciiTheme="minorHAnsi" w:hAnsiTheme="minorHAnsi" w:cstheme="minorHAnsi"/>
                <w:sz w:val="18"/>
                <w:szCs w:val="18"/>
              </w:rPr>
              <w:t> mg</w:t>
            </w:r>
            <w:r w:rsidRPr="00B0619C">
              <w:rPr>
                <w:rFonts w:asciiTheme="minorHAnsi" w:hAnsiTheme="minorHAnsi" w:cstheme="minorHAnsi"/>
                <w:sz w:val="18"/>
                <w:szCs w:val="18"/>
              </w:rPr>
              <w:t xml:space="preserve"> (8,000 I.U. anti</w:t>
            </w:r>
            <w:r w:rsidR="001165DD" w:rsidRPr="001165DD">
              <w:rPr>
                <w:rFonts w:asciiTheme="minorHAnsi" w:hAnsiTheme="minorHAnsi" w:cstheme="minorHAnsi"/>
                <w:sz w:val="18"/>
                <w:szCs w:val="18"/>
              </w:rPr>
              <w:noBreakHyphen/>
            </w:r>
            <w:r w:rsidRPr="00B0619C">
              <w:rPr>
                <w:rFonts w:asciiTheme="minorHAnsi" w:hAnsiTheme="minorHAnsi" w:cstheme="minorHAnsi"/>
                <w:sz w:val="18"/>
                <w:szCs w:val="18"/>
              </w:rPr>
              <w:t>Xa) in 0.8</w:t>
            </w:r>
            <w:r w:rsidR="001165DD">
              <w:rPr>
                <w:rFonts w:asciiTheme="minorHAnsi" w:hAnsiTheme="minorHAnsi" w:cstheme="minorHAnsi"/>
                <w:sz w:val="18"/>
                <w:szCs w:val="18"/>
              </w:rPr>
              <w:t> mL</w:t>
            </w:r>
            <w:r w:rsidRPr="00B0619C">
              <w:rPr>
                <w:rFonts w:asciiTheme="minorHAnsi" w:hAnsiTheme="minorHAnsi" w:cstheme="minorHAnsi"/>
                <w:sz w:val="18"/>
                <w:szCs w:val="18"/>
              </w:rPr>
              <w:t xml:space="preserve"> syringe</w:t>
            </w:r>
          </w:p>
          <w:p w14:paraId="6A18F288" w14:textId="77777777" w:rsidR="00D97548" w:rsidRPr="00B0619C" w:rsidRDefault="00D97548" w:rsidP="000F71CE">
            <w:pPr>
              <w:contextualSpacing/>
              <w:jc w:val="center"/>
              <w:rPr>
                <w:rFonts w:asciiTheme="minorHAnsi" w:hAnsiTheme="minorHAnsi" w:cstheme="minorHAnsi"/>
                <w:sz w:val="18"/>
                <w:szCs w:val="18"/>
              </w:rPr>
            </w:pPr>
          </w:p>
          <w:p w14:paraId="5A1D3D39" w14:textId="64F05208" w:rsidR="00D97548" w:rsidRPr="00B0619C" w:rsidRDefault="00D97548" w:rsidP="000F71CE">
            <w:pPr>
              <w:contextualSpacing/>
              <w:jc w:val="center"/>
              <w:rPr>
                <w:rFonts w:asciiTheme="minorHAnsi" w:hAnsiTheme="minorHAnsi" w:cstheme="minorHAnsi"/>
                <w:sz w:val="18"/>
                <w:szCs w:val="18"/>
              </w:rPr>
            </w:pPr>
            <w:r w:rsidRPr="00B0619C">
              <w:rPr>
                <w:rFonts w:asciiTheme="minorHAnsi" w:hAnsiTheme="minorHAnsi" w:cstheme="minorHAnsi"/>
                <w:sz w:val="18"/>
                <w:szCs w:val="18"/>
              </w:rPr>
              <w:t>Enoxapo</w:t>
            </w:r>
            <w:r w:rsidR="001165DD" w:rsidRPr="001165DD">
              <w:rPr>
                <w:rFonts w:asciiTheme="minorHAnsi" w:hAnsiTheme="minorHAnsi" w:cstheme="minorHAnsi"/>
                <w:sz w:val="18"/>
                <w:szCs w:val="18"/>
              </w:rPr>
              <w:t>®</w:t>
            </w:r>
          </w:p>
          <w:p w14:paraId="2EC28A2D" w14:textId="77777777" w:rsidR="00D97548" w:rsidRPr="00B0619C" w:rsidRDefault="00D97548" w:rsidP="000F71CE">
            <w:pPr>
              <w:contextualSpacing/>
              <w:jc w:val="center"/>
              <w:rPr>
                <w:rFonts w:asciiTheme="minorHAnsi" w:hAnsiTheme="minorHAnsi" w:cstheme="minorHAnsi"/>
                <w:sz w:val="18"/>
                <w:szCs w:val="18"/>
              </w:rPr>
            </w:pPr>
          </w:p>
          <w:p w14:paraId="0D63F861" w14:textId="0ADB9303" w:rsidR="00D97548" w:rsidRPr="00B0619C" w:rsidRDefault="00D97548" w:rsidP="00D5372A">
            <w:pPr>
              <w:jc w:val="center"/>
              <w:rPr>
                <w:rFonts w:asciiTheme="minorHAnsi" w:hAnsiTheme="minorHAnsi" w:cstheme="minorHAnsi"/>
                <w:sz w:val="18"/>
                <w:szCs w:val="18"/>
              </w:rPr>
            </w:pPr>
            <w:r w:rsidRPr="00B0619C">
              <w:rPr>
                <w:rFonts w:asciiTheme="minorHAnsi" w:hAnsiTheme="minorHAnsi" w:cstheme="minorHAnsi"/>
                <w:sz w:val="18"/>
                <w:szCs w:val="18"/>
              </w:rPr>
              <w:t>Apotex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F3C590F" w14:textId="0E9A0CD4" w:rsidR="00D97548" w:rsidRPr="00B0619C" w:rsidRDefault="00D97548" w:rsidP="000F71CE">
            <w:pPr>
              <w:widowControl w:val="0"/>
              <w:jc w:val="center"/>
              <w:rPr>
                <w:rFonts w:asciiTheme="minorHAnsi" w:hAnsiTheme="minorHAnsi" w:cstheme="minorHAnsi"/>
                <w:color w:val="000000"/>
                <w:sz w:val="18"/>
                <w:szCs w:val="18"/>
              </w:rPr>
            </w:pPr>
            <w:r w:rsidRPr="00B0619C">
              <w:rPr>
                <w:rFonts w:asciiTheme="minorHAnsi" w:hAnsiTheme="minorHAnsi" w:cstheme="minorHAnsi"/>
                <w:bCs/>
                <w:sz w:val="18"/>
                <w:szCs w:val="18"/>
              </w:rPr>
              <w:t>Antithrombotic</w:t>
            </w:r>
          </w:p>
        </w:tc>
        <w:tc>
          <w:tcPr>
            <w:tcW w:w="1197" w:type="pct"/>
            <w:tcBorders>
              <w:top w:val="single" w:sz="4" w:space="0" w:color="auto"/>
              <w:left w:val="nil"/>
              <w:bottom w:val="single" w:sz="4" w:space="0" w:color="auto"/>
              <w:right w:val="single" w:sz="4" w:space="0" w:color="auto"/>
            </w:tcBorders>
            <w:shd w:val="clear" w:color="auto" w:fill="auto"/>
            <w:vAlign w:val="center"/>
          </w:tcPr>
          <w:p w14:paraId="59317AA6" w14:textId="77777777" w:rsidR="00D97548" w:rsidRPr="00B0619C" w:rsidRDefault="00D97548" w:rsidP="000F71CE">
            <w:pPr>
              <w:widowControl w:val="0"/>
              <w:jc w:val="center"/>
              <w:rPr>
                <w:rFonts w:asciiTheme="minorHAnsi" w:hAnsiTheme="minorHAnsi" w:cstheme="minorHAnsi"/>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A3B2937" w14:textId="02CCDA98" w:rsidR="00D97548" w:rsidRPr="00361D52" w:rsidRDefault="00514F8E" w:rsidP="000F71CE">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572150" w:rsidRPr="00361D52">
              <w:rPr>
                <w:rFonts w:asciiTheme="minorHAnsi" w:hAnsiTheme="minorHAnsi" w:cstheme="minorHAnsi"/>
                <w:bCs/>
                <w:snapToGrid w:val="0"/>
                <w:sz w:val="18"/>
                <w:szCs w:val="18"/>
              </w:rPr>
              <w:t>he PBAC rescinded the July 2020 recommendation for enoxaparin.</w:t>
            </w:r>
          </w:p>
        </w:tc>
      </w:tr>
      <w:tr w:rsidR="00D97548" w:rsidRPr="00D232DC" w14:paraId="382E0067"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9D2A3DA" w14:textId="77777777" w:rsidR="00D97548"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FREMANEZUMAB </w:t>
            </w:r>
          </w:p>
          <w:p w14:paraId="2DABB83A" w14:textId="77777777" w:rsidR="000F71CE" w:rsidRPr="00B0619C" w:rsidRDefault="000F71CE" w:rsidP="00D5372A">
            <w:pPr>
              <w:jc w:val="center"/>
              <w:rPr>
                <w:rFonts w:asciiTheme="minorHAnsi" w:hAnsiTheme="minorHAnsi" w:cstheme="minorHAnsi"/>
                <w:color w:val="000000"/>
                <w:sz w:val="18"/>
                <w:szCs w:val="18"/>
              </w:rPr>
            </w:pPr>
          </w:p>
          <w:p w14:paraId="60E4C0C1" w14:textId="50D35B87" w:rsidR="00D97548"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Solution for injection 225</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single dose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p>
          <w:p w14:paraId="35E6991E" w14:textId="77777777" w:rsidR="000F71CE" w:rsidRPr="00B0619C" w:rsidRDefault="000F71CE" w:rsidP="00D5372A">
            <w:pPr>
              <w:jc w:val="center"/>
              <w:rPr>
                <w:rFonts w:asciiTheme="minorHAnsi" w:hAnsiTheme="minorHAnsi" w:cstheme="minorHAnsi"/>
                <w:color w:val="000000"/>
                <w:sz w:val="18"/>
                <w:szCs w:val="18"/>
              </w:rPr>
            </w:pPr>
          </w:p>
          <w:p w14:paraId="42C38ECB" w14:textId="576B2441" w:rsidR="00D97548" w:rsidRDefault="00D97548" w:rsidP="000F71CE">
            <w:pPr>
              <w:jc w:val="center"/>
              <w:rPr>
                <w:rFonts w:asciiTheme="minorHAnsi" w:hAnsiTheme="minorHAnsi" w:cstheme="minorHAnsi"/>
                <w:color w:val="000000"/>
                <w:sz w:val="18"/>
                <w:szCs w:val="18"/>
                <w:vertAlign w:val="superscript"/>
              </w:rPr>
            </w:pPr>
            <w:r w:rsidRPr="00B0619C">
              <w:rPr>
                <w:rFonts w:asciiTheme="minorHAnsi" w:hAnsiTheme="minorHAnsi" w:cstheme="minorHAnsi"/>
                <w:color w:val="000000"/>
                <w:sz w:val="18"/>
                <w:szCs w:val="18"/>
              </w:rPr>
              <w:t>Ajovy</w:t>
            </w:r>
            <w:r w:rsidR="001165DD" w:rsidRPr="001165DD">
              <w:rPr>
                <w:rFonts w:asciiTheme="minorHAnsi" w:hAnsiTheme="minorHAnsi" w:cstheme="minorHAnsi"/>
                <w:color w:val="000000"/>
                <w:sz w:val="18"/>
                <w:szCs w:val="18"/>
              </w:rPr>
              <w:t>®</w:t>
            </w:r>
          </w:p>
          <w:p w14:paraId="3FF93A50" w14:textId="77777777" w:rsidR="000F71CE" w:rsidRPr="00B0619C" w:rsidRDefault="000F71CE" w:rsidP="00D5372A">
            <w:pPr>
              <w:jc w:val="center"/>
              <w:rPr>
                <w:rFonts w:asciiTheme="minorHAnsi" w:hAnsiTheme="minorHAnsi" w:cstheme="minorHAnsi"/>
                <w:color w:val="000000"/>
                <w:sz w:val="18"/>
                <w:szCs w:val="18"/>
              </w:rPr>
            </w:pPr>
          </w:p>
          <w:p w14:paraId="23623975" w14:textId="696FA4C5" w:rsidR="00D97548" w:rsidRPr="00B0619C" w:rsidRDefault="00D97548" w:rsidP="000F71CE">
            <w:pPr>
              <w:jc w:val="center"/>
              <w:rPr>
                <w:rFonts w:asciiTheme="minorHAnsi" w:hAnsiTheme="minorHAnsi" w:cstheme="minorHAnsi"/>
                <w:snapToGrid w:val="0"/>
                <w:sz w:val="18"/>
                <w:szCs w:val="18"/>
              </w:rPr>
            </w:pPr>
            <w:r w:rsidRPr="00B0619C">
              <w:rPr>
                <w:rFonts w:asciiTheme="minorHAnsi" w:hAnsiTheme="minorHAnsi" w:cstheme="minorHAnsi"/>
                <w:color w:val="000000"/>
                <w:sz w:val="18"/>
                <w:szCs w:val="18"/>
              </w:rPr>
              <w:t>Teva Pharma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F08D567" w14:textId="1AEE732A" w:rsidR="00D97548" w:rsidRPr="00B0619C" w:rsidRDefault="00D97548" w:rsidP="000F71CE">
            <w:pPr>
              <w:widowControl w:val="0"/>
              <w:jc w:val="center"/>
              <w:rPr>
                <w:rFonts w:asciiTheme="minorHAnsi" w:hAnsiTheme="minorHAnsi" w:cstheme="minorHAnsi"/>
                <w:snapToGrid w:val="0"/>
                <w:sz w:val="18"/>
                <w:szCs w:val="18"/>
              </w:rPr>
            </w:pPr>
            <w:r w:rsidRPr="00B0619C">
              <w:rPr>
                <w:rFonts w:asciiTheme="minorHAnsi" w:hAnsiTheme="minorHAnsi" w:cstheme="minorHAnsi"/>
                <w:bCs/>
                <w:sz w:val="18"/>
                <w:szCs w:val="18"/>
              </w:rPr>
              <w:t>Treatment</w:t>
            </w:r>
            <w:r w:rsidR="001165DD" w:rsidRPr="001165DD">
              <w:rPr>
                <w:rFonts w:asciiTheme="minorHAnsi" w:hAnsiTheme="minorHAnsi" w:cstheme="minorHAnsi"/>
                <w:bCs/>
                <w:sz w:val="18"/>
                <w:szCs w:val="18"/>
              </w:rPr>
              <w:noBreakHyphen/>
            </w:r>
            <w:r w:rsidRPr="00B0619C">
              <w:rPr>
                <w:rFonts w:asciiTheme="minorHAnsi" w:hAnsiTheme="minorHAnsi" w:cstheme="minorHAnsi"/>
                <w:bCs/>
                <w:sz w:val="18"/>
                <w:szCs w:val="18"/>
              </w:rPr>
              <w:t>resistant migraine (change to maximum quantity and number of repeats)</w:t>
            </w:r>
          </w:p>
        </w:tc>
        <w:tc>
          <w:tcPr>
            <w:tcW w:w="1197" w:type="pct"/>
            <w:tcBorders>
              <w:top w:val="single" w:sz="4" w:space="0" w:color="auto"/>
              <w:left w:val="nil"/>
              <w:bottom w:val="single" w:sz="4" w:space="0" w:color="auto"/>
              <w:right w:val="single" w:sz="4" w:space="0" w:color="auto"/>
            </w:tcBorders>
            <w:shd w:val="clear" w:color="auto" w:fill="auto"/>
            <w:vAlign w:val="center"/>
          </w:tcPr>
          <w:p w14:paraId="50EF9487" w14:textId="77777777" w:rsidR="00D97548" w:rsidRPr="00B0619C" w:rsidRDefault="00D97548" w:rsidP="000F71CE">
            <w:pPr>
              <w:widowControl w:val="0"/>
              <w:jc w:val="center"/>
              <w:rPr>
                <w:rFonts w:asciiTheme="minorHAnsi" w:hAnsiTheme="minorHAnsi" w:cstheme="minorHAnsi"/>
                <w:bCs/>
                <w:snapToGrid w:val="0"/>
                <w:color w:val="000000"/>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221DD28" w14:textId="50EE161D" w:rsidR="00D97548" w:rsidRPr="00361D52" w:rsidRDefault="00514F8E" w:rsidP="000F71CE">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rescinded the March 2022 recommendation for fremanezumab.</w:t>
            </w:r>
          </w:p>
        </w:tc>
      </w:tr>
      <w:tr w:rsidR="00D97548" w:rsidRPr="00D232DC" w14:paraId="52109C4F"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115EF4D" w14:textId="048A5E0A" w:rsidR="00D97548"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GALCANEZUMAB</w:t>
            </w:r>
          </w:p>
          <w:p w14:paraId="0BA0944B" w14:textId="77777777" w:rsidR="000F71CE" w:rsidRPr="00B0619C" w:rsidRDefault="000F71CE" w:rsidP="00D5372A">
            <w:pPr>
              <w:jc w:val="center"/>
              <w:rPr>
                <w:rFonts w:asciiTheme="minorHAnsi" w:hAnsiTheme="minorHAnsi" w:cstheme="minorHAnsi"/>
                <w:color w:val="000000"/>
                <w:sz w:val="18"/>
                <w:szCs w:val="18"/>
              </w:rPr>
            </w:pPr>
          </w:p>
          <w:p w14:paraId="518A2B59" w14:textId="412DAD07" w:rsidR="00D97548"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Injection 120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p>
          <w:p w14:paraId="7AE24A24" w14:textId="77777777" w:rsidR="000F71CE" w:rsidRPr="00B0619C" w:rsidRDefault="000F71CE" w:rsidP="00D5372A">
            <w:pPr>
              <w:jc w:val="center"/>
              <w:rPr>
                <w:rFonts w:asciiTheme="minorHAnsi" w:hAnsiTheme="minorHAnsi" w:cstheme="minorHAnsi"/>
                <w:color w:val="000000"/>
                <w:sz w:val="18"/>
                <w:szCs w:val="18"/>
              </w:rPr>
            </w:pPr>
          </w:p>
          <w:p w14:paraId="3CADCF06" w14:textId="1053C501" w:rsidR="00D97548" w:rsidRDefault="00D97548" w:rsidP="000F71CE">
            <w:pPr>
              <w:jc w:val="center"/>
              <w:rPr>
                <w:rFonts w:asciiTheme="minorHAnsi" w:hAnsiTheme="minorHAnsi" w:cstheme="minorHAnsi"/>
                <w:color w:val="000000"/>
                <w:sz w:val="18"/>
                <w:szCs w:val="18"/>
                <w:vertAlign w:val="superscript"/>
              </w:rPr>
            </w:pPr>
            <w:proofErr w:type="spellStart"/>
            <w:r w:rsidRPr="00B0619C">
              <w:rPr>
                <w:rFonts w:asciiTheme="minorHAnsi" w:hAnsiTheme="minorHAnsi" w:cstheme="minorHAnsi"/>
                <w:color w:val="000000"/>
                <w:sz w:val="18"/>
                <w:szCs w:val="18"/>
              </w:rPr>
              <w:t>Emgality</w:t>
            </w:r>
            <w:proofErr w:type="spellEnd"/>
            <w:r w:rsidR="001165DD" w:rsidRPr="001165DD">
              <w:rPr>
                <w:rFonts w:asciiTheme="minorHAnsi" w:hAnsiTheme="minorHAnsi" w:cstheme="minorHAnsi"/>
                <w:color w:val="000000"/>
                <w:sz w:val="18"/>
                <w:szCs w:val="18"/>
              </w:rPr>
              <w:t>®</w:t>
            </w:r>
          </w:p>
          <w:p w14:paraId="01A89BBF" w14:textId="77777777" w:rsidR="000F71CE" w:rsidRPr="00B0619C" w:rsidRDefault="000F71CE" w:rsidP="00D5372A">
            <w:pPr>
              <w:jc w:val="center"/>
              <w:rPr>
                <w:rFonts w:asciiTheme="minorHAnsi" w:hAnsiTheme="minorHAnsi" w:cstheme="minorHAnsi"/>
                <w:color w:val="000000"/>
                <w:sz w:val="18"/>
                <w:szCs w:val="18"/>
              </w:rPr>
            </w:pPr>
          </w:p>
          <w:p w14:paraId="471EC5E8" w14:textId="7EA0309E" w:rsidR="00D97548" w:rsidRPr="00B0619C" w:rsidRDefault="00D97548" w:rsidP="000F71CE">
            <w:pPr>
              <w:jc w:val="center"/>
              <w:rPr>
                <w:rFonts w:asciiTheme="minorHAnsi" w:hAnsiTheme="minorHAnsi" w:cstheme="minorHAnsi"/>
                <w:snapToGrid w:val="0"/>
                <w:color w:val="FF0000"/>
                <w:sz w:val="18"/>
                <w:szCs w:val="18"/>
              </w:rPr>
            </w:pPr>
            <w:r w:rsidRPr="00B0619C">
              <w:rPr>
                <w:rFonts w:asciiTheme="minorHAnsi" w:hAnsiTheme="minorHAnsi" w:cstheme="minorHAnsi"/>
                <w:color w:val="000000"/>
                <w:sz w:val="18"/>
                <w:szCs w:val="18"/>
              </w:rPr>
              <w:t>Eli Lilly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29B374B" w14:textId="6974437D" w:rsidR="00D97548" w:rsidRPr="00B0619C" w:rsidRDefault="00D97548" w:rsidP="000F71CE">
            <w:pPr>
              <w:widowControl w:val="0"/>
              <w:jc w:val="center"/>
              <w:rPr>
                <w:rFonts w:asciiTheme="minorHAnsi" w:hAnsiTheme="minorHAnsi" w:cstheme="minorHAnsi"/>
                <w:snapToGrid w:val="0"/>
                <w:color w:val="FF0000"/>
                <w:sz w:val="18"/>
                <w:szCs w:val="18"/>
              </w:rPr>
            </w:pPr>
            <w:r w:rsidRPr="00B0619C">
              <w:rPr>
                <w:rFonts w:asciiTheme="minorHAnsi" w:hAnsiTheme="minorHAnsi" w:cstheme="minorHAnsi"/>
                <w:bCs/>
                <w:sz w:val="18"/>
                <w:szCs w:val="18"/>
              </w:rPr>
              <w:t>Treatment</w:t>
            </w:r>
            <w:r w:rsidR="001165DD" w:rsidRPr="001165DD">
              <w:rPr>
                <w:rFonts w:asciiTheme="minorHAnsi" w:hAnsiTheme="minorHAnsi" w:cstheme="minorHAnsi"/>
                <w:bCs/>
                <w:sz w:val="18"/>
                <w:szCs w:val="18"/>
              </w:rPr>
              <w:noBreakHyphen/>
            </w:r>
            <w:r w:rsidRPr="00B0619C">
              <w:rPr>
                <w:rFonts w:asciiTheme="minorHAnsi" w:hAnsiTheme="minorHAnsi" w:cstheme="minorHAnsi"/>
                <w:bCs/>
                <w:sz w:val="18"/>
                <w:szCs w:val="18"/>
              </w:rPr>
              <w:t>resistant high frequency episodic migraine</w:t>
            </w:r>
          </w:p>
        </w:tc>
        <w:tc>
          <w:tcPr>
            <w:tcW w:w="1197" w:type="pct"/>
            <w:tcBorders>
              <w:top w:val="single" w:sz="4" w:space="0" w:color="auto"/>
              <w:left w:val="nil"/>
              <w:bottom w:val="single" w:sz="4" w:space="0" w:color="auto"/>
              <w:right w:val="single" w:sz="4" w:space="0" w:color="auto"/>
            </w:tcBorders>
            <w:shd w:val="clear" w:color="auto" w:fill="auto"/>
            <w:vAlign w:val="center"/>
          </w:tcPr>
          <w:p w14:paraId="17A4DBD7" w14:textId="77777777" w:rsidR="00D97548" w:rsidRPr="00B0619C" w:rsidRDefault="00D97548" w:rsidP="000F71CE">
            <w:pPr>
              <w:widowControl w:val="0"/>
              <w:jc w:val="center"/>
              <w:rPr>
                <w:rFonts w:asciiTheme="minorHAnsi" w:hAnsiTheme="minorHAnsi" w:cstheme="minorHAnsi"/>
                <w:bCs/>
                <w:snapToGrid w:val="0"/>
                <w:color w:val="000000"/>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A92854D" w14:textId="67ADCD99" w:rsidR="00D97548" w:rsidRPr="00361D52" w:rsidRDefault="00514F8E" w:rsidP="000F71CE">
            <w:pPr>
              <w:widowControl w:val="0"/>
              <w:jc w:val="center"/>
              <w:rPr>
                <w:rFonts w:asciiTheme="minorHAnsi" w:hAnsiTheme="minorHAnsi" w:cstheme="minorHAnsi"/>
                <w:bCs/>
                <w:snapToGrid w:val="0"/>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extended the March 2022 recommendation for galcanezumab for an additional 12 months.</w:t>
            </w:r>
          </w:p>
        </w:tc>
      </w:tr>
      <w:tr w:rsidR="00D97548" w:rsidRPr="00D232DC" w14:paraId="079EC6AC"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01ED371" w14:textId="77777777"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GLYCOMACROPEPTIDE FORMULA WITH AMINO ACIDS, CARBOHYDRATES, MINERALS AND LOW PHENYLALANINE</w:t>
            </w:r>
          </w:p>
          <w:p w14:paraId="09A23D8B" w14:textId="3657AC14"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 xml:space="preserve">Sachets containing oral powder 12.5 g, 30 (PKU </w:t>
            </w:r>
            <w:proofErr w:type="spellStart"/>
            <w:r w:rsidRPr="00B0619C">
              <w:rPr>
                <w:rFonts w:asciiTheme="minorHAnsi" w:hAnsiTheme="minorHAnsi" w:cstheme="minorHAnsi"/>
                <w:color w:val="000000"/>
                <w:sz w:val="18"/>
                <w:szCs w:val="18"/>
              </w:rPr>
              <w:t>GMPro</w:t>
            </w:r>
            <w:proofErr w:type="spellEnd"/>
            <w:r w:rsidRPr="00B0619C">
              <w:rPr>
                <w:rFonts w:asciiTheme="minorHAnsi" w:hAnsiTheme="minorHAnsi" w:cstheme="minorHAnsi"/>
                <w:color w:val="000000"/>
                <w:sz w:val="18"/>
                <w:szCs w:val="18"/>
              </w:rPr>
              <w:t xml:space="preserve"> Mix</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In)</w:t>
            </w:r>
          </w:p>
          <w:p w14:paraId="301FA669" w14:textId="77777777" w:rsidR="00D97548" w:rsidRPr="00B0619C" w:rsidRDefault="00D97548" w:rsidP="000F71CE">
            <w:pPr>
              <w:jc w:val="center"/>
              <w:rPr>
                <w:rFonts w:asciiTheme="minorHAnsi" w:hAnsiTheme="minorHAnsi" w:cstheme="minorHAnsi"/>
                <w:color w:val="000000"/>
                <w:sz w:val="18"/>
                <w:szCs w:val="18"/>
              </w:rPr>
            </w:pPr>
          </w:p>
          <w:p w14:paraId="493FC45D" w14:textId="645915C7" w:rsidR="00D97548" w:rsidRDefault="00D97548" w:rsidP="000F71CE">
            <w:pPr>
              <w:jc w:val="center"/>
              <w:rPr>
                <w:rFonts w:asciiTheme="minorHAnsi" w:hAnsiTheme="minorHAnsi" w:cstheme="minorHAnsi"/>
                <w:color w:val="000000"/>
                <w:sz w:val="18"/>
                <w:szCs w:val="18"/>
                <w:vertAlign w:val="superscript"/>
              </w:rPr>
            </w:pPr>
            <w:r w:rsidRPr="00B0619C">
              <w:rPr>
                <w:rFonts w:asciiTheme="minorHAnsi" w:hAnsiTheme="minorHAnsi" w:cstheme="minorHAnsi"/>
                <w:color w:val="000000"/>
                <w:sz w:val="18"/>
                <w:szCs w:val="18"/>
              </w:rPr>
              <w:t xml:space="preserve">PKU </w:t>
            </w:r>
            <w:proofErr w:type="spellStart"/>
            <w:r w:rsidRPr="00B0619C">
              <w:rPr>
                <w:rFonts w:asciiTheme="minorHAnsi" w:hAnsiTheme="minorHAnsi" w:cstheme="minorHAnsi"/>
                <w:color w:val="000000"/>
                <w:sz w:val="18"/>
                <w:szCs w:val="18"/>
              </w:rPr>
              <w:t>GMPro</w:t>
            </w:r>
            <w:proofErr w:type="spellEnd"/>
            <w:r w:rsidRPr="00B0619C">
              <w:rPr>
                <w:rFonts w:asciiTheme="minorHAnsi" w:hAnsiTheme="minorHAnsi" w:cstheme="minorHAnsi"/>
                <w:color w:val="000000"/>
                <w:sz w:val="18"/>
                <w:szCs w:val="18"/>
              </w:rPr>
              <w:t xml:space="preserve"> Mix</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In</w:t>
            </w:r>
            <w:r w:rsidR="001165DD" w:rsidRPr="001165DD">
              <w:rPr>
                <w:rFonts w:asciiTheme="minorHAnsi" w:hAnsiTheme="minorHAnsi" w:cstheme="minorHAnsi"/>
                <w:color w:val="000000"/>
                <w:sz w:val="18"/>
                <w:szCs w:val="18"/>
              </w:rPr>
              <w:t>®</w:t>
            </w:r>
          </w:p>
          <w:p w14:paraId="799286B3" w14:textId="77777777" w:rsidR="000F71CE" w:rsidRPr="00B0619C" w:rsidRDefault="000F71CE" w:rsidP="00D5372A">
            <w:pPr>
              <w:jc w:val="center"/>
              <w:rPr>
                <w:rFonts w:asciiTheme="minorHAnsi" w:hAnsiTheme="minorHAnsi" w:cstheme="minorHAnsi"/>
                <w:color w:val="000000"/>
                <w:sz w:val="18"/>
                <w:szCs w:val="18"/>
              </w:rPr>
            </w:pPr>
          </w:p>
          <w:p w14:paraId="1415509E" w14:textId="6299E73C" w:rsidR="00D97548" w:rsidRPr="00B0619C" w:rsidRDefault="00D97548"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t>Nutricia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0C2735A" w14:textId="5294CDB7" w:rsidR="00D97548" w:rsidRPr="00B0619C" w:rsidRDefault="00D97548" w:rsidP="000F71CE">
            <w:pPr>
              <w:widowControl w:val="0"/>
              <w:jc w:val="center"/>
              <w:rPr>
                <w:rFonts w:asciiTheme="minorHAnsi" w:hAnsiTheme="minorHAnsi" w:cstheme="minorHAnsi"/>
                <w:sz w:val="18"/>
                <w:szCs w:val="18"/>
              </w:rPr>
            </w:pPr>
            <w:r w:rsidRPr="00B0619C">
              <w:rPr>
                <w:rFonts w:asciiTheme="minorHAnsi" w:hAnsiTheme="minorHAnsi" w:cstheme="minorHAnsi"/>
                <w:bCs/>
                <w:sz w:val="18"/>
                <w:szCs w:val="18"/>
              </w:rPr>
              <w:t>Phenylketonuria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0ECFEEC8" w14:textId="77777777" w:rsidR="00D97548" w:rsidRPr="00B0619C" w:rsidRDefault="00D97548" w:rsidP="000F71CE">
            <w:pPr>
              <w:widowControl w:val="0"/>
              <w:jc w:val="center"/>
              <w:rPr>
                <w:rFonts w:asciiTheme="minorHAnsi" w:hAnsiTheme="minorHAnsi" w:cstheme="minorHAnsi"/>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A083324" w14:textId="286B36C7" w:rsidR="00D97548"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A84CB3">
              <w:rPr>
                <w:rFonts w:asciiTheme="minorHAnsi" w:hAnsiTheme="minorHAnsi" w:cstheme="minorHAnsi"/>
                <w:sz w:val="18"/>
                <w:szCs w:val="18"/>
              </w:rPr>
              <w:t xml:space="preserve">he PBAC extended the March 2022 recommendation for glycomacropeptide formula with amino acids, carbohydrates, </w:t>
            </w:r>
            <w:proofErr w:type="gramStart"/>
            <w:r w:rsidR="00915F1E" w:rsidRPr="00A84CB3">
              <w:rPr>
                <w:rFonts w:asciiTheme="minorHAnsi" w:hAnsiTheme="minorHAnsi" w:cstheme="minorHAnsi"/>
                <w:sz w:val="18"/>
                <w:szCs w:val="18"/>
              </w:rPr>
              <w:t>minerals</w:t>
            </w:r>
            <w:proofErr w:type="gramEnd"/>
            <w:r w:rsidR="00915F1E" w:rsidRPr="00A84CB3">
              <w:rPr>
                <w:rFonts w:asciiTheme="minorHAnsi" w:hAnsiTheme="minorHAnsi" w:cstheme="minorHAnsi"/>
                <w:sz w:val="18"/>
                <w:szCs w:val="18"/>
              </w:rPr>
              <w:t xml:space="preserve"> and low phenylalanine for an additional 12 months.</w:t>
            </w:r>
          </w:p>
        </w:tc>
      </w:tr>
      <w:tr w:rsidR="00D97548" w:rsidRPr="00D232DC" w14:paraId="6E29C249"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A072A8C" w14:textId="77777777"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GLYCOMACROPEPTIDE FORMULA WITH AMINO ACIDS, VITAMINS, MINERALS, TRACE ELEMENTS, CARBOHYDRATE, FAT AND LOW PHENYLALANINE</w:t>
            </w:r>
          </w:p>
          <w:p w14:paraId="1FF8016C" w14:textId="77777777"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 xml:space="preserve">Sachets containing oral powder 33.4 g, 30 (PKU </w:t>
            </w:r>
            <w:proofErr w:type="spellStart"/>
            <w:r w:rsidRPr="00B0619C">
              <w:rPr>
                <w:rFonts w:asciiTheme="minorHAnsi" w:hAnsiTheme="minorHAnsi" w:cstheme="minorHAnsi"/>
                <w:color w:val="000000"/>
                <w:sz w:val="18"/>
                <w:szCs w:val="18"/>
              </w:rPr>
              <w:t>GMPro</w:t>
            </w:r>
            <w:proofErr w:type="spellEnd"/>
            <w:r w:rsidRPr="00B0619C">
              <w:rPr>
                <w:rFonts w:asciiTheme="minorHAnsi" w:hAnsiTheme="minorHAnsi" w:cstheme="minorHAnsi"/>
                <w:color w:val="000000"/>
                <w:sz w:val="18"/>
                <w:szCs w:val="18"/>
              </w:rPr>
              <w:t xml:space="preserve"> ULTRA)</w:t>
            </w:r>
          </w:p>
          <w:p w14:paraId="085B476E" w14:textId="77777777" w:rsidR="00D97548" w:rsidRPr="00B0619C" w:rsidRDefault="00D97548" w:rsidP="000F71CE">
            <w:pPr>
              <w:jc w:val="center"/>
              <w:rPr>
                <w:rFonts w:asciiTheme="minorHAnsi" w:hAnsiTheme="minorHAnsi" w:cstheme="minorHAnsi"/>
                <w:color w:val="000000"/>
                <w:sz w:val="18"/>
                <w:szCs w:val="18"/>
              </w:rPr>
            </w:pPr>
          </w:p>
          <w:p w14:paraId="30D00D78" w14:textId="5064C633"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PKU </w:t>
            </w:r>
            <w:proofErr w:type="spellStart"/>
            <w:r w:rsidRPr="00B0619C">
              <w:rPr>
                <w:rFonts w:asciiTheme="minorHAnsi" w:hAnsiTheme="minorHAnsi" w:cstheme="minorHAnsi"/>
                <w:color w:val="000000"/>
                <w:sz w:val="18"/>
                <w:szCs w:val="18"/>
              </w:rPr>
              <w:t>GMPro</w:t>
            </w:r>
            <w:proofErr w:type="spellEnd"/>
            <w:r w:rsidRPr="00B0619C">
              <w:rPr>
                <w:rFonts w:asciiTheme="minorHAnsi" w:hAnsiTheme="minorHAnsi" w:cstheme="minorHAnsi"/>
                <w:color w:val="000000"/>
                <w:sz w:val="18"/>
                <w:szCs w:val="18"/>
              </w:rPr>
              <w:t xml:space="preserve"> ULTRA</w:t>
            </w:r>
            <w:r w:rsidR="001165DD" w:rsidRPr="001165DD">
              <w:rPr>
                <w:rFonts w:asciiTheme="minorHAnsi" w:hAnsiTheme="minorHAnsi" w:cstheme="minorHAnsi"/>
                <w:color w:val="000000"/>
                <w:sz w:val="18"/>
                <w:szCs w:val="18"/>
              </w:rPr>
              <w:t>®</w:t>
            </w:r>
          </w:p>
          <w:p w14:paraId="06C78749" w14:textId="349C085B" w:rsidR="00D97548" w:rsidRPr="00B0619C" w:rsidRDefault="00D97548"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br/>
              <w:t>Nutricia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F9DC21A" w14:textId="476770EE" w:rsidR="00D97548" w:rsidRPr="00B0619C" w:rsidRDefault="00D97548" w:rsidP="000F71CE">
            <w:pPr>
              <w:widowControl w:val="0"/>
              <w:jc w:val="center"/>
              <w:rPr>
                <w:rFonts w:asciiTheme="minorHAnsi" w:hAnsiTheme="minorHAnsi" w:cstheme="minorHAnsi"/>
                <w:bCs/>
                <w:sz w:val="18"/>
                <w:szCs w:val="18"/>
              </w:rPr>
            </w:pPr>
            <w:r w:rsidRPr="00B0619C">
              <w:rPr>
                <w:rFonts w:asciiTheme="minorHAnsi" w:hAnsiTheme="minorHAnsi" w:cstheme="minorHAnsi"/>
                <w:bCs/>
                <w:sz w:val="18"/>
                <w:szCs w:val="18"/>
              </w:rPr>
              <w:t>Phenylketonuria</w:t>
            </w:r>
          </w:p>
        </w:tc>
        <w:tc>
          <w:tcPr>
            <w:tcW w:w="1197" w:type="pct"/>
            <w:tcBorders>
              <w:top w:val="single" w:sz="4" w:space="0" w:color="auto"/>
              <w:left w:val="nil"/>
              <w:bottom w:val="single" w:sz="4" w:space="0" w:color="auto"/>
              <w:right w:val="single" w:sz="4" w:space="0" w:color="auto"/>
            </w:tcBorders>
            <w:shd w:val="clear" w:color="auto" w:fill="auto"/>
            <w:vAlign w:val="center"/>
          </w:tcPr>
          <w:p w14:paraId="522C3D54" w14:textId="77777777" w:rsidR="00D97548" w:rsidRPr="00B0619C" w:rsidRDefault="00D97548" w:rsidP="000F71CE">
            <w:pPr>
              <w:jc w:val="center"/>
              <w:rPr>
                <w:rFonts w:asciiTheme="minorHAnsi" w:hAnsiTheme="minorHAnsi" w:cstheme="minorHAnsi"/>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0639B036" w14:textId="0A288E5A" w:rsidR="00D97548"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A84CB3">
              <w:rPr>
                <w:rFonts w:asciiTheme="minorHAnsi" w:hAnsiTheme="minorHAnsi" w:cstheme="minorHAnsi"/>
                <w:sz w:val="18"/>
                <w:szCs w:val="18"/>
              </w:rPr>
              <w:t xml:space="preserve">he PBAC extended the March 2022 recommendation for glycomacropeptide formula with amino acids, vitamins, minerals, trace elements, carbohydrate, </w:t>
            </w:r>
            <w:proofErr w:type="gramStart"/>
            <w:r w:rsidR="00915F1E" w:rsidRPr="00A84CB3">
              <w:rPr>
                <w:rFonts w:asciiTheme="minorHAnsi" w:hAnsiTheme="minorHAnsi" w:cstheme="minorHAnsi"/>
                <w:sz w:val="18"/>
                <w:szCs w:val="18"/>
              </w:rPr>
              <w:t>fat</w:t>
            </w:r>
            <w:proofErr w:type="gramEnd"/>
            <w:r w:rsidR="00915F1E" w:rsidRPr="00A84CB3">
              <w:rPr>
                <w:rFonts w:asciiTheme="minorHAnsi" w:hAnsiTheme="minorHAnsi" w:cstheme="minorHAnsi"/>
                <w:sz w:val="18"/>
                <w:szCs w:val="18"/>
              </w:rPr>
              <w:t xml:space="preserve"> and low phenylalanine for an additional 12 months.</w:t>
            </w:r>
          </w:p>
        </w:tc>
      </w:tr>
      <w:tr w:rsidR="00D97548" w:rsidRPr="00D232DC" w14:paraId="30D5F478"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AD5DB10" w14:textId="77777777"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OZANIMOD </w:t>
            </w:r>
          </w:p>
          <w:p w14:paraId="6941C582" w14:textId="77777777"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Capsule 920 micrograms</w:t>
            </w:r>
            <w:r w:rsidRPr="00B0619C">
              <w:rPr>
                <w:rFonts w:asciiTheme="minorHAnsi" w:hAnsiTheme="minorHAnsi" w:cstheme="minorHAnsi"/>
                <w:color w:val="000000"/>
                <w:sz w:val="18"/>
                <w:szCs w:val="18"/>
              </w:rPr>
              <w:br/>
              <w:t>Pack containing 4 capsules 230 micrograms and 3 capsules 460 micrograms</w:t>
            </w:r>
          </w:p>
          <w:p w14:paraId="1B42FE1F" w14:textId="77777777" w:rsidR="00D97548" w:rsidRPr="00B0619C" w:rsidRDefault="00D97548"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Zeposia</w:t>
            </w:r>
            <w:proofErr w:type="spellEnd"/>
            <w:r w:rsidRPr="00B0619C">
              <w:rPr>
                <w:rFonts w:asciiTheme="minorHAnsi" w:hAnsiTheme="minorHAnsi" w:cstheme="minorHAnsi"/>
                <w:color w:val="000000"/>
                <w:sz w:val="18"/>
                <w:szCs w:val="18"/>
              </w:rPr>
              <w:t>®</w:t>
            </w:r>
          </w:p>
          <w:p w14:paraId="5EC64CE1" w14:textId="20106E82" w:rsidR="00D97548" w:rsidRPr="00B0619C" w:rsidRDefault="00D97548"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br/>
              <w:t>Celgene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8803B49" w14:textId="1094277F" w:rsidR="00D97548" w:rsidRPr="00B0619C" w:rsidRDefault="00D97548" w:rsidP="000F71CE">
            <w:pPr>
              <w:widowControl w:val="0"/>
              <w:jc w:val="center"/>
              <w:rPr>
                <w:rFonts w:asciiTheme="minorHAnsi" w:hAnsiTheme="minorHAnsi" w:cstheme="minorHAnsi"/>
                <w:bCs/>
                <w:sz w:val="18"/>
                <w:szCs w:val="18"/>
              </w:rPr>
            </w:pPr>
            <w:r w:rsidRPr="00B0619C">
              <w:rPr>
                <w:rFonts w:asciiTheme="minorHAnsi" w:hAnsiTheme="minorHAnsi" w:cstheme="minorHAnsi"/>
                <w:bCs/>
                <w:sz w:val="18"/>
                <w:szCs w:val="18"/>
              </w:rPr>
              <w:t>Ulcerative colitis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6F60C5" w14:textId="77777777" w:rsidR="00D97548" w:rsidRPr="00B0619C" w:rsidRDefault="00D97548" w:rsidP="000F71CE">
            <w:pPr>
              <w:jc w:val="center"/>
              <w:rPr>
                <w:rFonts w:asciiTheme="minorHAnsi" w:hAnsiTheme="minorHAnsi" w:cstheme="minorHAnsi"/>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4DE04C25" w14:textId="02C30CFB" w:rsidR="00D97548"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A84CB3">
              <w:rPr>
                <w:rFonts w:asciiTheme="minorHAnsi" w:hAnsiTheme="minorHAnsi" w:cstheme="minorHAnsi"/>
                <w:sz w:val="18"/>
                <w:szCs w:val="18"/>
              </w:rPr>
              <w:t>he PBAC rescinded the March 2022 recommendation for ozanimod.</w:t>
            </w:r>
          </w:p>
        </w:tc>
      </w:tr>
      <w:tr w:rsidR="00B0619C" w:rsidRPr="00D232DC" w14:paraId="1C7CC982" w14:textId="77777777">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92EC242" w14:textId="77777777" w:rsidR="00B0619C" w:rsidRPr="00B0619C" w:rsidRDefault="00B0619C"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RABEPRAZOLE </w:t>
            </w:r>
          </w:p>
          <w:p w14:paraId="51DF321F" w14:textId="3A68E4EF" w:rsidR="00B0619C" w:rsidRPr="00B0619C" w:rsidRDefault="00B0619C"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Tablet containing rabeprazole sodium 20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(enteric coated)</w:t>
            </w:r>
          </w:p>
          <w:p w14:paraId="7A92A86C" w14:textId="77777777" w:rsidR="00B0619C" w:rsidRPr="00B0619C" w:rsidRDefault="00B0619C"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Pariet</w:t>
            </w:r>
            <w:proofErr w:type="spellEnd"/>
            <w:r w:rsidRPr="00B0619C">
              <w:rPr>
                <w:rFonts w:asciiTheme="minorHAnsi" w:hAnsiTheme="minorHAnsi" w:cstheme="minorHAnsi"/>
                <w:color w:val="000000"/>
                <w:sz w:val="18"/>
                <w:szCs w:val="18"/>
              </w:rPr>
              <w:t>®</w:t>
            </w:r>
          </w:p>
          <w:p w14:paraId="6E6AFE75" w14:textId="715691FE" w:rsidR="00B0619C" w:rsidRPr="00B0619C" w:rsidRDefault="00B0619C"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br/>
              <w:t>Janssen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Cilag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9B0D348" w14:textId="5B337D78" w:rsidR="00B0619C" w:rsidRPr="00B0619C" w:rsidRDefault="00B0619C" w:rsidP="000F71CE">
            <w:pPr>
              <w:widowControl w:val="0"/>
              <w:jc w:val="center"/>
              <w:rPr>
                <w:rFonts w:asciiTheme="minorHAnsi" w:hAnsiTheme="minorHAnsi" w:cstheme="minorHAnsi"/>
                <w:bCs/>
                <w:sz w:val="18"/>
                <w:szCs w:val="18"/>
              </w:rPr>
            </w:pPr>
            <w:r w:rsidRPr="00B0619C">
              <w:rPr>
                <w:rFonts w:asciiTheme="minorHAnsi" w:hAnsiTheme="minorHAnsi" w:cstheme="minorHAnsi"/>
                <w:bCs/>
                <w:sz w:val="18"/>
                <w:szCs w:val="18"/>
              </w:rPr>
              <w:t>Gastro</w:t>
            </w:r>
            <w:r w:rsidR="001165DD" w:rsidRPr="001165DD">
              <w:rPr>
                <w:rFonts w:asciiTheme="minorHAnsi" w:hAnsiTheme="minorHAnsi" w:cstheme="minorHAnsi"/>
                <w:bCs/>
                <w:sz w:val="18"/>
                <w:szCs w:val="18"/>
              </w:rPr>
              <w:noBreakHyphen/>
            </w:r>
            <w:r w:rsidRPr="00B0619C">
              <w:rPr>
                <w:rFonts w:asciiTheme="minorHAnsi" w:hAnsiTheme="minorHAnsi" w:cstheme="minorHAnsi"/>
                <w:bCs/>
                <w:sz w:val="18"/>
                <w:szCs w:val="18"/>
              </w:rPr>
              <w:t>oesophageal reflux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2FA61F8A" w14:textId="77777777" w:rsidR="00B0619C" w:rsidRPr="00B0619C" w:rsidRDefault="00B0619C" w:rsidP="000F71CE">
            <w:pPr>
              <w:jc w:val="center"/>
              <w:rPr>
                <w:rFonts w:asciiTheme="minorHAnsi" w:hAnsiTheme="minorHAnsi" w:cstheme="minorHAnsi"/>
                <w:sz w:val="18"/>
                <w:szCs w:val="18"/>
              </w:rPr>
            </w:pPr>
            <w:r w:rsidRPr="00B0619C">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1314B552" w14:textId="6627666D" w:rsidR="00B0619C"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rescinded the March 2022 recommendation for rabeprazole.</w:t>
            </w:r>
          </w:p>
        </w:tc>
      </w:tr>
      <w:tr w:rsidR="000F71CE" w:rsidRPr="00D232DC" w14:paraId="27EF13D2" w14:textId="77777777" w:rsidTr="006B1F80">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2F2C1C4" w14:textId="7777777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lastRenderedPageBreak/>
              <w:t xml:space="preserve">RISANKIZUMAB </w:t>
            </w:r>
          </w:p>
          <w:p w14:paraId="06004124" w14:textId="718CBEC3"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Injection 150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r w:rsidRPr="00B0619C">
              <w:rPr>
                <w:rFonts w:asciiTheme="minorHAnsi" w:hAnsiTheme="minorHAnsi" w:cstheme="minorHAnsi"/>
                <w:color w:val="000000"/>
                <w:sz w:val="18"/>
                <w:szCs w:val="18"/>
              </w:rPr>
              <w:br/>
              <w:t>Injection 150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p>
          <w:p w14:paraId="52CFB9C0" w14:textId="7777777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r>
            <w:proofErr w:type="spellStart"/>
            <w:r w:rsidRPr="00B0619C">
              <w:rPr>
                <w:rFonts w:asciiTheme="minorHAnsi" w:hAnsiTheme="minorHAnsi" w:cstheme="minorHAnsi"/>
                <w:color w:val="000000"/>
                <w:sz w:val="18"/>
                <w:szCs w:val="18"/>
              </w:rPr>
              <w:t>Skyrizi</w:t>
            </w:r>
            <w:proofErr w:type="spellEnd"/>
            <w:r w:rsidRPr="00B0619C">
              <w:rPr>
                <w:rFonts w:asciiTheme="minorHAnsi" w:hAnsiTheme="minorHAnsi" w:cstheme="minorHAnsi"/>
                <w:color w:val="000000"/>
                <w:sz w:val="18"/>
                <w:szCs w:val="18"/>
              </w:rPr>
              <w:t>®</w:t>
            </w:r>
          </w:p>
          <w:p w14:paraId="59F12DA1" w14:textId="5F25F212" w:rsidR="000F71CE" w:rsidRPr="00B0619C" w:rsidRDefault="000F71CE"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br/>
              <w:t>AbbVie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4706DC8" w14:textId="09E2C64B" w:rsidR="000F71CE" w:rsidRPr="00B0619C" w:rsidRDefault="000F71CE" w:rsidP="000F71CE">
            <w:pPr>
              <w:widowControl w:val="0"/>
              <w:jc w:val="center"/>
              <w:rPr>
                <w:rFonts w:asciiTheme="minorHAnsi" w:hAnsiTheme="minorHAnsi" w:cstheme="minorHAnsi"/>
                <w:bCs/>
                <w:sz w:val="18"/>
                <w:szCs w:val="18"/>
              </w:rPr>
            </w:pPr>
            <w:r w:rsidRPr="00B0619C">
              <w:rPr>
                <w:rFonts w:asciiTheme="minorHAnsi" w:hAnsiTheme="minorHAnsi" w:cstheme="minorHAnsi"/>
                <w:bCs/>
                <w:sz w:val="18"/>
                <w:szCs w:val="18"/>
              </w:rPr>
              <w:t>Psoriatic arthritis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38304189" w14:textId="631C62EE" w:rsidR="000F71CE" w:rsidRPr="00B0619C" w:rsidRDefault="000F71CE" w:rsidP="000F71CE">
            <w:pPr>
              <w:jc w:val="center"/>
              <w:rPr>
                <w:rFonts w:asciiTheme="minorHAnsi" w:hAnsiTheme="minorHAnsi" w:cstheme="minorHAnsi"/>
                <w:sz w:val="18"/>
                <w:szCs w:val="18"/>
              </w:rPr>
            </w:pPr>
            <w:r w:rsidRPr="00F30924">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2E4F013C" w14:textId="187B88CC" w:rsidR="000F71CE"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extended the March 2022 recommendation for risankizumab for an additional 12 months.</w:t>
            </w:r>
          </w:p>
        </w:tc>
      </w:tr>
      <w:tr w:rsidR="000F71CE" w:rsidRPr="00D232DC" w14:paraId="635CF81C" w14:textId="77777777" w:rsidTr="006B1F80">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BDDF43A" w14:textId="7777777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SECUKINUMAB</w:t>
            </w:r>
          </w:p>
          <w:p w14:paraId="6CEF2BC3" w14:textId="29D038EA"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Solution for injection 300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r w:rsidRPr="00B0619C">
              <w:rPr>
                <w:rFonts w:asciiTheme="minorHAnsi" w:hAnsiTheme="minorHAnsi" w:cstheme="minorHAnsi"/>
                <w:color w:val="000000"/>
                <w:sz w:val="18"/>
                <w:szCs w:val="18"/>
              </w:rPr>
              <w:br/>
              <w:t>Solution for injection 300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2</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syringe</w:t>
            </w:r>
          </w:p>
          <w:p w14:paraId="2E6EB7C0" w14:textId="7777777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Cosentyx®</w:t>
            </w:r>
          </w:p>
          <w:p w14:paraId="4B4AEAE3" w14:textId="6A2A6A4C" w:rsidR="000F71CE" w:rsidRPr="00B0619C" w:rsidRDefault="000F71CE"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br/>
              <w:t>Novartis Pharmaceuticals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7D484A5" w14:textId="77777777" w:rsidR="000F71CE" w:rsidRPr="00B0619C" w:rsidRDefault="000F71CE" w:rsidP="000F71CE">
            <w:pPr>
              <w:jc w:val="center"/>
              <w:rPr>
                <w:rFonts w:asciiTheme="minorHAnsi" w:hAnsiTheme="minorHAnsi" w:cstheme="minorHAnsi"/>
                <w:bCs/>
                <w:sz w:val="18"/>
                <w:szCs w:val="18"/>
              </w:rPr>
            </w:pPr>
            <w:r w:rsidRPr="00B0619C">
              <w:rPr>
                <w:rFonts w:asciiTheme="minorHAnsi" w:hAnsiTheme="minorHAnsi" w:cstheme="minorHAnsi"/>
                <w:bCs/>
                <w:sz w:val="18"/>
                <w:szCs w:val="18"/>
              </w:rPr>
              <w:t>New strength for</w:t>
            </w:r>
          </w:p>
          <w:p w14:paraId="1421D884" w14:textId="37FC4D37" w:rsidR="000F71CE" w:rsidRPr="00B0619C" w:rsidRDefault="000F71CE" w:rsidP="000F71CE">
            <w:pPr>
              <w:widowControl w:val="0"/>
              <w:jc w:val="center"/>
              <w:rPr>
                <w:rFonts w:asciiTheme="minorHAnsi" w:hAnsiTheme="minorHAnsi" w:cstheme="minorHAnsi"/>
                <w:bCs/>
                <w:sz w:val="18"/>
                <w:szCs w:val="18"/>
              </w:rPr>
            </w:pPr>
            <w:r w:rsidRPr="00B0619C">
              <w:rPr>
                <w:rFonts w:asciiTheme="minorHAnsi" w:hAnsiTheme="minorHAnsi" w:cstheme="minorHAnsi"/>
                <w:color w:val="000000"/>
                <w:sz w:val="18"/>
                <w:szCs w:val="18"/>
              </w:rPr>
              <w:t>Non</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radiographic axial spondyloarthritis</w:t>
            </w:r>
            <w:r w:rsidRPr="00B0619C">
              <w:rPr>
                <w:rFonts w:asciiTheme="minorHAnsi" w:hAnsiTheme="minorHAnsi" w:cstheme="minorHAnsi"/>
                <w:color w:val="000000"/>
                <w:sz w:val="18"/>
                <w:szCs w:val="18"/>
              </w:rPr>
              <w:br/>
              <w:t>Severe active psoriatic arthritis</w:t>
            </w:r>
            <w:r w:rsidRPr="00B0619C">
              <w:rPr>
                <w:rFonts w:asciiTheme="minorHAnsi" w:hAnsiTheme="minorHAnsi" w:cstheme="minorHAnsi"/>
                <w:color w:val="000000"/>
                <w:sz w:val="18"/>
                <w:szCs w:val="18"/>
              </w:rPr>
              <w:br/>
              <w:t>Severe psoriatic arthritis</w:t>
            </w:r>
            <w:r w:rsidRPr="00B0619C">
              <w:rPr>
                <w:rFonts w:asciiTheme="minorHAnsi" w:hAnsiTheme="minorHAnsi" w:cstheme="minorHAnsi"/>
                <w:color w:val="000000"/>
                <w:sz w:val="18"/>
                <w:szCs w:val="18"/>
              </w:rPr>
              <w:br/>
              <w:t>Ankylosing spondylitis</w:t>
            </w:r>
            <w:r w:rsidRPr="00B0619C">
              <w:rPr>
                <w:rFonts w:asciiTheme="minorHAnsi" w:hAnsiTheme="minorHAnsi" w:cstheme="minorHAnsi"/>
                <w:color w:val="000000"/>
                <w:sz w:val="18"/>
                <w:szCs w:val="18"/>
              </w:rPr>
              <w:br/>
              <w:t>Active ankylosing spondylitis</w:t>
            </w:r>
            <w:r w:rsidRPr="00B0619C">
              <w:rPr>
                <w:rFonts w:asciiTheme="minorHAnsi" w:hAnsiTheme="minorHAnsi" w:cstheme="minorHAnsi"/>
                <w:color w:val="000000"/>
                <w:sz w:val="18"/>
                <w:szCs w:val="18"/>
              </w:rPr>
              <w:br/>
              <w:t>Severe 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717BEF74" w14:textId="530C3E25" w:rsidR="000F71CE" w:rsidRPr="00B0619C" w:rsidRDefault="000F71CE" w:rsidP="000F71CE">
            <w:pPr>
              <w:jc w:val="center"/>
              <w:rPr>
                <w:rFonts w:asciiTheme="minorHAnsi" w:hAnsiTheme="minorHAnsi" w:cstheme="minorHAnsi"/>
                <w:sz w:val="18"/>
                <w:szCs w:val="18"/>
              </w:rPr>
            </w:pPr>
            <w:r w:rsidRPr="00F30924">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3A9E3B7D" w14:textId="5AF6AB1E" w:rsidR="000F71CE"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extended the March 2022 recommendation for secukinumab for an additional 12 months.</w:t>
            </w:r>
          </w:p>
        </w:tc>
      </w:tr>
      <w:tr w:rsidR="000F71CE" w:rsidRPr="00D232DC" w14:paraId="359FF6A0" w14:textId="77777777" w:rsidTr="006B1F80">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DF68EC1" w14:textId="7777777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 xml:space="preserve">SOMAPACITAN </w:t>
            </w:r>
          </w:p>
          <w:p w14:paraId="46CF299A" w14:textId="0A0604E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Injection 10</w:t>
            </w:r>
            <w:r w:rsidR="001165DD">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in 1.5</w:t>
            </w:r>
            <w:r w:rsidR="001165DD">
              <w:rPr>
                <w:rFonts w:asciiTheme="minorHAnsi" w:hAnsiTheme="minorHAnsi" w:cstheme="minorHAnsi"/>
                <w:color w:val="000000"/>
                <w:sz w:val="18"/>
                <w:szCs w:val="18"/>
              </w:rPr>
              <w:t> mL</w:t>
            </w:r>
            <w:r w:rsidRPr="00B0619C">
              <w:rPr>
                <w:rFonts w:asciiTheme="minorHAnsi" w:hAnsiTheme="minorHAnsi" w:cstheme="minorHAnsi"/>
                <w:color w:val="000000"/>
                <w:sz w:val="18"/>
                <w:szCs w:val="18"/>
              </w:rPr>
              <w:t xml:space="preserve"> pre</w:t>
            </w:r>
            <w:r w:rsidR="001165DD"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filled pen</w:t>
            </w:r>
          </w:p>
          <w:p w14:paraId="147BC839" w14:textId="77777777" w:rsidR="000F71CE" w:rsidRPr="00B0619C" w:rsidRDefault="000F71CE" w:rsidP="000F71CE">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br/>
              <w:t>Sogroya®</w:t>
            </w:r>
          </w:p>
          <w:p w14:paraId="7E1AC998" w14:textId="660DE656" w:rsidR="000F71CE" w:rsidRPr="00B0619C" w:rsidRDefault="000F71CE" w:rsidP="000F71CE">
            <w:pPr>
              <w:jc w:val="center"/>
              <w:rPr>
                <w:rFonts w:asciiTheme="minorHAnsi" w:hAnsiTheme="minorHAnsi" w:cstheme="minorHAnsi"/>
                <w:sz w:val="18"/>
                <w:szCs w:val="18"/>
              </w:rPr>
            </w:pPr>
            <w:r w:rsidRPr="00B0619C">
              <w:rPr>
                <w:rFonts w:asciiTheme="minorHAnsi" w:hAnsiTheme="minorHAnsi" w:cstheme="minorHAnsi"/>
                <w:color w:val="000000"/>
                <w:sz w:val="18"/>
                <w:szCs w:val="18"/>
              </w:rPr>
              <w:br/>
              <w:t>Novo Nordisk Pharmaceuticals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64B4C7A0" w14:textId="2EFE99AC" w:rsidR="000F71CE" w:rsidRPr="00B0619C" w:rsidRDefault="000F71CE" w:rsidP="000F71CE">
            <w:pPr>
              <w:widowControl w:val="0"/>
              <w:jc w:val="center"/>
              <w:rPr>
                <w:rFonts w:asciiTheme="minorHAnsi" w:hAnsiTheme="minorHAnsi" w:cstheme="minorHAnsi"/>
                <w:bCs/>
                <w:sz w:val="18"/>
                <w:szCs w:val="18"/>
              </w:rPr>
            </w:pPr>
            <w:r w:rsidRPr="00B0619C">
              <w:rPr>
                <w:rFonts w:asciiTheme="minorHAnsi" w:hAnsiTheme="minorHAnsi" w:cstheme="minorHAnsi"/>
                <w:bCs/>
                <w:sz w:val="18"/>
                <w:szCs w:val="18"/>
              </w:rPr>
              <w:t>Adult</w:t>
            </w:r>
            <w:r w:rsidR="001165DD" w:rsidRPr="001165DD">
              <w:rPr>
                <w:rFonts w:asciiTheme="minorHAnsi" w:hAnsiTheme="minorHAnsi" w:cstheme="minorHAnsi"/>
                <w:bCs/>
                <w:sz w:val="18"/>
                <w:szCs w:val="18"/>
              </w:rPr>
              <w:noBreakHyphen/>
            </w:r>
            <w:r w:rsidRPr="00B0619C">
              <w:rPr>
                <w:rFonts w:asciiTheme="minorHAnsi" w:hAnsiTheme="minorHAnsi" w:cstheme="minorHAnsi"/>
                <w:bCs/>
                <w:sz w:val="18"/>
                <w:szCs w:val="18"/>
              </w:rPr>
              <w:t>onset growth hormone deficiency</w:t>
            </w:r>
          </w:p>
        </w:tc>
        <w:tc>
          <w:tcPr>
            <w:tcW w:w="1197" w:type="pct"/>
            <w:tcBorders>
              <w:top w:val="single" w:sz="4" w:space="0" w:color="auto"/>
              <w:left w:val="nil"/>
              <w:bottom w:val="single" w:sz="4" w:space="0" w:color="auto"/>
              <w:right w:val="single" w:sz="4" w:space="0" w:color="auto"/>
            </w:tcBorders>
            <w:shd w:val="clear" w:color="auto" w:fill="auto"/>
            <w:vAlign w:val="center"/>
          </w:tcPr>
          <w:p w14:paraId="065B2543" w14:textId="17B8EAAF" w:rsidR="000F71CE" w:rsidRPr="00B0619C" w:rsidRDefault="000F71CE" w:rsidP="000F71CE">
            <w:pPr>
              <w:jc w:val="center"/>
              <w:rPr>
                <w:rFonts w:asciiTheme="minorHAnsi" w:hAnsiTheme="minorHAnsi" w:cstheme="minorHAnsi"/>
                <w:sz w:val="18"/>
                <w:szCs w:val="18"/>
              </w:rPr>
            </w:pPr>
            <w:r w:rsidRPr="00F30924">
              <w:rPr>
                <w:rFonts w:asciiTheme="minorHAnsi" w:hAnsiTheme="minorHAnsi" w:cstheme="minorHAnsi"/>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71B13089" w14:textId="5B14E81F" w:rsidR="000F71CE" w:rsidRPr="00361D52" w:rsidRDefault="00514F8E" w:rsidP="000F71CE">
            <w:pPr>
              <w:widowControl w:val="0"/>
              <w:jc w:val="center"/>
              <w:rPr>
                <w:rFonts w:asciiTheme="minorHAnsi" w:hAnsiTheme="minorHAnsi" w:cstheme="minorHAnsi"/>
                <w:sz w:val="18"/>
                <w:szCs w:val="18"/>
              </w:rPr>
            </w:pPr>
            <w:r>
              <w:rPr>
                <w:rFonts w:asciiTheme="minorHAnsi" w:hAnsiTheme="minorHAnsi" w:cstheme="minorHAnsi"/>
                <w:sz w:val="18"/>
                <w:szCs w:val="18"/>
              </w:rPr>
              <w:t>T</w:t>
            </w:r>
            <w:r w:rsidR="00915F1E" w:rsidRPr="005406D0">
              <w:rPr>
                <w:rFonts w:asciiTheme="minorHAnsi" w:hAnsiTheme="minorHAnsi" w:cstheme="minorHAnsi"/>
                <w:sz w:val="18"/>
                <w:szCs w:val="18"/>
              </w:rPr>
              <w:t>he PBAC extended the March 2022 recommendation for somapacitan for an additional 12 months.</w:t>
            </w:r>
          </w:p>
        </w:tc>
      </w:tr>
    </w:tbl>
    <w:p w14:paraId="7A4B34F9" w14:textId="77777777" w:rsidR="00D97548" w:rsidRPr="00015520" w:rsidRDefault="00D97548" w:rsidP="00D97548">
      <w:pPr>
        <w:rPr>
          <w:rFonts w:asciiTheme="minorHAnsi" w:hAnsiTheme="minorHAnsi" w:cstheme="minorHAnsi"/>
          <w:sz w:val="18"/>
          <w:szCs w:val="18"/>
        </w:rPr>
      </w:pPr>
    </w:p>
    <w:p w14:paraId="323C2FDD" w14:textId="77777777" w:rsidR="00D97548" w:rsidRPr="00015520" w:rsidRDefault="00D97548" w:rsidP="00D97548">
      <w:pPr>
        <w:rPr>
          <w:rFonts w:asciiTheme="minorHAnsi" w:hAnsiTheme="minorHAnsi" w:cstheme="minorHAnsi"/>
          <w:sz w:val="18"/>
          <w:szCs w:val="18"/>
        </w:rPr>
      </w:pPr>
    </w:p>
    <w:p w14:paraId="4A05116B" w14:textId="77777777" w:rsidR="00D97548" w:rsidRPr="00015520" w:rsidRDefault="00D97548" w:rsidP="00D97548">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D97548" w:rsidRPr="0066633F" w14:paraId="0980B5D9" w14:textId="77777777">
        <w:trPr>
          <w:cantSplit/>
          <w:trHeight w:val="58"/>
          <w:tblHeader/>
        </w:trPr>
        <w:tc>
          <w:tcPr>
            <w:tcW w:w="873" w:type="pct"/>
            <w:shd w:val="clear" w:color="auto" w:fill="auto"/>
            <w:vAlign w:val="center"/>
          </w:tcPr>
          <w:p w14:paraId="3F7A116F" w14:textId="77777777" w:rsidR="00D97548" w:rsidRPr="0004054A" w:rsidRDefault="00D97548">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lastRenderedPageBreak/>
              <w:t>DRUG NAME, FORM(S), STRENGTH(S), SPONSOR, TYPE OF SUBMISSION</w:t>
            </w:r>
          </w:p>
        </w:tc>
        <w:tc>
          <w:tcPr>
            <w:tcW w:w="552" w:type="pct"/>
            <w:shd w:val="clear" w:color="auto" w:fill="auto"/>
            <w:vAlign w:val="center"/>
          </w:tcPr>
          <w:p w14:paraId="48FBA7D0" w14:textId="77777777" w:rsidR="00D97548" w:rsidRPr="0004054A" w:rsidRDefault="00D97548">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TYPE AND USE</w:t>
            </w:r>
          </w:p>
        </w:tc>
        <w:tc>
          <w:tcPr>
            <w:tcW w:w="922" w:type="pct"/>
            <w:shd w:val="clear" w:color="auto" w:fill="auto"/>
            <w:vAlign w:val="center"/>
          </w:tcPr>
          <w:p w14:paraId="7961C441" w14:textId="77777777" w:rsidR="00D97548" w:rsidRPr="0004054A" w:rsidRDefault="00D97548">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LISTING REQUESTED BY SPONSOR / PURPOSE OF SUBMISSION</w:t>
            </w:r>
          </w:p>
        </w:tc>
        <w:tc>
          <w:tcPr>
            <w:tcW w:w="2653" w:type="pct"/>
            <w:shd w:val="clear" w:color="auto" w:fill="auto"/>
            <w:vAlign w:val="center"/>
          </w:tcPr>
          <w:p w14:paraId="36B2EED2" w14:textId="77777777" w:rsidR="00D97548" w:rsidRPr="0004054A" w:rsidRDefault="00D97548">
            <w:pPr>
              <w:keepLines/>
              <w:jc w:val="center"/>
              <w:rPr>
                <w:rFonts w:asciiTheme="minorHAnsi" w:hAnsiTheme="minorHAnsi" w:cstheme="minorHAnsi"/>
                <w:b/>
                <w:sz w:val="18"/>
                <w:szCs w:val="18"/>
              </w:rPr>
            </w:pPr>
            <w:r w:rsidRPr="0004054A">
              <w:rPr>
                <w:rFonts w:asciiTheme="minorHAnsi" w:hAnsiTheme="minorHAnsi" w:cstheme="minorHAnsi"/>
                <w:b/>
                <w:sz w:val="18"/>
                <w:szCs w:val="18"/>
              </w:rPr>
              <w:t>PBAC OUTCOME</w:t>
            </w:r>
          </w:p>
        </w:tc>
      </w:tr>
      <w:tr w:rsidR="00D65D66" w:rsidRPr="0066633F" w14:paraId="62EBE62D" w14:textId="77777777">
        <w:trPr>
          <w:cantSplit/>
          <w:trHeight w:val="58"/>
        </w:trPr>
        <w:tc>
          <w:tcPr>
            <w:tcW w:w="873" w:type="pct"/>
            <w:shd w:val="clear" w:color="auto" w:fill="auto"/>
            <w:vAlign w:val="center"/>
          </w:tcPr>
          <w:p w14:paraId="1545A64D" w14:textId="43B2AEFF" w:rsidR="000F71CE" w:rsidRPr="005702D2" w:rsidRDefault="003B2EEF" w:rsidP="000F71CE">
            <w:pPr>
              <w:jc w:val="center"/>
              <w:rPr>
                <w:rFonts w:asciiTheme="minorHAnsi" w:hAnsiTheme="minorHAnsi" w:cstheme="minorHAnsi"/>
                <w:color w:val="000000"/>
                <w:sz w:val="18"/>
                <w:szCs w:val="18"/>
              </w:rPr>
            </w:pPr>
            <w:r w:rsidRPr="005702D2">
              <w:rPr>
                <w:rFonts w:asciiTheme="minorHAnsi" w:hAnsiTheme="minorHAnsi" w:cstheme="minorHAnsi"/>
                <w:color w:val="000000"/>
                <w:sz w:val="18"/>
                <w:szCs w:val="18"/>
              </w:rPr>
              <w:t>Access to medicines for people in custodial settings</w:t>
            </w:r>
          </w:p>
          <w:p w14:paraId="2C098C46" w14:textId="77777777" w:rsidR="000F71CE" w:rsidRPr="005702D2" w:rsidRDefault="000F71CE" w:rsidP="000F71CE">
            <w:pPr>
              <w:jc w:val="center"/>
              <w:rPr>
                <w:rFonts w:asciiTheme="minorHAnsi" w:hAnsiTheme="minorHAnsi" w:cstheme="minorHAnsi"/>
                <w:color w:val="000000"/>
                <w:sz w:val="18"/>
                <w:szCs w:val="18"/>
              </w:rPr>
            </w:pPr>
          </w:p>
          <w:p w14:paraId="05572B08" w14:textId="43D22068" w:rsidR="000F71CE" w:rsidRPr="005702D2" w:rsidRDefault="003B2EEF" w:rsidP="000F71CE">
            <w:pPr>
              <w:jc w:val="center"/>
              <w:rPr>
                <w:rFonts w:asciiTheme="minorHAnsi" w:hAnsiTheme="minorHAnsi" w:cstheme="minorHAnsi"/>
                <w:color w:val="000000"/>
                <w:sz w:val="18"/>
                <w:szCs w:val="18"/>
              </w:rPr>
            </w:pPr>
            <w:r w:rsidRPr="005702D2">
              <w:rPr>
                <w:rFonts w:asciiTheme="minorHAnsi" w:hAnsiTheme="minorHAnsi" w:cstheme="minorHAnsi"/>
                <w:color w:val="000000"/>
                <w:sz w:val="18"/>
                <w:szCs w:val="18"/>
              </w:rPr>
              <w:t>Various medicines</w:t>
            </w:r>
          </w:p>
          <w:p w14:paraId="7C1A7DF6" w14:textId="77777777" w:rsidR="000F71CE" w:rsidRPr="005702D2" w:rsidRDefault="000F71CE" w:rsidP="000F71CE">
            <w:pPr>
              <w:jc w:val="center"/>
              <w:rPr>
                <w:rFonts w:asciiTheme="minorHAnsi" w:hAnsiTheme="minorHAnsi" w:cstheme="minorHAnsi"/>
                <w:color w:val="000000"/>
                <w:sz w:val="18"/>
                <w:szCs w:val="18"/>
              </w:rPr>
            </w:pPr>
          </w:p>
          <w:p w14:paraId="531E07FA" w14:textId="0ECDD80F" w:rsidR="00D65D66" w:rsidRPr="0004054A" w:rsidRDefault="000F71CE" w:rsidP="00D65D66">
            <w:pPr>
              <w:jc w:val="center"/>
              <w:rPr>
                <w:rFonts w:asciiTheme="minorHAnsi" w:hAnsiTheme="minorHAnsi" w:cstheme="minorHAnsi"/>
                <w:color w:val="000000"/>
                <w:sz w:val="18"/>
                <w:szCs w:val="18"/>
              </w:rPr>
            </w:pPr>
            <w:r w:rsidRPr="005702D2">
              <w:rPr>
                <w:rFonts w:asciiTheme="minorHAnsi" w:hAnsiTheme="minorHAnsi" w:cstheme="minorHAnsi"/>
                <w:color w:val="000000"/>
                <w:sz w:val="18"/>
                <w:szCs w:val="18"/>
              </w:rPr>
              <w:t xml:space="preserve">Other </w:t>
            </w:r>
            <w:r w:rsidR="003B2EEF" w:rsidRPr="005702D2">
              <w:rPr>
                <w:rFonts w:asciiTheme="minorHAnsi" w:hAnsiTheme="minorHAnsi" w:cstheme="minorHAnsi"/>
                <w:color w:val="000000"/>
                <w:sz w:val="18"/>
                <w:szCs w:val="18"/>
              </w:rPr>
              <w:t>M</w:t>
            </w:r>
            <w:r w:rsidRPr="005702D2">
              <w:rPr>
                <w:rFonts w:asciiTheme="minorHAnsi" w:hAnsiTheme="minorHAnsi" w:cstheme="minorHAnsi"/>
                <w:color w:val="000000"/>
                <w:sz w:val="18"/>
                <w:szCs w:val="18"/>
              </w:rPr>
              <w:t>atters</w:t>
            </w:r>
          </w:p>
        </w:tc>
        <w:tc>
          <w:tcPr>
            <w:tcW w:w="552" w:type="pct"/>
            <w:shd w:val="clear" w:color="auto" w:fill="auto"/>
            <w:vAlign w:val="center"/>
          </w:tcPr>
          <w:p w14:paraId="4224D2E5" w14:textId="1F2E981B" w:rsidR="00D65D66" w:rsidRPr="0004054A" w:rsidRDefault="00D65D66" w:rsidP="00D65D66">
            <w:pPr>
              <w:jc w:val="center"/>
              <w:rPr>
                <w:rFonts w:asciiTheme="minorHAnsi" w:hAnsiTheme="minorHAnsi" w:cstheme="minorHAnsi"/>
                <w:sz w:val="18"/>
                <w:szCs w:val="18"/>
              </w:rPr>
            </w:pPr>
            <w:r w:rsidRPr="0004054A">
              <w:rPr>
                <w:rFonts w:asciiTheme="minorHAnsi" w:hAnsiTheme="minorHAnsi" w:cstheme="minorHAnsi"/>
                <w:color w:val="000000"/>
                <w:sz w:val="18"/>
                <w:szCs w:val="18"/>
              </w:rPr>
              <w:t>Various</w:t>
            </w:r>
            <w:r w:rsidRPr="0004054A">
              <w:rPr>
                <w:rFonts w:asciiTheme="minorHAnsi" w:hAnsiTheme="minorHAnsi" w:cstheme="minorHAnsi"/>
                <w:sz w:val="18"/>
                <w:szCs w:val="18"/>
              </w:rPr>
              <w:t xml:space="preserve"> medicines</w:t>
            </w:r>
          </w:p>
        </w:tc>
        <w:tc>
          <w:tcPr>
            <w:tcW w:w="922" w:type="pct"/>
            <w:shd w:val="clear" w:color="auto" w:fill="auto"/>
            <w:vAlign w:val="center"/>
          </w:tcPr>
          <w:p w14:paraId="19BB6333" w14:textId="598E1973" w:rsidR="00D65D66" w:rsidRPr="0004054A" w:rsidRDefault="00D65D66" w:rsidP="00D65D66">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 xml:space="preserve">The Department seeks to update the PBAC with advice received from the States and Territories concerning access to medicines </w:t>
            </w:r>
            <w:r w:rsidRPr="0004054A">
              <w:rPr>
                <w:rFonts w:asciiTheme="minorHAnsi" w:hAnsiTheme="minorHAnsi" w:cstheme="minorHAnsi"/>
                <w:sz w:val="18"/>
                <w:szCs w:val="18"/>
              </w:rPr>
              <w:t xml:space="preserve">for people </w:t>
            </w:r>
            <w:r w:rsidRPr="0004054A">
              <w:rPr>
                <w:rFonts w:asciiTheme="minorHAnsi" w:hAnsiTheme="minorHAnsi" w:cstheme="minorHAnsi"/>
                <w:color w:val="000000"/>
                <w:sz w:val="18"/>
                <w:szCs w:val="18"/>
              </w:rPr>
              <w:t>in custodial settings and to seek further PBAC advice.</w:t>
            </w:r>
          </w:p>
        </w:tc>
        <w:tc>
          <w:tcPr>
            <w:tcW w:w="2653" w:type="pct"/>
            <w:shd w:val="clear" w:color="auto" w:fill="auto"/>
            <w:vAlign w:val="center"/>
          </w:tcPr>
          <w:p w14:paraId="27E97E80" w14:textId="77777777" w:rsidR="00835819" w:rsidRDefault="00835819" w:rsidP="00835819">
            <w:pPr>
              <w:pStyle w:val="3Bodytext"/>
              <w:spacing w:after="0"/>
              <w:ind w:left="0" w:firstLine="0"/>
              <w:rPr>
                <w:rStyle w:val="normaltextrun"/>
                <w:rFonts w:cstheme="minorHAnsi"/>
                <w:sz w:val="18"/>
                <w:szCs w:val="18"/>
              </w:rPr>
            </w:pPr>
            <w:r w:rsidRPr="005406D0">
              <w:rPr>
                <w:rStyle w:val="normaltextrun"/>
                <w:rFonts w:cstheme="minorHAnsi"/>
                <w:sz w:val="18"/>
                <w:szCs w:val="18"/>
              </w:rPr>
              <w:t xml:space="preserve">The PBAC noted the input received from relevant state and territory departments, organisations and consumers on what barriers exist for those in custodial settings in accessing medicines. The PBAC considered the identified barriers relate to health workforce capacity, practical and logistical issues relating to the supply of medicines in custodial settings, and issues experienced by patients in custodial settings in establishing or renewing proof of Medicare eligibility. As these issues fall outside the PBAC’s legislated remit of considering matters relating to the subsidy of medicines and the operation of the Pharmaceutical Benefits Scheme (PBS), the PBAC was unable to provide advice on specifically addressing these access issues. </w:t>
            </w:r>
          </w:p>
          <w:p w14:paraId="3F71B00C" w14:textId="77777777" w:rsidR="00835819" w:rsidRPr="005406D0" w:rsidRDefault="00835819" w:rsidP="005406D0">
            <w:pPr>
              <w:pStyle w:val="3Bodytext"/>
              <w:spacing w:after="0"/>
              <w:ind w:left="0" w:firstLine="0"/>
              <w:rPr>
                <w:rStyle w:val="normaltextrun"/>
                <w:rFonts w:cstheme="minorHAnsi"/>
                <w:sz w:val="18"/>
                <w:szCs w:val="18"/>
              </w:rPr>
            </w:pPr>
          </w:p>
          <w:p w14:paraId="43A6BF47" w14:textId="77777777" w:rsidR="00835819" w:rsidRDefault="00835819" w:rsidP="00835819">
            <w:pPr>
              <w:pStyle w:val="3Bodytext"/>
              <w:spacing w:after="0"/>
              <w:ind w:left="0" w:firstLine="0"/>
              <w:rPr>
                <w:rFonts w:cstheme="minorHAnsi"/>
                <w:color w:val="000000"/>
                <w:sz w:val="18"/>
                <w:szCs w:val="18"/>
              </w:rPr>
            </w:pPr>
            <w:r w:rsidRPr="005406D0">
              <w:rPr>
                <w:rFonts w:cstheme="minorHAnsi"/>
                <w:color w:val="000000"/>
                <w:sz w:val="18"/>
                <w:szCs w:val="18"/>
              </w:rPr>
              <w:t xml:space="preserve">The PBAC noted that state and territory governments are responsible for the delivery of corrective services, including the healthcare of people in custody. The exception is medicines listed on the </w:t>
            </w:r>
            <w:r w:rsidRPr="005406D0">
              <w:rPr>
                <w:rStyle w:val="normaltextrun"/>
                <w:rFonts w:cstheme="minorHAnsi"/>
                <w:sz w:val="18"/>
                <w:szCs w:val="18"/>
              </w:rPr>
              <w:t xml:space="preserve">Section 100 Highly Specialised Drugs (HSD) </w:t>
            </w:r>
            <w:r w:rsidRPr="005406D0">
              <w:rPr>
                <w:rFonts w:cstheme="minorHAnsi"/>
                <w:color w:val="000000"/>
                <w:sz w:val="18"/>
                <w:szCs w:val="18"/>
              </w:rPr>
              <w:t xml:space="preserve">program, which are funded by the Commonwealth for all </w:t>
            </w:r>
            <w:r w:rsidRPr="005406D0">
              <w:rPr>
                <w:rFonts w:cstheme="minorHAnsi"/>
                <w:sz w:val="18"/>
                <w:szCs w:val="18"/>
              </w:rPr>
              <w:t>patients that meet the eligibility criteria, including people in custodial settings</w:t>
            </w:r>
            <w:r w:rsidRPr="005406D0">
              <w:rPr>
                <w:rFonts w:cstheme="minorHAnsi"/>
                <w:color w:val="000000"/>
                <w:sz w:val="18"/>
                <w:szCs w:val="18"/>
              </w:rPr>
              <w:t xml:space="preserve">. </w:t>
            </w:r>
          </w:p>
          <w:p w14:paraId="5947B538" w14:textId="77777777" w:rsidR="00835819" w:rsidRPr="005406D0" w:rsidRDefault="00835819" w:rsidP="005406D0">
            <w:pPr>
              <w:pStyle w:val="3Bodytext"/>
              <w:spacing w:after="0"/>
              <w:ind w:left="0" w:firstLine="0"/>
              <w:rPr>
                <w:rFonts w:cstheme="minorHAnsi"/>
                <w:color w:val="000000"/>
                <w:sz w:val="18"/>
                <w:szCs w:val="18"/>
              </w:rPr>
            </w:pPr>
          </w:p>
          <w:p w14:paraId="6F04EB45" w14:textId="77777777" w:rsidR="00835819" w:rsidRDefault="00835819" w:rsidP="00835819">
            <w:pPr>
              <w:pStyle w:val="3Bodytext"/>
              <w:spacing w:after="0"/>
              <w:ind w:left="0" w:firstLine="0"/>
              <w:rPr>
                <w:rStyle w:val="normaltextrun"/>
                <w:rFonts w:cstheme="minorHAnsi"/>
                <w:sz w:val="18"/>
                <w:szCs w:val="18"/>
              </w:rPr>
            </w:pPr>
            <w:r w:rsidRPr="005406D0">
              <w:rPr>
                <w:rStyle w:val="normaltextrun"/>
                <w:rFonts w:cstheme="minorHAnsi"/>
                <w:sz w:val="18"/>
                <w:szCs w:val="18"/>
              </w:rPr>
              <w:t xml:space="preserve">The PBAC noted the Department had received a proposal from stakeholders to ‘dual list’ certain medicines listed on the general schedule (s85) of the PBS onto the s100 HSD program to enable prisoners to access these medicines. </w:t>
            </w:r>
            <w:r w:rsidRPr="005406D0">
              <w:rPr>
                <w:rFonts w:cstheme="minorHAnsi"/>
                <w:color w:val="000000"/>
                <w:sz w:val="18"/>
                <w:szCs w:val="18"/>
              </w:rPr>
              <w:t xml:space="preserve">Dual listing means a medicine is included in both s85 and s100 of the PBS, which allows it to be prescribed and dispensed in both a community and hospital setting. </w:t>
            </w:r>
            <w:r w:rsidRPr="005406D0">
              <w:rPr>
                <w:rStyle w:val="normaltextrun"/>
                <w:rFonts w:cstheme="minorHAnsi"/>
                <w:sz w:val="18"/>
                <w:szCs w:val="18"/>
              </w:rPr>
              <w:t>The PBAC advised that dual listing certain medicines would unlikely address the identified barriers and may result in increased administrative burden for prisons and public hospitals. For example,</w:t>
            </w:r>
            <w:r w:rsidRPr="005406D0">
              <w:rPr>
                <w:rFonts w:cstheme="minorHAnsi"/>
                <w:sz w:val="18"/>
                <w:szCs w:val="18"/>
              </w:rPr>
              <w:t xml:space="preserve"> prescribing of </w:t>
            </w:r>
            <w:r w:rsidRPr="005406D0">
              <w:rPr>
                <w:rStyle w:val="normaltextrun"/>
                <w:rFonts w:cstheme="minorHAnsi"/>
                <w:sz w:val="18"/>
                <w:szCs w:val="18"/>
              </w:rPr>
              <w:t xml:space="preserve">s100 listings (excluding Community Access listings) must be initiated by prescribers </w:t>
            </w:r>
            <w:bookmarkStart w:id="13" w:name="_Hlk163548265"/>
            <w:r w:rsidRPr="005406D0">
              <w:rPr>
                <w:rStyle w:val="normaltextrun"/>
                <w:rFonts w:cstheme="minorHAnsi"/>
                <w:sz w:val="18"/>
                <w:szCs w:val="18"/>
              </w:rPr>
              <w:t>affiliated with a hospital</w:t>
            </w:r>
            <w:bookmarkEnd w:id="13"/>
            <w:r w:rsidRPr="005406D0">
              <w:rPr>
                <w:rStyle w:val="normaltextrun"/>
                <w:rFonts w:cstheme="minorHAnsi"/>
                <w:sz w:val="18"/>
                <w:szCs w:val="18"/>
              </w:rPr>
              <w:t xml:space="preserve">. </w:t>
            </w:r>
            <w:bookmarkStart w:id="14" w:name="_Hlk163548241"/>
            <w:r w:rsidRPr="005406D0">
              <w:rPr>
                <w:rStyle w:val="normaltextrun"/>
                <w:rFonts w:cstheme="minorHAnsi"/>
                <w:sz w:val="18"/>
                <w:szCs w:val="18"/>
              </w:rPr>
              <w:t xml:space="preserve">Dual listing s85 medicines onto the s100 HSD program would require prescribers treating patients in custodial settings to have this affiliation. </w:t>
            </w:r>
            <w:bookmarkEnd w:id="14"/>
            <w:r w:rsidRPr="005406D0">
              <w:rPr>
                <w:rStyle w:val="normaltextrun"/>
                <w:rFonts w:cstheme="minorHAnsi"/>
                <w:sz w:val="18"/>
                <w:szCs w:val="18"/>
              </w:rPr>
              <w:t>The PBAC reiterated the need for holistic solutions by governments (Commonwealth, state, and territory) and corrective services providers to ensure equitable access for people in custodial settings to medicines that are available to all other eligible people in the community, such as those medicines listed on the general schedule of the PBS.</w:t>
            </w:r>
          </w:p>
          <w:p w14:paraId="6D97BBE3" w14:textId="77777777" w:rsidR="00835819" w:rsidRPr="005406D0" w:rsidRDefault="00835819" w:rsidP="005406D0">
            <w:pPr>
              <w:pStyle w:val="3Bodytext"/>
              <w:spacing w:after="0"/>
              <w:ind w:left="0" w:firstLine="0"/>
              <w:rPr>
                <w:rStyle w:val="normaltextrun"/>
                <w:rFonts w:cstheme="minorHAnsi"/>
                <w:sz w:val="18"/>
                <w:szCs w:val="18"/>
              </w:rPr>
            </w:pPr>
          </w:p>
          <w:p w14:paraId="2AC2A629" w14:textId="77777777" w:rsidR="00835819" w:rsidRDefault="00835819" w:rsidP="00835819">
            <w:pPr>
              <w:pStyle w:val="3Bodytext"/>
              <w:spacing w:after="0"/>
              <w:ind w:left="0" w:firstLine="0"/>
              <w:rPr>
                <w:rStyle w:val="normaltextrun"/>
                <w:rFonts w:cstheme="minorHAnsi"/>
                <w:sz w:val="18"/>
                <w:szCs w:val="18"/>
              </w:rPr>
            </w:pPr>
            <w:r w:rsidRPr="005406D0">
              <w:rPr>
                <w:rStyle w:val="normaltextrun"/>
                <w:rFonts w:cstheme="minorHAnsi"/>
                <w:sz w:val="18"/>
                <w:szCs w:val="18"/>
              </w:rPr>
              <w:t>The PBAC noted the Department has commissioned an independent Review into Health Care in Prisons to consider the provision of healthcare for First Nations people in custodial settings (the Review) which commenced in November 2023. The PBAC noted that the identified issues could be shared with the independent reviewer to inform their findings.</w:t>
            </w:r>
          </w:p>
          <w:p w14:paraId="5DCD20D3" w14:textId="77777777" w:rsidR="00835819" w:rsidRPr="005406D0" w:rsidRDefault="00835819" w:rsidP="005406D0">
            <w:pPr>
              <w:pStyle w:val="3Bodytext"/>
              <w:spacing w:after="0"/>
              <w:ind w:left="0" w:firstLine="0"/>
              <w:rPr>
                <w:rStyle w:val="normaltextrun"/>
                <w:rFonts w:cstheme="minorHAnsi"/>
                <w:sz w:val="18"/>
                <w:szCs w:val="18"/>
              </w:rPr>
            </w:pPr>
          </w:p>
          <w:p w14:paraId="44D9645C" w14:textId="519F6535" w:rsidR="00D65D66" w:rsidRPr="005406D0" w:rsidDel="00F00A70" w:rsidRDefault="00835819" w:rsidP="005406D0">
            <w:pPr>
              <w:pStyle w:val="3Bodytext"/>
              <w:spacing w:after="0"/>
              <w:ind w:left="0" w:firstLine="0"/>
            </w:pPr>
            <w:r w:rsidRPr="005406D0">
              <w:rPr>
                <w:rStyle w:val="normaltextrun"/>
                <w:rFonts w:cstheme="minorHAnsi"/>
                <w:sz w:val="18"/>
                <w:szCs w:val="18"/>
              </w:rPr>
              <w:t>The PBAC advised that it would assist the Department by participating in future discussions, should the Department consider further engagement with stakeholders is required to articulate the barriers faced by people in custodial settings in accessing PBS subsidised medicines.</w:t>
            </w:r>
            <w:r>
              <w:rPr>
                <w:rStyle w:val="normaltextrun"/>
                <w:rFonts w:ascii="Calibri" w:hAnsi="Calibri" w:cs="Calibri"/>
              </w:rPr>
              <w:t xml:space="preserve"> </w:t>
            </w:r>
          </w:p>
        </w:tc>
      </w:tr>
      <w:tr w:rsidR="00D97548" w:rsidRPr="0066633F" w14:paraId="2D209829" w14:textId="77777777">
        <w:trPr>
          <w:cantSplit/>
          <w:trHeight w:val="58"/>
        </w:trPr>
        <w:tc>
          <w:tcPr>
            <w:tcW w:w="873" w:type="pct"/>
            <w:shd w:val="clear" w:color="auto" w:fill="auto"/>
            <w:vAlign w:val="center"/>
          </w:tcPr>
          <w:p w14:paraId="1306FB43" w14:textId="40B9F739" w:rsidR="00D97548" w:rsidRPr="0004054A" w:rsidRDefault="00C005F7" w:rsidP="00D97548">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Access to </w:t>
            </w:r>
            <w:r w:rsidRPr="0004054A">
              <w:rPr>
                <w:rFonts w:asciiTheme="minorHAnsi" w:hAnsiTheme="minorHAnsi" w:cstheme="minorHAnsi"/>
                <w:color w:val="000000"/>
                <w:sz w:val="18"/>
                <w:szCs w:val="18"/>
              </w:rPr>
              <w:t xml:space="preserve">Opioid Dependence Treatment Medicines </w:t>
            </w:r>
          </w:p>
          <w:p w14:paraId="0DE1E5B3" w14:textId="77777777" w:rsidR="00D97548" w:rsidRPr="0004054A" w:rsidRDefault="00D97548" w:rsidP="00D97548">
            <w:pPr>
              <w:jc w:val="center"/>
              <w:rPr>
                <w:rFonts w:asciiTheme="minorHAnsi" w:hAnsiTheme="minorHAnsi" w:cstheme="minorHAnsi"/>
                <w:color w:val="000000"/>
                <w:sz w:val="18"/>
                <w:szCs w:val="18"/>
              </w:rPr>
            </w:pPr>
          </w:p>
          <w:p w14:paraId="2E35CBE3" w14:textId="77777777" w:rsidR="00D97548" w:rsidRPr="006B1F80" w:rsidRDefault="00D97548" w:rsidP="006B1F80">
            <w:pPr>
              <w:jc w:val="center"/>
              <w:rPr>
                <w:rFonts w:asciiTheme="minorHAnsi" w:hAnsiTheme="minorHAnsi" w:cstheme="minorHAnsi"/>
                <w:b/>
                <w:bCs/>
                <w:color w:val="000000"/>
                <w:sz w:val="18"/>
                <w:szCs w:val="18"/>
              </w:rPr>
            </w:pPr>
            <w:r w:rsidRPr="006B1F80">
              <w:rPr>
                <w:rFonts w:asciiTheme="minorHAnsi" w:hAnsiTheme="minorHAnsi" w:cstheme="minorHAnsi"/>
                <w:b/>
                <w:bCs/>
                <w:color w:val="000000"/>
                <w:sz w:val="18"/>
                <w:szCs w:val="18"/>
              </w:rPr>
              <w:t>BUPRENORPHINE</w:t>
            </w:r>
          </w:p>
          <w:p w14:paraId="60DB7E5B" w14:textId="77777777" w:rsidR="00D97548" w:rsidRPr="0004054A" w:rsidRDefault="00D97548" w:rsidP="006B1F80">
            <w:pPr>
              <w:jc w:val="center"/>
              <w:rPr>
                <w:rFonts w:asciiTheme="minorHAnsi" w:hAnsiTheme="minorHAnsi" w:cstheme="minorHAnsi"/>
                <w:color w:val="000000"/>
                <w:sz w:val="18"/>
                <w:szCs w:val="18"/>
              </w:rPr>
            </w:pPr>
          </w:p>
          <w:p w14:paraId="5F8B606B" w14:textId="30DBB4D0" w:rsidR="00D97548" w:rsidRPr="0004054A" w:rsidRDefault="00D97548" w:rsidP="006B1F80">
            <w:pPr>
              <w:jc w:val="center"/>
              <w:rPr>
                <w:rFonts w:asciiTheme="minorHAnsi" w:hAnsiTheme="minorHAnsi" w:cstheme="minorHAnsi"/>
                <w:color w:val="000000"/>
                <w:sz w:val="18"/>
                <w:szCs w:val="18"/>
              </w:rPr>
            </w:pPr>
            <w:proofErr w:type="spellStart"/>
            <w:r w:rsidRPr="0004054A">
              <w:rPr>
                <w:rFonts w:asciiTheme="minorHAnsi" w:hAnsiTheme="minorHAnsi" w:cstheme="minorHAnsi"/>
                <w:color w:val="000000"/>
                <w:sz w:val="18"/>
                <w:szCs w:val="18"/>
              </w:rPr>
              <w:t>Buvidal</w:t>
            </w:r>
            <w:proofErr w:type="spellEnd"/>
            <w:r w:rsidR="001165DD" w:rsidRPr="001165DD">
              <w:rPr>
                <w:rFonts w:asciiTheme="minorHAnsi" w:hAnsiTheme="minorHAnsi" w:cstheme="minorHAnsi"/>
                <w:color w:val="000000"/>
                <w:sz w:val="18"/>
                <w:szCs w:val="18"/>
              </w:rPr>
              <w:t>®</w:t>
            </w:r>
            <w:r w:rsidRPr="0004054A">
              <w:rPr>
                <w:rFonts w:asciiTheme="minorHAnsi" w:hAnsiTheme="minorHAnsi" w:cstheme="minorHAnsi"/>
                <w:color w:val="000000"/>
                <w:sz w:val="18"/>
                <w:szCs w:val="18"/>
              </w:rPr>
              <w:t xml:space="preserve"> Weekly</w:t>
            </w:r>
          </w:p>
          <w:p w14:paraId="00FED047" w14:textId="6C5FB9A6" w:rsidR="00D97548" w:rsidRPr="0004054A" w:rsidRDefault="00D97548" w:rsidP="006B1F80">
            <w:pPr>
              <w:jc w:val="center"/>
              <w:rPr>
                <w:rFonts w:asciiTheme="minorHAnsi" w:hAnsiTheme="minorHAnsi" w:cstheme="minorHAnsi"/>
                <w:color w:val="000000"/>
                <w:sz w:val="18"/>
                <w:szCs w:val="18"/>
              </w:rPr>
            </w:pPr>
            <w:proofErr w:type="spellStart"/>
            <w:r w:rsidRPr="0004054A">
              <w:rPr>
                <w:rFonts w:asciiTheme="minorHAnsi" w:hAnsiTheme="minorHAnsi" w:cstheme="minorHAnsi"/>
                <w:color w:val="000000"/>
                <w:sz w:val="18"/>
                <w:szCs w:val="18"/>
              </w:rPr>
              <w:t>Buvidal</w:t>
            </w:r>
            <w:proofErr w:type="spellEnd"/>
            <w:r w:rsidR="001165DD" w:rsidRPr="001165DD">
              <w:rPr>
                <w:rFonts w:asciiTheme="minorHAnsi" w:hAnsiTheme="minorHAnsi" w:cstheme="minorHAnsi"/>
                <w:color w:val="000000"/>
                <w:sz w:val="18"/>
                <w:szCs w:val="18"/>
              </w:rPr>
              <w:t>®</w:t>
            </w:r>
            <w:r w:rsidRPr="0004054A">
              <w:rPr>
                <w:rFonts w:asciiTheme="minorHAnsi" w:hAnsiTheme="minorHAnsi" w:cstheme="minorHAnsi"/>
                <w:color w:val="000000"/>
                <w:sz w:val="18"/>
                <w:szCs w:val="18"/>
              </w:rPr>
              <w:t xml:space="preserve"> Monthly</w:t>
            </w:r>
          </w:p>
          <w:p w14:paraId="7F2EA9FB" w14:textId="77777777"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CAMURUS PTY LYD</w:t>
            </w:r>
          </w:p>
          <w:p w14:paraId="3C3BF952" w14:textId="77777777" w:rsidR="00D97548" w:rsidRPr="0004054A" w:rsidRDefault="00D97548" w:rsidP="006B1F80">
            <w:pPr>
              <w:jc w:val="center"/>
              <w:rPr>
                <w:rFonts w:asciiTheme="minorHAnsi" w:hAnsiTheme="minorHAnsi" w:cstheme="minorHAnsi"/>
                <w:color w:val="000000"/>
                <w:sz w:val="18"/>
                <w:szCs w:val="18"/>
              </w:rPr>
            </w:pPr>
          </w:p>
          <w:p w14:paraId="63D8916F" w14:textId="5DDDB5DE"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Subutex</w:t>
            </w:r>
            <w:r w:rsidR="001165DD" w:rsidRPr="001165DD">
              <w:rPr>
                <w:rFonts w:asciiTheme="minorHAnsi" w:hAnsiTheme="minorHAnsi" w:cstheme="minorHAnsi"/>
                <w:color w:val="000000"/>
                <w:sz w:val="18"/>
                <w:szCs w:val="18"/>
              </w:rPr>
              <w:t>®</w:t>
            </w:r>
          </w:p>
          <w:p w14:paraId="06503694" w14:textId="1D96E316" w:rsidR="00D97548" w:rsidRPr="0004054A" w:rsidRDefault="00D97548" w:rsidP="006B1F80">
            <w:pPr>
              <w:jc w:val="center"/>
              <w:rPr>
                <w:rFonts w:asciiTheme="minorHAnsi" w:hAnsiTheme="minorHAnsi" w:cstheme="minorHAnsi"/>
                <w:color w:val="000000"/>
                <w:sz w:val="18"/>
                <w:szCs w:val="18"/>
              </w:rPr>
            </w:pPr>
            <w:proofErr w:type="spellStart"/>
            <w:r w:rsidRPr="0004054A">
              <w:rPr>
                <w:rFonts w:asciiTheme="minorHAnsi" w:hAnsiTheme="minorHAnsi" w:cstheme="minorHAnsi"/>
                <w:color w:val="000000"/>
                <w:sz w:val="18"/>
                <w:szCs w:val="18"/>
              </w:rPr>
              <w:t>Sublocade</w:t>
            </w:r>
            <w:proofErr w:type="spellEnd"/>
            <w:r w:rsidR="001165DD" w:rsidRPr="001165DD">
              <w:rPr>
                <w:rFonts w:asciiTheme="minorHAnsi" w:hAnsiTheme="minorHAnsi" w:cstheme="minorHAnsi"/>
                <w:color w:val="000000"/>
                <w:sz w:val="18"/>
                <w:szCs w:val="18"/>
              </w:rPr>
              <w:t>®</w:t>
            </w:r>
          </w:p>
          <w:p w14:paraId="1CBAEB48" w14:textId="77777777"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INDIVIOR PTY LTD</w:t>
            </w:r>
          </w:p>
          <w:p w14:paraId="49E0EDB7" w14:textId="77777777" w:rsidR="00D97548" w:rsidRPr="0004054A" w:rsidRDefault="00D97548" w:rsidP="006B1F80">
            <w:pPr>
              <w:jc w:val="center"/>
              <w:rPr>
                <w:rFonts w:asciiTheme="minorHAnsi" w:hAnsiTheme="minorHAnsi" w:cstheme="minorHAnsi"/>
                <w:color w:val="000000"/>
                <w:sz w:val="18"/>
                <w:szCs w:val="18"/>
              </w:rPr>
            </w:pPr>
          </w:p>
          <w:p w14:paraId="550C6709" w14:textId="77777777" w:rsidR="00D97548" w:rsidRPr="006B1F80" w:rsidRDefault="00D97548" w:rsidP="006B1F80">
            <w:pPr>
              <w:jc w:val="center"/>
              <w:rPr>
                <w:rFonts w:asciiTheme="minorHAnsi" w:hAnsiTheme="minorHAnsi" w:cstheme="minorHAnsi"/>
                <w:b/>
                <w:bCs/>
                <w:color w:val="000000"/>
                <w:sz w:val="18"/>
                <w:szCs w:val="18"/>
              </w:rPr>
            </w:pPr>
            <w:r w:rsidRPr="006B1F80">
              <w:rPr>
                <w:rFonts w:asciiTheme="minorHAnsi" w:hAnsiTheme="minorHAnsi" w:cstheme="minorHAnsi"/>
                <w:b/>
                <w:bCs/>
                <w:color w:val="000000"/>
                <w:sz w:val="18"/>
                <w:szCs w:val="18"/>
              </w:rPr>
              <w:t>BUPRENORPHINE WITH NALOXONE</w:t>
            </w:r>
          </w:p>
          <w:p w14:paraId="57D9B124" w14:textId="77777777" w:rsidR="00D97548" w:rsidRPr="0004054A" w:rsidRDefault="00D97548" w:rsidP="006B1F80">
            <w:pPr>
              <w:jc w:val="center"/>
              <w:rPr>
                <w:rFonts w:asciiTheme="minorHAnsi" w:hAnsiTheme="minorHAnsi" w:cstheme="minorHAnsi"/>
                <w:color w:val="000000"/>
                <w:sz w:val="18"/>
                <w:szCs w:val="18"/>
              </w:rPr>
            </w:pPr>
          </w:p>
          <w:p w14:paraId="556D88FE" w14:textId="409289E0"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Suboxone</w:t>
            </w:r>
            <w:r w:rsidR="001165DD" w:rsidRPr="001165DD">
              <w:rPr>
                <w:rFonts w:asciiTheme="minorHAnsi" w:hAnsiTheme="minorHAnsi" w:cstheme="minorHAnsi"/>
                <w:color w:val="000000"/>
                <w:sz w:val="18"/>
                <w:szCs w:val="18"/>
              </w:rPr>
              <w:t>®</w:t>
            </w:r>
            <w:r w:rsidRPr="0004054A">
              <w:rPr>
                <w:rFonts w:asciiTheme="minorHAnsi" w:hAnsiTheme="minorHAnsi" w:cstheme="minorHAnsi"/>
                <w:color w:val="000000"/>
                <w:sz w:val="18"/>
                <w:szCs w:val="18"/>
              </w:rPr>
              <w:t xml:space="preserve"> Film 2/0.5</w:t>
            </w:r>
          </w:p>
          <w:p w14:paraId="662D6D16" w14:textId="50C029C5"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Suboxone</w:t>
            </w:r>
            <w:r w:rsidR="001165DD" w:rsidRPr="001165DD">
              <w:rPr>
                <w:rFonts w:asciiTheme="minorHAnsi" w:hAnsiTheme="minorHAnsi" w:cstheme="minorHAnsi"/>
                <w:color w:val="000000"/>
                <w:sz w:val="18"/>
                <w:szCs w:val="18"/>
              </w:rPr>
              <w:t>®</w:t>
            </w:r>
            <w:r w:rsidRPr="0004054A">
              <w:rPr>
                <w:rFonts w:asciiTheme="minorHAnsi" w:hAnsiTheme="minorHAnsi" w:cstheme="minorHAnsi"/>
                <w:color w:val="000000"/>
                <w:sz w:val="18"/>
                <w:szCs w:val="18"/>
                <w:vertAlign w:val="superscript"/>
              </w:rPr>
              <w:t xml:space="preserve"> </w:t>
            </w:r>
            <w:r w:rsidRPr="0004054A">
              <w:rPr>
                <w:rFonts w:asciiTheme="minorHAnsi" w:hAnsiTheme="minorHAnsi" w:cstheme="minorHAnsi"/>
                <w:color w:val="000000"/>
                <w:sz w:val="18"/>
                <w:szCs w:val="18"/>
              </w:rPr>
              <w:t>Film 8/2</w:t>
            </w:r>
          </w:p>
          <w:p w14:paraId="6CB15748" w14:textId="77777777"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INDIVIOR PTY LTD</w:t>
            </w:r>
          </w:p>
          <w:p w14:paraId="6A6E473C" w14:textId="77777777" w:rsidR="00D97548" w:rsidRPr="0004054A" w:rsidRDefault="00D97548" w:rsidP="006B1F80">
            <w:pPr>
              <w:jc w:val="center"/>
              <w:rPr>
                <w:rFonts w:asciiTheme="minorHAnsi" w:hAnsiTheme="minorHAnsi" w:cstheme="minorHAnsi"/>
                <w:color w:val="000000"/>
                <w:sz w:val="18"/>
                <w:szCs w:val="18"/>
              </w:rPr>
            </w:pPr>
          </w:p>
          <w:p w14:paraId="23AFC029" w14:textId="77777777" w:rsidR="00D97548" w:rsidRPr="006B1F80" w:rsidRDefault="00D97548" w:rsidP="006B1F80">
            <w:pPr>
              <w:jc w:val="center"/>
              <w:rPr>
                <w:rFonts w:asciiTheme="minorHAnsi" w:hAnsiTheme="minorHAnsi" w:cstheme="minorHAnsi"/>
                <w:b/>
                <w:bCs/>
                <w:color w:val="000000"/>
                <w:sz w:val="18"/>
                <w:szCs w:val="18"/>
              </w:rPr>
            </w:pPr>
            <w:r w:rsidRPr="006B1F80">
              <w:rPr>
                <w:rFonts w:asciiTheme="minorHAnsi" w:hAnsiTheme="minorHAnsi" w:cstheme="minorHAnsi"/>
                <w:b/>
                <w:bCs/>
                <w:color w:val="000000"/>
                <w:sz w:val="18"/>
                <w:szCs w:val="18"/>
              </w:rPr>
              <w:t>METHADONE</w:t>
            </w:r>
          </w:p>
          <w:p w14:paraId="286BA5EF" w14:textId="77777777" w:rsidR="00D97548" w:rsidRPr="0004054A" w:rsidRDefault="00D97548" w:rsidP="006B1F80">
            <w:pPr>
              <w:jc w:val="center"/>
              <w:rPr>
                <w:rFonts w:asciiTheme="minorHAnsi" w:hAnsiTheme="minorHAnsi" w:cstheme="minorHAnsi"/>
                <w:color w:val="000000"/>
                <w:sz w:val="18"/>
                <w:szCs w:val="18"/>
              </w:rPr>
            </w:pPr>
          </w:p>
          <w:p w14:paraId="037730AD" w14:textId="20B47076"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Aspen Methadone Syrup</w:t>
            </w:r>
          </w:p>
          <w:p w14:paraId="0E932229" w14:textId="77777777"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ASPEN PHARMACARE AUSTRALIA PTY LIMITED</w:t>
            </w:r>
          </w:p>
          <w:p w14:paraId="3D92330C" w14:textId="77777777" w:rsidR="00D97548" w:rsidRPr="0004054A" w:rsidRDefault="00D97548" w:rsidP="006B1F80">
            <w:pPr>
              <w:jc w:val="center"/>
              <w:rPr>
                <w:rFonts w:asciiTheme="minorHAnsi" w:hAnsiTheme="minorHAnsi" w:cstheme="minorHAnsi"/>
                <w:color w:val="000000"/>
                <w:sz w:val="18"/>
                <w:szCs w:val="18"/>
              </w:rPr>
            </w:pPr>
          </w:p>
          <w:p w14:paraId="2CBD1705" w14:textId="454B3350" w:rsidR="00D97548" w:rsidRPr="0004054A" w:rsidRDefault="00D97548" w:rsidP="006B1F80">
            <w:pPr>
              <w:jc w:val="center"/>
              <w:rPr>
                <w:rFonts w:asciiTheme="minorHAnsi" w:hAnsiTheme="minorHAnsi" w:cstheme="minorHAnsi"/>
                <w:color w:val="000000"/>
                <w:sz w:val="18"/>
                <w:szCs w:val="18"/>
              </w:rPr>
            </w:pPr>
            <w:proofErr w:type="spellStart"/>
            <w:r w:rsidRPr="0004054A">
              <w:rPr>
                <w:rFonts w:asciiTheme="minorHAnsi" w:hAnsiTheme="minorHAnsi" w:cstheme="minorHAnsi"/>
                <w:color w:val="000000"/>
                <w:sz w:val="18"/>
                <w:szCs w:val="18"/>
              </w:rPr>
              <w:t>Biodone</w:t>
            </w:r>
            <w:proofErr w:type="spellEnd"/>
            <w:r w:rsidR="001165DD" w:rsidRPr="001165DD">
              <w:rPr>
                <w:rFonts w:asciiTheme="minorHAnsi" w:hAnsiTheme="minorHAnsi" w:cstheme="minorHAnsi"/>
                <w:color w:val="000000"/>
                <w:sz w:val="18"/>
                <w:szCs w:val="18"/>
              </w:rPr>
              <w:t>®</w:t>
            </w:r>
            <w:r w:rsidRPr="0004054A">
              <w:rPr>
                <w:rFonts w:asciiTheme="minorHAnsi" w:hAnsiTheme="minorHAnsi" w:cstheme="minorHAnsi"/>
                <w:color w:val="000000"/>
                <w:sz w:val="18"/>
                <w:szCs w:val="18"/>
              </w:rPr>
              <w:t xml:space="preserve"> Forte</w:t>
            </w:r>
          </w:p>
          <w:p w14:paraId="575E4148" w14:textId="77777777" w:rsidR="00D97548" w:rsidRPr="0004054A" w:rsidRDefault="00D97548" w:rsidP="006B1F80">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BIOMED AUST PTY LIMITED</w:t>
            </w:r>
          </w:p>
          <w:p w14:paraId="55FB39A7" w14:textId="77777777" w:rsidR="00D97548" w:rsidRDefault="00D97548" w:rsidP="006B1F80">
            <w:pPr>
              <w:jc w:val="center"/>
              <w:rPr>
                <w:rFonts w:asciiTheme="minorHAnsi" w:hAnsiTheme="minorHAnsi" w:cstheme="minorHAnsi"/>
                <w:color w:val="000000"/>
                <w:sz w:val="18"/>
                <w:szCs w:val="18"/>
              </w:rPr>
            </w:pPr>
          </w:p>
          <w:p w14:paraId="0F496897" w14:textId="183326A3" w:rsidR="00C005F7" w:rsidRPr="0004054A" w:rsidRDefault="00C005F7" w:rsidP="006B1F80">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0E4FB29C" w14:textId="21DF94FC" w:rsidR="00D97548" w:rsidRPr="0004054A" w:rsidRDefault="00D97548" w:rsidP="006B1F80">
            <w:pPr>
              <w:jc w:val="center"/>
              <w:rPr>
                <w:rFonts w:asciiTheme="minorHAnsi" w:hAnsiTheme="minorHAnsi" w:cstheme="minorHAnsi"/>
                <w:sz w:val="18"/>
                <w:szCs w:val="18"/>
              </w:rPr>
            </w:pPr>
            <w:r w:rsidRPr="0004054A">
              <w:rPr>
                <w:rFonts w:asciiTheme="minorHAnsi" w:hAnsiTheme="minorHAnsi" w:cstheme="minorHAnsi"/>
                <w:color w:val="000000"/>
                <w:sz w:val="18"/>
                <w:szCs w:val="18"/>
              </w:rPr>
              <w:t>(Change to existing listing)</w:t>
            </w:r>
          </w:p>
        </w:tc>
        <w:tc>
          <w:tcPr>
            <w:tcW w:w="552" w:type="pct"/>
            <w:shd w:val="clear" w:color="auto" w:fill="auto"/>
            <w:vAlign w:val="center"/>
          </w:tcPr>
          <w:p w14:paraId="2283B276" w14:textId="11D304B6" w:rsidR="00D97548" w:rsidRPr="0004054A" w:rsidRDefault="00D97548" w:rsidP="00D97548">
            <w:pPr>
              <w:jc w:val="center"/>
              <w:rPr>
                <w:rFonts w:asciiTheme="minorHAnsi" w:hAnsiTheme="minorHAnsi" w:cstheme="minorHAnsi"/>
                <w:sz w:val="18"/>
                <w:szCs w:val="18"/>
              </w:rPr>
            </w:pPr>
            <w:r w:rsidRPr="0004054A">
              <w:rPr>
                <w:rFonts w:asciiTheme="minorHAnsi" w:hAnsiTheme="minorHAnsi" w:cstheme="minorHAnsi"/>
                <w:sz w:val="18"/>
                <w:szCs w:val="18"/>
              </w:rPr>
              <w:t>Opioid dependence</w:t>
            </w:r>
          </w:p>
        </w:tc>
        <w:tc>
          <w:tcPr>
            <w:tcW w:w="922" w:type="pct"/>
            <w:shd w:val="clear" w:color="auto" w:fill="auto"/>
            <w:vAlign w:val="center"/>
          </w:tcPr>
          <w:p w14:paraId="10B50204" w14:textId="77777777" w:rsidR="00D97548" w:rsidRPr="0004054A" w:rsidRDefault="00D97548" w:rsidP="00D97548">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To provide the PBAC with an update on the transition of the ODT program to the Section 100 Highly Specialised Drugs (HSD) Program (Community Access), including feedback from stakeholders on the impacts of the maximum repeats that was set for these listings.</w:t>
            </w:r>
          </w:p>
          <w:p w14:paraId="0B1B00DD" w14:textId="77777777" w:rsidR="00D97548" w:rsidRPr="0004054A" w:rsidRDefault="00D97548" w:rsidP="00D97548">
            <w:pPr>
              <w:jc w:val="center"/>
              <w:rPr>
                <w:rFonts w:asciiTheme="minorHAnsi" w:hAnsiTheme="minorHAnsi" w:cstheme="minorHAnsi"/>
                <w:color w:val="000000"/>
                <w:sz w:val="18"/>
                <w:szCs w:val="18"/>
              </w:rPr>
            </w:pPr>
          </w:p>
          <w:p w14:paraId="31621DA7" w14:textId="25FCD49C" w:rsidR="00D97548" w:rsidRPr="0004054A" w:rsidRDefault="00D97548" w:rsidP="00D97548">
            <w:pPr>
              <w:spacing w:line="256" w:lineRule="auto"/>
              <w:jc w:val="center"/>
              <w:rPr>
                <w:rFonts w:asciiTheme="minorHAnsi" w:hAnsiTheme="minorHAnsi" w:cstheme="minorHAnsi"/>
                <w:sz w:val="18"/>
                <w:szCs w:val="18"/>
              </w:rPr>
            </w:pPr>
            <w:r w:rsidRPr="0004054A">
              <w:rPr>
                <w:rFonts w:asciiTheme="minorHAnsi" w:hAnsiTheme="minorHAnsi" w:cstheme="minorHAnsi"/>
                <w:color w:val="000000"/>
                <w:sz w:val="18"/>
                <w:szCs w:val="18"/>
              </w:rPr>
              <w:t>To seek the advice of the PBAC on whether it would be appropriate to amend the circumstances under which ODT medicines are listed on the PBS.</w:t>
            </w:r>
          </w:p>
        </w:tc>
        <w:tc>
          <w:tcPr>
            <w:tcW w:w="2653" w:type="pct"/>
            <w:shd w:val="clear" w:color="auto" w:fill="auto"/>
            <w:vAlign w:val="center"/>
          </w:tcPr>
          <w:p w14:paraId="35976977" w14:textId="77777777" w:rsidR="0032265B" w:rsidRPr="0032265B" w:rsidRDefault="0032265B" w:rsidP="00671C24">
            <w:pPr>
              <w:widowControl w:val="0"/>
              <w:jc w:val="both"/>
              <w:rPr>
                <w:rFonts w:asciiTheme="minorHAnsi" w:hAnsiTheme="minorHAnsi" w:cstheme="minorHAnsi"/>
                <w:snapToGrid w:val="0"/>
                <w:sz w:val="18"/>
                <w:szCs w:val="18"/>
              </w:rPr>
            </w:pPr>
            <w:r w:rsidRPr="0032265B">
              <w:rPr>
                <w:rFonts w:asciiTheme="minorHAnsi" w:hAnsiTheme="minorHAnsi" w:cstheme="minorHAnsi"/>
                <w:snapToGrid w:val="0"/>
                <w:sz w:val="18"/>
                <w:szCs w:val="18"/>
              </w:rPr>
              <w:t>The PBAC noted an update on the transition of the Opioid Dependence Treatment (ODT) program to the Section 100 (S100) Highly Specialised Drugs (HSD) Program (Community Access) of the Pharmaceutical Benefits Scheme (PBS), including feedback from stakeholders on the impacts of the maximum number of repeats that was set for the listings.</w:t>
            </w:r>
          </w:p>
          <w:p w14:paraId="0CB5CF32" w14:textId="77777777" w:rsidR="0032265B" w:rsidRPr="0032265B" w:rsidRDefault="0032265B" w:rsidP="00671C24">
            <w:pPr>
              <w:widowControl w:val="0"/>
              <w:jc w:val="both"/>
              <w:rPr>
                <w:rFonts w:asciiTheme="minorHAnsi" w:hAnsiTheme="minorHAnsi" w:cstheme="minorHAnsi"/>
                <w:snapToGrid w:val="0"/>
                <w:sz w:val="18"/>
                <w:szCs w:val="18"/>
              </w:rPr>
            </w:pPr>
          </w:p>
          <w:p w14:paraId="35DA79FF" w14:textId="77777777" w:rsidR="0032265B" w:rsidRPr="0032265B" w:rsidRDefault="0032265B" w:rsidP="00671C24">
            <w:pPr>
              <w:widowControl w:val="0"/>
              <w:jc w:val="both"/>
              <w:rPr>
                <w:rFonts w:asciiTheme="minorHAnsi" w:hAnsiTheme="minorHAnsi" w:cstheme="minorHAnsi"/>
                <w:snapToGrid w:val="0"/>
                <w:sz w:val="18"/>
                <w:szCs w:val="18"/>
              </w:rPr>
            </w:pPr>
            <w:r w:rsidRPr="0032265B">
              <w:rPr>
                <w:rFonts w:asciiTheme="minorHAnsi" w:hAnsiTheme="minorHAnsi" w:cstheme="minorHAnsi"/>
                <w:snapToGrid w:val="0"/>
                <w:sz w:val="18"/>
                <w:szCs w:val="18"/>
              </w:rPr>
              <w:t>The PBAC recommended that the maximum repeats for ODT medicines be amended to provide for up to six months’ treatment per prescription. In doing this, the PBAC acknowledged that there remain other opioids for chronic conditions listed on the PBS with repeats sufficient for three months’ treatment under the general schedule. The PBAC considered that the circumstances of prescribing and supply of ODT medicines under the S100 HSD (Community Access) program provided additional review points with health professionals for patients during treatment that were unique to ODT and did not recommend the changes be extended to non-ODT opioid listings.</w:t>
            </w:r>
          </w:p>
          <w:p w14:paraId="1986F465" w14:textId="77777777" w:rsidR="0032265B" w:rsidRPr="0032265B" w:rsidRDefault="0032265B" w:rsidP="00671C24">
            <w:pPr>
              <w:widowControl w:val="0"/>
              <w:jc w:val="both"/>
              <w:rPr>
                <w:rFonts w:asciiTheme="minorHAnsi" w:hAnsiTheme="minorHAnsi" w:cstheme="minorHAnsi"/>
                <w:snapToGrid w:val="0"/>
                <w:sz w:val="18"/>
                <w:szCs w:val="18"/>
              </w:rPr>
            </w:pPr>
          </w:p>
          <w:p w14:paraId="6E1EC2B5" w14:textId="4B0D23D3" w:rsidR="00D97548" w:rsidRPr="0004054A" w:rsidDel="00F00A70" w:rsidRDefault="0032265B" w:rsidP="00671C24">
            <w:pPr>
              <w:pStyle w:val="3Bodytext"/>
              <w:ind w:left="0" w:firstLine="0"/>
            </w:pPr>
            <w:r w:rsidRPr="0032265B">
              <w:rPr>
                <w:rFonts w:cstheme="minorHAnsi"/>
                <w:snapToGrid w:val="0"/>
                <w:sz w:val="18"/>
                <w:szCs w:val="18"/>
              </w:rPr>
              <w:t xml:space="preserve">In making the recommendation, the PBAC was cognisant of the feedback it had received during the Post-Market Review (PMR) of PBS Opiate Dependence Treatment Program medicines, and since the transition of the ODTP to S100 HSD, of the pressure that exists on the limited prescribing workforce providing opioid dependence treatment. The PBAC considered this amendment would reduce the administrative burden for these prescribers and may assist in increasing the number of available appointments for them to provide treatment to additional patients. </w:t>
            </w:r>
          </w:p>
        </w:tc>
      </w:tr>
      <w:tr w:rsidR="00C361F0" w:rsidRPr="0066633F" w14:paraId="707BB3B1" w14:textId="77777777" w:rsidTr="00D97548">
        <w:trPr>
          <w:cantSplit/>
          <w:trHeight w:val="3181"/>
        </w:trPr>
        <w:tc>
          <w:tcPr>
            <w:tcW w:w="873" w:type="pct"/>
            <w:shd w:val="clear" w:color="auto" w:fill="auto"/>
            <w:vAlign w:val="center"/>
          </w:tcPr>
          <w:p w14:paraId="1793C191" w14:textId="67A608ED" w:rsidR="00C361F0" w:rsidRPr="00C005F7" w:rsidRDefault="00C005F7" w:rsidP="00C361F0">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lastRenderedPageBreak/>
              <w:t>Review of utilisation of ganciclovir and valganciclovir for the management of cytomegalovirus (CMV)</w:t>
            </w:r>
          </w:p>
          <w:p w14:paraId="1A7586F5" w14:textId="77777777" w:rsidR="00C361F0" w:rsidRPr="005406D0" w:rsidRDefault="00C361F0" w:rsidP="00C361F0">
            <w:pPr>
              <w:jc w:val="center"/>
              <w:rPr>
                <w:rFonts w:asciiTheme="minorHAnsi" w:hAnsiTheme="minorHAnsi" w:cstheme="minorHAnsi"/>
                <w:b/>
                <w:bCs/>
                <w:color w:val="000000"/>
                <w:sz w:val="18"/>
                <w:szCs w:val="18"/>
              </w:rPr>
            </w:pPr>
          </w:p>
          <w:p w14:paraId="74EF8CDB" w14:textId="77777777" w:rsidR="00C005F7" w:rsidRPr="00C005F7" w:rsidRDefault="00C005F7" w:rsidP="00C005F7">
            <w:pPr>
              <w:jc w:val="center"/>
              <w:rPr>
                <w:rFonts w:asciiTheme="minorHAnsi" w:hAnsiTheme="minorHAnsi" w:cstheme="minorHAnsi"/>
                <w:b/>
                <w:bCs/>
                <w:color w:val="000000"/>
                <w:sz w:val="18"/>
                <w:szCs w:val="18"/>
              </w:rPr>
            </w:pPr>
            <w:r w:rsidRPr="005406D0">
              <w:rPr>
                <w:rFonts w:asciiTheme="minorHAnsi" w:hAnsiTheme="minorHAnsi" w:cstheme="minorHAnsi"/>
                <w:b/>
                <w:bCs/>
                <w:color w:val="000000"/>
                <w:sz w:val="18"/>
                <w:szCs w:val="18"/>
              </w:rPr>
              <w:t>GANCICLOVIR</w:t>
            </w:r>
          </w:p>
          <w:p w14:paraId="0EC739B7" w14:textId="77777777" w:rsidR="00C005F7" w:rsidRPr="005406D0" w:rsidRDefault="00C005F7" w:rsidP="00C005F7">
            <w:pPr>
              <w:jc w:val="center"/>
              <w:rPr>
                <w:rFonts w:asciiTheme="minorHAnsi" w:hAnsiTheme="minorHAnsi" w:cstheme="minorHAnsi"/>
                <w:b/>
                <w:bCs/>
                <w:color w:val="000000"/>
                <w:sz w:val="18"/>
                <w:szCs w:val="18"/>
              </w:rPr>
            </w:pPr>
          </w:p>
          <w:p w14:paraId="24FBA42C" w14:textId="674D3005"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Powder for I.V. infusion 500</w:t>
            </w:r>
            <w:r w:rsidR="001165DD">
              <w:rPr>
                <w:rFonts w:asciiTheme="minorHAnsi" w:hAnsiTheme="minorHAnsi" w:cstheme="minorHAnsi"/>
                <w:color w:val="000000"/>
                <w:sz w:val="18"/>
                <w:szCs w:val="18"/>
              </w:rPr>
              <w:t> mg</w:t>
            </w:r>
            <w:r w:rsidRPr="00C005F7">
              <w:rPr>
                <w:rFonts w:asciiTheme="minorHAnsi" w:hAnsiTheme="minorHAnsi" w:cstheme="minorHAnsi"/>
                <w:color w:val="000000"/>
                <w:sz w:val="18"/>
                <w:szCs w:val="18"/>
              </w:rPr>
              <w:t xml:space="preserve"> (as sodium)</w:t>
            </w:r>
          </w:p>
          <w:p w14:paraId="64D5F423" w14:textId="77777777" w:rsidR="00C005F7" w:rsidRPr="00C005F7" w:rsidRDefault="00C005F7" w:rsidP="00C005F7">
            <w:pPr>
              <w:jc w:val="center"/>
              <w:rPr>
                <w:rFonts w:asciiTheme="minorHAnsi" w:hAnsiTheme="minorHAnsi" w:cstheme="minorHAnsi"/>
                <w:color w:val="000000"/>
                <w:sz w:val="18"/>
                <w:szCs w:val="18"/>
              </w:rPr>
            </w:pPr>
            <w:proofErr w:type="spellStart"/>
            <w:r w:rsidRPr="00C005F7">
              <w:rPr>
                <w:rFonts w:asciiTheme="minorHAnsi" w:hAnsiTheme="minorHAnsi" w:cstheme="minorHAnsi"/>
                <w:color w:val="000000"/>
                <w:sz w:val="18"/>
                <w:szCs w:val="18"/>
              </w:rPr>
              <w:t>Cymevene</w:t>
            </w:r>
            <w:proofErr w:type="spellEnd"/>
            <w:r w:rsidRPr="00C005F7">
              <w:rPr>
                <w:rFonts w:asciiTheme="minorHAnsi" w:hAnsiTheme="minorHAnsi" w:cstheme="minorHAnsi"/>
                <w:color w:val="000000"/>
                <w:sz w:val="18"/>
                <w:szCs w:val="18"/>
              </w:rPr>
              <w:t>®</w:t>
            </w:r>
          </w:p>
          <w:p w14:paraId="7F03DFD7" w14:textId="77777777" w:rsidR="00C005F7" w:rsidRPr="00C005F7" w:rsidRDefault="00C005F7" w:rsidP="00C005F7">
            <w:pPr>
              <w:jc w:val="center"/>
              <w:rPr>
                <w:rFonts w:asciiTheme="minorHAnsi" w:hAnsiTheme="minorHAnsi" w:cstheme="minorHAnsi"/>
                <w:color w:val="000000"/>
                <w:sz w:val="18"/>
                <w:szCs w:val="18"/>
              </w:rPr>
            </w:pPr>
            <w:proofErr w:type="spellStart"/>
            <w:r w:rsidRPr="00C005F7">
              <w:rPr>
                <w:rFonts w:asciiTheme="minorHAnsi" w:hAnsiTheme="minorHAnsi" w:cstheme="minorHAnsi"/>
                <w:color w:val="000000"/>
                <w:sz w:val="18"/>
                <w:szCs w:val="18"/>
              </w:rPr>
              <w:t>Pharmaco</w:t>
            </w:r>
            <w:proofErr w:type="spellEnd"/>
            <w:r w:rsidRPr="00C005F7">
              <w:rPr>
                <w:rFonts w:asciiTheme="minorHAnsi" w:hAnsiTheme="minorHAnsi" w:cstheme="minorHAnsi"/>
                <w:color w:val="000000"/>
                <w:sz w:val="18"/>
                <w:szCs w:val="18"/>
              </w:rPr>
              <w:t xml:space="preserve"> (Australia) Limited</w:t>
            </w:r>
          </w:p>
          <w:p w14:paraId="52AF4858" w14:textId="77777777" w:rsidR="00C005F7" w:rsidRPr="00C005F7" w:rsidRDefault="00C005F7" w:rsidP="00C005F7">
            <w:pPr>
              <w:jc w:val="center"/>
              <w:rPr>
                <w:rFonts w:asciiTheme="minorHAnsi" w:hAnsiTheme="minorHAnsi" w:cstheme="minorHAnsi"/>
                <w:color w:val="000000"/>
                <w:sz w:val="18"/>
                <w:szCs w:val="18"/>
              </w:rPr>
            </w:pPr>
          </w:p>
          <w:p w14:paraId="5F0349BF" w14:textId="5E723CB3"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Powder for I.V. infusion 500</w:t>
            </w:r>
            <w:r w:rsidR="001165DD">
              <w:rPr>
                <w:rFonts w:asciiTheme="minorHAnsi" w:hAnsiTheme="minorHAnsi" w:cstheme="minorHAnsi"/>
                <w:color w:val="000000"/>
                <w:sz w:val="18"/>
                <w:szCs w:val="18"/>
              </w:rPr>
              <w:t> mg</w:t>
            </w:r>
            <w:r w:rsidRPr="00C005F7">
              <w:rPr>
                <w:rFonts w:asciiTheme="minorHAnsi" w:hAnsiTheme="minorHAnsi" w:cstheme="minorHAnsi"/>
                <w:color w:val="000000"/>
                <w:sz w:val="18"/>
                <w:szCs w:val="18"/>
              </w:rPr>
              <w:t xml:space="preserve"> (as sodium)</w:t>
            </w:r>
          </w:p>
          <w:p w14:paraId="1C310951"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Ganciclovir SXP®</w:t>
            </w:r>
          </w:p>
          <w:p w14:paraId="203F359B"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Southern Cross Pharma Pty Ltd</w:t>
            </w:r>
          </w:p>
          <w:p w14:paraId="33F8323B" w14:textId="77777777" w:rsidR="00C005F7" w:rsidRPr="00C005F7" w:rsidRDefault="00C005F7" w:rsidP="00C005F7">
            <w:pPr>
              <w:jc w:val="center"/>
              <w:rPr>
                <w:rFonts w:asciiTheme="minorHAnsi" w:hAnsiTheme="minorHAnsi" w:cstheme="minorHAnsi"/>
                <w:color w:val="000000"/>
                <w:sz w:val="18"/>
                <w:szCs w:val="18"/>
              </w:rPr>
            </w:pPr>
          </w:p>
          <w:p w14:paraId="53ABE0BE" w14:textId="4F77BD0B" w:rsidR="00C005F7" w:rsidRPr="00C005F7" w:rsidRDefault="00C005F7" w:rsidP="00C005F7">
            <w:pPr>
              <w:jc w:val="center"/>
              <w:rPr>
                <w:rFonts w:asciiTheme="minorHAnsi" w:hAnsiTheme="minorHAnsi" w:cstheme="minorHAnsi"/>
                <w:b/>
                <w:bCs/>
                <w:color w:val="000000"/>
                <w:sz w:val="18"/>
                <w:szCs w:val="18"/>
              </w:rPr>
            </w:pPr>
            <w:r w:rsidRPr="005406D0">
              <w:rPr>
                <w:rFonts w:asciiTheme="minorHAnsi" w:hAnsiTheme="minorHAnsi" w:cstheme="minorHAnsi"/>
                <w:b/>
                <w:bCs/>
                <w:color w:val="000000"/>
                <w:sz w:val="18"/>
                <w:szCs w:val="18"/>
              </w:rPr>
              <w:t>VALGANCICLOVIR</w:t>
            </w:r>
          </w:p>
          <w:p w14:paraId="3EDC1A74" w14:textId="77777777" w:rsidR="00C005F7" w:rsidRPr="005406D0" w:rsidRDefault="00C005F7" w:rsidP="00C005F7">
            <w:pPr>
              <w:jc w:val="center"/>
              <w:rPr>
                <w:rFonts w:asciiTheme="minorHAnsi" w:hAnsiTheme="minorHAnsi" w:cstheme="minorHAnsi"/>
                <w:b/>
                <w:bCs/>
                <w:color w:val="000000"/>
                <w:sz w:val="18"/>
                <w:szCs w:val="18"/>
              </w:rPr>
            </w:pPr>
          </w:p>
          <w:p w14:paraId="03D9B4AA" w14:textId="26584C08"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Powder for oral solution 50</w:t>
            </w:r>
            <w:r w:rsidR="001165DD">
              <w:rPr>
                <w:rFonts w:asciiTheme="minorHAnsi" w:hAnsiTheme="minorHAnsi" w:cstheme="minorHAnsi"/>
                <w:color w:val="000000"/>
                <w:sz w:val="18"/>
                <w:szCs w:val="18"/>
              </w:rPr>
              <w:t> mg</w:t>
            </w:r>
            <w:r w:rsidRPr="00C005F7">
              <w:rPr>
                <w:rFonts w:asciiTheme="minorHAnsi" w:hAnsiTheme="minorHAnsi" w:cstheme="minorHAnsi"/>
                <w:color w:val="000000"/>
                <w:sz w:val="18"/>
                <w:szCs w:val="18"/>
              </w:rPr>
              <w:t xml:space="preserve"> (as hydrochloride) per</w:t>
            </w:r>
            <w:r w:rsidR="001165DD">
              <w:rPr>
                <w:rFonts w:asciiTheme="minorHAnsi" w:hAnsiTheme="minorHAnsi" w:cstheme="minorHAnsi"/>
                <w:color w:val="000000"/>
                <w:sz w:val="18"/>
                <w:szCs w:val="18"/>
              </w:rPr>
              <w:t> mL</w:t>
            </w:r>
            <w:r w:rsidRPr="00C005F7">
              <w:rPr>
                <w:rFonts w:asciiTheme="minorHAnsi" w:hAnsiTheme="minorHAnsi" w:cstheme="minorHAnsi"/>
                <w:color w:val="000000"/>
                <w:sz w:val="18"/>
                <w:szCs w:val="18"/>
              </w:rPr>
              <w:t>, 100</w:t>
            </w:r>
            <w:r w:rsidR="001165DD">
              <w:rPr>
                <w:rFonts w:asciiTheme="minorHAnsi" w:hAnsiTheme="minorHAnsi" w:cstheme="minorHAnsi"/>
                <w:color w:val="000000"/>
                <w:sz w:val="18"/>
                <w:szCs w:val="18"/>
              </w:rPr>
              <w:t> mL</w:t>
            </w:r>
          </w:p>
          <w:p w14:paraId="51F496DA" w14:textId="77777777" w:rsidR="00C005F7" w:rsidRPr="00C005F7" w:rsidRDefault="00C005F7" w:rsidP="00C005F7">
            <w:pPr>
              <w:jc w:val="center"/>
              <w:rPr>
                <w:rFonts w:asciiTheme="minorHAnsi" w:hAnsiTheme="minorHAnsi" w:cstheme="minorHAnsi"/>
                <w:color w:val="000000"/>
                <w:sz w:val="18"/>
                <w:szCs w:val="18"/>
              </w:rPr>
            </w:pPr>
            <w:proofErr w:type="spellStart"/>
            <w:r w:rsidRPr="00C005F7">
              <w:rPr>
                <w:rFonts w:asciiTheme="minorHAnsi" w:hAnsiTheme="minorHAnsi" w:cstheme="minorHAnsi"/>
                <w:color w:val="000000"/>
                <w:sz w:val="18"/>
                <w:szCs w:val="18"/>
              </w:rPr>
              <w:t>Valcyte</w:t>
            </w:r>
            <w:proofErr w:type="spellEnd"/>
            <w:r w:rsidRPr="00C005F7">
              <w:rPr>
                <w:rFonts w:asciiTheme="minorHAnsi" w:hAnsiTheme="minorHAnsi" w:cstheme="minorHAnsi"/>
                <w:color w:val="000000"/>
                <w:sz w:val="18"/>
                <w:szCs w:val="18"/>
              </w:rPr>
              <w:t>®</w:t>
            </w:r>
          </w:p>
          <w:p w14:paraId="2F4C12C5" w14:textId="77777777" w:rsidR="00C005F7" w:rsidRPr="00C005F7" w:rsidRDefault="00C005F7" w:rsidP="00C005F7">
            <w:pPr>
              <w:jc w:val="center"/>
              <w:rPr>
                <w:rFonts w:asciiTheme="minorHAnsi" w:hAnsiTheme="minorHAnsi" w:cstheme="minorHAnsi"/>
                <w:color w:val="000000"/>
                <w:sz w:val="18"/>
                <w:szCs w:val="18"/>
              </w:rPr>
            </w:pPr>
            <w:proofErr w:type="spellStart"/>
            <w:r w:rsidRPr="00C005F7">
              <w:rPr>
                <w:rFonts w:asciiTheme="minorHAnsi" w:hAnsiTheme="minorHAnsi" w:cstheme="minorHAnsi"/>
                <w:color w:val="000000"/>
                <w:sz w:val="18"/>
                <w:szCs w:val="18"/>
              </w:rPr>
              <w:t>Pharmaco</w:t>
            </w:r>
            <w:proofErr w:type="spellEnd"/>
            <w:r w:rsidRPr="00C005F7">
              <w:rPr>
                <w:rFonts w:asciiTheme="minorHAnsi" w:hAnsiTheme="minorHAnsi" w:cstheme="minorHAnsi"/>
                <w:color w:val="000000"/>
                <w:sz w:val="18"/>
                <w:szCs w:val="18"/>
              </w:rPr>
              <w:t xml:space="preserve"> (Australia) Limited</w:t>
            </w:r>
          </w:p>
          <w:p w14:paraId="1478E6C9" w14:textId="77777777" w:rsidR="00C005F7" w:rsidRPr="00C005F7" w:rsidRDefault="00C005F7" w:rsidP="00C005F7">
            <w:pPr>
              <w:jc w:val="center"/>
              <w:rPr>
                <w:rFonts w:asciiTheme="minorHAnsi" w:hAnsiTheme="minorHAnsi" w:cstheme="minorHAnsi"/>
                <w:color w:val="000000"/>
                <w:sz w:val="18"/>
                <w:szCs w:val="18"/>
              </w:rPr>
            </w:pPr>
          </w:p>
          <w:p w14:paraId="460D1D5B" w14:textId="4B132E1D"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Tablet 450</w:t>
            </w:r>
            <w:r w:rsidR="001165DD">
              <w:rPr>
                <w:rFonts w:asciiTheme="minorHAnsi" w:hAnsiTheme="minorHAnsi" w:cstheme="minorHAnsi"/>
                <w:color w:val="000000"/>
                <w:sz w:val="18"/>
                <w:szCs w:val="18"/>
              </w:rPr>
              <w:t> mg</w:t>
            </w:r>
            <w:r w:rsidRPr="00C005F7">
              <w:rPr>
                <w:rFonts w:asciiTheme="minorHAnsi" w:hAnsiTheme="minorHAnsi" w:cstheme="minorHAnsi"/>
                <w:color w:val="000000"/>
                <w:sz w:val="18"/>
                <w:szCs w:val="18"/>
              </w:rPr>
              <w:t xml:space="preserve"> (as hydrochloride) </w:t>
            </w:r>
          </w:p>
          <w:p w14:paraId="002C13B0"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VALGANCICLOVIR HETERO®</w:t>
            </w:r>
          </w:p>
          <w:p w14:paraId="35FC026E"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 xml:space="preserve">Gem Pharma Pty Ltd </w:t>
            </w:r>
          </w:p>
          <w:p w14:paraId="1FF61858" w14:textId="4765209B" w:rsidR="00C005F7" w:rsidRPr="00C005F7" w:rsidRDefault="00C005F7" w:rsidP="00C005F7">
            <w:pPr>
              <w:jc w:val="center"/>
              <w:rPr>
                <w:rFonts w:asciiTheme="minorHAnsi" w:hAnsiTheme="minorHAnsi" w:cstheme="minorHAnsi"/>
                <w:color w:val="000000"/>
                <w:sz w:val="18"/>
                <w:szCs w:val="18"/>
              </w:rPr>
            </w:pPr>
          </w:p>
          <w:p w14:paraId="00275C8A" w14:textId="689AF5C3"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Tablet 450</w:t>
            </w:r>
            <w:r w:rsidR="001165DD">
              <w:rPr>
                <w:rFonts w:asciiTheme="minorHAnsi" w:hAnsiTheme="minorHAnsi" w:cstheme="minorHAnsi"/>
                <w:color w:val="000000"/>
                <w:sz w:val="18"/>
                <w:szCs w:val="18"/>
              </w:rPr>
              <w:t> mg</w:t>
            </w:r>
            <w:r w:rsidRPr="00C005F7">
              <w:rPr>
                <w:rFonts w:asciiTheme="minorHAnsi" w:hAnsiTheme="minorHAnsi" w:cstheme="minorHAnsi"/>
                <w:color w:val="000000"/>
                <w:sz w:val="18"/>
                <w:szCs w:val="18"/>
              </w:rPr>
              <w:t xml:space="preserve"> (as hydrochloride) </w:t>
            </w:r>
          </w:p>
          <w:p w14:paraId="0115D4BB"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Valganciclovir Sandoz®</w:t>
            </w:r>
          </w:p>
          <w:p w14:paraId="3D8EBF0F"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Sandoz Pty Ltd</w:t>
            </w:r>
          </w:p>
          <w:p w14:paraId="28448259" w14:textId="77777777" w:rsidR="00C005F7" w:rsidRPr="00C005F7" w:rsidRDefault="00C005F7" w:rsidP="00C005F7">
            <w:pPr>
              <w:jc w:val="center"/>
              <w:rPr>
                <w:rFonts w:asciiTheme="minorHAnsi" w:hAnsiTheme="minorHAnsi" w:cstheme="minorHAnsi"/>
                <w:color w:val="000000"/>
                <w:sz w:val="18"/>
                <w:szCs w:val="18"/>
              </w:rPr>
            </w:pPr>
          </w:p>
          <w:p w14:paraId="01E6206D" w14:textId="1107ADF0"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Tablet 450</w:t>
            </w:r>
            <w:r w:rsidR="001165DD">
              <w:rPr>
                <w:rFonts w:asciiTheme="minorHAnsi" w:hAnsiTheme="minorHAnsi" w:cstheme="minorHAnsi"/>
                <w:color w:val="000000"/>
                <w:sz w:val="18"/>
                <w:szCs w:val="18"/>
              </w:rPr>
              <w:t> mg</w:t>
            </w:r>
            <w:r w:rsidRPr="00C005F7">
              <w:rPr>
                <w:rFonts w:asciiTheme="minorHAnsi" w:hAnsiTheme="minorHAnsi" w:cstheme="minorHAnsi"/>
                <w:color w:val="000000"/>
                <w:sz w:val="18"/>
                <w:szCs w:val="18"/>
              </w:rPr>
              <w:t xml:space="preserve"> (as hydrochloride) </w:t>
            </w:r>
          </w:p>
          <w:p w14:paraId="7476A207" w14:textId="77777777" w:rsidR="00C005F7" w:rsidRPr="00C005F7" w:rsidRDefault="00C005F7" w:rsidP="00C005F7">
            <w:pPr>
              <w:jc w:val="center"/>
              <w:rPr>
                <w:rFonts w:asciiTheme="minorHAnsi" w:hAnsiTheme="minorHAnsi" w:cstheme="minorHAnsi"/>
                <w:color w:val="000000"/>
                <w:sz w:val="18"/>
                <w:szCs w:val="18"/>
              </w:rPr>
            </w:pPr>
            <w:r w:rsidRPr="00C005F7">
              <w:rPr>
                <w:rFonts w:asciiTheme="minorHAnsi" w:hAnsiTheme="minorHAnsi" w:cstheme="minorHAnsi"/>
                <w:color w:val="000000"/>
                <w:sz w:val="18"/>
                <w:szCs w:val="18"/>
              </w:rPr>
              <w:t xml:space="preserve">Valganciclovir </w:t>
            </w:r>
            <w:proofErr w:type="spellStart"/>
            <w:r w:rsidRPr="00C005F7">
              <w:rPr>
                <w:rFonts w:asciiTheme="minorHAnsi" w:hAnsiTheme="minorHAnsi" w:cstheme="minorHAnsi"/>
                <w:color w:val="000000"/>
                <w:sz w:val="18"/>
                <w:szCs w:val="18"/>
              </w:rPr>
              <w:t>Viatris</w:t>
            </w:r>
            <w:proofErr w:type="spellEnd"/>
            <w:r w:rsidRPr="00C005F7">
              <w:rPr>
                <w:rFonts w:asciiTheme="minorHAnsi" w:hAnsiTheme="minorHAnsi" w:cstheme="minorHAnsi"/>
                <w:color w:val="000000"/>
                <w:sz w:val="18"/>
                <w:szCs w:val="18"/>
              </w:rPr>
              <w:t>®</w:t>
            </w:r>
          </w:p>
          <w:p w14:paraId="6676AEB6" w14:textId="77777777" w:rsidR="00C005F7" w:rsidRPr="00C005F7" w:rsidRDefault="00C005F7" w:rsidP="00C005F7">
            <w:pPr>
              <w:jc w:val="center"/>
              <w:rPr>
                <w:rFonts w:asciiTheme="minorHAnsi" w:hAnsiTheme="minorHAnsi" w:cstheme="minorHAnsi"/>
                <w:color w:val="000000"/>
                <w:sz w:val="18"/>
                <w:szCs w:val="18"/>
              </w:rPr>
            </w:pPr>
            <w:proofErr w:type="spellStart"/>
            <w:r w:rsidRPr="00C005F7">
              <w:rPr>
                <w:rFonts w:asciiTheme="minorHAnsi" w:hAnsiTheme="minorHAnsi" w:cstheme="minorHAnsi"/>
                <w:color w:val="000000"/>
                <w:sz w:val="18"/>
                <w:szCs w:val="18"/>
              </w:rPr>
              <w:t>Alphapharm</w:t>
            </w:r>
            <w:proofErr w:type="spellEnd"/>
            <w:r w:rsidRPr="00C005F7">
              <w:rPr>
                <w:rFonts w:asciiTheme="minorHAnsi" w:hAnsiTheme="minorHAnsi" w:cstheme="minorHAnsi"/>
                <w:color w:val="000000"/>
                <w:sz w:val="18"/>
                <w:szCs w:val="18"/>
              </w:rPr>
              <w:t xml:space="preserve"> Pty Ltd </w:t>
            </w:r>
          </w:p>
          <w:p w14:paraId="24806B50" w14:textId="77777777" w:rsidR="00C005F7" w:rsidRPr="00C005F7" w:rsidRDefault="00C005F7" w:rsidP="00C005F7">
            <w:pPr>
              <w:jc w:val="center"/>
              <w:rPr>
                <w:rFonts w:asciiTheme="minorHAnsi" w:hAnsiTheme="minorHAnsi" w:cstheme="minorHAnsi"/>
                <w:color w:val="000000"/>
                <w:sz w:val="18"/>
                <w:szCs w:val="18"/>
              </w:rPr>
            </w:pPr>
          </w:p>
          <w:p w14:paraId="264B41BC" w14:textId="3E688E9D" w:rsidR="00C361F0" w:rsidRPr="0004054A" w:rsidRDefault="00C005F7" w:rsidP="008107E7">
            <w:pPr>
              <w:jc w:val="center"/>
              <w:rPr>
                <w:rFonts w:asciiTheme="minorHAnsi" w:hAnsiTheme="minorHAnsi" w:cstheme="minorHAnsi"/>
                <w:sz w:val="18"/>
                <w:szCs w:val="18"/>
              </w:rPr>
            </w:pPr>
            <w:r w:rsidRPr="00C005F7">
              <w:rPr>
                <w:rFonts w:asciiTheme="minorHAnsi" w:hAnsiTheme="minorHAnsi" w:cstheme="minorHAnsi"/>
                <w:color w:val="000000"/>
                <w:sz w:val="18"/>
                <w:szCs w:val="18"/>
              </w:rPr>
              <w:t>Other Matters</w:t>
            </w:r>
          </w:p>
        </w:tc>
        <w:tc>
          <w:tcPr>
            <w:tcW w:w="552" w:type="pct"/>
            <w:shd w:val="clear" w:color="auto" w:fill="auto"/>
            <w:vAlign w:val="center"/>
          </w:tcPr>
          <w:p w14:paraId="30258A69" w14:textId="6D9B460F" w:rsidR="00C361F0" w:rsidRPr="0004054A" w:rsidRDefault="00C361F0" w:rsidP="0004054A">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Cytomegalovirus (CMV) infection</w:t>
            </w:r>
          </w:p>
        </w:tc>
        <w:tc>
          <w:tcPr>
            <w:tcW w:w="922" w:type="pct"/>
            <w:shd w:val="clear" w:color="auto" w:fill="auto"/>
            <w:vAlign w:val="center"/>
          </w:tcPr>
          <w:p w14:paraId="2B3BB211" w14:textId="77F78771" w:rsidR="00C361F0" w:rsidRPr="0004054A" w:rsidRDefault="00C361F0" w:rsidP="0004054A">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 xml:space="preserve">To request PBAC advice on proposed changes to the PBS restrictions for </w:t>
            </w:r>
            <w:r w:rsidR="0004054A" w:rsidRPr="0004054A">
              <w:rPr>
                <w:rFonts w:asciiTheme="minorHAnsi" w:hAnsiTheme="minorHAnsi" w:cstheme="minorHAnsi"/>
                <w:color w:val="000000"/>
                <w:sz w:val="18"/>
                <w:szCs w:val="18"/>
              </w:rPr>
              <w:t>ganciclovir</w:t>
            </w:r>
            <w:r w:rsidRPr="0004054A">
              <w:rPr>
                <w:rFonts w:asciiTheme="minorHAnsi" w:hAnsiTheme="minorHAnsi" w:cstheme="minorHAnsi"/>
                <w:color w:val="000000"/>
                <w:sz w:val="18"/>
                <w:szCs w:val="18"/>
              </w:rPr>
              <w:t xml:space="preserve"> and valganciclovir for the management of cytomegalovirus (CMV) infection in immunocompromised patients</w:t>
            </w:r>
          </w:p>
        </w:tc>
        <w:tc>
          <w:tcPr>
            <w:tcW w:w="2653" w:type="pct"/>
            <w:shd w:val="clear" w:color="auto" w:fill="auto"/>
            <w:vAlign w:val="center"/>
          </w:tcPr>
          <w:p w14:paraId="1DC6D640" w14:textId="77777777" w:rsidR="00E24B3E" w:rsidRDefault="004B25FA" w:rsidP="00C361F0">
            <w:pPr>
              <w:pStyle w:val="Default"/>
              <w:jc w:val="both"/>
              <w:rPr>
                <w:rFonts w:asciiTheme="minorHAnsi" w:hAnsiTheme="minorHAnsi" w:cstheme="minorHAnsi"/>
                <w:bCs/>
                <w:sz w:val="18"/>
                <w:szCs w:val="18"/>
              </w:rPr>
            </w:pPr>
            <w:r w:rsidRPr="004B25FA">
              <w:rPr>
                <w:rFonts w:asciiTheme="minorHAnsi" w:hAnsiTheme="minorHAnsi" w:cstheme="minorHAnsi"/>
                <w:bCs/>
                <w:sz w:val="18"/>
                <w:szCs w:val="18"/>
              </w:rPr>
              <w:t xml:space="preserve">The PBAC recommended amending the circumstances under which ganciclovir and valganciclovir are listed under the Section 100 Highly Specialised Drug (HSD) Public/Private instrument. The PBAC noted the 2019 guidelines from the American Society of Transplantation Infectious Diseases Community of Practice and the Third International Consensus Guidelines on the Management of cytomegalovirus (CMV) in Solid-organ transplantation (2018) which recommend ganciclovir or valganciclovir as first-line treatment of CMV disease. The PBAC noted the distinction between prophylactic and active treatment phases of CMV is often ambiguous for the immunocompromised patient cohort. </w:t>
            </w:r>
          </w:p>
          <w:p w14:paraId="1ACF1CEC" w14:textId="77777777" w:rsidR="00E24B3E" w:rsidRDefault="00E24B3E" w:rsidP="00C361F0">
            <w:pPr>
              <w:pStyle w:val="Default"/>
              <w:jc w:val="both"/>
              <w:rPr>
                <w:rFonts w:asciiTheme="minorHAnsi" w:hAnsiTheme="minorHAnsi" w:cstheme="minorHAnsi"/>
                <w:bCs/>
                <w:sz w:val="18"/>
                <w:szCs w:val="18"/>
              </w:rPr>
            </w:pPr>
          </w:p>
          <w:p w14:paraId="04F97149" w14:textId="70161922" w:rsidR="00C361F0" w:rsidRPr="0004054A" w:rsidRDefault="004B25FA" w:rsidP="00C361F0">
            <w:pPr>
              <w:pStyle w:val="Default"/>
              <w:jc w:val="both"/>
              <w:rPr>
                <w:rFonts w:asciiTheme="minorHAnsi" w:hAnsiTheme="minorHAnsi" w:cstheme="minorHAnsi"/>
                <w:bCs/>
                <w:sz w:val="18"/>
                <w:szCs w:val="18"/>
              </w:rPr>
            </w:pPr>
            <w:r>
              <w:rPr>
                <w:rFonts w:asciiTheme="minorHAnsi" w:hAnsiTheme="minorHAnsi" w:cstheme="minorHAnsi"/>
                <w:bCs/>
                <w:sz w:val="18"/>
                <w:szCs w:val="18"/>
              </w:rPr>
              <w:t>T</w:t>
            </w:r>
            <w:r w:rsidRPr="004B25FA">
              <w:rPr>
                <w:rFonts w:asciiTheme="minorHAnsi" w:hAnsiTheme="minorHAnsi" w:cstheme="minorHAnsi"/>
                <w:bCs/>
                <w:sz w:val="18"/>
                <w:szCs w:val="18"/>
              </w:rPr>
              <w:t xml:space="preserve">he PBAC also noted that the comparison of the epidemiological estimates with current PBS utilisation suggested that valganciclovir is currently being used for both prophylaxis and treatment in CMV and potentially in bone marrow transplant (BMT) recipients in addition to solid organ transplant (SOT) recipients. The PBAC noted the differences in the TGA registered indications between these medicines. However, it also noted that valganciclovir is an oral pro-drug of ganciclovir, and considered subsidised access to both drugs for the management of patients with BMT would provide clinicians additional flexibility in managing patients while aligning with clinical guidelines. The PBAC therefore considered that ganciclovir and valganciclovir would be suitably cost-effective in the expanded population at the existing price </w:t>
            </w:r>
            <w:proofErr w:type="gramStart"/>
            <w:r w:rsidRPr="004B25FA">
              <w:rPr>
                <w:rFonts w:asciiTheme="minorHAnsi" w:hAnsiTheme="minorHAnsi" w:cstheme="minorHAnsi"/>
                <w:bCs/>
                <w:sz w:val="18"/>
                <w:szCs w:val="18"/>
              </w:rPr>
              <w:t>on the basis of</w:t>
            </w:r>
            <w:proofErr w:type="gramEnd"/>
            <w:r w:rsidRPr="004B25FA">
              <w:rPr>
                <w:rFonts w:asciiTheme="minorHAnsi" w:hAnsiTheme="minorHAnsi" w:cstheme="minorHAnsi"/>
                <w:bCs/>
                <w:sz w:val="18"/>
                <w:szCs w:val="18"/>
              </w:rPr>
              <w:t xml:space="preserve"> the evidence presented</w:t>
            </w:r>
            <w:r w:rsidR="00514326">
              <w:rPr>
                <w:rFonts w:asciiTheme="minorHAnsi" w:hAnsiTheme="minorHAnsi" w:cstheme="minorHAnsi"/>
                <w:bCs/>
                <w:sz w:val="18"/>
                <w:szCs w:val="18"/>
              </w:rPr>
              <w:t>. The PBAC also considered</w:t>
            </w:r>
            <w:r w:rsidRPr="004B25FA">
              <w:rPr>
                <w:rFonts w:asciiTheme="minorHAnsi" w:hAnsiTheme="minorHAnsi" w:cstheme="minorHAnsi"/>
                <w:bCs/>
                <w:sz w:val="18"/>
                <w:szCs w:val="18"/>
              </w:rPr>
              <w:t xml:space="preserve"> that it would be appropriate to amend the restrictions to remove reference to the prophylactic treatment phase and align the restrictions between the drugs to provide access to SOT and BMT patients for the management of CMV infection and disease.</w:t>
            </w:r>
          </w:p>
        </w:tc>
      </w:tr>
      <w:tr w:rsidR="0004054A" w:rsidRPr="0066633F" w14:paraId="71CBC8DE" w14:textId="77777777" w:rsidTr="002071F1">
        <w:trPr>
          <w:cantSplit/>
          <w:trHeight w:val="3181"/>
        </w:trPr>
        <w:tc>
          <w:tcPr>
            <w:tcW w:w="873" w:type="pct"/>
            <w:shd w:val="clear" w:color="auto" w:fill="auto"/>
            <w:vAlign w:val="center"/>
          </w:tcPr>
          <w:p w14:paraId="687CC9EA" w14:textId="6EB2B593" w:rsidR="003B2EEF" w:rsidRPr="002071F1" w:rsidRDefault="003B2EEF" w:rsidP="00D5372A">
            <w:pPr>
              <w:jc w:val="center"/>
              <w:rPr>
                <w:rFonts w:asciiTheme="minorHAnsi" w:hAnsiTheme="minorHAnsi" w:cstheme="minorHAnsi"/>
                <w:color w:val="000000"/>
                <w:sz w:val="18"/>
                <w:szCs w:val="18"/>
              </w:rPr>
            </w:pPr>
            <w:r w:rsidRPr="002071F1">
              <w:rPr>
                <w:rFonts w:asciiTheme="minorHAnsi" w:hAnsiTheme="minorHAnsi" w:cstheme="minorHAnsi"/>
                <w:color w:val="000000"/>
                <w:sz w:val="18"/>
                <w:szCs w:val="18"/>
              </w:rPr>
              <w:lastRenderedPageBreak/>
              <w:t>Correspondence from the Australasian Leukaemia &amp; Lymphoma Group (ALLG) and the Haematology Society of Australia and New Zealand (HSANZ)</w:t>
            </w:r>
          </w:p>
          <w:p w14:paraId="3FA7C5C6" w14:textId="77777777" w:rsidR="003B2EEF" w:rsidRPr="002071F1" w:rsidRDefault="003B2EEF" w:rsidP="00D5372A">
            <w:pPr>
              <w:jc w:val="center"/>
              <w:rPr>
                <w:rFonts w:asciiTheme="minorHAnsi" w:hAnsiTheme="minorHAnsi" w:cstheme="minorHAnsi"/>
                <w:color w:val="000000"/>
                <w:sz w:val="18"/>
                <w:szCs w:val="18"/>
              </w:rPr>
            </w:pPr>
          </w:p>
          <w:p w14:paraId="75C24A10" w14:textId="0AF808F8" w:rsidR="0004054A" w:rsidRPr="002071F1" w:rsidRDefault="0004054A" w:rsidP="00D5372A">
            <w:pPr>
              <w:jc w:val="center"/>
              <w:rPr>
                <w:rFonts w:asciiTheme="minorHAnsi" w:hAnsiTheme="minorHAnsi" w:cstheme="minorHAnsi"/>
                <w:color w:val="000000"/>
                <w:sz w:val="18"/>
                <w:szCs w:val="18"/>
              </w:rPr>
            </w:pPr>
            <w:r w:rsidRPr="002071F1">
              <w:rPr>
                <w:rFonts w:asciiTheme="minorHAnsi" w:hAnsiTheme="minorHAnsi" w:cstheme="minorHAnsi"/>
                <w:color w:val="000000"/>
                <w:sz w:val="18"/>
                <w:szCs w:val="18"/>
              </w:rPr>
              <w:t>GILTERITINIB</w:t>
            </w:r>
          </w:p>
          <w:p w14:paraId="39A04000" w14:textId="77777777" w:rsidR="0004054A" w:rsidRPr="0004054A" w:rsidRDefault="0004054A" w:rsidP="00D5372A">
            <w:pPr>
              <w:jc w:val="center"/>
              <w:rPr>
                <w:rFonts w:asciiTheme="minorHAnsi" w:hAnsiTheme="minorHAnsi" w:cstheme="minorHAnsi"/>
                <w:color w:val="000000"/>
                <w:sz w:val="18"/>
                <w:szCs w:val="18"/>
              </w:rPr>
            </w:pPr>
          </w:p>
          <w:p w14:paraId="53C400F6" w14:textId="0CB273A6" w:rsidR="0004054A" w:rsidRPr="0004054A" w:rsidRDefault="0004054A" w:rsidP="00D5372A">
            <w:pPr>
              <w:jc w:val="center"/>
              <w:rPr>
                <w:rFonts w:asciiTheme="minorHAnsi" w:hAnsiTheme="minorHAnsi" w:cstheme="minorHAnsi"/>
                <w:color w:val="000000"/>
                <w:sz w:val="18"/>
                <w:szCs w:val="18"/>
              </w:rPr>
            </w:pPr>
            <w:r w:rsidRPr="0004054A">
              <w:rPr>
                <w:rFonts w:asciiTheme="minorHAnsi" w:hAnsiTheme="minorHAnsi" w:cstheme="minorHAnsi"/>
                <w:color w:val="000000"/>
                <w:sz w:val="18"/>
                <w:szCs w:val="18"/>
              </w:rPr>
              <w:t>Tablet 40</w:t>
            </w:r>
            <w:r w:rsidR="001165DD">
              <w:rPr>
                <w:rFonts w:asciiTheme="minorHAnsi" w:hAnsiTheme="minorHAnsi" w:cstheme="minorHAnsi"/>
                <w:color w:val="000000"/>
                <w:sz w:val="18"/>
                <w:szCs w:val="18"/>
              </w:rPr>
              <w:t> mg</w:t>
            </w:r>
            <w:r w:rsidRPr="0004054A">
              <w:rPr>
                <w:rFonts w:asciiTheme="minorHAnsi" w:hAnsiTheme="minorHAnsi" w:cstheme="minorHAnsi"/>
                <w:color w:val="000000"/>
                <w:sz w:val="18"/>
                <w:szCs w:val="18"/>
              </w:rPr>
              <w:t xml:space="preserve"> (as fumarate)</w:t>
            </w:r>
          </w:p>
          <w:p w14:paraId="2165C9B7" w14:textId="77777777" w:rsidR="0004054A" w:rsidRPr="0004054A" w:rsidRDefault="0004054A" w:rsidP="00D5372A">
            <w:pPr>
              <w:jc w:val="center"/>
              <w:rPr>
                <w:rFonts w:asciiTheme="minorHAnsi" w:hAnsiTheme="minorHAnsi" w:cstheme="minorHAnsi"/>
                <w:color w:val="000000"/>
                <w:sz w:val="18"/>
                <w:szCs w:val="18"/>
              </w:rPr>
            </w:pPr>
          </w:p>
          <w:p w14:paraId="58F83DFB" w14:textId="77777777" w:rsidR="0004054A" w:rsidRPr="0004054A" w:rsidRDefault="0004054A" w:rsidP="00D5372A">
            <w:pPr>
              <w:jc w:val="center"/>
              <w:rPr>
                <w:rFonts w:asciiTheme="minorHAnsi" w:hAnsiTheme="minorHAnsi" w:cstheme="minorHAnsi"/>
                <w:color w:val="000000"/>
                <w:sz w:val="18"/>
                <w:szCs w:val="18"/>
              </w:rPr>
            </w:pPr>
            <w:proofErr w:type="spellStart"/>
            <w:r w:rsidRPr="0004054A">
              <w:rPr>
                <w:rFonts w:asciiTheme="minorHAnsi" w:hAnsiTheme="minorHAnsi" w:cstheme="minorHAnsi"/>
                <w:color w:val="000000"/>
                <w:sz w:val="18"/>
                <w:szCs w:val="18"/>
              </w:rPr>
              <w:t>Xospata</w:t>
            </w:r>
            <w:proofErr w:type="spellEnd"/>
            <w:r w:rsidRPr="0004054A">
              <w:rPr>
                <w:rFonts w:asciiTheme="minorHAnsi" w:hAnsiTheme="minorHAnsi" w:cstheme="minorHAnsi"/>
                <w:color w:val="000000"/>
                <w:sz w:val="18"/>
                <w:szCs w:val="18"/>
              </w:rPr>
              <w:t>®</w:t>
            </w:r>
          </w:p>
          <w:p w14:paraId="466EB17B" w14:textId="77777777" w:rsidR="0004054A" w:rsidRPr="0004054A" w:rsidRDefault="0004054A" w:rsidP="00D5372A">
            <w:pPr>
              <w:jc w:val="center"/>
              <w:rPr>
                <w:rFonts w:asciiTheme="minorHAnsi" w:hAnsiTheme="minorHAnsi" w:cstheme="minorHAnsi"/>
                <w:color w:val="000000"/>
                <w:sz w:val="18"/>
                <w:szCs w:val="18"/>
              </w:rPr>
            </w:pPr>
          </w:p>
          <w:p w14:paraId="78252040" w14:textId="1C355C4D" w:rsidR="0004054A" w:rsidRPr="0004054A" w:rsidRDefault="0004054A" w:rsidP="00D5372A">
            <w:pPr>
              <w:jc w:val="center"/>
              <w:rPr>
                <w:rFonts w:asciiTheme="minorHAnsi" w:hAnsiTheme="minorHAnsi" w:cstheme="minorHAnsi"/>
                <w:sz w:val="18"/>
                <w:szCs w:val="18"/>
              </w:rPr>
            </w:pPr>
            <w:r w:rsidRPr="0004054A">
              <w:rPr>
                <w:rFonts w:asciiTheme="minorHAnsi" w:hAnsiTheme="minorHAnsi" w:cstheme="minorHAnsi"/>
                <w:color w:val="000000"/>
                <w:sz w:val="18"/>
                <w:szCs w:val="18"/>
              </w:rPr>
              <w:t>ASTELLAS PHARMA AUSTRALIA PTY LTD</w:t>
            </w:r>
          </w:p>
        </w:tc>
        <w:tc>
          <w:tcPr>
            <w:tcW w:w="552" w:type="pct"/>
            <w:shd w:val="clear" w:color="auto" w:fill="auto"/>
            <w:vAlign w:val="center"/>
          </w:tcPr>
          <w:p w14:paraId="43533EDF" w14:textId="32ACBEA0" w:rsidR="0004054A" w:rsidRPr="0004054A" w:rsidRDefault="0004054A" w:rsidP="0004054A">
            <w:pPr>
              <w:jc w:val="center"/>
              <w:rPr>
                <w:rFonts w:asciiTheme="minorHAnsi" w:hAnsiTheme="minorHAnsi" w:cstheme="minorHAnsi"/>
                <w:sz w:val="18"/>
                <w:szCs w:val="18"/>
              </w:rPr>
            </w:pPr>
            <w:r w:rsidRPr="0004054A">
              <w:rPr>
                <w:rFonts w:asciiTheme="minorHAnsi" w:hAnsiTheme="minorHAnsi" w:cstheme="minorHAnsi"/>
                <w:sz w:val="18"/>
                <w:szCs w:val="18"/>
              </w:rPr>
              <w:t>Acute Myeloid Leukaemia</w:t>
            </w:r>
            <w:r w:rsidR="009D7B53">
              <w:rPr>
                <w:rFonts w:asciiTheme="minorHAnsi" w:hAnsiTheme="minorHAnsi" w:cstheme="minorHAnsi"/>
                <w:sz w:val="18"/>
                <w:szCs w:val="18"/>
              </w:rPr>
              <w:t xml:space="preserve"> (AML)</w:t>
            </w:r>
          </w:p>
        </w:tc>
        <w:tc>
          <w:tcPr>
            <w:tcW w:w="922" w:type="pct"/>
            <w:shd w:val="clear" w:color="auto" w:fill="auto"/>
            <w:vAlign w:val="center"/>
          </w:tcPr>
          <w:p w14:paraId="6B9FC228" w14:textId="5523125C" w:rsidR="0004054A" w:rsidRPr="0004054A" w:rsidRDefault="0004054A" w:rsidP="0004054A">
            <w:pPr>
              <w:jc w:val="center"/>
              <w:rPr>
                <w:rFonts w:asciiTheme="minorHAnsi" w:hAnsiTheme="minorHAnsi" w:cstheme="minorHAnsi"/>
                <w:bCs/>
                <w:snapToGrid w:val="0"/>
                <w:color w:val="000000"/>
                <w:sz w:val="18"/>
                <w:szCs w:val="18"/>
              </w:rPr>
            </w:pPr>
            <w:r w:rsidRPr="0004054A">
              <w:rPr>
                <w:rFonts w:asciiTheme="minorHAnsi" w:hAnsiTheme="minorHAnsi" w:cstheme="minorHAnsi"/>
                <w:sz w:val="18"/>
                <w:szCs w:val="18"/>
              </w:rPr>
              <w:t>To seek advice from the PBAC on a requested change to the PBS clinical criteria for the gilteritinib 40</w:t>
            </w:r>
            <w:r w:rsidR="001165DD">
              <w:rPr>
                <w:rFonts w:asciiTheme="minorHAnsi" w:hAnsiTheme="minorHAnsi" w:cstheme="minorHAnsi"/>
                <w:sz w:val="18"/>
                <w:szCs w:val="18"/>
              </w:rPr>
              <w:t> mg</w:t>
            </w:r>
            <w:r w:rsidRPr="0004054A">
              <w:rPr>
                <w:rFonts w:asciiTheme="minorHAnsi" w:hAnsiTheme="minorHAnsi" w:cstheme="minorHAnsi"/>
                <w:sz w:val="18"/>
                <w:szCs w:val="18"/>
              </w:rPr>
              <w:t xml:space="preserve"> tablets (</w:t>
            </w:r>
            <w:proofErr w:type="spellStart"/>
            <w:r w:rsidRPr="0004054A">
              <w:rPr>
                <w:rFonts w:asciiTheme="minorHAnsi" w:hAnsiTheme="minorHAnsi" w:cstheme="minorHAnsi"/>
                <w:sz w:val="18"/>
                <w:szCs w:val="18"/>
              </w:rPr>
              <w:t>Xospata</w:t>
            </w:r>
            <w:proofErr w:type="spellEnd"/>
            <w:r w:rsidRPr="0004054A">
              <w:rPr>
                <w:rFonts w:asciiTheme="minorHAnsi" w:hAnsiTheme="minorHAnsi" w:cstheme="minorHAnsi"/>
                <w:sz w:val="18"/>
                <w:szCs w:val="18"/>
              </w:rPr>
              <w:t>) continuing treatment listing to allow use in patients who have relapsed post</w:t>
            </w:r>
            <w:r w:rsidR="001165DD" w:rsidRPr="001165DD">
              <w:rPr>
                <w:rFonts w:asciiTheme="minorHAnsi" w:hAnsiTheme="minorHAnsi" w:cstheme="minorHAnsi"/>
                <w:sz w:val="18"/>
                <w:szCs w:val="18"/>
              </w:rPr>
              <w:noBreakHyphen/>
            </w:r>
            <w:r w:rsidRPr="0004054A">
              <w:rPr>
                <w:rFonts w:asciiTheme="minorHAnsi" w:hAnsiTheme="minorHAnsi" w:cstheme="minorHAnsi"/>
                <w:sz w:val="18"/>
                <w:szCs w:val="18"/>
              </w:rPr>
              <w:t>allograft and who have not previously received treatment with gilteritinib.</w:t>
            </w:r>
          </w:p>
        </w:tc>
        <w:tc>
          <w:tcPr>
            <w:tcW w:w="2653" w:type="pct"/>
            <w:shd w:val="clear" w:color="auto" w:fill="auto"/>
            <w:vAlign w:val="center"/>
          </w:tcPr>
          <w:p w14:paraId="6AE86DDE" w14:textId="266D307A" w:rsidR="0004054A" w:rsidRPr="0004054A" w:rsidRDefault="0004054A" w:rsidP="0004054A">
            <w:pPr>
              <w:widowControl w:val="0"/>
              <w:jc w:val="both"/>
              <w:rPr>
                <w:rFonts w:asciiTheme="minorHAnsi" w:hAnsiTheme="minorHAnsi" w:cstheme="minorHAnsi"/>
                <w:snapToGrid w:val="0"/>
                <w:sz w:val="18"/>
                <w:szCs w:val="18"/>
              </w:rPr>
            </w:pPr>
            <w:r w:rsidRPr="0004054A">
              <w:rPr>
                <w:rFonts w:asciiTheme="minorHAnsi" w:hAnsiTheme="minorHAnsi" w:cstheme="minorHAnsi"/>
                <w:snapToGrid w:val="0"/>
                <w:sz w:val="18"/>
                <w:szCs w:val="18"/>
              </w:rPr>
              <w:t>The PBAC recommended a change in the clinical criteria for the PBS</w:t>
            </w:r>
            <w:r w:rsidR="001165DD" w:rsidRPr="001165DD">
              <w:rPr>
                <w:rFonts w:asciiTheme="minorHAnsi" w:hAnsiTheme="minorHAnsi" w:cstheme="minorHAnsi"/>
                <w:snapToGrid w:val="0"/>
                <w:sz w:val="18"/>
                <w:szCs w:val="18"/>
              </w:rPr>
              <w:noBreakHyphen/>
            </w:r>
            <w:r w:rsidRPr="0004054A">
              <w:rPr>
                <w:rFonts w:asciiTheme="minorHAnsi" w:hAnsiTheme="minorHAnsi" w:cstheme="minorHAnsi"/>
                <w:snapToGrid w:val="0"/>
                <w:sz w:val="18"/>
                <w:szCs w:val="18"/>
              </w:rPr>
              <w:t>listings for gilteritinib 40</w:t>
            </w:r>
            <w:r w:rsidR="001165DD">
              <w:rPr>
                <w:rFonts w:asciiTheme="minorHAnsi" w:hAnsiTheme="minorHAnsi" w:cstheme="minorHAnsi"/>
                <w:snapToGrid w:val="0"/>
                <w:sz w:val="18"/>
                <w:szCs w:val="18"/>
              </w:rPr>
              <w:t> mg</w:t>
            </w:r>
            <w:r w:rsidRPr="0004054A">
              <w:rPr>
                <w:rFonts w:asciiTheme="minorHAnsi" w:hAnsiTheme="minorHAnsi" w:cstheme="minorHAnsi"/>
                <w:snapToGrid w:val="0"/>
                <w:sz w:val="18"/>
                <w:szCs w:val="18"/>
              </w:rPr>
              <w:t xml:space="preserve"> tablets for relapsed or refractory AML to clarify that patients must not be undergoing or have undergone a stem cell transplant since initiating treatment with gilteritinib. This will allow patients who had relapsed after a prior allograft to access gilteritinib through the PBS, provided they met all other PBS criteria and had not used gilteritinib prior to transplant. The PBAC recalled its March 2022 recommendation for gilteritinib did not intend to exclude this patient group. </w:t>
            </w:r>
          </w:p>
        </w:tc>
      </w:tr>
    </w:tbl>
    <w:p w14:paraId="54A973A7" w14:textId="77777777" w:rsidR="00D97548" w:rsidRDefault="00D97548" w:rsidP="00D97548"/>
    <w:p w14:paraId="0A864B8F" w14:textId="77777777" w:rsidR="005C511C" w:rsidRDefault="005C511C" w:rsidP="005C511C">
      <w:pPr>
        <w:pStyle w:val="Default"/>
        <w:ind w:right="656"/>
        <w:jc w:val="both"/>
        <w:rPr>
          <w:rFonts w:ascii="Arial" w:hAnsi="Arial" w:cs="Arial"/>
          <w:sz w:val="20"/>
          <w:szCs w:val="20"/>
        </w:rPr>
      </w:pPr>
      <w:r>
        <w:rPr>
          <w:rFonts w:ascii="Arial" w:hAnsi="Arial" w:cs="Arial"/>
          <w:sz w:val="20"/>
          <w:szCs w:val="20"/>
        </w:rPr>
        <w:br w:type="page"/>
      </w:r>
    </w:p>
    <w:p w14:paraId="512B736A" w14:textId="779205A2" w:rsidR="005C511C" w:rsidRPr="005406D0" w:rsidRDefault="005C511C" w:rsidP="005406D0">
      <w:pPr>
        <w:pStyle w:val="Default"/>
        <w:ind w:right="656"/>
        <w:jc w:val="both"/>
        <w:rPr>
          <w:rFonts w:ascii="Arial" w:hAnsi="Arial" w:cs="Arial"/>
        </w:rPr>
      </w:pPr>
      <w:r w:rsidRPr="005406D0">
        <w:rPr>
          <w:rFonts w:ascii="Arial" w:hAnsi="Arial" w:cs="Arial"/>
          <w:sz w:val="20"/>
          <w:szCs w:val="20"/>
        </w:rPr>
        <w:lastRenderedPageBreak/>
        <w:t>The following</w:t>
      </w:r>
      <w:r w:rsidR="00F53585">
        <w:rPr>
          <w:rFonts w:ascii="Arial" w:hAnsi="Arial" w:cs="Arial"/>
          <w:sz w:val="20"/>
          <w:szCs w:val="20"/>
        </w:rPr>
        <w:t xml:space="preserve"> item</w:t>
      </w:r>
      <w:r w:rsidRPr="005406D0">
        <w:rPr>
          <w:rFonts w:ascii="Arial" w:hAnsi="Arial" w:cs="Arial"/>
          <w:sz w:val="20"/>
          <w:szCs w:val="20"/>
        </w:rPr>
        <w:t xml:space="preserve"> was </w:t>
      </w:r>
      <w:r>
        <w:rPr>
          <w:rFonts w:ascii="Arial" w:hAnsi="Arial" w:cs="Arial"/>
          <w:sz w:val="20"/>
          <w:szCs w:val="20"/>
        </w:rPr>
        <w:t xml:space="preserve">considered </w:t>
      </w:r>
      <w:r w:rsidRPr="005406D0">
        <w:rPr>
          <w:rFonts w:ascii="Arial" w:hAnsi="Arial" w:cs="Arial"/>
          <w:sz w:val="20"/>
          <w:szCs w:val="20"/>
        </w:rPr>
        <w:t>out</w:t>
      </w:r>
      <w:r w:rsidR="00E91768">
        <w:rPr>
          <w:rFonts w:ascii="Arial" w:hAnsi="Arial" w:cs="Arial"/>
          <w:sz w:val="20"/>
          <w:szCs w:val="20"/>
        </w:rPr>
        <w:t>-</w:t>
      </w:r>
      <w:r w:rsidRPr="005406D0">
        <w:rPr>
          <w:rFonts w:ascii="Arial" w:hAnsi="Arial" w:cs="Arial"/>
          <w:sz w:val="20"/>
          <w:szCs w:val="20"/>
        </w:rPr>
        <w:t>of</w:t>
      </w:r>
      <w:r w:rsidR="00E91768">
        <w:rPr>
          <w:rFonts w:ascii="Arial" w:hAnsi="Arial" w:cs="Arial"/>
          <w:sz w:val="20"/>
          <w:szCs w:val="20"/>
        </w:rPr>
        <w:t>-</w:t>
      </w:r>
      <w:r w:rsidRPr="005406D0">
        <w:rPr>
          <w:rFonts w:ascii="Arial" w:hAnsi="Arial" w:cs="Arial"/>
          <w:sz w:val="20"/>
          <w:szCs w:val="20"/>
        </w:rPr>
        <w:t>session between ordinary meetings (March 2024 – July 2024)</w:t>
      </w:r>
      <w:r w:rsidR="00F53585">
        <w:rPr>
          <w:rFonts w:ascii="Arial" w:hAnsi="Arial" w:cs="Arial"/>
          <w:sz w:val="20"/>
          <w:szCs w:val="20"/>
        </w:rPr>
        <w:t>*</w:t>
      </w: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36"/>
      </w:tblGrid>
      <w:tr w:rsidR="00157509" w:rsidRPr="001033CF" w14:paraId="1B94F6B8" w14:textId="77777777">
        <w:trPr>
          <w:cantSplit/>
          <w:tblHeader/>
          <w:jc w:val="center"/>
        </w:trPr>
        <w:tc>
          <w:tcPr>
            <w:tcW w:w="3016" w:type="dxa"/>
            <w:shd w:val="clear" w:color="auto" w:fill="auto"/>
            <w:tcMar>
              <w:top w:w="28" w:type="dxa"/>
              <w:bottom w:w="28" w:type="dxa"/>
            </w:tcMar>
            <w:vAlign w:val="center"/>
          </w:tcPr>
          <w:p w14:paraId="4059CCAC" w14:textId="77777777" w:rsidR="00157509" w:rsidRPr="008059F4" w:rsidRDefault="00157509">
            <w:pPr>
              <w:keepLines/>
              <w:widowControl w:val="0"/>
              <w:ind w:right="-106"/>
              <w:jc w:val="center"/>
              <w:rPr>
                <w:rFonts w:asciiTheme="minorHAnsi" w:hAnsiTheme="minorHAnsi" w:cstheme="minorHAnsi"/>
                <w:b/>
                <w:sz w:val="18"/>
                <w:szCs w:val="18"/>
              </w:rPr>
            </w:pPr>
            <w:r w:rsidRPr="008059F4">
              <w:rPr>
                <w:rFonts w:asciiTheme="minorHAnsi" w:hAnsiTheme="minorHAnsi" w:cstheme="minorHAnsi"/>
                <w:b/>
                <w:sz w:val="18"/>
                <w:szCs w:val="18"/>
              </w:rPr>
              <w:t>DRUG NAME, FORM(S), STRENGTH(S), SPONSOR, TYPE OF SUBMISSION</w:t>
            </w:r>
          </w:p>
        </w:tc>
        <w:tc>
          <w:tcPr>
            <w:tcW w:w="2767" w:type="dxa"/>
            <w:shd w:val="clear" w:color="auto" w:fill="auto"/>
            <w:tcMar>
              <w:top w:w="28" w:type="dxa"/>
              <w:bottom w:w="28" w:type="dxa"/>
            </w:tcMar>
            <w:vAlign w:val="center"/>
          </w:tcPr>
          <w:p w14:paraId="500DC444" w14:textId="77777777" w:rsidR="00157509" w:rsidRPr="008059F4" w:rsidRDefault="00157509">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shd w:val="clear" w:color="auto" w:fill="auto"/>
            <w:tcMar>
              <w:top w:w="28" w:type="dxa"/>
              <w:bottom w:w="28" w:type="dxa"/>
            </w:tcMar>
            <w:vAlign w:val="center"/>
          </w:tcPr>
          <w:p w14:paraId="3B2F401E" w14:textId="77777777" w:rsidR="00157509" w:rsidRPr="008059F4" w:rsidRDefault="00157509">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20" w:type="dxa"/>
            <w:gridSpan w:val="2"/>
            <w:shd w:val="clear" w:color="auto" w:fill="auto"/>
            <w:vAlign w:val="center"/>
          </w:tcPr>
          <w:p w14:paraId="1EBB8974" w14:textId="77777777" w:rsidR="00157509" w:rsidRPr="001033CF" w:rsidRDefault="00157509">
            <w:pPr>
              <w:pStyle w:val="Header"/>
              <w:keepLines/>
              <w:jc w:val="center"/>
              <w:rPr>
                <w:rFonts w:asciiTheme="minorHAnsi" w:hAnsiTheme="minorHAnsi" w:cstheme="minorHAnsi"/>
                <w:b/>
                <w:bCs/>
                <w:snapToGrid w:val="0"/>
                <w:sz w:val="18"/>
                <w:szCs w:val="18"/>
                <w:lang w:eastAsia="en-US"/>
              </w:rPr>
            </w:pPr>
            <w:r w:rsidRPr="001033CF">
              <w:rPr>
                <w:rFonts w:asciiTheme="minorHAnsi" w:hAnsiTheme="minorHAnsi" w:cstheme="minorHAnsi"/>
                <w:b/>
                <w:bCs/>
                <w:snapToGrid w:val="0"/>
                <w:sz w:val="18"/>
                <w:szCs w:val="18"/>
                <w:lang w:eastAsia="en-US"/>
              </w:rPr>
              <w:t>PBAC OUTCOME</w:t>
            </w:r>
          </w:p>
        </w:tc>
      </w:tr>
      <w:tr w:rsidR="00157509" w:rsidRPr="001033CF" w14:paraId="7F4B5484" w14:textId="77777777" w:rsidTr="005406D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4416034" w14:textId="77777777" w:rsidR="00157509" w:rsidRPr="00B0619C" w:rsidRDefault="00157509">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DAUNORUBICIN WITH CYTARABINE</w:t>
            </w:r>
          </w:p>
          <w:p w14:paraId="0B149225" w14:textId="77777777" w:rsidR="00157509" w:rsidRPr="00B0619C" w:rsidRDefault="00157509">
            <w:pPr>
              <w:jc w:val="center"/>
              <w:rPr>
                <w:rFonts w:asciiTheme="minorHAnsi" w:hAnsiTheme="minorHAnsi" w:cstheme="minorHAnsi"/>
                <w:color w:val="000000"/>
                <w:sz w:val="18"/>
                <w:szCs w:val="18"/>
              </w:rPr>
            </w:pPr>
          </w:p>
          <w:p w14:paraId="2F37549B" w14:textId="77777777" w:rsidR="00157509" w:rsidRPr="00B0619C" w:rsidRDefault="00157509">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Powder for I.V infusion containing daunorubicin 44</w:t>
            </w:r>
            <w:r>
              <w:rPr>
                <w:rFonts w:asciiTheme="minorHAnsi" w:hAnsiTheme="minorHAnsi" w:cstheme="minorHAnsi"/>
                <w:color w:val="000000"/>
                <w:sz w:val="18"/>
                <w:szCs w:val="18"/>
              </w:rPr>
              <w:t> mg</w:t>
            </w:r>
            <w:r w:rsidRPr="00B0619C">
              <w:rPr>
                <w:rFonts w:asciiTheme="minorHAnsi" w:hAnsiTheme="minorHAnsi" w:cstheme="minorHAnsi"/>
                <w:color w:val="000000"/>
                <w:sz w:val="18"/>
                <w:szCs w:val="18"/>
              </w:rPr>
              <w:t xml:space="preserve"> and cytarabine 100</w:t>
            </w:r>
            <w:r>
              <w:rPr>
                <w:rFonts w:asciiTheme="minorHAnsi" w:hAnsiTheme="minorHAnsi" w:cstheme="minorHAnsi"/>
                <w:color w:val="000000"/>
                <w:sz w:val="18"/>
                <w:szCs w:val="18"/>
              </w:rPr>
              <w:t> mg</w:t>
            </w:r>
          </w:p>
          <w:p w14:paraId="78B59CDD" w14:textId="77777777" w:rsidR="00157509" w:rsidRPr="00B0619C" w:rsidRDefault="00157509">
            <w:pPr>
              <w:jc w:val="center"/>
              <w:rPr>
                <w:rFonts w:asciiTheme="minorHAnsi" w:hAnsiTheme="minorHAnsi" w:cstheme="minorHAnsi"/>
                <w:color w:val="000000"/>
                <w:sz w:val="18"/>
                <w:szCs w:val="18"/>
              </w:rPr>
            </w:pPr>
          </w:p>
          <w:p w14:paraId="6A4FD354" w14:textId="77777777" w:rsidR="00157509" w:rsidRPr="00B0619C" w:rsidRDefault="00157509">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Vyxeos</w:t>
            </w:r>
            <w:r w:rsidRPr="001165DD">
              <w:rPr>
                <w:rFonts w:asciiTheme="minorHAnsi" w:hAnsiTheme="minorHAnsi" w:cstheme="minorHAnsi"/>
                <w:color w:val="000000"/>
                <w:sz w:val="18"/>
                <w:szCs w:val="18"/>
              </w:rPr>
              <w:t>®</w:t>
            </w:r>
          </w:p>
          <w:p w14:paraId="136B1FE6" w14:textId="77777777" w:rsidR="00157509" w:rsidRPr="00B0619C" w:rsidRDefault="00157509">
            <w:pPr>
              <w:jc w:val="center"/>
              <w:rPr>
                <w:rFonts w:asciiTheme="minorHAnsi" w:hAnsiTheme="minorHAnsi" w:cstheme="minorHAnsi"/>
                <w:color w:val="000000"/>
                <w:sz w:val="18"/>
                <w:szCs w:val="18"/>
              </w:rPr>
            </w:pPr>
          </w:p>
          <w:p w14:paraId="0FB380FE" w14:textId="77777777" w:rsidR="00157509" w:rsidRPr="00B0619C" w:rsidRDefault="00157509">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JAZZ PHARMACEUTICALS ANZ PTY LTD</w:t>
            </w:r>
          </w:p>
          <w:p w14:paraId="746839DB" w14:textId="77777777" w:rsidR="00157509" w:rsidRDefault="00157509">
            <w:pPr>
              <w:jc w:val="center"/>
              <w:rPr>
                <w:rFonts w:asciiTheme="minorHAnsi" w:hAnsiTheme="minorHAnsi" w:cstheme="minorHAnsi"/>
                <w:color w:val="000000"/>
                <w:sz w:val="18"/>
                <w:szCs w:val="18"/>
              </w:rPr>
            </w:pPr>
          </w:p>
          <w:p w14:paraId="5D807F7E" w14:textId="77777777" w:rsidR="00157509" w:rsidRPr="00B0619C" w:rsidRDefault="00157509">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w:t>
            </w:r>
          </w:p>
          <w:p w14:paraId="6653A585" w14:textId="3FFC008C" w:rsidR="00157509" w:rsidRPr="00B0619C" w:rsidRDefault="00157509" w:rsidP="005406D0">
            <w:pPr>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(New</w:t>
            </w:r>
            <w:r>
              <w:rPr>
                <w:rFonts w:asciiTheme="minorHAnsi" w:hAnsiTheme="minorHAnsi" w:cstheme="minorHAnsi"/>
                <w:color w:val="000000"/>
                <w:sz w:val="18"/>
                <w:szCs w:val="18"/>
              </w:rPr>
              <w:t xml:space="preserve"> PBS</w:t>
            </w:r>
            <w:r w:rsidRPr="00B0619C">
              <w:rPr>
                <w:rFonts w:asciiTheme="minorHAnsi" w:hAnsiTheme="minorHAnsi" w:cstheme="minorHAnsi"/>
                <w:color w:val="000000"/>
                <w:sz w:val="18"/>
                <w:szCs w:val="18"/>
              </w:rPr>
              <w:t xml:space="preserve">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201CE83" w14:textId="77777777" w:rsidR="00157509" w:rsidRPr="00B0619C" w:rsidRDefault="00157509">
            <w:pPr>
              <w:keepLines/>
              <w:widowControl w:val="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Acute myeloid leukaemia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A5C4059" w14:textId="77777777" w:rsidR="00157509" w:rsidRPr="00B0619C" w:rsidRDefault="00157509">
            <w:pPr>
              <w:pStyle w:val="ListParagraph"/>
              <w:keepLines/>
              <w:ind w:left="0"/>
              <w:jc w:val="center"/>
              <w:rPr>
                <w:rFonts w:asciiTheme="minorHAnsi" w:hAnsiTheme="minorHAnsi" w:cstheme="minorHAnsi"/>
                <w:color w:val="000000"/>
                <w:sz w:val="18"/>
                <w:szCs w:val="18"/>
              </w:rPr>
            </w:pPr>
            <w:r w:rsidRPr="00B0619C">
              <w:rPr>
                <w:rFonts w:asciiTheme="minorHAnsi" w:hAnsiTheme="minorHAnsi" w:cstheme="minorHAnsi"/>
                <w:color w:val="000000"/>
                <w:sz w:val="18"/>
                <w:szCs w:val="18"/>
              </w:rPr>
              <w:t>To request a Section 100 (Highly Specialised Drugs Program) Authority Required (Telephone/Online) listing for the treatment of therapy</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related acute myeloid leukaemia (t</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AML) or acute myeloid leukaemia with myelodysplasia</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related changes (AML</w:t>
            </w:r>
            <w:r w:rsidRPr="001165DD">
              <w:rPr>
                <w:rFonts w:asciiTheme="minorHAnsi" w:hAnsiTheme="minorHAnsi" w:cstheme="minorHAnsi"/>
                <w:color w:val="000000"/>
                <w:sz w:val="18"/>
                <w:szCs w:val="18"/>
              </w:rPr>
              <w:noBreakHyphen/>
            </w:r>
            <w:r w:rsidRPr="00B0619C">
              <w:rPr>
                <w:rFonts w:asciiTheme="minorHAnsi" w:hAnsiTheme="minorHAnsi" w:cstheme="minorHAnsi"/>
                <w:color w:val="000000"/>
                <w:sz w:val="18"/>
                <w:szCs w:val="18"/>
              </w:rPr>
              <w:t>MRC) while system and IT challenges relating to a</w:t>
            </w:r>
            <w:r>
              <w:rPr>
                <w:rFonts w:asciiTheme="minorHAnsi" w:hAnsiTheme="minorHAnsi" w:cstheme="minorHAnsi"/>
                <w:color w:val="000000"/>
                <w:sz w:val="18"/>
                <w:szCs w:val="18"/>
              </w:rPr>
              <w:t xml:space="preserve"> </w:t>
            </w:r>
            <w:r w:rsidRPr="00B0619C">
              <w:rPr>
                <w:rFonts w:asciiTheme="minorHAnsi" w:hAnsiTheme="minorHAnsi" w:cstheme="minorHAnsi"/>
                <w:color w:val="000000"/>
                <w:sz w:val="18"/>
                <w:szCs w:val="18"/>
              </w:rPr>
              <w:t xml:space="preserve">Section 100 (Efficient Funding of Chemotherapy) listing are resolved. </w:t>
            </w:r>
          </w:p>
        </w:tc>
        <w:tc>
          <w:tcPr>
            <w:tcW w:w="1584" w:type="dxa"/>
            <w:shd w:val="clear" w:color="auto" w:fill="auto"/>
            <w:vAlign w:val="center"/>
          </w:tcPr>
          <w:p w14:paraId="101D581F" w14:textId="01416792" w:rsidR="00157509" w:rsidRPr="001033CF" w:rsidRDefault="00157509">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50CA632B" w14:textId="5F60663B" w:rsidR="00157509" w:rsidRPr="001033CF" w:rsidRDefault="00157509">
            <w:pPr>
              <w:jc w:val="both"/>
              <w:rPr>
                <w:rFonts w:asciiTheme="minorHAnsi" w:hAnsiTheme="minorHAnsi" w:cstheme="minorHAnsi"/>
                <w:color w:val="000000"/>
                <w:sz w:val="18"/>
                <w:szCs w:val="18"/>
              </w:rPr>
            </w:pPr>
            <w:r w:rsidRPr="00157509">
              <w:rPr>
                <w:rFonts w:asciiTheme="minorHAnsi" w:hAnsiTheme="minorHAnsi" w:cstheme="minorHAnsi"/>
                <w:color w:val="000000"/>
                <w:sz w:val="18"/>
                <w:szCs w:val="18"/>
              </w:rPr>
              <w:t>The PBAC recommended the listing of liposomal daunorubicin and cytarabine (Vyxeos) under the Section 100 Highly Specialised Drugs (HSD) Program, while implementation issues relating to a Section 100 Efficient Funding of Chemotherapy (EFC) listing are being resolved. The PBAC noted that under Section 100 EFC, patients are not required to pay a co-payment for repeat prescriptions but would be required to do so under Section 100 HSD. The PBAC considered that the proposed approach for an interim Section 100 HSD listing was a pragmatic approach to enable patients’ P</w:t>
            </w:r>
            <w:r>
              <w:rPr>
                <w:rFonts w:asciiTheme="minorHAnsi" w:hAnsiTheme="minorHAnsi" w:cstheme="minorHAnsi"/>
                <w:color w:val="000000"/>
                <w:sz w:val="18"/>
                <w:szCs w:val="18"/>
              </w:rPr>
              <w:t xml:space="preserve">BS </w:t>
            </w:r>
            <w:r w:rsidRPr="00157509">
              <w:rPr>
                <w:rFonts w:asciiTheme="minorHAnsi" w:hAnsiTheme="minorHAnsi" w:cstheme="minorHAnsi"/>
                <w:color w:val="000000"/>
                <w:sz w:val="18"/>
                <w:szCs w:val="18"/>
              </w:rPr>
              <w:t>access to liposomal daunorubicin and cytarabine.</w:t>
            </w:r>
          </w:p>
        </w:tc>
      </w:tr>
    </w:tbl>
    <w:p w14:paraId="7F1D848F" w14:textId="6D6BCEFC" w:rsidR="00157509" w:rsidRPr="005406D0" w:rsidRDefault="00F53585" w:rsidP="00D97548">
      <w:pPr>
        <w:rPr>
          <w:rFonts w:ascii="Arial Narrow" w:hAnsi="Arial Narrow"/>
          <w:sz w:val="16"/>
          <w:szCs w:val="16"/>
        </w:rPr>
      </w:pPr>
      <w:r w:rsidRPr="005406D0">
        <w:rPr>
          <w:rFonts w:ascii="Arial Narrow" w:hAnsi="Arial Narrow"/>
          <w:sz w:val="16"/>
          <w:szCs w:val="16"/>
        </w:rPr>
        <w:t xml:space="preserve">*Note this item was considered prior to the publication date for the March 2024 PBAC meeting outcomes and hence has been included in this document. </w:t>
      </w:r>
    </w:p>
    <w:p w14:paraId="337791F6" w14:textId="77777777" w:rsidR="00AC00BE" w:rsidRDefault="00AC00BE" w:rsidP="00D97548">
      <w:pPr>
        <w:rPr>
          <w:rFonts w:ascii="Arial" w:hAnsi="Arial" w:cs="Arial"/>
          <w:b/>
          <w:lang w:val="en-US"/>
        </w:rPr>
      </w:pPr>
    </w:p>
    <w:p w14:paraId="3741B0B0" w14:textId="77777777" w:rsidR="00902EDE" w:rsidRPr="00B816E0" w:rsidRDefault="00AC00BE" w:rsidP="00D97548">
      <w:pPr>
        <w:rPr>
          <w:rFonts w:asciiTheme="minorHAnsi" w:hAnsiTheme="minorHAnsi" w:cstheme="minorHAnsi"/>
          <w:sz w:val="18"/>
          <w:szCs w:val="18"/>
        </w:rPr>
      </w:pPr>
      <w:r w:rsidRPr="00B816E0">
        <w:rPr>
          <w:rFonts w:asciiTheme="minorHAnsi" w:hAnsiTheme="minorHAnsi" w:cstheme="minorHAnsi"/>
          <w:sz w:val="18"/>
          <w:szCs w:val="18"/>
        </w:rPr>
        <w:t xml:space="preserve">Version 2 </w:t>
      </w:r>
    </w:p>
    <w:p w14:paraId="7A7A1088" w14:textId="48C7E24E" w:rsidR="00AC00BE" w:rsidRPr="00B816E0" w:rsidRDefault="00AC00BE" w:rsidP="00D97548">
      <w:pPr>
        <w:rPr>
          <w:rFonts w:asciiTheme="minorHAnsi" w:hAnsiTheme="minorHAnsi" w:cstheme="minorHAnsi"/>
          <w:sz w:val="18"/>
          <w:szCs w:val="18"/>
        </w:rPr>
      </w:pPr>
      <w:r w:rsidRPr="00B816E0">
        <w:rPr>
          <w:rFonts w:asciiTheme="minorHAnsi" w:hAnsiTheme="minorHAnsi" w:cstheme="minorHAnsi"/>
          <w:sz w:val="18"/>
          <w:szCs w:val="18"/>
        </w:rPr>
        <w:t>Amendments</w:t>
      </w:r>
    </w:p>
    <w:p w14:paraId="39306A94" w14:textId="37D2E65F" w:rsidR="00AC00BE" w:rsidRPr="00B816E0" w:rsidRDefault="00AC00BE" w:rsidP="00B816E0">
      <w:pPr>
        <w:pStyle w:val="ListParagraph"/>
        <w:numPr>
          <w:ilvl w:val="0"/>
          <w:numId w:val="58"/>
        </w:numPr>
        <w:rPr>
          <w:rFonts w:asciiTheme="minorHAnsi" w:hAnsiTheme="minorHAnsi" w:cstheme="minorHAnsi"/>
          <w:sz w:val="18"/>
          <w:szCs w:val="18"/>
        </w:rPr>
      </w:pPr>
      <w:r w:rsidRPr="00B816E0">
        <w:rPr>
          <w:rFonts w:asciiTheme="minorHAnsi" w:hAnsiTheme="minorHAnsi" w:cstheme="minorHAnsi"/>
          <w:sz w:val="18"/>
          <w:szCs w:val="18"/>
        </w:rPr>
        <w:t>BULEVIRTIDE</w:t>
      </w:r>
      <w:r w:rsidR="00902EDE" w:rsidRPr="00B816E0">
        <w:rPr>
          <w:rFonts w:asciiTheme="minorHAnsi" w:hAnsiTheme="minorHAnsi" w:cstheme="minorHAnsi"/>
          <w:sz w:val="18"/>
          <w:szCs w:val="18"/>
        </w:rPr>
        <w:t xml:space="preserve"> - a</w:t>
      </w:r>
      <w:r w:rsidRPr="00B816E0">
        <w:rPr>
          <w:rFonts w:asciiTheme="minorHAnsi" w:hAnsiTheme="minorHAnsi" w:cstheme="minorHAnsi"/>
          <w:sz w:val="18"/>
          <w:szCs w:val="18"/>
        </w:rPr>
        <w:t xml:space="preserve">dded </w:t>
      </w:r>
      <w:r w:rsidR="00902EDE" w:rsidRPr="00B816E0">
        <w:rPr>
          <w:rFonts w:asciiTheme="minorHAnsi" w:hAnsiTheme="minorHAnsi" w:cstheme="minorHAnsi"/>
          <w:sz w:val="18"/>
          <w:szCs w:val="18"/>
        </w:rPr>
        <w:t xml:space="preserve">PBAC </w:t>
      </w:r>
      <w:r w:rsidRPr="00B816E0">
        <w:rPr>
          <w:rFonts w:asciiTheme="minorHAnsi" w:hAnsiTheme="minorHAnsi" w:cstheme="minorHAnsi"/>
          <w:sz w:val="18"/>
          <w:szCs w:val="18"/>
        </w:rPr>
        <w:t>outcome.</w:t>
      </w:r>
    </w:p>
    <w:p w14:paraId="54791B84" w14:textId="7B2E4595" w:rsidR="00D97548" w:rsidRDefault="00D97548" w:rsidP="00D97548">
      <w:pPr>
        <w:rPr>
          <w:rFonts w:ascii="Arial" w:hAnsi="Arial" w:cs="Arial"/>
          <w:b/>
          <w:lang w:val="en-US"/>
        </w:rPr>
      </w:pPr>
      <w:r>
        <w:rPr>
          <w:rFonts w:ascii="Arial" w:hAnsi="Arial" w:cs="Arial"/>
          <w:b/>
          <w:lang w:val="en-US"/>
        </w:rPr>
        <w:br w:type="page"/>
      </w:r>
    </w:p>
    <w:p w14:paraId="6B64D1DE" w14:textId="5E000AB7" w:rsidR="007F48F6" w:rsidRPr="00292120" w:rsidRDefault="007F48F6" w:rsidP="00BB57B7">
      <w:pPr>
        <w:rPr>
          <w:rFonts w:ascii="Arial" w:hAnsi="Arial" w:cs="Arial"/>
          <w:b/>
          <w:lang w:val="en-US"/>
        </w:rPr>
      </w:pPr>
      <w:r w:rsidRPr="00292120">
        <w:rPr>
          <w:rFonts w:ascii="Arial" w:hAnsi="Arial" w:cs="Arial"/>
          <w:b/>
          <w:lang w:val="en-US"/>
        </w:rPr>
        <w:lastRenderedPageBreak/>
        <w:t>Submission category types</w:t>
      </w:r>
    </w:p>
    <w:p w14:paraId="15D4233E" w14:textId="77777777" w:rsidR="007F48F6" w:rsidRPr="00292120" w:rsidRDefault="007F48F6" w:rsidP="00BB57B7">
      <w:pPr>
        <w:rPr>
          <w:rFonts w:ascii="Arial" w:hAnsi="Arial" w:cs="Arial"/>
          <w:b/>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14:paraId="49C9D26F" w14:textId="77777777" w:rsidTr="005B583D">
        <w:tc>
          <w:tcPr>
            <w:tcW w:w="1984" w:type="dxa"/>
          </w:tcPr>
          <w:p w14:paraId="1640FA5D" w14:textId="3DC6C07C" w:rsidR="007F48F6" w:rsidRPr="00292120" w:rsidRDefault="007F48F6" w:rsidP="00BB57B7">
            <w:pPr>
              <w:autoSpaceDE w:val="0"/>
              <w:autoSpaceDN w:val="0"/>
              <w:adjustRightInd w:val="0"/>
              <w:rPr>
                <w:rFonts w:ascii="Arial" w:hAnsi="Arial" w:cs="Arial"/>
                <w:b/>
                <w:lang w:val="en-US"/>
              </w:rPr>
            </w:pPr>
            <w:r w:rsidRPr="00292120">
              <w:rPr>
                <w:rFonts w:ascii="Arial" w:hAnsi="Arial" w:cs="Arial"/>
                <w:b/>
                <w:color w:val="000000"/>
              </w:rPr>
              <w:t>Category 1</w:t>
            </w:r>
          </w:p>
        </w:tc>
        <w:tc>
          <w:tcPr>
            <w:tcW w:w="12474" w:type="dxa"/>
          </w:tcPr>
          <w:p w14:paraId="55D16D51" w14:textId="77777777" w:rsidR="007F48F6" w:rsidRPr="00292120" w:rsidRDefault="007F48F6" w:rsidP="00BB57B7">
            <w:pPr>
              <w:autoSpaceDE w:val="0"/>
              <w:autoSpaceDN w:val="0"/>
              <w:adjustRightInd w:val="0"/>
              <w:rPr>
                <w:rFonts w:ascii="Arial" w:hAnsi="Arial" w:cs="Arial"/>
                <w:b/>
                <w:color w:val="000000"/>
              </w:rPr>
            </w:pPr>
            <w:r w:rsidRPr="00292120">
              <w:rPr>
                <w:rFonts w:ascii="Arial" w:hAnsi="Arial" w:cs="Arial"/>
                <w:color w:val="000000"/>
              </w:rPr>
              <w:t xml:space="preserve">A request for PBS or NIP listing of one or more of the following: </w:t>
            </w:r>
          </w:p>
          <w:p w14:paraId="5E5BAAB8" w14:textId="77777777" w:rsidR="007F48F6" w:rsidRPr="00292120" w:rsidRDefault="007F48F6" w:rsidP="00BB57B7">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first in class medicine or vaccine, and/or a medicine or vaccine for a new population. OR </w:t>
            </w:r>
          </w:p>
          <w:p w14:paraId="7DB13D11" w14:textId="77777777" w:rsidR="007F48F6" w:rsidRPr="00292120" w:rsidRDefault="007F48F6" w:rsidP="00BB57B7">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A drug with a codependent technology that requires an integrated codependent submission to the PBAC and MSAC. OR </w:t>
            </w:r>
          </w:p>
          <w:p w14:paraId="1380A86B" w14:textId="77777777" w:rsidR="007F48F6" w:rsidRPr="00292120" w:rsidRDefault="007F48F6" w:rsidP="00BB57B7">
            <w:pPr>
              <w:pStyle w:val="ListParagraph"/>
              <w:numPr>
                <w:ilvl w:val="0"/>
                <w:numId w:val="3"/>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A drug or designated vaccine with a TGA Provisional determination related to the proposed population.</w:t>
            </w:r>
          </w:p>
        </w:tc>
      </w:tr>
      <w:tr w:rsidR="007F48F6" w:rsidRPr="00292120" w14:paraId="55E97F75" w14:textId="77777777" w:rsidTr="005B583D">
        <w:tc>
          <w:tcPr>
            <w:tcW w:w="1984" w:type="dxa"/>
          </w:tcPr>
          <w:p w14:paraId="5E9AC3B0" w14:textId="77777777" w:rsidR="007F48F6" w:rsidRPr="00292120" w:rsidRDefault="007F48F6" w:rsidP="00BB57B7">
            <w:pPr>
              <w:tabs>
                <w:tab w:val="left" w:pos="5210"/>
              </w:tabs>
              <w:rPr>
                <w:rFonts w:ascii="Arial" w:hAnsi="Arial" w:cs="Arial"/>
                <w:b/>
                <w:lang w:val="en-US"/>
              </w:rPr>
            </w:pPr>
            <w:r w:rsidRPr="00292120">
              <w:rPr>
                <w:rFonts w:ascii="Arial" w:hAnsi="Arial" w:cs="Arial"/>
                <w:b/>
              </w:rPr>
              <w:t>Category 2</w:t>
            </w:r>
          </w:p>
        </w:tc>
        <w:tc>
          <w:tcPr>
            <w:tcW w:w="12474" w:type="dxa"/>
          </w:tcPr>
          <w:p w14:paraId="72522F32" w14:textId="77777777" w:rsidR="007F48F6" w:rsidRPr="00292120" w:rsidRDefault="007F48F6" w:rsidP="00BB57B7">
            <w:pPr>
              <w:tabs>
                <w:tab w:val="left" w:pos="5210"/>
              </w:tabs>
              <w:rPr>
                <w:rFonts w:ascii="Arial" w:hAnsi="Arial" w:cs="Arial"/>
              </w:rPr>
            </w:pPr>
            <w:r w:rsidRPr="00292120">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14:paraId="2189A220" w14:textId="77777777" w:rsidTr="005B583D">
        <w:tc>
          <w:tcPr>
            <w:tcW w:w="1984" w:type="dxa"/>
          </w:tcPr>
          <w:p w14:paraId="79CB93BA" w14:textId="77777777" w:rsidR="007F48F6" w:rsidRPr="00292120" w:rsidRDefault="007F48F6" w:rsidP="00BB57B7">
            <w:pPr>
              <w:tabs>
                <w:tab w:val="left" w:pos="5210"/>
              </w:tabs>
              <w:rPr>
                <w:rFonts w:ascii="Arial" w:hAnsi="Arial" w:cs="Arial"/>
                <w:b/>
                <w:lang w:val="en-US"/>
              </w:rPr>
            </w:pPr>
            <w:r w:rsidRPr="00292120">
              <w:rPr>
                <w:rFonts w:ascii="Arial" w:hAnsi="Arial" w:cs="Arial"/>
                <w:b/>
              </w:rPr>
              <w:t>Category 3</w:t>
            </w:r>
          </w:p>
        </w:tc>
        <w:tc>
          <w:tcPr>
            <w:tcW w:w="12474" w:type="dxa"/>
          </w:tcPr>
          <w:p w14:paraId="11EF39D0" w14:textId="6ED8A88B" w:rsidR="007F48F6" w:rsidRPr="00292120" w:rsidRDefault="007F48F6" w:rsidP="00BB57B7">
            <w:pPr>
              <w:tabs>
                <w:tab w:val="left" w:pos="5210"/>
              </w:tabs>
              <w:rPr>
                <w:rFonts w:ascii="Arial" w:hAnsi="Arial" w:cs="Arial"/>
              </w:rPr>
            </w:pPr>
            <w:r w:rsidRPr="00292120">
              <w:rPr>
                <w:rFonts w:ascii="Arial" w:hAnsi="Arial" w:cs="Arial"/>
              </w:rPr>
              <w:t>Requests to change existing listings that do not change the population or cost</w:t>
            </w:r>
            <w:r w:rsidR="001165DD" w:rsidRPr="001165DD">
              <w:rPr>
                <w:rFonts w:ascii="Arial" w:hAnsi="Arial" w:cs="Arial"/>
              </w:rPr>
              <w:noBreakHyphen/>
            </w:r>
            <w:r w:rsidRPr="00292120">
              <w:rPr>
                <w:rFonts w:ascii="Arial" w:hAnsi="Arial" w:cs="Arial"/>
              </w:rPr>
              <w:t>effectiveness of the medicine or vaccine that do not meet the criteria for a Category 4 submission.</w:t>
            </w:r>
          </w:p>
        </w:tc>
      </w:tr>
      <w:tr w:rsidR="007F48F6" w:rsidRPr="00292120" w14:paraId="3189B6F0" w14:textId="77777777" w:rsidTr="005B583D">
        <w:tc>
          <w:tcPr>
            <w:tcW w:w="1984" w:type="dxa"/>
          </w:tcPr>
          <w:p w14:paraId="381D7CFE" w14:textId="5CAA3093" w:rsidR="007F48F6" w:rsidRPr="00292120" w:rsidRDefault="007F48F6" w:rsidP="00BB57B7">
            <w:pPr>
              <w:pStyle w:val="Default"/>
              <w:rPr>
                <w:rFonts w:ascii="Arial" w:hAnsi="Arial" w:cs="Arial"/>
                <w:b/>
                <w:sz w:val="20"/>
                <w:szCs w:val="20"/>
                <w:lang w:val="en-US"/>
              </w:rPr>
            </w:pPr>
            <w:r w:rsidRPr="00292120">
              <w:rPr>
                <w:rFonts w:ascii="Arial" w:hAnsi="Arial" w:cs="Arial"/>
                <w:b/>
                <w:sz w:val="20"/>
                <w:szCs w:val="20"/>
              </w:rPr>
              <w:t xml:space="preserve">Category 4 </w:t>
            </w:r>
          </w:p>
        </w:tc>
        <w:tc>
          <w:tcPr>
            <w:tcW w:w="12474" w:type="dxa"/>
          </w:tcPr>
          <w:p w14:paraId="5E50EE2B" w14:textId="77777777" w:rsidR="007F48F6" w:rsidRPr="00292120" w:rsidRDefault="007F48F6" w:rsidP="00BB57B7">
            <w:pPr>
              <w:pStyle w:val="Default"/>
              <w:rPr>
                <w:rFonts w:ascii="Arial" w:hAnsi="Arial" w:cs="Arial"/>
                <w:b/>
                <w:sz w:val="20"/>
                <w:szCs w:val="20"/>
              </w:rPr>
            </w:pPr>
            <w:r w:rsidRPr="00292120">
              <w:rPr>
                <w:rFonts w:ascii="Arial" w:hAnsi="Arial" w:cs="Arial"/>
                <w:sz w:val="20"/>
                <w:szCs w:val="20"/>
              </w:rPr>
              <w:t xml:space="preserve">A request for one or more of the following: </w:t>
            </w:r>
          </w:p>
          <w:p w14:paraId="61CDD5EA" w14:textId="77777777" w:rsidR="007F48F6" w:rsidRPr="00292120" w:rsidRDefault="007F48F6" w:rsidP="00BB57B7">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Listing of a new pharmaceutical item of a listed medicine. </w:t>
            </w:r>
          </w:p>
          <w:p w14:paraId="30945A3C" w14:textId="77777777" w:rsidR="007F48F6" w:rsidRPr="00292120" w:rsidRDefault="007F48F6" w:rsidP="00BB57B7">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color w:val="000000"/>
                <w:sz w:val="20"/>
                <w:szCs w:val="20"/>
              </w:rPr>
              <w:t xml:space="preserve">Consideration as an exempt item (Exempt item as per subsection 84AH of the </w:t>
            </w:r>
            <w:r w:rsidRPr="00292120">
              <w:rPr>
                <w:rFonts w:ascii="Arial" w:hAnsi="Arial" w:cs="Arial"/>
                <w:i/>
                <w:iCs/>
                <w:color w:val="000000"/>
                <w:sz w:val="20"/>
                <w:szCs w:val="20"/>
              </w:rPr>
              <w:t>National Health Act 1953</w:t>
            </w:r>
            <w:r w:rsidRPr="00292120">
              <w:rPr>
                <w:rFonts w:ascii="Arial" w:hAnsi="Arial" w:cs="Arial"/>
                <w:color w:val="000000"/>
                <w:sz w:val="20"/>
                <w:szCs w:val="20"/>
              </w:rPr>
              <w:t xml:space="preserve">). </w:t>
            </w:r>
          </w:p>
          <w:p w14:paraId="46567CAC" w14:textId="77777777" w:rsidR="007F48F6" w:rsidRPr="00292120" w:rsidRDefault="007F48F6" w:rsidP="00BB57B7">
            <w:pPr>
              <w:pStyle w:val="ListParagraph"/>
              <w:numPr>
                <w:ilvl w:val="0"/>
                <w:numId w:val="4"/>
              </w:numPr>
              <w:autoSpaceDE w:val="0"/>
              <w:autoSpaceDN w:val="0"/>
              <w:adjustRightInd w:val="0"/>
              <w:ind w:left="360"/>
              <w:rPr>
                <w:rFonts w:ascii="Arial" w:hAnsi="Arial" w:cs="Arial"/>
                <w:b/>
                <w:color w:val="000000"/>
                <w:sz w:val="20"/>
                <w:szCs w:val="20"/>
              </w:rPr>
            </w:pPr>
            <w:r w:rsidRPr="00292120">
              <w:rPr>
                <w:rFonts w:ascii="Arial" w:hAnsi="Arial" w:cs="Arial"/>
                <w:sz w:val="20"/>
                <w:szCs w:val="20"/>
              </w:rPr>
              <w:t xml:space="preserve">Including a listed medicine on the prescriber </w:t>
            </w:r>
            <w:proofErr w:type="gramStart"/>
            <w:r w:rsidRPr="00292120">
              <w:rPr>
                <w:rFonts w:ascii="Arial" w:hAnsi="Arial" w:cs="Arial"/>
                <w:sz w:val="20"/>
                <w:szCs w:val="20"/>
              </w:rPr>
              <w:t>bag, or</w:t>
            </w:r>
            <w:proofErr w:type="gramEnd"/>
            <w:r w:rsidRPr="00292120">
              <w:rPr>
                <w:rFonts w:ascii="Arial" w:hAnsi="Arial" w:cs="Arial"/>
                <w:sz w:val="20"/>
                <w:szCs w:val="20"/>
              </w:rPr>
              <w:t xml:space="preserve"> varying an existing prescriber bag listing. </w:t>
            </w:r>
          </w:p>
          <w:p w14:paraId="7EF9BA42" w14:textId="77777777" w:rsidR="007F48F6" w:rsidRPr="00292120" w:rsidRDefault="007F48F6" w:rsidP="00BB57B7">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change/new manner of administration of a listed medicine. </w:t>
            </w:r>
          </w:p>
          <w:p w14:paraId="4D6B65C5" w14:textId="77777777" w:rsidR="007F48F6" w:rsidRPr="00292120" w:rsidRDefault="007F48F6" w:rsidP="00BB57B7">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 xml:space="preserve">A change to the maximum quantity and/or number of repeats of a listed medicine. </w:t>
            </w:r>
          </w:p>
          <w:p w14:paraId="2C2C10B5" w14:textId="77777777" w:rsidR="007F48F6" w:rsidRPr="00292120" w:rsidRDefault="007F48F6" w:rsidP="00BB57B7">
            <w:pPr>
              <w:pStyle w:val="ListParagraph"/>
              <w:numPr>
                <w:ilvl w:val="0"/>
                <w:numId w:val="5"/>
              </w:numPr>
              <w:autoSpaceDE w:val="0"/>
              <w:autoSpaceDN w:val="0"/>
              <w:adjustRightInd w:val="0"/>
              <w:ind w:left="360"/>
              <w:rPr>
                <w:rFonts w:ascii="Arial" w:hAnsi="Arial" w:cs="Arial"/>
                <w:b/>
                <w:sz w:val="20"/>
                <w:szCs w:val="20"/>
              </w:rPr>
            </w:pPr>
            <w:r w:rsidRPr="00292120">
              <w:rPr>
                <w:rFonts w:ascii="Arial" w:hAnsi="Arial" w:cs="Arial"/>
                <w:sz w:val="20"/>
                <w:szCs w:val="20"/>
              </w:rPr>
              <w:t>A change or addition to the prescriber type(s) of a listed medicine.</w:t>
            </w:r>
          </w:p>
        </w:tc>
      </w:tr>
      <w:tr w:rsidR="009A1C75" w:rsidRPr="00292120" w14:paraId="5129ECF2" w14:textId="77777777" w:rsidTr="009A1C75">
        <w:trPr>
          <w:trHeight w:val="1026"/>
        </w:trPr>
        <w:tc>
          <w:tcPr>
            <w:tcW w:w="1984" w:type="dxa"/>
          </w:tcPr>
          <w:p w14:paraId="4FD9FAAA" w14:textId="0063D706" w:rsidR="009A1C75" w:rsidRPr="00292120" w:rsidRDefault="009A1C75" w:rsidP="00BB57B7">
            <w:pPr>
              <w:pStyle w:val="Default"/>
              <w:rPr>
                <w:rFonts w:ascii="Arial" w:hAnsi="Arial" w:cs="Arial"/>
                <w:sz w:val="20"/>
                <w:szCs w:val="20"/>
              </w:rPr>
            </w:pPr>
            <w:r w:rsidRPr="00292120">
              <w:rPr>
                <w:rFonts w:ascii="Arial" w:hAnsi="Arial" w:cs="Arial"/>
                <w:b/>
                <w:sz w:val="20"/>
                <w:szCs w:val="20"/>
              </w:rPr>
              <w:t>Committee Secretariat</w:t>
            </w:r>
          </w:p>
        </w:tc>
        <w:tc>
          <w:tcPr>
            <w:tcW w:w="12474" w:type="dxa"/>
          </w:tcPr>
          <w:p w14:paraId="4E0E04D8" w14:textId="77777777" w:rsidR="009A1C75" w:rsidRPr="00292120" w:rsidRDefault="009A1C75" w:rsidP="00BB57B7">
            <w:pPr>
              <w:rPr>
                <w:rFonts w:ascii="Arial" w:hAnsi="Arial" w:cs="Arial"/>
                <w:color w:val="000000"/>
              </w:rPr>
            </w:pPr>
            <w:r w:rsidRPr="00292120">
              <w:rPr>
                <w:rFonts w:ascii="Arial" w:hAnsi="Arial" w:cs="Arial"/>
                <w:color w:val="000000"/>
              </w:rPr>
              <w:t>Application is not in Categories 1, 2, 3 or 4 and requests for one or more of the following:</w:t>
            </w:r>
          </w:p>
          <w:p w14:paraId="0ADCA80A" w14:textId="77777777" w:rsidR="009A1C75" w:rsidRPr="00292120" w:rsidRDefault="009A1C75" w:rsidP="00BB57B7">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or varied listed drugs, medicinal preparations and designated vaccines that pose no greater risk</w:t>
            </w:r>
          </w:p>
          <w:p w14:paraId="4E274BBE" w14:textId="47479696" w:rsidR="009A1C75" w:rsidRPr="00292120" w:rsidRDefault="009A1C75" w:rsidP="00BB57B7">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Pharmaceutical benefits that can no longer be supplied early</w:t>
            </w:r>
          </w:p>
          <w:p w14:paraId="78723A0D" w14:textId="4DE6AD96" w:rsidR="009A1C75" w:rsidRPr="00292120" w:rsidRDefault="009A1C75" w:rsidP="00BB57B7">
            <w:pPr>
              <w:pStyle w:val="ListParagraph"/>
              <w:numPr>
                <w:ilvl w:val="0"/>
                <w:numId w:val="8"/>
              </w:numPr>
              <w:rPr>
                <w:rFonts w:ascii="Arial" w:eastAsia="Times New Roman" w:hAnsi="Arial" w:cs="Arial"/>
                <w:sz w:val="20"/>
                <w:szCs w:val="20"/>
              </w:rPr>
            </w:pPr>
            <w:r w:rsidRPr="00292120">
              <w:rPr>
                <w:rFonts w:ascii="Arial" w:eastAsia="Times New Roman" w:hAnsi="Arial" w:cs="Arial"/>
                <w:sz w:val="20"/>
                <w:szCs w:val="20"/>
              </w:rPr>
              <w:t>New brand of glucose indicator pharmaceutical item.</w:t>
            </w:r>
          </w:p>
        </w:tc>
      </w:tr>
    </w:tbl>
    <w:p w14:paraId="1A3326E0" w14:textId="77777777" w:rsidR="007F48F6" w:rsidRPr="00292120" w:rsidRDefault="007F48F6" w:rsidP="00BB57B7">
      <w:pPr>
        <w:rPr>
          <w:rFonts w:ascii="Arial" w:hAnsi="Arial" w:cs="Arial"/>
          <w:b/>
          <w:lang w:val="en-US"/>
        </w:rPr>
      </w:pPr>
    </w:p>
    <w:p w14:paraId="379497B6" w14:textId="77777777" w:rsidR="008D62B4" w:rsidRPr="00292120" w:rsidRDefault="008D62B4" w:rsidP="00BB57B7">
      <w:pPr>
        <w:rPr>
          <w:rFonts w:ascii="Arial" w:hAnsi="Arial" w:cs="Arial"/>
          <w:b/>
          <w:lang w:val="en-US"/>
        </w:rPr>
      </w:pPr>
      <w:r w:rsidRPr="00292120">
        <w:rPr>
          <w:rFonts w:ascii="Arial" w:hAnsi="Arial" w:cs="Arial"/>
          <w:b/>
          <w:lang w:val="en-US"/>
        </w:rPr>
        <w:br w:type="page"/>
      </w:r>
    </w:p>
    <w:p w14:paraId="6CE3C41E" w14:textId="0367938F" w:rsidR="00640C80" w:rsidRPr="00292120" w:rsidRDefault="005A0A21" w:rsidP="00BB57B7">
      <w:pPr>
        <w:rPr>
          <w:rFonts w:ascii="Arial" w:hAnsi="Arial" w:cs="Arial"/>
          <w:b/>
          <w:lang w:val="en-US"/>
        </w:rPr>
      </w:pPr>
      <w:r w:rsidRPr="00292120">
        <w:rPr>
          <w:rFonts w:ascii="Arial" w:hAnsi="Arial" w:cs="Arial"/>
          <w:b/>
          <w:lang w:val="en-US"/>
        </w:rPr>
        <w:lastRenderedPageBreak/>
        <w:t>Resubmission pathways</w:t>
      </w:r>
    </w:p>
    <w:p w14:paraId="025CE011" w14:textId="77777777" w:rsidR="005A0A21" w:rsidRPr="00292120" w:rsidRDefault="005A0A21" w:rsidP="00BB57B7">
      <w:pPr>
        <w:tabs>
          <w:tab w:val="left" w:pos="5210"/>
        </w:tabs>
        <w:rPr>
          <w:rFonts w:ascii="Arial" w:hAnsi="Arial" w:cs="Arial"/>
          <w:b/>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14:paraId="1B32CA1F" w14:textId="77777777" w:rsidTr="00A159CA">
        <w:trPr>
          <w:cantSplit/>
        </w:trPr>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44A07A5C" w:rsidR="004A3371" w:rsidRPr="00292120" w:rsidRDefault="004A3371" w:rsidP="00BB57B7">
            <w:pPr>
              <w:rPr>
                <w:rFonts w:ascii="Arial" w:hAnsi="Arial" w:cs="Arial"/>
              </w:rPr>
            </w:pPr>
            <w:r w:rsidRPr="00292120">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00292120">
              <w:rPr>
                <w:rFonts w:ascii="Arial" w:hAnsi="Arial" w:cs="Arial"/>
              </w:rPr>
              <w:t>The resubmission pathways are classified into the following categories:</w:t>
            </w:r>
          </w:p>
        </w:tc>
      </w:tr>
      <w:tr w:rsidR="004A3371" w:rsidRPr="00292120" w14:paraId="5A78A628"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286CDA64" w:rsidR="004A3371" w:rsidRPr="00292120" w:rsidRDefault="004A3371" w:rsidP="00BB57B7">
            <w:pPr>
              <w:contextualSpacing/>
              <w:rPr>
                <w:rFonts w:ascii="Arial" w:hAnsi="Arial" w:cs="Arial"/>
                <w:b/>
                <w:bCs/>
              </w:rPr>
            </w:pPr>
            <w:r w:rsidRPr="00292120">
              <w:rPr>
                <w:rFonts w:ascii="Arial" w:hAnsi="Arial" w:cs="Arial"/>
                <w:b/>
                <w:bCs/>
              </w:rPr>
              <w:t>Standard re-entry</w:t>
            </w:r>
          </w:p>
          <w:p w14:paraId="14CD87B9" w14:textId="77777777" w:rsidR="004A3371" w:rsidRPr="00292120" w:rsidRDefault="004A3371" w:rsidP="00BB57B7">
            <w:pPr>
              <w:rPr>
                <w:rFonts w:ascii="Arial" w:hAnsi="Arial" w:cs="Arial"/>
                <w:b/>
                <w:bCs/>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288827A0" w:rsidR="004A3371" w:rsidRPr="00292120" w:rsidRDefault="004A3371" w:rsidP="00BB57B7">
            <w:pPr>
              <w:autoSpaceDE w:val="0"/>
              <w:autoSpaceDN w:val="0"/>
              <w:rPr>
                <w:rFonts w:ascii="Arial" w:hAnsi="Arial" w:cs="Arial"/>
                <w:color w:val="000000"/>
              </w:rPr>
            </w:pPr>
            <w:r w:rsidRPr="00292120">
              <w:rPr>
                <w:rFonts w:ascii="Arial" w:hAnsi="Arial" w:cs="Arial"/>
                <w:color w:val="000000"/>
              </w:rPr>
              <w:t xml:space="preserve">The Standard Re-entry Pathway is the default pathway for resubmissions </w:t>
            </w:r>
            <w:proofErr w:type="gramStart"/>
            <w:r w:rsidRPr="00292120">
              <w:rPr>
                <w:rFonts w:ascii="Arial" w:hAnsi="Arial" w:cs="Arial"/>
                <w:color w:val="000000"/>
              </w:rPr>
              <w:t>and also</w:t>
            </w:r>
            <w:proofErr w:type="gramEnd"/>
            <w:r w:rsidRPr="00292120">
              <w:rPr>
                <w:rFonts w:ascii="Arial" w:hAnsi="Arial" w:cs="Arial"/>
                <w:color w:val="000000"/>
              </w:rPr>
              <w:t xml:space="preserve"> applies where: </w:t>
            </w:r>
          </w:p>
          <w:p w14:paraId="430AF034" w14:textId="77777777" w:rsidR="004A3371" w:rsidRPr="00292120" w:rsidRDefault="004A3371" w:rsidP="00BB57B7">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chooses not to accept the PBAC nominated resubmission pathway; or </w:t>
            </w:r>
          </w:p>
          <w:p w14:paraId="15ADDEB3" w14:textId="0A64E7F7" w:rsidR="004A3371" w:rsidRPr="00292120" w:rsidRDefault="004A3371" w:rsidP="00BB57B7">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292120" w:rsidRDefault="004A3371" w:rsidP="00BB57B7">
            <w:pPr>
              <w:pStyle w:val="ListParagraph"/>
              <w:numPr>
                <w:ilvl w:val="0"/>
                <w:numId w:val="1"/>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an applicant decides to lodge later than the allowable timelines for the other pathways. </w:t>
            </w:r>
          </w:p>
        </w:tc>
      </w:tr>
      <w:tr w:rsidR="004A3371" w:rsidRPr="00292120" w14:paraId="46BDFCAF"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3D30E3AC" w:rsidR="004A3371" w:rsidRPr="00292120" w:rsidRDefault="004A3371" w:rsidP="00BB57B7">
            <w:pPr>
              <w:contextualSpacing/>
              <w:rPr>
                <w:rFonts w:ascii="Arial" w:hAnsi="Arial" w:cs="Arial"/>
                <w:b/>
                <w:bCs/>
                <w:lang w:eastAsia="en-US"/>
              </w:rPr>
            </w:pPr>
            <w:r w:rsidRPr="00292120">
              <w:rPr>
                <w:rFonts w:ascii="Arial" w:hAnsi="Arial" w:cs="Arial"/>
                <w:b/>
                <w:bCs/>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6C4352F7" w:rsidR="004A3371" w:rsidRPr="00292120" w:rsidRDefault="004A3371" w:rsidP="00BB57B7">
            <w:pPr>
              <w:contextualSpacing/>
              <w:rPr>
                <w:rFonts w:ascii="Arial" w:hAnsi="Arial" w:cs="Arial"/>
                <w:color w:val="000000"/>
              </w:rPr>
            </w:pPr>
            <w:r w:rsidRPr="00292120">
              <w:rPr>
                <w:rFonts w:ascii="Arial" w:hAnsi="Arial" w:cs="Arial"/>
              </w:rPr>
              <w:t xml:space="preserve">An Early Re-entry Pathway may be nominated by the PBAC where the PBAC considers that the remaining issues could be easily resolved and the medicine or vaccine does not represent </w:t>
            </w:r>
            <w:r w:rsidR="003577EB" w:rsidRPr="00292120">
              <w:rPr>
                <w:rFonts w:ascii="Arial" w:hAnsi="Arial" w:cs="Arial"/>
                <w:color w:val="000000"/>
              </w:rPr>
              <w:t xml:space="preserve">High Added Therapeutic Value (HATV) </w:t>
            </w:r>
            <w:r w:rsidRPr="00292120">
              <w:rPr>
                <w:rFonts w:ascii="Arial" w:hAnsi="Arial" w:cs="Arial"/>
              </w:rPr>
              <w:t>for the proposed population. Applicants who accept this pathway are eligible for PBAC consideration at the immediate next meeting.</w:t>
            </w:r>
          </w:p>
        </w:tc>
      </w:tr>
      <w:tr w:rsidR="004A3371" w:rsidRPr="00292120" w14:paraId="1A2475F2"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292120" w:rsidRDefault="004A3371" w:rsidP="00BB57B7">
            <w:pPr>
              <w:rPr>
                <w:rFonts w:ascii="Arial" w:hAnsi="Arial" w:cs="Arial"/>
                <w:b/>
                <w:bCs/>
                <w:lang w:eastAsia="en-US"/>
              </w:rPr>
            </w:pPr>
            <w:r w:rsidRPr="00292120">
              <w:rPr>
                <w:rFonts w:ascii="Arial" w:hAnsi="Arial" w:cs="Arial"/>
                <w:b/>
                <w:bCs/>
              </w:rPr>
              <w:t>Early resolution pathway</w:t>
            </w:r>
          </w:p>
          <w:p w14:paraId="157D2C85" w14:textId="77777777" w:rsidR="004A3371" w:rsidRPr="00292120" w:rsidRDefault="004A3371" w:rsidP="00BB57B7">
            <w:pPr>
              <w:rPr>
                <w:rFonts w:ascii="Arial" w:hAnsi="Arial" w:cs="Arial"/>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61CC1928" w:rsidR="004A3371" w:rsidRPr="00292120" w:rsidRDefault="004A3371" w:rsidP="00BB57B7">
            <w:pPr>
              <w:autoSpaceDE w:val="0"/>
              <w:autoSpaceDN w:val="0"/>
              <w:rPr>
                <w:rFonts w:ascii="Arial" w:hAnsi="Arial" w:cs="Arial"/>
                <w:color w:val="000000"/>
              </w:rPr>
            </w:pPr>
            <w:r w:rsidRPr="00292120">
              <w:rPr>
                <w:rFonts w:ascii="Arial" w:hAnsi="Arial" w:cs="Arial"/>
                <w:color w:val="000000"/>
              </w:rPr>
              <w:t xml:space="preserve">For medicines or vaccines deemed by the PBAC to represent HATV AND where the PBAC considers that the remaining issues could be easily resolved, including when: </w:t>
            </w:r>
          </w:p>
          <w:p w14:paraId="6EC882B7" w14:textId="77777777" w:rsidR="004A3371" w:rsidRPr="00292120" w:rsidRDefault="004A3371" w:rsidP="00BB57B7">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new clinical study data requiring evaluation is not considered necessary by the PBAC to support new clinical claims to be made in the resubmission; and </w:t>
            </w:r>
          </w:p>
          <w:p w14:paraId="1D4B869E" w14:textId="77777777" w:rsidR="004A3371" w:rsidRPr="00292120" w:rsidRDefault="004A3371" w:rsidP="00BB57B7">
            <w:pPr>
              <w:pStyle w:val="ListParagraph"/>
              <w:numPr>
                <w:ilvl w:val="0"/>
                <w:numId w:val="2"/>
              </w:numPr>
              <w:autoSpaceDE w:val="0"/>
              <w:autoSpaceDN w:val="0"/>
              <w:contextualSpacing w:val="0"/>
              <w:rPr>
                <w:rFonts w:ascii="Arial" w:hAnsi="Arial" w:cs="Arial"/>
                <w:color w:val="000000"/>
                <w:sz w:val="20"/>
                <w:szCs w:val="20"/>
              </w:rPr>
            </w:pPr>
            <w:r w:rsidRPr="00292120">
              <w:rPr>
                <w:rFonts w:ascii="Arial" w:hAnsi="Arial" w:cs="Arial"/>
                <w:color w:val="000000"/>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69E6D69C" w:rsidR="004A3371" w:rsidRPr="00292120" w:rsidRDefault="004A3371" w:rsidP="00BB57B7">
            <w:pPr>
              <w:pStyle w:val="NormalWeb"/>
              <w:spacing w:before="0" w:beforeAutospacing="0" w:after="0" w:afterAutospacing="0"/>
              <w:rPr>
                <w:rFonts w:ascii="Arial" w:hAnsi="Arial" w:cs="Arial"/>
                <w:sz w:val="20"/>
                <w:szCs w:val="20"/>
              </w:rPr>
            </w:pPr>
            <w:r w:rsidRPr="00292120">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14:paraId="1CF59836" w14:textId="77777777" w:rsidTr="00A159CA">
        <w:trPr>
          <w:cantSplit/>
        </w:trPr>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292120" w:rsidRDefault="004A3371" w:rsidP="00BB57B7">
            <w:pPr>
              <w:rPr>
                <w:rFonts w:ascii="Arial" w:hAnsi="Arial" w:cs="Arial"/>
              </w:rPr>
            </w:pPr>
            <w:r w:rsidRPr="00292120">
              <w:rPr>
                <w:rFonts w:ascii="Arial" w:hAnsi="Arial" w:cs="Arial"/>
                <w:b/>
                <w:bCs/>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5899BA53" w:rsidR="004A3371" w:rsidRPr="00292120" w:rsidRDefault="004A3371" w:rsidP="00BB57B7">
            <w:pPr>
              <w:autoSpaceDE w:val="0"/>
              <w:autoSpaceDN w:val="0"/>
              <w:rPr>
                <w:rFonts w:ascii="Arial" w:hAnsi="Arial" w:cs="Arial"/>
                <w:b/>
                <w:bCs/>
                <w:highlight w:val="green"/>
              </w:rPr>
            </w:pPr>
            <w:r w:rsidRPr="00292120">
              <w:rPr>
                <w:rFonts w:ascii="Arial" w:hAnsi="Arial" w:cs="Arial"/>
                <w:color w:val="000000"/>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4F2BEE75" w:rsidR="00AD3477" w:rsidRPr="00292120" w:rsidRDefault="00AD3477" w:rsidP="00BB57B7">
      <w:pPr>
        <w:tabs>
          <w:tab w:val="left" w:pos="5210"/>
        </w:tabs>
        <w:rPr>
          <w:rFonts w:ascii="Arial" w:hAnsi="Arial" w:cs="Arial"/>
          <w:lang w:val="en-US"/>
        </w:rPr>
      </w:pPr>
    </w:p>
    <w:p w14:paraId="6C9BA0D5" w14:textId="77777777" w:rsidR="00461045" w:rsidRPr="00292120" w:rsidRDefault="00461045" w:rsidP="00BB57B7">
      <w:pPr>
        <w:tabs>
          <w:tab w:val="left" w:pos="5210"/>
        </w:tabs>
        <w:rPr>
          <w:rFonts w:ascii="Arial" w:hAnsi="Arial" w:cs="Arial"/>
          <w:lang w:val="en-US"/>
        </w:rPr>
      </w:pPr>
    </w:p>
    <w:sectPr w:rsidR="00461045" w:rsidRPr="0029212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80C6" w14:textId="77777777" w:rsidR="00204F68" w:rsidRDefault="00204F68">
      <w:r>
        <w:separator/>
      </w:r>
    </w:p>
  </w:endnote>
  <w:endnote w:type="continuationSeparator" w:id="0">
    <w:p w14:paraId="5C01A183" w14:textId="77777777" w:rsidR="00204F68" w:rsidRDefault="00204F68">
      <w:r>
        <w:continuationSeparator/>
      </w:r>
    </w:p>
  </w:endnote>
  <w:endnote w:type="continuationNotice" w:id="1">
    <w:p w14:paraId="5AA09674" w14:textId="77777777" w:rsidR="00204F68" w:rsidRDefault="0020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BF4F" w14:textId="77777777" w:rsidR="00A56E78" w:rsidRDefault="00A5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64BE" w14:textId="77777777" w:rsidR="00204F68" w:rsidRDefault="00204F68">
      <w:r>
        <w:separator/>
      </w:r>
    </w:p>
  </w:footnote>
  <w:footnote w:type="continuationSeparator" w:id="0">
    <w:p w14:paraId="5D329E66" w14:textId="77777777" w:rsidR="00204F68" w:rsidRDefault="00204F68">
      <w:r>
        <w:continuationSeparator/>
      </w:r>
    </w:p>
  </w:footnote>
  <w:footnote w:type="continuationNotice" w:id="1">
    <w:p w14:paraId="134F9765" w14:textId="77777777" w:rsidR="00204F68" w:rsidRDefault="0020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1C31" w14:textId="77777777" w:rsidR="00A56E78" w:rsidRDefault="00A5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4F8A55E1" w:rsidR="00E902E8" w:rsidRDefault="00A56E78" w:rsidP="00571206">
    <w:pPr>
      <w:pStyle w:val="Header"/>
      <w:jc w:val="center"/>
      <w:rPr>
        <w:rFonts w:ascii="Arial" w:hAnsi="Arial" w:cs="Arial"/>
        <w:b/>
      </w:rPr>
    </w:pPr>
    <w:r>
      <w:rPr>
        <w:rFonts w:ascii="Arial" w:hAnsi="Arial" w:cs="Arial"/>
        <w:b/>
      </w:rPr>
      <w:t xml:space="preserve">MARCH </w:t>
    </w:r>
    <w:r w:rsidR="00375520">
      <w:rPr>
        <w:rFonts w:ascii="Arial" w:hAnsi="Arial" w:cs="Arial"/>
        <w:b/>
      </w:rPr>
      <w:t>2024</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1157" w14:textId="77777777" w:rsidR="00A56E78" w:rsidRDefault="00A5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B6B67"/>
    <w:multiLevelType w:val="hybridMultilevel"/>
    <w:tmpl w:val="0720A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5"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6"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1"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33"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5"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6"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0"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49"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0"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45"/>
  </w:num>
  <w:num w:numId="4" w16cid:durableId="1955818708">
    <w:abstractNumId w:val="10"/>
  </w:num>
  <w:num w:numId="5" w16cid:durableId="1762793081">
    <w:abstractNumId w:val="15"/>
  </w:num>
  <w:num w:numId="6" w16cid:durableId="1063870176">
    <w:abstractNumId w:val="5"/>
  </w:num>
  <w:num w:numId="7" w16cid:durableId="17202420">
    <w:abstractNumId w:val="18"/>
  </w:num>
  <w:num w:numId="8" w16cid:durableId="1042025453">
    <w:abstractNumId w:val="38"/>
  </w:num>
  <w:num w:numId="9" w16cid:durableId="6538040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25"/>
  </w:num>
  <w:num w:numId="11" w16cid:durableId="1146433718">
    <w:abstractNumId w:val="12"/>
  </w:num>
  <w:num w:numId="12" w16cid:durableId="403258695">
    <w:abstractNumId w:val="51"/>
  </w:num>
  <w:num w:numId="13" w16cid:durableId="1862627038">
    <w:abstractNumId w:val="55"/>
  </w:num>
  <w:num w:numId="14" w16cid:durableId="1933540907">
    <w:abstractNumId w:val="16"/>
  </w:num>
  <w:num w:numId="15" w16cid:durableId="410933758">
    <w:abstractNumId w:val="23"/>
  </w:num>
  <w:num w:numId="16" w16cid:durableId="1277060000">
    <w:abstractNumId w:val="29"/>
  </w:num>
  <w:num w:numId="17" w16cid:durableId="932201648">
    <w:abstractNumId w:val="53"/>
  </w:num>
  <w:num w:numId="18" w16cid:durableId="871497882">
    <w:abstractNumId w:val="9"/>
  </w:num>
  <w:num w:numId="19" w16cid:durableId="2057124610">
    <w:abstractNumId w:val="44"/>
  </w:num>
  <w:num w:numId="20" w16cid:durableId="174879048">
    <w:abstractNumId w:val="22"/>
  </w:num>
  <w:num w:numId="21" w16cid:durableId="258415052">
    <w:abstractNumId w:val="43"/>
  </w:num>
  <w:num w:numId="22" w16cid:durableId="1753772491">
    <w:abstractNumId w:val="46"/>
  </w:num>
  <w:num w:numId="23" w16cid:durableId="701518877">
    <w:abstractNumId w:val="41"/>
  </w:num>
  <w:num w:numId="24" w16cid:durableId="1493136778">
    <w:abstractNumId w:val="27"/>
  </w:num>
  <w:num w:numId="25" w16cid:durableId="527648721">
    <w:abstractNumId w:val="7"/>
  </w:num>
  <w:num w:numId="26" w16cid:durableId="753933244">
    <w:abstractNumId w:val="36"/>
  </w:num>
  <w:num w:numId="27" w16cid:durableId="1139153049">
    <w:abstractNumId w:val="30"/>
  </w:num>
  <w:num w:numId="28" w16cid:durableId="699205066">
    <w:abstractNumId w:val="19"/>
  </w:num>
  <w:num w:numId="29" w16cid:durableId="1951667345">
    <w:abstractNumId w:val="6"/>
  </w:num>
  <w:num w:numId="30" w16cid:durableId="860750086">
    <w:abstractNumId w:val="40"/>
  </w:num>
  <w:num w:numId="31" w16cid:durableId="2092240650">
    <w:abstractNumId w:val="0"/>
  </w:num>
  <w:num w:numId="32" w16cid:durableId="20669193">
    <w:abstractNumId w:val="4"/>
  </w:num>
  <w:num w:numId="33" w16cid:durableId="602032988">
    <w:abstractNumId w:val="28"/>
  </w:num>
  <w:num w:numId="34" w16cid:durableId="795491393">
    <w:abstractNumId w:val="17"/>
  </w:num>
  <w:num w:numId="35" w16cid:durableId="1371421239">
    <w:abstractNumId w:val="50"/>
  </w:num>
  <w:num w:numId="36" w16cid:durableId="495536337">
    <w:abstractNumId w:val="54"/>
  </w:num>
  <w:num w:numId="37" w16cid:durableId="508719203">
    <w:abstractNumId w:val="13"/>
  </w:num>
  <w:num w:numId="38" w16cid:durableId="258568966">
    <w:abstractNumId w:val="24"/>
  </w:num>
  <w:num w:numId="39" w16cid:durableId="1399867477">
    <w:abstractNumId w:val="37"/>
  </w:num>
  <w:num w:numId="40" w16cid:durableId="1150096549">
    <w:abstractNumId w:val="47"/>
  </w:num>
  <w:num w:numId="41" w16cid:durableId="1847667302">
    <w:abstractNumId w:val="26"/>
  </w:num>
  <w:num w:numId="42" w16cid:durableId="1178958632">
    <w:abstractNumId w:val="52"/>
  </w:num>
  <w:num w:numId="43" w16cid:durableId="764303977">
    <w:abstractNumId w:val="31"/>
  </w:num>
  <w:num w:numId="44" w16cid:durableId="645934640">
    <w:abstractNumId w:val="3"/>
  </w:num>
  <w:num w:numId="45" w16cid:durableId="1871991393">
    <w:abstractNumId w:val="2"/>
  </w:num>
  <w:num w:numId="46" w16cid:durableId="1059479469">
    <w:abstractNumId w:val="21"/>
  </w:num>
  <w:num w:numId="47" w16cid:durableId="2069498770">
    <w:abstractNumId w:val="11"/>
  </w:num>
  <w:num w:numId="48" w16cid:durableId="722487997">
    <w:abstractNumId w:val="1"/>
  </w:num>
  <w:num w:numId="49" w16cid:durableId="1622765155">
    <w:abstractNumId w:val="42"/>
  </w:num>
  <w:num w:numId="50" w16cid:durableId="1981885625">
    <w:abstractNumId w:val="56"/>
  </w:num>
  <w:num w:numId="51" w16cid:durableId="1588225749">
    <w:abstractNumId w:val="33"/>
  </w:num>
  <w:num w:numId="52" w16cid:durableId="1233615601">
    <w:abstractNumId w:val="48"/>
  </w:num>
  <w:num w:numId="53" w16cid:durableId="1957903164">
    <w:abstractNumId w:val="14"/>
  </w:num>
  <w:num w:numId="54" w16cid:durableId="113528507">
    <w:abstractNumId w:val="49"/>
  </w:num>
  <w:num w:numId="55" w16cid:durableId="609044352">
    <w:abstractNumId w:val="39"/>
  </w:num>
  <w:num w:numId="56" w16cid:durableId="1704600303">
    <w:abstractNumId w:val="20"/>
  </w:num>
  <w:num w:numId="57" w16cid:durableId="1602568203">
    <w:abstractNumId w:val="32"/>
  </w:num>
  <w:num w:numId="58" w16cid:durableId="57366059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868"/>
    <w:rsid w:val="00002E16"/>
    <w:rsid w:val="00002E7D"/>
    <w:rsid w:val="0000304C"/>
    <w:rsid w:val="000034C3"/>
    <w:rsid w:val="00003584"/>
    <w:rsid w:val="00004628"/>
    <w:rsid w:val="0000462B"/>
    <w:rsid w:val="00004D33"/>
    <w:rsid w:val="00004D75"/>
    <w:rsid w:val="00004F9D"/>
    <w:rsid w:val="00005B5B"/>
    <w:rsid w:val="00005EC6"/>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394"/>
    <w:rsid w:val="00011420"/>
    <w:rsid w:val="0001152D"/>
    <w:rsid w:val="000118E3"/>
    <w:rsid w:val="00011EA7"/>
    <w:rsid w:val="000120D3"/>
    <w:rsid w:val="000129ED"/>
    <w:rsid w:val="00013284"/>
    <w:rsid w:val="0001362E"/>
    <w:rsid w:val="000136A0"/>
    <w:rsid w:val="00013785"/>
    <w:rsid w:val="00014746"/>
    <w:rsid w:val="00014B96"/>
    <w:rsid w:val="00014DC1"/>
    <w:rsid w:val="00014FF8"/>
    <w:rsid w:val="00015520"/>
    <w:rsid w:val="000155A7"/>
    <w:rsid w:val="00015748"/>
    <w:rsid w:val="00015DFE"/>
    <w:rsid w:val="00016092"/>
    <w:rsid w:val="0001617C"/>
    <w:rsid w:val="00016211"/>
    <w:rsid w:val="0001634D"/>
    <w:rsid w:val="00016386"/>
    <w:rsid w:val="00016707"/>
    <w:rsid w:val="00016F44"/>
    <w:rsid w:val="00017050"/>
    <w:rsid w:val="000171D6"/>
    <w:rsid w:val="00017870"/>
    <w:rsid w:val="000179CE"/>
    <w:rsid w:val="00017CDE"/>
    <w:rsid w:val="00020127"/>
    <w:rsid w:val="000210EB"/>
    <w:rsid w:val="00021B23"/>
    <w:rsid w:val="000220E8"/>
    <w:rsid w:val="00022361"/>
    <w:rsid w:val="000223D3"/>
    <w:rsid w:val="00022435"/>
    <w:rsid w:val="00022686"/>
    <w:rsid w:val="000228B1"/>
    <w:rsid w:val="00022BDB"/>
    <w:rsid w:val="00022BF5"/>
    <w:rsid w:val="0002300F"/>
    <w:rsid w:val="0002305C"/>
    <w:rsid w:val="00023228"/>
    <w:rsid w:val="000235A6"/>
    <w:rsid w:val="00023817"/>
    <w:rsid w:val="0002401C"/>
    <w:rsid w:val="00024248"/>
    <w:rsid w:val="000245BC"/>
    <w:rsid w:val="0002470A"/>
    <w:rsid w:val="00024CE2"/>
    <w:rsid w:val="0002564D"/>
    <w:rsid w:val="00025967"/>
    <w:rsid w:val="00025F56"/>
    <w:rsid w:val="00026187"/>
    <w:rsid w:val="00026954"/>
    <w:rsid w:val="0002716D"/>
    <w:rsid w:val="00027346"/>
    <w:rsid w:val="00027672"/>
    <w:rsid w:val="00027773"/>
    <w:rsid w:val="00027AB0"/>
    <w:rsid w:val="0003017D"/>
    <w:rsid w:val="00030320"/>
    <w:rsid w:val="00030887"/>
    <w:rsid w:val="00030A03"/>
    <w:rsid w:val="00030A49"/>
    <w:rsid w:val="000311AC"/>
    <w:rsid w:val="00031946"/>
    <w:rsid w:val="00032078"/>
    <w:rsid w:val="00032226"/>
    <w:rsid w:val="0003225B"/>
    <w:rsid w:val="000322EC"/>
    <w:rsid w:val="000324DA"/>
    <w:rsid w:val="00032AB9"/>
    <w:rsid w:val="00032CE5"/>
    <w:rsid w:val="00033AE2"/>
    <w:rsid w:val="00033D0B"/>
    <w:rsid w:val="00034086"/>
    <w:rsid w:val="00034121"/>
    <w:rsid w:val="00034321"/>
    <w:rsid w:val="00034AE8"/>
    <w:rsid w:val="000350A9"/>
    <w:rsid w:val="00035472"/>
    <w:rsid w:val="0003551E"/>
    <w:rsid w:val="00035622"/>
    <w:rsid w:val="00035C4A"/>
    <w:rsid w:val="00035CFA"/>
    <w:rsid w:val="00036501"/>
    <w:rsid w:val="00036531"/>
    <w:rsid w:val="000365B0"/>
    <w:rsid w:val="00036CF7"/>
    <w:rsid w:val="00037175"/>
    <w:rsid w:val="00037F52"/>
    <w:rsid w:val="0004019D"/>
    <w:rsid w:val="0004054A"/>
    <w:rsid w:val="000407E0"/>
    <w:rsid w:val="00041467"/>
    <w:rsid w:val="0004160D"/>
    <w:rsid w:val="00041F3D"/>
    <w:rsid w:val="0004257E"/>
    <w:rsid w:val="00042593"/>
    <w:rsid w:val="00042704"/>
    <w:rsid w:val="000428E8"/>
    <w:rsid w:val="00042970"/>
    <w:rsid w:val="000433CA"/>
    <w:rsid w:val="00043755"/>
    <w:rsid w:val="00043C1D"/>
    <w:rsid w:val="00044146"/>
    <w:rsid w:val="0004479C"/>
    <w:rsid w:val="00044BB4"/>
    <w:rsid w:val="00045450"/>
    <w:rsid w:val="00046725"/>
    <w:rsid w:val="000468C0"/>
    <w:rsid w:val="00046DA2"/>
    <w:rsid w:val="00050762"/>
    <w:rsid w:val="000507B9"/>
    <w:rsid w:val="00050DA9"/>
    <w:rsid w:val="0005132F"/>
    <w:rsid w:val="0005150B"/>
    <w:rsid w:val="00051AF5"/>
    <w:rsid w:val="00052E3F"/>
    <w:rsid w:val="000548C7"/>
    <w:rsid w:val="00054EA7"/>
    <w:rsid w:val="00055866"/>
    <w:rsid w:val="00055A01"/>
    <w:rsid w:val="000563D8"/>
    <w:rsid w:val="0005661F"/>
    <w:rsid w:val="00057006"/>
    <w:rsid w:val="000575B4"/>
    <w:rsid w:val="000601EA"/>
    <w:rsid w:val="000603CB"/>
    <w:rsid w:val="000605F9"/>
    <w:rsid w:val="0006084C"/>
    <w:rsid w:val="000608FE"/>
    <w:rsid w:val="00060E7B"/>
    <w:rsid w:val="000615B0"/>
    <w:rsid w:val="00061E01"/>
    <w:rsid w:val="0006239E"/>
    <w:rsid w:val="0006295A"/>
    <w:rsid w:val="00062DBE"/>
    <w:rsid w:val="00062EE7"/>
    <w:rsid w:val="00062F87"/>
    <w:rsid w:val="00062FEE"/>
    <w:rsid w:val="0006305A"/>
    <w:rsid w:val="00063210"/>
    <w:rsid w:val="0006357B"/>
    <w:rsid w:val="00063B11"/>
    <w:rsid w:val="00063D17"/>
    <w:rsid w:val="000643D0"/>
    <w:rsid w:val="000648E2"/>
    <w:rsid w:val="000650C3"/>
    <w:rsid w:val="00065195"/>
    <w:rsid w:val="00065C22"/>
    <w:rsid w:val="000666A9"/>
    <w:rsid w:val="000672D3"/>
    <w:rsid w:val="0006744F"/>
    <w:rsid w:val="00067A06"/>
    <w:rsid w:val="00067E91"/>
    <w:rsid w:val="00070204"/>
    <w:rsid w:val="00070612"/>
    <w:rsid w:val="0007061C"/>
    <w:rsid w:val="00071230"/>
    <w:rsid w:val="000714CE"/>
    <w:rsid w:val="00071D67"/>
    <w:rsid w:val="0007221C"/>
    <w:rsid w:val="00072584"/>
    <w:rsid w:val="000728AC"/>
    <w:rsid w:val="00072E3B"/>
    <w:rsid w:val="00072F02"/>
    <w:rsid w:val="00072F85"/>
    <w:rsid w:val="00073432"/>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27F9"/>
    <w:rsid w:val="00082A9D"/>
    <w:rsid w:val="00082ED9"/>
    <w:rsid w:val="000834C8"/>
    <w:rsid w:val="00083789"/>
    <w:rsid w:val="00083792"/>
    <w:rsid w:val="000839D5"/>
    <w:rsid w:val="00083A63"/>
    <w:rsid w:val="00083BE8"/>
    <w:rsid w:val="00083E6A"/>
    <w:rsid w:val="00084012"/>
    <w:rsid w:val="00084017"/>
    <w:rsid w:val="00084264"/>
    <w:rsid w:val="000842BB"/>
    <w:rsid w:val="00084B20"/>
    <w:rsid w:val="00084CED"/>
    <w:rsid w:val="00084D37"/>
    <w:rsid w:val="000855C9"/>
    <w:rsid w:val="0008574F"/>
    <w:rsid w:val="00085F9C"/>
    <w:rsid w:val="00086013"/>
    <w:rsid w:val="0008687E"/>
    <w:rsid w:val="000868A3"/>
    <w:rsid w:val="00086D66"/>
    <w:rsid w:val="000872FA"/>
    <w:rsid w:val="00090385"/>
    <w:rsid w:val="00090D21"/>
    <w:rsid w:val="00090E77"/>
    <w:rsid w:val="00090F42"/>
    <w:rsid w:val="00091262"/>
    <w:rsid w:val="00091269"/>
    <w:rsid w:val="00092523"/>
    <w:rsid w:val="0009260A"/>
    <w:rsid w:val="00093960"/>
    <w:rsid w:val="0009470A"/>
    <w:rsid w:val="00095C30"/>
    <w:rsid w:val="00096B9F"/>
    <w:rsid w:val="00096E39"/>
    <w:rsid w:val="000972AC"/>
    <w:rsid w:val="00097C0E"/>
    <w:rsid w:val="00097ED4"/>
    <w:rsid w:val="000A1E1C"/>
    <w:rsid w:val="000A2697"/>
    <w:rsid w:val="000A26EE"/>
    <w:rsid w:val="000A29FA"/>
    <w:rsid w:val="000A2A86"/>
    <w:rsid w:val="000A2C2D"/>
    <w:rsid w:val="000A2DE4"/>
    <w:rsid w:val="000A2DFF"/>
    <w:rsid w:val="000A2FEC"/>
    <w:rsid w:val="000A3BB7"/>
    <w:rsid w:val="000A418B"/>
    <w:rsid w:val="000A46FC"/>
    <w:rsid w:val="000A4955"/>
    <w:rsid w:val="000A570D"/>
    <w:rsid w:val="000A59CC"/>
    <w:rsid w:val="000A6103"/>
    <w:rsid w:val="000A64C7"/>
    <w:rsid w:val="000A7C8A"/>
    <w:rsid w:val="000A7F23"/>
    <w:rsid w:val="000B0C47"/>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5120"/>
    <w:rsid w:val="000B5B24"/>
    <w:rsid w:val="000B6487"/>
    <w:rsid w:val="000B6824"/>
    <w:rsid w:val="000B7528"/>
    <w:rsid w:val="000B771A"/>
    <w:rsid w:val="000B7A91"/>
    <w:rsid w:val="000B7F45"/>
    <w:rsid w:val="000C0211"/>
    <w:rsid w:val="000C040A"/>
    <w:rsid w:val="000C0497"/>
    <w:rsid w:val="000C0C31"/>
    <w:rsid w:val="000C0E21"/>
    <w:rsid w:val="000C147A"/>
    <w:rsid w:val="000C15DB"/>
    <w:rsid w:val="000C1A94"/>
    <w:rsid w:val="000C1BA1"/>
    <w:rsid w:val="000C219D"/>
    <w:rsid w:val="000C22B0"/>
    <w:rsid w:val="000C2786"/>
    <w:rsid w:val="000C2E72"/>
    <w:rsid w:val="000C2FFA"/>
    <w:rsid w:val="000C3369"/>
    <w:rsid w:val="000C339F"/>
    <w:rsid w:val="000C3428"/>
    <w:rsid w:val="000C3CAA"/>
    <w:rsid w:val="000C3F2C"/>
    <w:rsid w:val="000C45E3"/>
    <w:rsid w:val="000C4805"/>
    <w:rsid w:val="000C494F"/>
    <w:rsid w:val="000C545B"/>
    <w:rsid w:val="000C56B4"/>
    <w:rsid w:val="000C586F"/>
    <w:rsid w:val="000C5A78"/>
    <w:rsid w:val="000C5B48"/>
    <w:rsid w:val="000C661A"/>
    <w:rsid w:val="000C77A9"/>
    <w:rsid w:val="000D0D8B"/>
    <w:rsid w:val="000D14F1"/>
    <w:rsid w:val="000D17E0"/>
    <w:rsid w:val="000D1C61"/>
    <w:rsid w:val="000D20F2"/>
    <w:rsid w:val="000D2AFE"/>
    <w:rsid w:val="000D2D84"/>
    <w:rsid w:val="000D3190"/>
    <w:rsid w:val="000D3BC0"/>
    <w:rsid w:val="000D3ECA"/>
    <w:rsid w:val="000D418F"/>
    <w:rsid w:val="000D4551"/>
    <w:rsid w:val="000D53FC"/>
    <w:rsid w:val="000D5763"/>
    <w:rsid w:val="000D5D71"/>
    <w:rsid w:val="000D5EFB"/>
    <w:rsid w:val="000D6416"/>
    <w:rsid w:val="000D7005"/>
    <w:rsid w:val="000D79EB"/>
    <w:rsid w:val="000D7F3B"/>
    <w:rsid w:val="000E055E"/>
    <w:rsid w:val="000E08A5"/>
    <w:rsid w:val="000E0C55"/>
    <w:rsid w:val="000E1259"/>
    <w:rsid w:val="000E12D5"/>
    <w:rsid w:val="000E15F8"/>
    <w:rsid w:val="000E18FB"/>
    <w:rsid w:val="000E1E84"/>
    <w:rsid w:val="000E21D8"/>
    <w:rsid w:val="000E2360"/>
    <w:rsid w:val="000E2C73"/>
    <w:rsid w:val="000E2C8F"/>
    <w:rsid w:val="000E2EA3"/>
    <w:rsid w:val="000E31F7"/>
    <w:rsid w:val="000E4B3E"/>
    <w:rsid w:val="000E539F"/>
    <w:rsid w:val="000E5563"/>
    <w:rsid w:val="000E5739"/>
    <w:rsid w:val="000E58C5"/>
    <w:rsid w:val="000E6793"/>
    <w:rsid w:val="000E6CF9"/>
    <w:rsid w:val="000E7005"/>
    <w:rsid w:val="000E73BD"/>
    <w:rsid w:val="000E76F0"/>
    <w:rsid w:val="000F0297"/>
    <w:rsid w:val="000F069C"/>
    <w:rsid w:val="000F0A1A"/>
    <w:rsid w:val="000F0B27"/>
    <w:rsid w:val="000F0D4C"/>
    <w:rsid w:val="000F0D73"/>
    <w:rsid w:val="000F0DFC"/>
    <w:rsid w:val="000F14EE"/>
    <w:rsid w:val="000F18F2"/>
    <w:rsid w:val="000F1D4F"/>
    <w:rsid w:val="000F26BE"/>
    <w:rsid w:val="000F2E82"/>
    <w:rsid w:val="000F305F"/>
    <w:rsid w:val="000F3A4F"/>
    <w:rsid w:val="000F3D50"/>
    <w:rsid w:val="000F4952"/>
    <w:rsid w:val="000F5D35"/>
    <w:rsid w:val="000F5DDE"/>
    <w:rsid w:val="000F67B1"/>
    <w:rsid w:val="000F69EF"/>
    <w:rsid w:val="000F6F0D"/>
    <w:rsid w:val="000F71CE"/>
    <w:rsid w:val="000F7390"/>
    <w:rsid w:val="000F7D67"/>
    <w:rsid w:val="001000EA"/>
    <w:rsid w:val="00100A53"/>
    <w:rsid w:val="00100B0B"/>
    <w:rsid w:val="001025E7"/>
    <w:rsid w:val="0010275F"/>
    <w:rsid w:val="0010316E"/>
    <w:rsid w:val="001033CF"/>
    <w:rsid w:val="001038BB"/>
    <w:rsid w:val="00103F76"/>
    <w:rsid w:val="001049E3"/>
    <w:rsid w:val="00104C50"/>
    <w:rsid w:val="00105880"/>
    <w:rsid w:val="001067CF"/>
    <w:rsid w:val="00107038"/>
    <w:rsid w:val="00107219"/>
    <w:rsid w:val="001074AC"/>
    <w:rsid w:val="00107D47"/>
    <w:rsid w:val="001101E1"/>
    <w:rsid w:val="00110379"/>
    <w:rsid w:val="001103CF"/>
    <w:rsid w:val="00111F4C"/>
    <w:rsid w:val="00112358"/>
    <w:rsid w:val="00112561"/>
    <w:rsid w:val="001129E8"/>
    <w:rsid w:val="00112BA9"/>
    <w:rsid w:val="0011385A"/>
    <w:rsid w:val="00113C3D"/>
    <w:rsid w:val="00113C76"/>
    <w:rsid w:val="00114588"/>
    <w:rsid w:val="001149B9"/>
    <w:rsid w:val="00114A58"/>
    <w:rsid w:val="00114D12"/>
    <w:rsid w:val="00115257"/>
    <w:rsid w:val="00115629"/>
    <w:rsid w:val="001158B6"/>
    <w:rsid w:val="00115B67"/>
    <w:rsid w:val="00115C32"/>
    <w:rsid w:val="0011605A"/>
    <w:rsid w:val="00116222"/>
    <w:rsid w:val="001165DD"/>
    <w:rsid w:val="001171CB"/>
    <w:rsid w:val="00117210"/>
    <w:rsid w:val="0011744C"/>
    <w:rsid w:val="00117AF4"/>
    <w:rsid w:val="00120070"/>
    <w:rsid w:val="00120A89"/>
    <w:rsid w:val="00120F0F"/>
    <w:rsid w:val="00120FAC"/>
    <w:rsid w:val="00121311"/>
    <w:rsid w:val="00121A8E"/>
    <w:rsid w:val="00121BF6"/>
    <w:rsid w:val="00122A1C"/>
    <w:rsid w:val="00123872"/>
    <w:rsid w:val="001242F1"/>
    <w:rsid w:val="00124585"/>
    <w:rsid w:val="00124D80"/>
    <w:rsid w:val="00125074"/>
    <w:rsid w:val="00125CB8"/>
    <w:rsid w:val="001261A9"/>
    <w:rsid w:val="001267DB"/>
    <w:rsid w:val="001275A6"/>
    <w:rsid w:val="001276FB"/>
    <w:rsid w:val="00130019"/>
    <w:rsid w:val="00130C57"/>
    <w:rsid w:val="00130D30"/>
    <w:rsid w:val="0013141F"/>
    <w:rsid w:val="001317E4"/>
    <w:rsid w:val="00131CB1"/>
    <w:rsid w:val="00131D1A"/>
    <w:rsid w:val="00132052"/>
    <w:rsid w:val="0013211B"/>
    <w:rsid w:val="0013270B"/>
    <w:rsid w:val="001329B7"/>
    <w:rsid w:val="00132A3A"/>
    <w:rsid w:val="00132DAB"/>
    <w:rsid w:val="00132FA5"/>
    <w:rsid w:val="001334F9"/>
    <w:rsid w:val="001335DA"/>
    <w:rsid w:val="00133B4C"/>
    <w:rsid w:val="00133D7F"/>
    <w:rsid w:val="00133E15"/>
    <w:rsid w:val="00134057"/>
    <w:rsid w:val="001345C4"/>
    <w:rsid w:val="00134ECB"/>
    <w:rsid w:val="00134F08"/>
    <w:rsid w:val="001357A1"/>
    <w:rsid w:val="00135E47"/>
    <w:rsid w:val="001362A6"/>
    <w:rsid w:val="00136B3F"/>
    <w:rsid w:val="00136DF8"/>
    <w:rsid w:val="0013745F"/>
    <w:rsid w:val="001374F4"/>
    <w:rsid w:val="00137894"/>
    <w:rsid w:val="00137CB8"/>
    <w:rsid w:val="00140035"/>
    <w:rsid w:val="00140465"/>
    <w:rsid w:val="00140E09"/>
    <w:rsid w:val="0014101A"/>
    <w:rsid w:val="0014142D"/>
    <w:rsid w:val="0014148A"/>
    <w:rsid w:val="00141FEB"/>
    <w:rsid w:val="00142347"/>
    <w:rsid w:val="001426D3"/>
    <w:rsid w:val="00142EED"/>
    <w:rsid w:val="00143743"/>
    <w:rsid w:val="001437D5"/>
    <w:rsid w:val="00143E66"/>
    <w:rsid w:val="00143EB0"/>
    <w:rsid w:val="00143FEE"/>
    <w:rsid w:val="0014495D"/>
    <w:rsid w:val="00144CCA"/>
    <w:rsid w:val="00145D66"/>
    <w:rsid w:val="00146059"/>
    <w:rsid w:val="00146A19"/>
    <w:rsid w:val="00146F0E"/>
    <w:rsid w:val="0014776D"/>
    <w:rsid w:val="00147845"/>
    <w:rsid w:val="00147FC1"/>
    <w:rsid w:val="001500C8"/>
    <w:rsid w:val="001502B0"/>
    <w:rsid w:val="00150381"/>
    <w:rsid w:val="0015080E"/>
    <w:rsid w:val="0015100D"/>
    <w:rsid w:val="001511D3"/>
    <w:rsid w:val="00151705"/>
    <w:rsid w:val="00151C88"/>
    <w:rsid w:val="00151D35"/>
    <w:rsid w:val="00152387"/>
    <w:rsid w:val="00152A0C"/>
    <w:rsid w:val="00153424"/>
    <w:rsid w:val="0015377C"/>
    <w:rsid w:val="00153C15"/>
    <w:rsid w:val="00153EE1"/>
    <w:rsid w:val="0015402E"/>
    <w:rsid w:val="00154524"/>
    <w:rsid w:val="001546E8"/>
    <w:rsid w:val="00154828"/>
    <w:rsid w:val="0015484C"/>
    <w:rsid w:val="00155698"/>
    <w:rsid w:val="00155809"/>
    <w:rsid w:val="00155BC9"/>
    <w:rsid w:val="00155C11"/>
    <w:rsid w:val="00157509"/>
    <w:rsid w:val="00157D22"/>
    <w:rsid w:val="00157F62"/>
    <w:rsid w:val="001600EB"/>
    <w:rsid w:val="00160327"/>
    <w:rsid w:val="00160423"/>
    <w:rsid w:val="00160AB7"/>
    <w:rsid w:val="00161177"/>
    <w:rsid w:val="00161841"/>
    <w:rsid w:val="00161C25"/>
    <w:rsid w:val="00161CC6"/>
    <w:rsid w:val="00161CD7"/>
    <w:rsid w:val="001628AD"/>
    <w:rsid w:val="0016312E"/>
    <w:rsid w:val="00163182"/>
    <w:rsid w:val="0016341E"/>
    <w:rsid w:val="001634CE"/>
    <w:rsid w:val="00163694"/>
    <w:rsid w:val="0016414D"/>
    <w:rsid w:val="00164303"/>
    <w:rsid w:val="00164617"/>
    <w:rsid w:val="00164D3D"/>
    <w:rsid w:val="00164EA4"/>
    <w:rsid w:val="001654A9"/>
    <w:rsid w:val="00165A05"/>
    <w:rsid w:val="00165E5D"/>
    <w:rsid w:val="00166297"/>
    <w:rsid w:val="001663D5"/>
    <w:rsid w:val="0016683E"/>
    <w:rsid w:val="00166F24"/>
    <w:rsid w:val="00167277"/>
    <w:rsid w:val="00167AC7"/>
    <w:rsid w:val="00170573"/>
    <w:rsid w:val="001707C4"/>
    <w:rsid w:val="001711A9"/>
    <w:rsid w:val="001712DE"/>
    <w:rsid w:val="00171570"/>
    <w:rsid w:val="00171DC1"/>
    <w:rsid w:val="00171E1D"/>
    <w:rsid w:val="00171EF7"/>
    <w:rsid w:val="00172EAB"/>
    <w:rsid w:val="00174067"/>
    <w:rsid w:val="0017449B"/>
    <w:rsid w:val="00174944"/>
    <w:rsid w:val="00175139"/>
    <w:rsid w:val="00175BA1"/>
    <w:rsid w:val="00176067"/>
    <w:rsid w:val="00176100"/>
    <w:rsid w:val="00176645"/>
    <w:rsid w:val="001766A8"/>
    <w:rsid w:val="0017687A"/>
    <w:rsid w:val="00176E59"/>
    <w:rsid w:val="001772D4"/>
    <w:rsid w:val="001772F0"/>
    <w:rsid w:val="0017743E"/>
    <w:rsid w:val="00177845"/>
    <w:rsid w:val="00180261"/>
    <w:rsid w:val="001806A2"/>
    <w:rsid w:val="001807A5"/>
    <w:rsid w:val="00180A1D"/>
    <w:rsid w:val="001810C8"/>
    <w:rsid w:val="001812AE"/>
    <w:rsid w:val="001820AF"/>
    <w:rsid w:val="0018238C"/>
    <w:rsid w:val="00182E45"/>
    <w:rsid w:val="00183DEE"/>
    <w:rsid w:val="0018419E"/>
    <w:rsid w:val="001849E7"/>
    <w:rsid w:val="00184DA1"/>
    <w:rsid w:val="00184E8A"/>
    <w:rsid w:val="0018519A"/>
    <w:rsid w:val="00185571"/>
    <w:rsid w:val="00185989"/>
    <w:rsid w:val="00190272"/>
    <w:rsid w:val="00190B36"/>
    <w:rsid w:val="00190B9C"/>
    <w:rsid w:val="00190D52"/>
    <w:rsid w:val="00190E20"/>
    <w:rsid w:val="0019138B"/>
    <w:rsid w:val="001919D3"/>
    <w:rsid w:val="001925E9"/>
    <w:rsid w:val="00192900"/>
    <w:rsid w:val="00192D91"/>
    <w:rsid w:val="00192F48"/>
    <w:rsid w:val="0019395E"/>
    <w:rsid w:val="00193C35"/>
    <w:rsid w:val="0019441C"/>
    <w:rsid w:val="001950D9"/>
    <w:rsid w:val="00195379"/>
    <w:rsid w:val="00195430"/>
    <w:rsid w:val="00195A6E"/>
    <w:rsid w:val="00196144"/>
    <w:rsid w:val="00196284"/>
    <w:rsid w:val="00196644"/>
    <w:rsid w:val="001971B1"/>
    <w:rsid w:val="001971EA"/>
    <w:rsid w:val="001976B3"/>
    <w:rsid w:val="00197975"/>
    <w:rsid w:val="001A0295"/>
    <w:rsid w:val="001A0765"/>
    <w:rsid w:val="001A0DC8"/>
    <w:rsid w:val="001A0F43"/>
    <w:rsid w:val="001A110B"/>
    <w:rsid w:val="001A14F5"/>
    <w:rsid w:val="001A1777"/>
    <w:rsid w:val="001A1A8A"/>
    <w:rsid w:val="001A2649"/>
    <w:rsid w:val="001A307D"/>
    <w:rsid w:val="001A3986"/>
    <w:rsid w:val="001A3E19"/>
    <w:rsid w:val="001A4242"/>
    <w:rsid w:val="001A48FD"/>
    <w:rsid w:val="001A63A3"/>
    <w:rsid w:val="001A6A97"/>
    <w:rsid w:val="001A6DEF"/>
    <w:rsid w:val="001A7A6A"/>
    <w:rsid w:val="001A7A87"/>
    <w:rsid w:val="001B049D"/>
    <w:rsid w:val="001B04E4"/>
    <w:rsid w:val="001B0553"/>
    <w:rsid w:val="001B0636"/>
    <w:rsid w:val="001B1577"/>
    <w:rsid w:val="001B15BA"/>
    <w:rsid w:val="001B16C3"/>
    <w:rsid w:val="001B1838"/>
    <w:rsid w:val="001B1C15"/>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40"/>
    <w:rsid w:val="001C3AAA"/>
    <w:rsid w:val="001C3D80"/>
    <w:rsid w:val="001C4100"/>
    <w:rsid w:val="001C41DA"/>
    <w:rsid w:val="001C43B3"/>
    <w:rsid w:val="001C4834"/>
    <w:rsid w:val="001C4C95"/>
    <w:rsid w:val="001C4FF2"/>
    <w:rsid w:val="001C5BA6"/>
    <w:rsid w:val="001C5EAD"/>
    <w:rsid w:val="001C68B6"/>
    <w:rsid w:val="001D0229"/>
    <w:rsid w:val="001D028A"/>
    <w:rsid w:val="001D0868"/>
    <w:rsid w:val="001D1636"/>
    <w:rsid w:val="001D181F"/>
    <w:rsid w:val="001D2755"/>
    <w:rsid w:val="001D2F4D"/>
    <w:rsid w:val="001D30A0"/>
    <w:rsid w:val="001D3816"/>
    <w:rsid w:val="001D39E8"/>
    <w:rsid w:val="001D4075"/>
    <w:rsid w:val="001D4E5E"/>
    <w:rsid w:val="001D548F"/>
    <w:rsid w:val="001D5714"/>
    <w:rsid w:val="001D600F"/>
    <w:rsid w:val="001D6843"/>
    <w:rsid w:val="001D7641"/>
    <w:rsid w:val="001D79BC"/>
    <w:rsid w:val="001E0221"/>
    <w:rsid w:val="001E0711"/>
    <w:rsid w:val="001E092F"/>
    <w:rsid w:val="001E0947"/>
    <w:rsid w:val="001E152C"/>
    <w:rsid w:val="001E17F9"/>
    <w:rsid w:val="001E1ABD"/>
    <w:rsid w:val="001E24EA"/>
    <w:rsid w:val="001E25FF"/>
    <w:rsid w:val="001E2CF5"/>
    <w:rsid w:val="001E35D6"/>
    <w:rsid w:val="001E3B0A"/>
    <w:rsid w:val="001E411C"/>
    <w:rsid w:val="001E5979"/>
    <w:rsid w:val="001E5C38"/>
    <w:rsid w:val="001E6EC5"/>
    <w:rsid w:val="001E70C9"/>
    <w:rsid w:val="001E776D"/>
    <w:rsid w:val="001E777A"/>
    <w:rsid w:val="001E77D9"/>
    <w:rsid w:val="001E79E9"/>
    <w:rsid w:val="001E7D4E"/>
    <w:rsid w:val="001F0D67"/>
    <w:rsid w:val="001F1A00"/>
    <w:rsid w:val="001F1B8A"/>
    <w:rsid w:val="001F2058"/>
    <w:rsid w:val="001F23BC"/>
    <w:rsid w:val="001F29C8"/>
    <w:rsid w:val="001F2E04"/>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0673"/>
    <w:rsid w:val="002010D3"/>
    <w:rsid w:val="00201311"/>
    <w:rsid w:val="002017E3"/>
    <w:rsid w:val="00201885"/>
    <w:rsid w:val="002024B2"/>
    <w:rsid w:val="002028FF"/>
    <w:rsid w:val="0020322B"/>
    <w:rsid w:val="002032C8"/>
    <w:rsid w:val="00203A75"/>
    <w:rsid w:val="0020409B"/>
    <w:rsid w:val="00204875"/>
    <w:rsid w:val="00204F68"/>
    <w:rsid w:val="00205337"/>
    <w:rsid w:val="00205C7C"/>
    <w:rsid w:val="002060A5"/>
    <w:rsid w:val="0020622C"/>
    <w:rsid w:val="002068F5"/>
    <w:rsid w:val="002070E4"/>
    <w:rsid w:val="002070E6"/>
    <w:rsid w:val="002071F1"/>
    <w:rsid w:val="0020721C"/>
    <w:rsid w:val="002072C3"/>
    <w:rsid w:val="002077A1"/>
    <w:rsid w:val="00207813"/>
    <w:rsid w:val="0020790A"/>
    <w:rsid w:val="00207C47"/>
    <w:rsid w:val="00207E86"/>
    <w:rsid w:val="00210594"/>
    <w:rsid w:val="00210F65"/>
    <w:rsid w:val="002114F0"/>
    <w:rsid w:val="00212939"/>
    <w:rsid w:val="002129AB"/>
    <w:rsid w:val="00212B8B"/>
    <w:rsid w:val="00213388"/>
    <w:rsid w:val="002133B8"/>
    <w:rsid w:val="0021371C"/>
    <w:rsid w:val="002139E7"/>
    <w:rsid w:val="00213C4D"/>
    <w:rsid w:val="00213C5E"/>
    <w:rsid w:val="00213F04"/>
    <w:rsid w:val="002144A1"/>
    <w:rsid w:val="002147A6"/>
    <w:rsid w:val="00214D4B"/>
    <w:rsid w:val="00214DAE"/>
    <w:rsid w:val="00215739"/>
    <w:rsid w:val="002157B5"/>
    <w:rsid w:val="0021638C"/>
    <w:rsid w:val="00216869"/>
    <w:rsid w:val="0021720D"/>
    <w:rsid w:val="00217D17"/>
    <w:rsid w:val="0022016A"/>
    <w:rsid w:val="00220F03"/>
    <w:rsid w:val="00221057"/>
    <w:rsid w:val="002212CB"/>
    <w:rsid w:val="00221B4C"/>
    <w:rsid w:val="00222077"/>
    <w:rsid w:val="002226A9"/>
    <w:rsid w:val="0022277E"/>
    <w:rsid w:val="00223034"/>
    <w:rsid w:val="002234F2"/>
    <w:rsid w:val="00223614"/>
    <w:rsid w:val="002238E6"/>
    <w:rsid w:val="00225CB8"/>
    <w:rsid w:val="00226E88"/>
    <w:rsid w:val="00226F8B"/>
    <w:rsid w:val="0022715D"/>
    <w:rsid w:val="0023053A"/>
    <w:rsid w:val="00230AF7"/>
    <w:rsid w:val="00230B76"/>
    <w:rsid w:val="00230BA9"/>
    <w:rsid w:val="00231068"/>
    <w:rsid w:val="00231F8F"/>
    <w:rsid w:val="0023358A"/>
    <w:rsid w:val="0023444B"/>
    <w:rsid w:val="00234DBA"/>
    <w:rsid w:val="00234FCD"/>
    <w:rsid w:val="00234FD9"/>
    <w:rsid w:val="0023596F"/>
    <w:rsid w:val="00236374"/>
    <w:rsid w:val="00236F49"/>
    <w:rsid w:val="00237E07"/>
    <w:rsid w:val="00237F8D"/>
    <w:rsid w:val="002400A1"/>
    <w:rsid w:val="00240222"/>
    <w:rsid w:val="002410D8"/>
    <w:rsid w:val="002411C9"/>
    <w:rsid w:val="0024218B"/>
    <w:rsid w:val="002425FE"/>
    <w:rsid w:val="00242CD9"/>
    <w:rsid w:val="0024349D"/>
    <w:rsid w:val="00243967"/>
    <w:rsid w:val="002440F8"/>
    <w:rsid w:val="0024424C"/>
    <w:rsid w:val="002444C2"/>
    <w:rsid w:val="00244BE9"/>
    <w:rsid w:val="0024530D"/>
    <w:rsid w:val="00245A74"/>
    <w:rsid w:val="00246A8F"/>
    <w:rsid w:val="0024723D"/>
    <w:rsid w:val="0024727D"/>
    <w:rsid w:val="0024736F"/>
    <w:rsid w:val="002475AF"/>
    <w:rsid w:val="00247783"/>
    <w:rsid w:val="0025050D"/>
    <w:rsid w:val="00250912"/>
    <w:rsid w:val="00250DBA"/>
    <w:rsid w:val="00251087"/>
    <w:rsid w:val="00251294"/>
    <w:rsid w:val="002518F5"/>
    <w:rsid w:val="00251AD5"/>
    <w:rsid w:val="00251E7D"/>
    <w:rsid w:val="002523E5"/>
    <w:rsid w:val="00253058"/>
    <w:rsid w:val="00253764"/>
    <w:rsid w:val="0025420C"/>
    <w:rsid w:val="002550D8"/>
    <w:rsid w:val="00255896"/>
    <w:rsid w:val="00256078"/>
    <w:rsid w:val="002564FB"/>
    <w:rsid w:val="00256907"/>
    <w:rsid w:val="00257387"/>
    <w:rsid w:val="00257615"/>
    <w:rsid w:val="00257660"/>
    <w:rsid w:val="00257EB8"/>
    <w:rsid w:val="0026049B"/>
    <w:rsid w:val="00260EFA"/>
    <w:rsid w:val="00261377"/>
    <w:rsid w:val="00261714"/>
    <w:rsid w:val="00261D8F"/>
    <w:rsid w:val="00261EFF"/>
    <w:rsid w:val="00262160"/>
    <w:rsid w:val="00262814"/>
    <w:rsid w:val="002629E0"/>
    <w:rsid w:val="00262A95"/>
    <w:rsid w:val="00262E2E"/>
    <w:rsid w:val="00263457"/>
    <w:rsid w:val="00263727"/>
    <w:rsid w:val="00263EF4"/>
    <w:rsid w:val="00264650"/>
    <w:rsid w:val="00264A64"/>
    <w:rsid w:val="00265312"/>
    <w:rsid w:val="00265FE9"/>
    <w:rsid w:val="00266D5F"/>
    <w:rsid w:val="00266F46"/>
    <w:rsid w:val="0026773E"/>
    <w:rsid w:val="00267F1F"/>
    <w:rsid w:val="0027062D"/>
    <w:rsid w:val="00271BEB"/>
    <w:rsid w:val="0027218C"/>
    <w:rsid w:val="002723FD"/>
    <w:rsid w:val="00272E01"/>
    <w:rsid w:val="00272F1D"/>
    <w:rsid w:val="00273015"/>
    <w:rsid w:val="00273042"/>
    <w:rsid w:val="0027463A"/>
    <w:rsid w:val="00274815"/>
    <w:rsid w:val="0027487A"/>
    <w:rsid w:val="00274D0D"/>
    <w:rsid w:val="00274D8B"/>
    <w:rsid w:val="00275318"/>
    <w:rsid w:val="00275FB7"/>
    <w:rsid w:val="00276041"/>
    <w:rsid w:val="002766B0"/>
    <w:rsid w:val="00277572"/>
    <w:rsid w:val="00277812"/>
    <w:rsid w:val="00277AA7"/>
    <w:rsid w:val="002802A1"/>
    <w:rsid w:val="002803B8"/>
    <w:rsid w:val="002808CA"/>
    <w:rsid w:val="00280926"/>
    <w:rsid w:val="00281269"/>
    <w:rsid w:val="00281922"/>
    <w:rsid w:val="00281B0A"/>
    <w:rsid w:val="0028257E"/>
    <w:rsid w:val="00282CDE"/>
    <w:rsid w:val="00282D03"/>
    <w:rsid w:val="00283073"/>
    <w:rsid w:val="0028348A"/>
    <w:rsid w:val="00283C7F"/>
    <w:rsid w:val="00284142"/>
    <w:rsid w:val="0028456B"/>
    <w:rsid w:val="00284579"/>
    <w:rsid w:val="00285478"/>
    <w:rsid w:val="00285792"/>
    <w:rsid w:val="0028663C"/>
    <w:rsid w:val="00287C89"/>
    <w:rsid w:val="002905B5"/>
    <w:rsid w:val="002911D8"/>
    <w:rsid w:val="00292120"/>
    <w:rsid w:val="0029294F"/>
    <w:rsid w:val="00293203"/>
    <w:rsid w:val="0029322C"/>
    <w:rsid w:val="0029329A"/>
    <w:rsid w:val="00293A15"/>
    <w:rsid w:val="00293D58"/>
    <w:rsid w:val="00294048"/>
    <w:rsid w:val="00295693"/>
    <w:rsid w:val="002960C3"/>
    <w:rsid w:val="00296781"/>
    <w:rsid w:val="002969C0"/>
    <w:rsid w:val="0029707F"/>
    <w:rsid w:val="002972D4"/>
    <w:rsid w:val="002978B6"/>
    <w:rsid w:val="002979D2"/>
    <w:rsid w:val="002979E1"/>
    <w:rsid w:val="00297AEF"/>
    <w:rsid w:val="00297F02"/>
    <w:rsid w:val="002A06E1"/>
    <w:rsid w:val="002A0D05"/>
    <w:rsid w:val="002A1520"/>
    <w:rsid w:val="002A21E8"/>
    <w:rsid w:val="002A2863"/>
    <w:rsid w:val="002A29B6"/>
    <w:rsid w:val="002A2DC2"/>
    <w:rsid w:val="002A3220"/>
    <w:rsid w:val="002A3596"/>
    <w:rsid w:val="002A37BE"/>
    <w:rsid w:val="002A3AA9"/>
    <w:rsid w:val="002A570E"/>
    <w:rsid w:val="002A58F4"/>
    <w:rsid w:val="002A5AA2"/>
    <w:rsid w:val="002A5C85"/>
    <w:rsid w:val="002A5C87"/>
    <w:rsid w:val="002A5D50"/>
    <w:rsid w:val="002A5DE5"/>
    <w:rsid w:val="002A6503"/>
    <w:rsid w:val="002A659A"/>
    <w:rsid w:val="002A7542"/>
    <w:rsid w:val="002A7BE8"/>
    <w:rsid w:val="002B0474"/>
    <w:rsid w:val="002B04C5"/>
    <w:rsid w:val="002B0687"/>
    <w:rsid w:val="002B09C6"/>
    <w:rsid w:val="002B0C43"/>
    <w:rsid w:val="002B0F52"/>
    <w:rsid w:val="002B1071"/>
    <w:rsid w:val="002B129B"/>
    <w:rsid w:val="002B1ABF"/>
    <w:rsid w:val="002B1B49"/>
    <w:rsid w:val="002B1C33"/>
    <w:rsid w:val="002B29E2"/>
    <w:rsid w:val="002B2C11"/>
    <w:rsid w:val="002B3708"/>
    <w:rsid w:val="002B4D46"/>
    <w:rsid w:val="002B4FB2"/>
    <w:rsid w:val="002B5625"/>
    <w:rsid w:val="002B5F9C"/>
    <w:rsid w:val="002B6147"/>
    <w:rsid w:val="002B6282"/>
    <w:rsid w:val="002B6BB5"/>
    <w:rsid w:val="002B7E81"/>
    <w:rsid w:val="002B7F98"/>
    <w:rsid w:val="002C0170"/>
    <w:rsid w:val="002C0B1F"/>
    <w:rsid w:val="002C0E18"/>
    <w:rsid w:val="002C180D"/>
    <w:rsid w:val="002C1F7B"/>
    <w:rsid w:val="002C2427"/>
    <w:rsid w:val="002C2773"/>
    <w:rsid w:val="002C2A4F"/>
    <w:rsid w:val="002C2A5F"/>
    <w:rsid w:val="002C3502"/>
    <w:rsid w:val="002C35B9"/>
    <w:rsid w:val="002C397B"/>
    <w:rsid w:val="002C3B01"/>
    <w:rsid w:val="002C3BA0"/>
    <w:rsid w:val="002C436C"/>
    <w:rsid w:val="002C47C4"/>
    <w:rsid w:val="002C5B67"/>
    <w:rsid w:val="002C5CD2"/>
    <w:rsid w:val="002C65DE"/>
    <w:rsid w:val="002C6BD4"/>
    <w:rsid w:val="002C6D72"/>
    <w:rsid w:val="002C6E41"/>
    <w:rsid w:val="002C748E"/>
    <w:rsid w:val="002C7BFF"/>
    <w:rsid w:val="002C7D3C"/>
    <w:rsid w:val="002D01E4"/>
    <w:rsid w:val="002D04DB"/>
    <w:rsid w:val="002D0DDF"/>
    <w:rsid w:val="002D17A5"/>
    <w:rsid w:val="002D1AC7"/>
    <w:rsid w:val="002D1D54"/>
    <w:rsid w:val="002D2926"/>
    <w:rsid w:val="002D347E"/>
    <w:rsid w:val="002D37D6"/>
    <w:rsid w:val="002D3C72"/>
    <w:rsid w:val="002D3D17"/>
    <w:rsid w:val="002D3DB2"/>
    <w:rsid w:val="002D42A0"/>
    <w:rsid w:val="002D43E8"/>
    <w:rsid w:val="002D440D"/>
    <w:rsid w:val="002D4C8C"/>
    <w:rsid w:val="002D4EF6"/>
    <w:rsid w:val="002D5367"/>
    <w:rsid w:val="002D545A"/>
    <w:rsid w:val="002D550B"/>
    <w:rsid w:val="002D59E5"/>
    <w:rsid w:val="002D5C23"/>
    <w:rsid w:val="002D5CBC"/>
    <w:rsid w:val="002D5DC3"/>
    <w:rsid w:val="002D6635"/>
    <w:rsid w:val="002D6B4D"/>
    <w:rsid w:val="002D759A"/>
    <w:rsid w:val="002D774E"/>
    <w:rsid w:val="002E0FD6"/>
    <w:rsid w:val="002E1388"/>
    <w:rsid w:val="002E13B3"/>
    <w:rsid w:val="002E16E6"/>
    <w:rsid w:val="002E17C5"/>
    <w:rsid w:val="002E1AD3"/>
    <w:rsid w:val="002E1B83"/>
    <w:rsid w:val="002E1C1F"/>
    <w:rsid w:val="002E2688"/>
    <w:rsid w:val="002E28A0"/>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6BF6"/>
    <w:rsid w:val="002E6D48"/>
    <w:rsid w:val="002E7003"/>
    <w:rsid w:val="002E736D"/>
    <w:rsid w:val="002E78AC"/>
    <w:rsid w:val="002F0875"/>
    <w:rsid w:val="002F0884"/>
    <w:rsid w:val="002F1A5B"/>
    <w:rsid w:val="002F1B87"/>
    <w:rsid w:val="002F1C7E"/>
    <w:rsid w:val="002F2228"/>
    <w:rsid w:val="002F3470"/>
    <w:rsid w:val="002F3532"/>
    <w:rsid w:val="002F3A0F"/>
    <w:rsid w:val="002F4CA2"/>
    <w:rsid w:val="002F51B3"/>
    <w:rsid w:val="002F527B"/>
    <w:rsid w:val="002F5306"/>
    <w:rsid w:val="002F5570"/>
    <w:rsid w:val="002F55A4"/>
    <w:rsid w:val="002F5792"/>
    <w:rsid w:val="002F5C9A"/>
    <w:rsid w:val="002F6157"/>
    <w:rsid w:val="002F6254"/>
    <w:rsid w:val="002F6432"/>
    <w:rsid w:val="002F64A0"/>
    <w:rsid w:val="002F69EB"/>
    <w:rsid w:val="002F6A64"/>
    <w:rsid w:val="002F6D11"/>
    <w:rsid w:val="002F6FC4"/>
    <w:rsid w:val="002F7255"/>
    <w:rsid w:val="002F7D6F"/>
    <w:rsid w:val="00300450"/>
    <w:rsid w:val="003005AA"/>
    <w:rsid w:val="0030078C"/>
    <w:rsid w:val="00300E4E"/>
    <w:rsid w:val="00300EA5"/>
    <w:rsid w:val="00301004"/>
    <w:rsid w:val="0030148D"/>
    <w:rsid w:val="003022B8"/>
    <w:rsid w:val="003023C4"/>
    <w:rsid w:val="003023EB"/>
    <w:rsid w:val="003026B9"/>
    <w:rsid w:val="00302883"/>
    <w:rsid w:val="00302C73"/>
    <w:rsid w:val="003035B2"/>
    <w:rsid w:val="00303697"/>
    <w:rsid w:val="00303733"/>
    <w:rsid w:val="003037A9"/>
    <w:rsid w:val="00303A2F"/>
    <w:rsid w:val="00303C94"/>
    <w:rsid w:val="00304BF7"/>
    <w:rsid w:val="00304CF9"/>
    <w:rsid w:val="00304F0A"/>
    <w:rsid w:val="00304FE8"/>
    <w:rsid w:val="0030527B"/>
    <w:rsid w:val="00305FA4"/>
    <w:rsid w:val="003060BB"/>
    <w:rsid w:val="0030617A"/>
    <w:rsid w:val="00306989"/>
    <w:rsid w:val="00307214"/>
    <w:rsid w:val="0030755C"/>
    <w:rsid w:val="00310015"/>
    <w:rsid w:val="0031005D"/>
    <w:rsid w:val="00310992"/>
    <w:rsid w:val="00311387"/>
    <w:rsid w:val="003119DF"/>
    <w:rsid w:val="00311EEA"/>
    <w:rsid w:val="00312151"/>
    <w:rsid w:val="00312763"/>
    <w:rsid w:val="0031351E"/>
    <w:rsid w:val="00313537"/>
    <w:rsid w:val="003135CD"/>
    <w:rsid w:val="003138AC"/>
    <w:rsid w:val="00313C59"/>
    <w:rsid w:val="00314373"/>
    <w:rsid w:val="00314425"/>
    <w:rsid w:val="003146EE"/>
    <w:rsid w:val="003153EA"/>
    <w:rsid w:val="00315536"/>
    <w:rsid w:val="00315A29"/>
    <w:rsid w:val="003160B4"/>
    <w:rsid w:val="0031641C"/>
    <w:rsid w:val="00316745"/>
    <w:rsid w:val="00316CCF"/>
    <w:rsid w:val="00316D1E"/>
    <w:rsid w:val="00317FE3"/>
    <w:rsid w:val="00320015"/>
    <w:rsid w:val="00320263"/>
    <w:rsid w:val="003209C7"/>
    <w:rsid w:val="00320A02"/>
    <w:rsid w:val="00320AB2"/>
    <w:rsid w:val="003219EA"/>
    <w:rsid w:val="003225D5"/>
    <w:rsid w:val="0032265B"/>
    <w:rsid w:val="0032271E"/>
    <w:rsid w:val="003229A0"/>
    <w:rsid w:val="00322BC4"/>
    <w:rsid w:val="00323247"/>
    <w:rsid w:val="003232F1"/>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94F"/>
    <w:rsid w:val="00330C46"/>
    <w:rsid w:val="00330D77"/>
    <w:rsid w:val="00331186"/>
    <w:rsid w:val="00331B79"/>
    <w:rsid w:val="00331DCA"/>
    <w:rsid w:val="00332129"/>
    <w:rsid w:val="00332736"/>
    <w:rsid w:val="0033322F"/>
    <w:rsid w:val="003332EC"/>
    <w:rsid w:val="00334912"/>
    <w:rsid w:val="00335779"/>
    <w:rsid w:val="00336CE8"/>
    <w:rsid w:val="00336FF2"/>
    <w:rsid w:val="003376B5"/>
    <w:rsid w:val="003376DF"/>
    <w:rsid w:val="003402DF"/>
    <w:rsid w:val="00340A89"/>
    <w:rsid w:val="00340D16"/>
    <w:rsid w:val="00340D94"/>
    <w:rsid w:val="00340EB5"/>
    <w:rsid w:val="00341361"/>
    <w:rsid w:val="00342A29"/>
    <w:rsid w:val="00343D26"/>
    <w:rsid w:val="00343D77"/>
    <w:rsid w:val="00344CBB"/>
    <w:rsid w:val="00345308"/>
    <w:rsid w:val="003455FE"/>
    <w:rsid w:val="00345652"/>
    <w:rsid w:val="00345B4F"/>
    <w:rsid w:val="0034620F"/>
    <w:rsid w:val="00346216"/>
    <w:rsid w:val="0034672E"/>
    <w:rsid w:val="00346BB9"/>
    <w:rsid w:val="00346CED"/>
    <w:rsid w:val="00347577"/>
    <w:rsid w:val="0034782B"/>
    <w:rsid w:val="00347C46"/>
    <w:rsid w:val="00347FAD"/>
    <w:rsid w:val="00350DDB"/>
    <w:rsid w:val="00351A7F"/>
    <w:rsid w:val="003525C0"/>
    <w:rsid w:val="0035262D"/>
    <w:rsid w:val="00352CFB"/>
    <w:rsid w:val="00352F20"/>
    <w:rsid w:val="0035309E"/>
    <w:rsid w:val="003530B9"/>
    <w:rsid w:val="00353174"/>
    <w:rsid w:val="003533E6"/>
    <w:rsid w:val="00353798"/>
    <w:rsid w:val="0035396F"/>
    <w:rsid w:val="003541D1"/>
    <w:rsid w:val="003548D7"/>
    <w:rsid w:val="003548F0"/>
    <w:rsid w:val="00354D94"/>
    <w:rsid w:val="003550C7"/>
    <w:rsid w:val="00355FEC"/>
    <w:rsid w:val="003564E7"/>
    <w:rsid w:val="003566E9"/>
    <w:rsid w:val="00357214"/>
    <w:rsid w:val="003577EB"/>
    <w:rsid w:val="0035791D"/>
    <w:rsid w:val="003607A0"/>
    <w:rsid w:val="00360CBD"/>
    <w:rsid w:val="00360D4F"/>
    <w:rsid w:val="00360D68"/>
    <w:rsid w:val="00361072"/>
    <w:rsid w:val="003613A9"/>
    <w:rsid w:val="00361851"/>
    <w:rsid w:val="00361D52"/>
    <w:rsid w:val="00362461"/>
    <w:rsid w:val="003628AA"/>
    <w:rsid w:val="00362D37"/>
    <w:rsid w:val="003632EB"/>
    <w:rsid w:val="00363DA3"/>
    <w:rsid w:val="0036400A"/>
    <w:rsid w:val="00364B18"/>
    <w:rsid w:val="00364D63"/>
    <w:rsid w:val="00365105"/>
    <w:rsid w:val="0036579C"/>
    <w:rsid w:val="003657E7"/>
    <w:rsid w:val="00365E78"/>
    <w:rsid w:val="00366857"/>
    <w:rsid w:val="00370449"/>
    <w:rsid w:val="003708DD"/>
    <w:rsid w:val="00370DAC"/>
    <w:rsid w:val="00370EE0"/>
    <w:rsid w:val="003713B0"/>
    <w:rsid w:val="003717F5"/>
    <w:rsid w:val="00371B3D"/>
    <w:rsid w:val="00372850"/>
    <w:rsid w:val="00372F44"/>
    <w:rsid w:val="0037380C"/>
    <w:rsid w:val="00374783"/>
    <w:rsid w:val="003750B5"/>
    <w:rsid w:val="00375135"/>
    <w:rsid w:val="00375165"/>
    <w:rsid w:val="00375520"/>
    <w:rsid w:val="003763FF"/>
    <w:rsid w:val="00377224"/>
    <w:rsid w:val="00377360"/>
    <w:rsid w:val="0037737B"/>
    <w:rsid w:val="003774E1"/>
    <w:rsid w:val="003777B8"/>
    <w:rsid w:val="00377A8B"/>
    <w:rsid w:val="00377BAD"/>
    <w:rsid w:val="003809FD"/>
    <w:rsid w:val="0038196D"/>
    <w:rsid w:val="00381DCB"/>
    <w:rsid w:val="00381F87"/>
    <w:rsid w:val="003821D7"/>
    <w:rsid w:val="00382EFE"/>
    <w:rsid w:val="00383A59"/>
    <w:rsid w:val="00383FF3"/>
    <w:rsid w:val="00384485"/>
    <w:rsid w:val="00384800"/>
    <w:rsid w:val="00384833"/>
    <w:rsid w:val="00384B1C"/>
    <w:rsid w:val="00384EA5"/>
    <w:rsid w:val="0038505C"/>
    <w:rsid w:val="00385BBE"/>
    <w:rsid w:val="00385D5C"/>
    <w:rsid w:val="00386843"/>
    <w:rsid w:val="00386C4E"/>
    <w:rsid w:val="00386E5D"/>
    <w:rsid w:val="00387E97"/>
    <w:rsid w:val="003902C1"/>
    <w:rsid w:val="00390619"/>
    <w:rsid w:val="00390919"/>
    <w:rsid w:val="00390A7C"/>
    <w:rsid w:val="00390A91"/>
    <w:rsid w:val="00390AFB"/>
    <w:rsid w:val="0039142B"/>
    <w:rsid w:val="00391A35"/>
    <w:rsid w:val="00391E07"/>
    <w:rsid w:val="00392721"/>
    <w:rsid w:val="00392A6F"/>
    <w:rsid w:val="00393110"/>
    <w:rsid w:val="00393B0C"/>
    <w:rsid w:val="00393DB1"/>
    <w:rsid w:val="00393DD4"/>
    <w:rsid w:val="003946AC"/>
    <w:rsid w:val="00395338"/>
    <w:rsid w:val="00395600"/>
    <w:rsid w:val="00395B97"/>
    <w:rsid w:val="00397340"/>
    <w:rsid w:val="00397572"/>
    <w:rsid w:val="003A0717"/>
    <w:rsid w:val="003A074E"/>
    <w:rsid w:val="003A1531"/>
    <w:rsid w:val="003A1CFF"/>
    <w:rsid w:val="003A2BB7"/>
    <w:rsid w:val="003A312D"/>
    <w:rsid w:val="003A37BF"/>
    <w:rsid w:val="003A4AB4"/>
    <w:rsid w:val="003A4C61"/>
    <w:rsid w:val="003A4D4A"/>
    <w:rsid w:val="003A4F09"/>
    <w:rsid w:val="003A546F"/>
    <w:rsid w:val="003A565B"/>
    <w:rsid w:val="003A5C29"/>
    <w:rsid w:val="003A5D24"/>
    <w:rsid w:val="003A5DEB"/>
    <w:rsid w:val="003A5F75"/>
    <w:rsid w:val="003A61D4"/>
    <w:rsid w:val="003A6240"/>
    <w:rsid w:val="003A63B8"/>
    <w:rsid w:val="003A648B"/>
    <w:rsid w:val="003A6592"/>
    <w:rsid w:val="003A6A14"/>
    <w:rsid w:val="003A6A20"/>
    <w:rsid w:val="003A6FDD"/>
    <w:rsid w:val="003A72E4"/>
    <w:rsid w:val="003A7535"/>
    <w:rsid w:val="003A7616"/>
    <w:rsid w:val="003A799B"/>
    <w:rsid w:val="003A7D18"/>
    <w:rsid w:val="003B00C2"/>
    <w:rsid w:val="003B07D1"/>
    <w:rsid w:val="003B0A3B"/>
    <w:rsid w:val="003B0DFF"/>
    <w:rsid w:val="003B12DB"/>
    <w:rsid w:val="003B1AF6"/>
    <w:rsid w:val="003B1B75"/>
    <w:rsid w:val="003B2EEF"/>
    <w:rsid w:val="003B2FBC"/>
    <w:rsid w:val="003B32CC"/>
    <w:rsid w:val="003B35CB"/>
    <w:rsid w:val="003B497D"/>
    <w:rsid w:val="003B4DA2"/>
    <w:rsid w:val="003B4DDF"/>
    <w:rsid w:val="003B4E68"/>
    <w:rsid w:val="003B4EE8"/>
    <w:rsid w:val="003B545C"/>
    <w:rsid w:val="003B57B7"/>
    <w:rsid w:val="003B5E19"/>
    <w:rsid w:val="003B64D8"/>
    <w:rsid w:val="003B6D36"/>
    <w:rsid w:val="003B78AC"/>
    <w:rsid w:val="003C0428"/>
    <w:rsid w:val="003C08BD"/>
    <w:rsid w:val="003C1A62"/>
    <w:rsid w:val="003C1E2C"/>
    <w:rsid w:val="003C27F3"/>
    <w:rsid w:val="003C2F43"/>
    <w:rsid w:val="003C32FC"/>
    <w:rsid w:val="003C3FD4"/>
    <w:rsid w:val="003C457C"/>
    <w:rsid w:val="003C49A9"/>
    <w:rsid w:val="003C4EBE"/>
    <w:rsid w:val="003C558C"/>
    <w:rsid w:val="003C5A3A"/>
    <w:rsid w:val="003C6367"/>
    <w:rsid w:val="003C66C3"/>
    <w:rsid w:val="003C6F87"/>
    <w:rsid w:val="003C7429"/>
    <w:rsid w:val="003C75BD"/>
    <w:rsid w:val="003C7E0E"/>
    <w:rsid w:val="003D07CE"/>
    <w:rsid w:val="003D0802"/>
    <w:rsid w:val="003D098A"/>
    <w:rsid w:val="003D0B7A"/>
    <w:rsid w:val="003D1303"/>
    <w:rsid w:val="003D17E4"/>
    <w:rsid w:val="003D1A6C"/>
    <w:rsid w:val="003D1AE5"/>
    <w:rsid w:val="003D1AEC"/>
    <w:rsid w:val="003D1BA0"/>
    <w:rsid w:val="003D23D5"/>
    <w:rsid w:val="003D2533"/>
    <w:rsid w:val="003D295D"/>
    <w:rsid w:val="003D2F1C"/>
    <w:rsid w:val="003D2FE6"/>
    <w:rsid w:val="003D3CD1"/>
    <w:rsid w:val="003D489A"/>
    <w:rsid w:val="003D4AED"/>
    <w:rsid w:val="003D4EA6"/>
    <w:rsid w:val="003D5944"/>
    <w:rsid w:val="003D5D05"/>
    <w:rsid w:val="003D5ECA"/>
    <w:rsid w:val="003D5FB6"/>
    <w:rsid w:val="003D63D1"/>
    <w:rsid w:val="003D66AA"/>
    <w:rsid w:val="003D6CBF"/>
    <w:rsid w:val="003D6F2B"/>
    <w:rsid w:val="003D72CC"/>
    <w:rsid w:val="003D7D05"/>
    <w:rsid w:val="003D7FA5"/>
    <w:rsid w:val="003E03C3"/>
    <w:rsid w:val="003E064B"/>
    <w:rsid w:val="003E067B"/>
    <w:rsid w:val="003E0E09"/>
    <w:rsid w:val="003E11A4"/>
    <w:rsid w:val="003E1AD1"/>
    <w:rsid w:val="003E230A"/>
    <w:rsid w:val="003E236D"/>
    <w:rsid w:val="003E2512"/>
    <w:rsid w:val="003E2CFE"/>
    <w:rsid w:val="003E2E8C"/>
    <w:rsid w:val="003E3009"/>
    <w:rsid w:val="003E308A"/>
    <w:rsid w:val="003E367A"/>
    <w:rsid w:val="003E37A4"/>
    <w:rsid w:val="003E4136"/>
    <w:rsid w:val="003E4338"/>
    <w:rsid w:val="003E4E45"/>
    <w:rsid w:val="003E61CB"/>
    <w:rsid w:val="003E652F"/>
    <w:rsid w:val="003E6E90"/>
    <w:rsid w:val="003E731F"/>
    <w:rsid w:val="003E7AFC"/>
    <w:rsid w:val="003E7C04"/>
    <w:rsid w:val="003E7C95"/>
    <w:rsid w:val="003E7FDA"/>
    <w:rsid w:val="003F01F7"/>
    <w:rsid w:val="003F0570"/>
    <w:rsid w:val="003F0D15"/>
    <w:rsid w:val="003F1283"/>
    <w:rsid w:val="003F13F6"/>
    <w:rsid w:val="003F148F"/>
    <w:rsid w:val="003F174E"/>
    <w:rsid w:val="003F1A53"/>
    <w:rsid w:val="003F1F13"/>
    <w:rsid w:val="003F29E1"/>
    <w:rsid w:val="003F2DAF"/>
    <w:rsid w:val="003F2ED2"/>
    <w:rsid w:val="003F3772"/>
    <w:rsid w:val="003F3ED2"/>
    <w:rsid w:val="003F40B6"/>
    <w:rsid w:val="003F4627"/>
    <w:rsid w:val="003F4850"/>
    <w:rsid w:val="003F4ABA"/>
    <w:rsid w:val="003F53B6"/>
    <w:rsid w:val="003F6169"/>
    <w:rsid w:val="003F6645"/>
    <w:rsid w:val="003F72D7"/>
    <w:rsid w:val="003F77A6"/>
    <w:rsid w:val="003F77DA"/>
    <w:rsid w:val="003F7B2D"/>
    <w:rsid w:val="003F7C7A"/>
    <w:rsid w:val="00400BA3"/>
    <w:rsid w:val="00400D40"/>
    <w:rsid w:val="0040144A"/>
    <w:rsid w:val="004014C9"/>
    <w:rsid w:val="00401B46"/>
    <w:rsid w:val="00401DDB"/>
    <w:rsid w:val="00402889"/>
    <w:rsid w:val="004028FD"/>
    <w:rsid w:val="00402B5F"/>
    <w:rsid w:val="00402C3D"/>
    <w:rsid w:val="00403087"/>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247"/>
    <w:rsid w:val="00410B00"/>
    <w:rsid w:val="00410B24"/>
    <w:rsid w:val="00410E12"/>
    <w:rsid w:val="00410E3B"/>
    <w:rsid w:val="004115C8"/>
    <w:rsid w:val="004118DA"/>
    <w:rsid w:val="00413975"/>
    <w:rsid w:val="00413BE9"/>
    <w:rsid w:val="00413E03"/>
    <w:rsid w:val="00414E73"/>
    <w:rsid w:val="00415330"/>
    <w:rsid w:val="00415367"/>
    <w:rsid w:val="004161C2"/>
    <w:rsid w:val="004170A6"/>
    <w:rsid w:val="004174CB"/>
    <w:rsid w:val="004176BC"/>
    <w:rsid w:val="004176EB"/>
    <w:rsid w:val="004177A1"/>
    <w:rsid w:val="00417CB0"/>
    <w:rsid w:val="00417F47"/>
    <w:rsid w:val="00417FB8"/>
    <w:rsid w:val="00420584"/>
    <w:rsid w:val="004207B4"/>
    <w:rsid w:val="00420A61"/>
    <w:rsid w:val="00421048"/>
    <w:rsid w:val="0042164F"/>
    <w:rsid w:val="00421E8E"/>
    <w:rsid w:val="0042203D"/>
    <w:rsid w:val="004220E5"/>
    <w:rsid w:val="00422A93"/>
    <w:rsid w:val="00422BB1"/>
    <w:rsid w:val="00422E7D"/>
    <w:rsid w:val="0042314F"/>
    <w:rsid w:val="0042315B"/>
    <w:rsid w:val="00423EA1"/>
    <w:rsid w:val="00424D21"/>
    <w:rsid w:val="00424F1F"/>
    <w:rsid w:val="00424F3C"/>
    <w:rsid w:val="00425333"/>
    <w:rsid w:val="00425C24"/>
    <w:rsid w:val="0042646A"/>
    <w:rsid w:val="00427238"/>
    <w:rsid w:val="004273BF"/>
    <w:rsid w:val="0042760E"/>
    <w:rsid w:val="00427E91"/>
    <w:rsid w:val="004311FF"/>
    <w:rsid w:val="00431211"/>
    <w:rsid w:val="004314B6"/>
    <w:rsid w:val="00432185"/>
    <w:rsid w:val="00432447"/>
    <w:rsid w:val="00432D97"/>
    <w:rsid w:val="00432F21"/>
    <w:rsid w:val="004336D1"/>
    <w:rsid w:val="004337DF"/>
    <w:rsid w:val="00433964"/>
    <w:rsid w:val="004342CE"/>
    <w:rsid w:val="004343AD"/>
    <w:rsid w:val="004349D9"/>
    <w:rsid w:val="00434C7F"/>
    <w:rsid w:val="004353AE"/>
    <w:rsid w:val="0043544F"/>
    <w:rsid w:val="004362C0"/>
    <w:rsid w:val="00436425"/>
    <w:rsid w:val="004364E6"/>
    <w:rsid w:val="00436B27"/>
    <w:rsid w:val="00437069"/>
    <w:rsid w:val="0043712E"/>
    <w:rsid w:val="00437E12"/>
    <w:rsid w:val="004400BC"/>
    <w:rsid w:val="00440B81"/>
    <w:rsid w:val="00440F39"/>
    <w:rsid w:val="004412E8"/>
    <w:rsid w:val="00441947"/>
    <w:rsid w:val="0044296C"/>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4747E"/>
    <w:rsid w:val="00447CBD"/>
    <w:rsid w:val="00450BC1"/>
    <w:rsid w:val="00451103"/>
    <w:rsid w:val="004519C6"/>
    <w:rsid w:val="00451F2C"/>
    <w:rsid w:val="0045203F"/>
    <w:rsid w:val="004520DB"/>
    <w:rsid w:val="004521E8"/>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69E8"/>
    <w:rsid w:val="00457034"/>
    <w:rsid w:val="00457BAA"/>
    <w:rsid w:val="00460981"/>
    <w:rsid w:val="004609DE"/>
    <w:rsid w:val="00461045"/>
    <w:rsid w:val="00461A3E"/>
    <w:rsid w:val="00461DC0"/>
    <w:rsid w:val="00462516"/>
    <w:rsid w:val="00462699"/>
    <w:rsid w:val="00462787"/>
    <w:rsid w:val="004628F0"/>
    <w:rsid w:val="00462AAF"/>
    <w:rsid w:val="00462D54"/>
    <w:rsid w:val="00462D63"/>
    <w:rsid w:val="004636BC"/>
    <w:rsid w:val="00463886"/>
    <w:rsid w:val="00464E03"/>
    <w:rsid w:val="00464F36"/>
    <w:rsid w:val="00464F3A"/>
    <w:rsid w:val="0046507A"/>
    <w:rsid w:val="0046528B"/>
    <w:rsid w:val="0046568B"/>
    <w:rsid w:val="0046569B"/>
    <w:rsid w:val="00466121"/>
    <w:rsid w:val="00466912"/>
    <w:rsid w:val="004670C3"/>
    <w:rsid w:val="00467686"/>
    <w:rsid w:val="00467792"/>
    <w:rsid w:val="004679AB"/>
    <w:rsid w:val="004705A6"/>
    <w:rsid w:val="00471665"/>
    <w:rsid w:val="0047195F"/>
    <w:rsid w:val="00471A9E"/>
    <w:rsid w:val="00471B86"/>
    <w:rsid w:val="00472227"/>
    <w:rsid w:val="00472E0B"/>
    <w:rsid w:val="00472E9C"/>
    <w:rsid w:val="0047312A"/>
    <w:rsid w:val="004732E6"/>
    <w:rsid w:val="00473FF9"/>
    <w:rsid w:val="00474927"/>
    <w:rsid w:val="00474FBE"/>
    <w:rsid w:val="0047540F"/>
    <w:rsid w:val="00475438"/>
    <w:rsid w:val="00476822"/>
    <w:rsid w:val="00476F8F"/>
    <w:rsid w:val="004772FF"/>
    <w:rsid w:val="00477324"/>
    <w:rsid w:val="00480310"/>
    <w:rsid w:val="0048048A"/>
    <w:rsid w:val="004807FF"/>
    <w:rsid w:val="004808F6"/>
    <w:rsid w:val="00481705"/>
    <w:rsid w:val="00481966"/>
    <w:rsid w:val="00482044"/>
    <w:rsid w:val="00482254"/>
    <w:rsid w:val="004823C6"/>
    <w:rsid w:val="00482F51"/>
    <w:rsid w:val="00483166"/>
    <w:rsid w:val="0048365C"/>
    <w:rsid w:val="004837B4"/>
    <w:rsid w:val="00483AAB"/>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4BA"/>
    <w:rsid w:val="00490628"/>
    <w:rsid w:val="0049071D"/>
    <w:rsid w:val="0049103F"/>
    <w:rsid w:val="00491532"/>
    <w:rsid w:val="00491F80"/>
    <w:rsid w:val="0049239D"/>
    <w:rsid w:val="004925C9"/>
    <w:rsid w:val="00492B52"/>
    <w:rsid w:val="00493577"/>
    <w:rsid w:val="00493767"/>
    <w:rsid w:val="00493EB8"/>
    <w:rsid w:val="004942A0"/>
    <w:rsid w:val="00494307"/>
    <w:rsid w:val="00494B3B"/>
    <w:rsid w:val="004954A4"/>
    <w:rsid w:val="00495665"/>
    <w:rsid w:val="0049596B"/>
    <w:rsid w:val="004963FE"/>
    <w:rsid w:val="00496996"/>
    <w:rsid w:val="00496DD8"/>
    <w:rsid w:val="00497692"/>
    <w:rsid w:val="00497AE7"/>
    <w:rsid w:val="004A020A"/>
    <w:rsid w:val="004A036F"/>
    <w:rsid w:val="004A04FE"/>
    <w:rsid w:val="004A0859"/>
    <w:rsid w:val="004A0C71"/>
    <w:rsid w:val="004A0CF6"/>
    <w:rsid w:val="004A15D4"/>
    <w:rsid w:val="004A18E6"/>
    <w:rsid w:val="004A18FA"/>
    <w:rsid w:val="004A1B4E"/>
    <w:rsid w:val="004A20DA"/>
    <w:rsid w:val="004A2509"/>
    <w:rsid w:val="004A294E"/>
    <w:rsid w:val="004A2E67"/>
    <w:rsid w:val="004A3371"/>
    <w:rsid w:val="004A3391"/>
    <w:rsid w:val="004A3C39"/>
    <w:rsid w:val="004A3FAE"/>
    <w:rsid w:val="004A4291"/>
    <w:rsid w:val="004A4728"/>
    <w:rsid w:val="004A4AC3"/>
    <w:rsid w:val="004A4D02"/>
    <w:rsid w:val="004A4F2D"/>
    <w:rsid w:val="004A5AFA"/>
    <w:rsid w:val="004A5B38"/>
    <w:rsid w:val="004B0AF1"/>
    <w:rsid w:val="004B1545"/>
    <w:rsid w:val="004B1768"/>
    <w:rsid w:val="004B17CE"/>
    <w:rsid w:val="004B18CE"/>
    <w:rsid w:val="004B1903"/>
    <w:rsid w:val="004B1A9C"/>
    <w:rsid w:val="004B1B15"/>
    <w:rsid w:val="004B1C6F"/>
    <w:rsid w:val="004B1CB3"/>
    <w:rsid w:val="004B1F96"/>
    <w:rsid w:val="004B21DA"/>
    <w:rsid w:val="004B2241"/>
    <w:rsid w:val="004B25FA"/>
    <w:rsid w:val="004B27D6"/>
    <w:rsid w:val="004B2EBB"/>
    <w:rsid w:val="004B3507"/>
    <w:rsid w:val="004B36DF"/>
    <w:rsid w:val="004B3C81"/>
    <w:rsid w:val="004B3CA4"/>
    <w:rsid w:val="004B47F4"/>
    <w:rsid w:val="004B4E4F"/>
    <w:rsid w:val="004B50CC"/>
    <w:rsid w:val="004B5825"/>
    <w:rsid w:val="004B61C8"/>
    <w:rsid w:val="004B622F"/>
    <w:rsid w:val="004B6415"/>
    <w:rsid w:val="004B64FA"/>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44DD"/>
    <w:rsid w:val="004C4A96"/>
    <w:rsid w:val="004C4BB6"/>
    <w:rsid w:val="004C4E5F"/>
    <w:rsid w:val="004C5875"/>
    <w:rsid w:val="004C5F28"/>
    <w:rsid w:val="004C664B"/>
    <w:rsid w:val="004C66F8"/>
    <w:rsid w:val="004C6736"/>
    <w:rsid w:val="004C6997"/>
    <w:rsid w:val="004C6CDB"/>
    <w:rsid w:val="004C723F"/>
    <w:rsid w:val="004C72C2"/>
    <w:rsid w:val="004C7872"/>
    <w:rsid w:val="004C7C36"/>
    <w:rsid w:val="004C7D16"/>
    <w:rsid w:val="004D0132"/>
    <w:rsid w:val="004D080F"/>
    <w:rsid w:val="004D138E"/>
    <w:rsid w:val="004D185E"/>
    <w:rsid w:val="004D1EEB"/>
    <w:rsid w:val="004D2556"/>
    <w:rsid w:val="004D29F9"/>
    <w:rsid w:val="004D367C"/>
    <w:rsid w:val="004D3701"/>
    <w:rsid w:val="004D3753"/>
    <w:rsid w:val="004D4B61"/>
    <w:rsid w:val="004D4CE4"/>
    <w:rsid w:val="004D59A5"/>
    <w:rsid w:val="004D606D"/>
    <w:rsid w:val="004D636D"/>
    <w:rsid w:val="004D67CB"/>
    <w:rsid w:val="004D6B20"/>
    <w:rsid w:val="004D6C2F"/>
    <w:rsid w:val="004D71FE"/>
    <w:rsid w:val="004D72CE"/>
    <w:rsid w:val="004D73EF"/>
    <w:rsid w:val="004D7745"/>
    <w:rsid w:val="004D7964"/>
    <w:rsid w:val="004D7A80"/>
    <w:rsid w:val="004D7CA3"/>
    <w:rsid w:val="004E0388"/>
    <w:rsid w:val="004E04C7"/>
    <w:rsid w:val="004E0894"/>
    <w:rsid w:val="004E0C77"/>
    <w:rsid w:val="004E135A"/>
    <w:rsid w:val="004E1AA0"/>
    <w:rsid w:val="004E1C50"/>
    <w:rsid w:val="004E20EE"/>
    <w:rsid w:val="004E23BB"/>
    <w:rsid w:val="004E251F"/>
    <w:rsid w:val="004E2B23"/>
    <w:rsid w:val="004E2FB9"/>
    <w:rsid w:val="004E3390"/>
    <w:rsid w:val="004E37C8"/>
    <w:rsid w:val="004E416F"/>
    <w:rsid w:val="004E424D"/>
    <w:rsid w:val="004E4439"/>
    <w:rsid w:val="004E5F45"/>
    <w:rsid w:val="004E64DC"/>
    <w:rsid w:val="004E674C"/>
    <w:rsid w:val="004E6F86"/>
    <w:rsid w:val="004E706A"/>
    <w:rsid w:val="004F0671"/>
    <w:rsid w:val="004F0C01"/>
    <w:rsid w:val="004F126D"/>
    <w:rsid w:val="004F1E92"/>
    <w:rsid w:val="004F234E"/>
    <w:rsid w:val="004F24B5"/>
    <w:rsid w:val="004F28A5"/>
    <w:rsid w:val="004F2B02"/>
    <w:rsid w:val="004F2D1B"/>
    <w:rsid w:val="004F2E11"/>
    <w:rsid w:val="004F2E17"/>
    <w:rsid w:val="004F31BD"/>
    <w:rsid w:val="004F378C"/>
    <w:rsid w:val="004F3B34"/>
    <w:rsid w:val="004F3E23"/>
    <w:rsid w:val="004F4722"/>
    <w:rsid w:val="004F4767"/>
    <w:rsid w:val="004F498A"/>
    <w:rsid w:val="004F51B2"/>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101E5"/>
    <w:rsid w:val="00511D75"/>
    <w:rsid w:val="00511FF2"/>
    <w:rsid w:val="005121CE"/>
    <w:rsid w:val="00512232"/>
    <w:rsid w:val="00513B7E"/>
    <w:rsid w:val="005140F7"/>
    <w:rsid w:val="00514326"/>
    <w:rsid w:val="00514597"/>
    <w:rsid w:val="00514F8E"/>
    <w:rsid w:val="005150AB"/>
    <w:rsid w:val="0051520F"/>
    <w:rsid w:val="0051557F"/>
    <w:rsid w:val="005159F9"/>
    <w:rsid w:val="005164CC"/>
    <w:rsid w:val="0051769B"/>
    <w:rsid w:val="00517D26"/>
    <w:rsid w:val="0052052F"/>
    <w:rsid w:val="00520571"/>
    <w:rsid w:val="005212B6"/>
    <w:rsid w:val="00522C8A"/>
    <w:rsid w:val="00523AF8"/>
    <w:rsid w:val="00523F57"/>
    <w:rsid w:val="00523F8F"/>
    <w:rsid w:val="005242BC"/>
    <w:rsid w:val="005248F8"/>
    <w:rsid w:val="00524E1E"/>
    <w:rsid w:val="0052565F"/>
    <w:rsid w:val="00525D71"/>
    <w:rsid w:val="00525D92"/>
    <w:rsid w:val="0052654A"/>
    <w:rsid w:val="00526E9C"/>
    <w:rsid w:val="005278F8"/>
    <w:rsid w:val="005300ED"/>
    <w:rsid w:val="005306B9"/>
    <w:rsid w:val="005314D8"/>
    <w:rsid w:val="00531706"/>
    <w:rsid w:val="00531F66"/>
    <w:rsid w:val="00532121"/>
    <w:rsid w:val="00532429"/>
    <w:rsid w:val="00532850"/>
    <w:rsid w:val="005328A9"/>
    <w:rsid w:val="00532C7A"/>
    <w:rsid w:val="00532E23"/>
    <w:rsid w:val="005331D3"/>
    <w:rsid w:val="005331DA"/>
    <w:rsid w:val="005332FA"/>
    <w:rsid w:val="005335ED"/>
    <w:rsid w:val="0053446A"/>
    <w:rsid w:val="00534668"/>
    <w:rsid w:val="005346BF"/>
    <w:rsid w:val="0053472D"/>
    <w:rsid w:val="00535189"/>
    <w:rsid w:val="005356B6"/>
    <w:rsid w:val="00535D75"/>
    <w:rsid w:val="00535FF9"/>
    <w:rsid w:val="0053609B"/>
    <w:rsid w:val="0053655A"/>
    <w:rsid w:val="00536ECF"/>
    <w:rsid w:val="0053740F"/>
    <w:rsid w:val="005406D0"/>
    <w:rsid w:val="00540B60"/>
    <w:rsid w:val="00540D9E"/>
    <w:rsid w:val="0054171A"/>
    <w:rsid w:val="005420CF"/>
    <w:rsid w:val="005423CF"/>
    <w:rsid w:val="00542C2A"/>
    <w:rsid w:val="0054337D"/>
    <w:rsid w:val="005434CF"/>
    <w:rsid w:val="005438E3"/>
    <w:rsid w:val="005439A8"/>
    <w:rsid w:val="00543CAC"/>
    <w:rsid w:val="00543CCD"/>
    <w:rsid w:val="005440E4"/>
    <w:rsid w:val="00544497"/>
    <w:rsid w:val="005448FE"/>
    <w:rsid w:val="00545BEC"/>
    <w:rsid w:val="005468A5"/>
    <w:rsid w:val="00546A1D"/>
    <w:rsid w:val="00546C8E"/>
    <w:rsid w:val="00546CB9"/>
    <w:rsid w:val="00546E83"/>
    <w:rsid w:val="00546ED1"/>
    <w:rsid w:val="005471C3"/>
    <w:rsid w:val="00547725"/>
    <w:rsid w:val="0054795A"/>
    <w:rsid w:val="00550292"/>
    <w:rsid w:val="0055066D"/>
    <w:rsid w:val="005506E5"/>
    <w:rsid w:val="00551309"/>
    <w:rsid w:val="00551D80"/>
    <w:rsid w:val="00552426"/>
    <w:rsid w:val="00552604"/>
    <w:rsid w:val="00552F1A"/>
    <w:rsid w:val="0055363B"/>
    <w:rsid w:val="00553693"/>
    <w:rsid w:val="005536D5"/>
    <w:rsid w:val="00553934"/>
    <w:rsid w:val="00553B71"/>
    <w:rsid w:val="00553D3C"/>
    <w:rsid w:val="005547BB"/>
    <w:rsid w:val="00554999"/>
    <w:rsid w:val="00554C4D"/>
    <w:rsid w:val="00555241"/>
    <w:rsid w:val="00555C08"/>
    <w:rsid w:val="0055622C"/>
    <w:rsid w:val="005564BE"/>
    <w:rsid w:val="00556A43"/>
    <w:rsid w:val="00556A63"/>
    <w:rsid w:val="0055727C"/>
    <w:rsid w:val="00557FCE"/>
    <w:rsid w:val="0056087F"/>
    <w:rsid w:val="00560D8A"/>
    <w:rsid w:val="0056121A"/>
    <w:rsid w:val="00561B79"/>
    <w:rsid w:val="00562195"/>
    <w:rsid w:val="0056261D"/>
    <w:rsid w:val="005627E1"/>
    <w:rsid w:val="005627E6"/>
    <w:rsid w:val="00562918"/>
    <w:rsid w:val="00562C78"/>
    <w:rsid w:val="00563269"/>
    <w:rsid w:val="00564169"/>
    <w:rsid w:val="00564643"/>
    <w:rsid w:val="00564772"/>
    <w:rsid w:val="005654CF"/>
    <w:rsid w:val="00566518"/>
    <w:rsid w:val="005669DA"/>
    <w:rsid w:val="00566B0A"/>
    <w:rsid w:val="00567613"/>
    <w:rsid w:val="00567D48"/>
    <w:rsid w:val="005702D2"/>
    <w:rsid w:val="00570C88"/>
    <w:rsid w:val="005711BF"/>
    <w:rsid w:val="00571206"/>
    <w:rsid w:val="00571640"/>
    <w:rsid w:val="00571678"/>
    <w:rsid w:val="00571902"/>
    <w:rsid w:val="0057194C"/>
    <w:rsid w:val="00571D62"/>
    <w:rsid w:val="005720AF"/>
    <w:rsid w:val="00572150"/>
    <w:rsid w:val="00572283"/>
    <w:rsid w:val="00572F6B"/>
    <w:rsid w:val="00573604"/>
    <w:rsid w:val="00573DE2"/>
    <w:rsid w:val="00573F29"/>
    <w:rsid w:val="00574693"/>
    <w:rsid w:val="00574949"/>
    <w:rsid w:val="00574AD1"/>
    <w:rsid w:val="0057501B"/>
    <w:rsid w:val="00575F52"/>
    <w:rsid w:val="005762C9"/>
    <w:rsid w:val="0057666F"/>
    <w:rsid w:val="005767F1"/>
    <w:rsid w:val="00576A92"/>
    <w:rsid w:val="00577417"/>
    <w:rsid w:val="005779BD"/>
    <w:rsid w:val="00580009"/>
    <w:rsid w:val="00580850"/>
    <w:rsid w:val="00580912"/>
    <w:rsid w:val="00580D6B"/>
    <w:rsid w:val="00580F14"/>
    <w:rsid w:val="005812AE"/>
    <w:rsid w:val="0058144C"/>
    <w:rsid w:val="0058159E"/>
    <w:rsid w:val="00581F46"/>
    <w:rsid w:val="00581F5D"/>
    <w:rsid w:val="00582234"/>
    <w:rsid w:val="005824FB"/>
    <w:rsid w:val="00582686"/>
    <w:rsid w:val="00582706"/>
    <w:rsid w:val="005829C4"/>
    <w:rsid w:val="00582D45"/>
    <w:rsid w:val="00582E8D"/>
    <w:rsid w:val="00582FA1"/>
    <w:rsid w:val="00582FFE"/>
    <w:rsid w:val="005843DF"/>
    <w:rsid w:val="00584640"/>
    <w:rsid w:val="005846E8"/>
    <w:rsid w:val="0058513F"/>
    <w:rsid w:val="005860BC"/>
    <w:rsid w:val="005862AF"/>
    <w:rsid w:val="00587129"/>
    <w:rsid w:val="0058724D"/>
    <w:rsid w:val="0058725A"/>
    <w:rsid w:val="00587746"/>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2898"/>
    <w:rsid w:val="005A3B97"/>
    <w:rsid w:val="005A45EC"/>
    <w:rsid w:val="005A4A89"/>
    <w:rsid w:val="005A55F6"/>
    <w:rsid w:val="005A57CE"/>
    <w:rsid w:val="005A57D4"/>
    <w:rsid w:val="005A5C31"/>
    <w:rsid w:val="005A5DB4"/>
    <w:rsid w:val="005A600A"/>
    <w:rsid w:val="005A74D9"/>
    <w:rsid w:val="005A7E88"/>
    <w:rsid w:val="005A7F92"/>
    <w:rsid w:val="005B01F4"/>
    <w:rsid w:val="005B05BE"/>
    <w:rsid w:val="005B0692"/>
    <w:rsid w:val="005B07C7"/>
    <w:rsid w:val="005B14C2"/>
    <w:rsid w:val="005B1B4F"/>
    <w:rsid w:val="005B1E76"/>
    <w:rsid w:val="005B22FC"/>
    <w:rsid w:val="005B2564"/>
    <w:rsid w:val="005B2D65"/>
    <w:rsid w:val="005B2E53"/>
    <w:rsid w:val="005B2F26"/>
    <w:rsid w:val="005B3076"/>
    <w:rsid w:val="005B334E"/>
    <w:rsid w:val="005B389B"/>
    <w:rsid w:val="005B4224"/>
    <w:rsid w:val="005B426C"/>
    <w:rsid w:val="005B467F"/>
    <w:rsid w:val="005B4B88"/>
    <w:rsid w:val="005B4C25"/>
    <w:rsid w:val="005B52D8"/>
    <w:rsid w:val="005B57E9"/>
    <w:rsid w:val="005B583D"/>
    <w:rsid w:val="005B5DAD"/>
    <w:rsid w:val="005B6035"/>
    <w:rsid w:val="005B659A"/>
    <w:rsid w:val="005B65CA"/>
    <w:rsid w:val="005B79C6"/>
    <w:rsid w:val="005C04C0"/>
    <w:rsid w:val="005C0912"/>
    <w:rsid w:val="005C1160"/>
    <w:rsid w:val="005C1912"/>
    <w:rsid w:val="005C1B46"/>
    <w:rsid w:val="005C1F7E"/>
    <w:rsid w:val="005C2057"/>
    <w:rsid w:val="005C20A0"/>
    <w:rsid w:val="005C2EF2"/>
    <w:rsid w:val="005C311F"/>
    <w:rsid w:val="005C3234"/>
    <w:rsid w:val="005C34D5"/>
    <w:rsid w:val="005C3AE2"/>
    <w:rsid w:val="005C511C"/>
    <w:rsid w:val="005C523E"/>
    <w:rsid w:val="005C5258"/>
    <w:rsid w:val="005C57F7"/>
    <w:rsid w:val="005C63C2"/>
    <w:rsid w:val="005C64B4"/>
    <w:rsid w:val="005C6589"/>
    <w:rsid w:val="005C694E"/>
    <w:rsid w:val="005C7159"/>
    <w:rsid w:val="005C76FD"/>
    <w:rsid w:val="005C7A6D"/>
    <w:rsid w:val="005C7DC3"/>
    <w:rsid w:val="005D027B"/>
    <w:rsid w:val="005D09FF"/>
    <w:rsid w:val="005D0DAF"/>
    <w:rsid w:val="005D0E2B"/>
    <w:rsid w:val="005D14A4"/>
    <w:rsid w:val="005D1D83"/>
    <w:rsid w:val="005D2B25"/>
    <w:rsid w:val="005D2E2B"/>
    <w:rsid w:val="005D3D10"/>
    <w:rsid w:val="005D63D9"/>
    <w:rsid w:val="005D65C7"/>
    <w:rsid w:val="005D6947"/>
    <w:rsid w:val="005D6E2B"/>
    <w:rsid w:val="005D71BB"/>
    <w:rsid w:val="005D7565"/>
    <w:rsid w:val="005D7D0E"/>
    <w:rsid w:val="005E07F3"/>
    <w:rsid w:val="005E0823"/>
    <w:rsid w:val="005E0D53"/>
    <w:rsid w:val="005E1008"/>
    <w:rsid w:val="005E10B7"/>
    <w:rsid w:val="005E11E2"/>
    <w:rsid w:val="005E170E"/>
    <w:rsid w:val="005E1717"/>
    <w:rsid w:val="005E1941"/>
    <w:rsid w:val="005E1DDB"/>
    <w:rsid w:val="005E1F3B"/>
    <w:rsid w:val="005E1F3F"/>
    <w:rsid w:val="005E250E"/>
    <w:rsid w:val="005E2961"/>
    <w:rsid w:val="005E2FF7"/>
    <w:rsid w:val="005E30A9"/>
    <w:rsid w:val="005E3769"/>
    <w:rsid w:val="005E3B68"/>
    <w:rsid w:val="005E4148"/>
    <w:rsid w:val="005E4455"/>
    <w:rsid w:val="005E4674"/>
    <w:rsid w:val="005E4AF5"/>
    <w:rsid w:val="005E4F30"/>
    <w:rsid w:val="005E511D"/>
    <w:rsid w:val="005E5675"/>
    <w:rsid w:val="005E56C4"/>
    <w:rsid w:val="005E5BEB"/>
    <w:rsid w:val="005E6369"/>
    <w:rsid w:val="005E652A"/>
    <w:rsid w:val="005E68B2"/>
    <w:rsid w:val="005E6C14"/>
    <w:rsid w:val="005E6F87"/>
    <w:rsid w:val="005E7035"/>
    <w:rsid w:val="005E7038"/>
    <w:rsid w:val="005E79FE"/>
    <w:rsid w:val="005F043C"/>
    <w:rsid w:val="005F0593"/>
    <w:rsid w:val="005F117A"/>
    <w:rsid w:val="005F1BE8"/>
    <w:rsid w:val="005F1C1F"/>
    <w:rsid w:val="005F20C7"/>
    <w:rsid w:val="005F267F"/>
    <w:rsid w:val="005F29BA"/>
    <w:rsid w:val="005F2ABB"/>
    <w:rsid w:val="005F3375"/>
    <w:rsid w:val="005F354A"/>
    <w:rsid w:val="005F3FBF"/>
    <w:rsid w:val="005F405A"/>
    <w:rsid w:val="005F570C"/>
    <w:rsid w:val="005F5922"/>
    <w:rsid w:val="005F725D"/>
    <w:rsid w:val="005F74BD"/>
    <w:rsid w:val="005F7D2F"/>
    <w:rsid w:val="006003A9"/>
    <w:rsid w:val="006003EE"/>
    <w:rsid w:val="00600E8E"/>
    <w:rsid w:val="006018CA"/>
    <w:rsid w:val="006019E6"/>
    <w:rsid w:val="00601AA5"/>
    <w:rsid w:val="006021EE"/>
    <w:rsid w:val="0060270D"/>
    <w:rsid w:val="00602A5A"/>
    <w:rsid w:val="006034A7"/>
    <w:rsid w:val="006037CC"/>
    <w:rsid w:val="00603A6B"/>
    <w:rsid w:val="00603DCD"/>
    <w:rsid w:val="006040F2"/>
    <w:rsid w:val="0060449A"/>
    <w:rsid w:val="00604805"/>
    <w:rsid w:val="00604C62"/>
    <w:rsid w:val="00604EA9"/>
    <w:rsid w:val="0060529E"/>
    <w:rsid w:val="00605384"/>
    <w:rsid w:val="00605829"/>
    <w:rsid w:val="006059CE"/>
    <w:rsid w:val="00606CD7"/>
    <w:rsid w:val="00606FBC"/>
    <w:rsid w:val="006072E8"/>
    <w:rsid w:val="00607C2D"/>
    <w:rsid w:val="00607E71"/>
    <w:rsid w:val="00610178"/>
    <w:rsid w:val="006103A4"/>
    <w:rsid w:val="00610837"/>
    <w:rsid w:val="00610922"/>
    <w:rsid w:val="00610D06"/>
    <w:rsid w:val="00610EC4"/>
    <w:rsid w:val="00611250"/>
    <w:rsid w:val="00611B57"/>
    <w:rsid w:val="00611D8D"/>
    <w:rsid w:val="006122E2"/>
    <w:rsid w:val="006125AA"/>
    <w:rsid w:val="00612638"/>
    <w:rsid w:val="0061367E"/>
    <w:rsid w:val="00613821"/>
    <w:rsid w:val="00613E9D"/>
    <w:rsid w:val="0061423C"/>
    <w:rsid w:val="0061427C"/>
    <w:rsid w:val="0061444C"/>
    <w:rsid w:val="00615053"/>
    <w:rsid w:val="006150FD"/>
    <w:rsid w:val="00615136"/>
    <w:rsid w:val="00615427"/>
    <w:rsid w:val="00615DED"/>
    <w:rsid w:val="00615FAB"/>
    <w:rsid w:val="00616105"/>
    <w:rsid w:val="006161F8"/>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2676"/>
    <w:rsid w:val="00623312"/>
    <w:rsid w:val="0062351E"/>
    <w:rsid w:val="00623E92"/>
    <w:rsid w:val="00623E93"/>
    <w:rsid w:val="00624322"/>
    <w:rsid w:val="00624406"/>
    <w:rsid w:val="006248E3"/>
    <w:rsid w:val="00625D3D"/>
    <w:rsid w:val="00625DB6"/>
    <w:rsid w:val="00626280"/>
    <w:rsid w:val="00626CAC"/>
    <w:rsid w:val="00627AD4"/>
    <w:rsid w:val="00630F33"/>
    <w:rsid w:val="006312A4"/>
    <w:rsid w:val="006312F8"/>
    <w:rsid w:val="006313C9"/>
    <w:rsid w:val="006317D2"/>
    <w:rsid w:val="00631C0F"/>
    <w:rsid w:val="0063210D"/>
    <w:rsid w:val="00632B09"/>
    <w:rsid w:val="006337EA"/>
    <w:rsid w:val="00634871"/>
    <w:rsid w:val="006348ED"/>
    <w:rsid w:val="00634DF1"/>
    <w:rsid w:val="006355E6"/>
    <w:rsid w:val="0063593A"/>
    <w:rsid w:val="00635EFB"/>
    <w:rsid w:val="00636A18"/>
    <w:rsid w:val="00636A48"/>
    <w:rsid w:val="00636C52"/>
    <w:rsid w:val="0063771E"/>
    <w:rsid w:val="006401D2"/>
    <w:rsid w:val="0064038A"/>
    <w:rsid w:val="006406A6"/>
    <w:rsid w:val="006409F7"/>
    <w:rsid w:val="00640A5A"/>
    <w:rsid w:val="00640BE3"/>
    <w:rsid w:val="00640C80"/>
    <w:rsid w:val="00640E6C"/>
    <w:rsid w:val="00642351"/>
    <w:rsid w:val="006424F7"/>
    <w:rsid w:val="00642A2C"/>
    <w:rsid w:val="00642B51"/>
    <w:rsid w:val="00642C32"/>
    <w:rsid w:val="006433D0"/>
    <w:rsid w:val="00643467"/>
    <w:rsid w:val="00643A31"/>
    <w:rsid w:val="00643AAE"/>
    <w:rsid w:val="00643FAF"/>
    <w:rsid w:val="006443DD"/>
    <w:rsid w:val="006446AE"/>
    <w:rsid w:val="00644A9F"/>
    <w:rsid w:val="00646BA0"/>
    <w:rsid w:val="00646F54"/>
    <w:rsid w:val="006476B0"/>
    <w:rsid w:val="0065002D"/>
    <w:rsid w:val="00650254"/>
    <w:rsid w:val="006502BB"/>
    <w:rsid w:val="006515EF"/>
    <w:rsid w:val="00651FCE"/>
    <w:rsid w:val="0065219E"/>
    <w:rsid w:val="00652202"/>
    <w:rsid w:val="0065227F"/>
    <w:rsid w:val="0065234B"/>
    <w:rsid w:val="006530E2"/>
    <w:rsid w:val="006535DE"/>
    <w:rsid w:val="006538F2"/>
    <w:rsid w:val="006542B9"/>
    <w:rsid w:val="0065453F"/>
    <w:rsid w:val="00654758"/>
    <w:rsid w:val="00656256"/>
    <w:rsid w:val="006563FC"/>
    <w:rsid w:val="00656EAE"/>
    <w:rsid w:val="00657344"/>
    <w:rsid w:val="00657AE2"/>
    <w:rsid w:val="006602CF"/>
    <w:rsid w:val="00660FB0"/>
    <w:rsid w:val="00661356"/>
    <w:rsid w:val="00661FA9"/>
    <w:rsid w:val="00662399"/>
    <w:rsid w:val="006628D0"/>
    <w:rsid w:val="0066292F"/>
    <w:rsid w:val="00663E53"/>
    <w:rsid w:val="00664A30"/>
    <w:rsid w:val="00664B40"/>
    <w:rsid w:val="006652C0"/>
    <w:rsid w:val="006652FD"/>
    <w:rsid w:val="006653DF"/>
    <w:rsid w:val="00665679"/>
    <w:rsid w:val="0066568C"/>
    <w:rsid w:val="0066590A"/>
    <w:rsid w:val="00665DB7"/>
    <w:rsid w:val="00666038"/>
    <w:rsid w:val="0066633F"/>
    <w:rsid w:val="00666370"/>
    <w:rsid w:val="0066646F"/>
    <w:rsid w:val="00666775"/>
    <w:rsid w:val="00666A5B"/>
    <w:rsid w:val="00666C67"/>
    <w:rsid w:val="0066768F"/>
    <w:rsid w:val="006701F6"/>
    <w:rsid w:val="00670532"/>
    <w:rsid w:val="00670AA7"/>
    <w:rsid w:val="00670EFB"/>
    <w:rsid w:val="00671380"/>
    <w:rsid w:val="006713F9"/>
    <w:rsid w:val="006715DC"/>
    <w:rsid w:val="006715FF"/>
    <w:rsid w:val="00671C24"/>
    <w:rsid w:val="00672F3E"/>
    <w:rsid w:val="00672FF4"/>
    <w:rsid w:val="00673BF2"/>
    <w:rsid w:val="00673C58"/>
    <w:rsid w:val="0067494B"/>
    <w:rsid w:val="00674DB0"/>
    <w:rsid w:val="00675296"/>
    <w:rsid w:val="006758C3"/>
    <w:rsid w:val="006761BE"/>
    <w:rsid w:val="006766B8"/>
    <w:rsid w:val="00677143"/>
    <w:rsid w:val="006807E1"/>
    <w:rsid w:val="006809A0"/>
    <w:rsid w:val="00680DE4"/>
    <w:rsid w:val="0068116A"/>
    <w:rsid w:val="00681663"/>
    <w:rsid w:val="006819C2"/>
    <w:rsid w:val="00681EF3"/>
    <w:rsid w:val="006823D9"/>
    <w:rsid w:val="00682434"/>
    <w:rsid w:val="00682741"/>
    <w:rsid w:val="00683367"/>
    <w:rsid w:val="00683B8F"/>
    <w:rsid w:val="006841B1"/>
    <w:rsid w:val="006841F4"/>
    <w:rsid w:val="0068436A"/>
    <w:rsid w:val="0068454F"/>
    <w:rsid w:val="00684A55"/>
    <w:rsid w:val="0068523F"/>
    <w:rsid w:val="006855A0"/>
    <w:rsid w:val="006861C4"/>
    <w:rsid w:val="006864D8"/>
    <w:rsid w:val="00686C23"/>
    <w:rsid w:val="00687033"/>
    <w:rsid w:val="0068762F"/>
    <w:rsid w:val="00687774"/>
    <w:rsid w:val="00687D28"/>
    <w:rsid w:val="00687EC6"/>
    <w:rsid w:val="00690AC8"/>
    <w:rsid w:val="00690CCF"/>
    <w:rsid w:val="00690E24"/>
    <w:rsid w:val="00691626"/>
    <w:rsid w:val="00692A7E"/>
    <w:rsid w:val="00692F2B"/>
    <w:rsid w:val="006936CD"/>
    <w:rsid w:val="0069391C"/>
    <w:rsid w:val="00693EA8"/>
    <w:rsid w:val="00694430"/>
    <w:rsid w:val="00694731"/>
    <w:rsid w:val="0069493D"/>
    <w:rsid w:val="00694C13"/>
    <w:rsid w:val="00694FF9"/>
    <w:rsid w:val="0069620B"/>
    <w:rsid w:val="00696363"/>
    <w:rsid w:val="0069659F"/>
    <w:rsid w:val="00696801"/>
    <w:rsid w:val="0069758F"/>
    <w:rsid w:val="006978DB"/>
    <w:rsid w:val="00697989"/>
    <w:rsid w:val="006979EF"/>
    <w:rsid w:val="006A049D"/>
    <w:rsid w:val="006A0623"/>
    <w:rsid w:val="006A0DCE"/>
    <w:rsid w:val="006A12AE"/>
    <w:rsid w:val="006A12E9"/>
    <w:rsid w:val="006A1BC6"/>
    <w:rsid w:val="006A272F"/>
    <w:rsid w:val="006A2842"/>
    <w:rsid w:val="006A2B81"/>
    <w:rsid w:val="006A393F"/>
    <w:rsid w:val="006A4443"/>
    <w:rsid w:val="006A54EF"/>
    <w:rsid w:val="006A58A2"/>
    <w:rsid w:val="006A5A39"/>
    <w:rsid w:val="006A5C7F"/>
    <w:rsid w:val="006A5F5C"/>
    <w:rsid w:val="006A6263"/>
    <w:rsid w:val="006A6484"/>
    <w:rsid w:val="006A652E"/>
    <w:rsid w:val="006A67D8"/>
    <w:rsid w:val="006A7EA3"/>
    <w:rsid w:val="006B022C"/>
    <w:rsid w:val="006B06CD"/>
    <w:rsid w:val="006B07D8"/>
    <w:rsid w:val="006B0CEB"/>
    <w:rsid w:val="006B13C1"/>
    <w:rsid w:val="006B1707"/>
    <w:rsid w:val="006B1B45"/>
    <w:rsid w:val="006B1F80"/>
    <w:rsid w:val="006B2194"/>
    <w:rsid w:val="006B2489"/>
    <w:rsid w:val="006B3215"/>
    <w:rsid w:val="006B3348"/>
    <w:rsid w:val="006B3448"/>
    <w:rsid w:val="006B35F1"/>
    <w:rsid w:val="006B4346"/>
    <w:rsid w:val="006B4A1E"/>
    <w:rsid w:val="006B4F5C"/>
    <w:rsid w:val="006B5062"/>
    <w:rsid w:val="006B50A3"/>
    <w:rsid w:val="006B5725"/>
    <w:rsid w:val="006B6BDE"/>
    <w:rsid w:val="006B6CBE"/>
    <w:rsid w:val="006B71E4"/>
    <w:rsid w:val="006B721D"/>
    <w:rsid w:val="006B7256"/>
    <w:rsid w:val="006C00B5"/>
    <w:rsid w:val="006C04B0"/>
    <w:rsid w:val="006C062E"/>
    <w:rsid w:val="006C0AD7"/>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75FA"/>
    <w:rsid w:val="006C7FAC"/>
    <w:rsid w:val="006D002D"/>
    <w:rsid w:val="006D0421"/>
    <w:rsid w:val="006D047B"/>
    <w:rsid w:val="006D0655"/>
    <w:rsid w:val="006D0F86"/>
    <w:rsid w:val="006D13C5"/>
    <w:rsid w:val="006D1D18"/>
    <w:rsid w:val="006D2413"/>
    <w:rsid w:val="006D2594"/>
    <w:rsid w:val="006D2BD4"/>
    <w:rsid w:val="006D3530"/>
    <w:rsid w:val="006D36C9"/>
    <w:rsid w:val="006D3BF4"/>
    <w:rsid w:val="006D407D"/>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404F"/>
    <w:rsid w:val="006E464C"/>
    <w:rsid w:val="006E4970"/>
    <w:rsid w:val="006E4A6B"/>
    <w:rsid w:val="006E4CCB"/>
    <w:rsid w:val="006E4CCC"/>
    <w:rsid w:val="006E516B"/>
    <w:rsid w:val="006E559F"/>
    <w:rsid w:val="006E64FC"/>
    <w:rsid w:val="006E6536"/>
    <w:rsid w:val="006E6A28"/>
    <w:rsid w:val="006E77E5"/>
    <w:rsid w:val="006E78A4"/>
    <w:rsid w:val="006E7A04"/>
    <w:rsid w:val="006E7B89"/>
    <w:rsid w:val="006F065D"/>
    <w:rsid w:val="006F0C10"/>
    <w:rsid w:val="006F14B1"/>
    <w:rsid w:val="006F290B"/>
    <w:rsid w:val="006F29B4"/>
    <w:rsid w:val="006F350F"/>
    <w:rsid w:val="006F36F0"/>
    <w:rsid w:val="006F3C48"/>
    <w:rsid w:val="006F533D"/>
    <w:rsid w:val="006F6D3E"/>
    <w:rsid w:val="006F6DDA"/>
    <w:rsid w:val="006F7041"/>
    <w:rsid w:val="006F726F"/>
    <w:rsid w:val="006F7BBD"/>
    <w:rsid w:val="0070068B"/>
    <w:rsid w:val="00700990"/>
    <w:rsid w:val="00700CF4"/>
    <w:rsid w:val="007016BE"/>
    <w:rsid w:val="00701816"/>
    <w:rsid w:val="007025A3"/>
    <w:rsid w:val="00702A5C"/>
    <w:rsid w:val="007030B9"/>
    <w:rsid w:val="00703181"/>
    <w:rsid w:val="00703505"/>
    <w:rsid w:val="00703B08"/>
    <w:rsid w:val="00704001"/>
    <w:rsid w:val="007042E7"/>
    <w:rsid w:val="007044EC"/>
    <w:rsid w:val="00704571"/>
    <w:rsid w:val="007048F0"/>
    <w:rsid w:val="00705362"/>
    <w:rsid w:val="0070604E"/>
    <w:rsid w:val="00706DF0"/>
    <w:rsid w:val="0070718C"/>
    <w:rsid w:val="00710339"/>
    <w:rsid w:val="00710630"/>
    <w:rsid w:val="00711526"/>
    <w:rsid w:val="0071165C"/>
    <w:rsid w:val="00711CAD"/>
    <w:rsid w:val="0071201B"/>
    <w:rsid w:val="007128F7"/>
    <w:rsid w:val="0071320C"/>
    <w:rsid w:val="0071356F"/>
    <w:rsid w:val="00714166"/>
    <w:rsid w:val="007153F0"/>
    <w:rsid w:val="007154CF"/>
    <w:rsid w:val="007159A1"/>
    <w:rsid w:val="00716550"/>
    <w:rsid w:val="007167FF"/>
    <w:rsid w:val="00716812"/>
    <w:rsid w:val="00716C0F"/>
    <w:rsid w:val="007171DB"/>
    <w:rsid w:val="00717651"/>
    <w:rsid w:val="0071796A"/>
    <w:rsid w:val="00717A8D"/>
    <w:rsid w:val="00717BF6"/>
    <w:rsid w:val="00717C21"/>
    <w:rsid w:val="00717F9F"/>
    <w:rsid w:val="00720493"/>
    <w:rsid w:val="00720B9E"/>
    <w:rsid w:val="00721887"/>
    <w:rsid w:val="00721962"/>
    <w:rsid w:val="00721CC5"/>
    <w:rsid w:val="00721D7F"/>
    <w:rsid w:val="00721DE0"/>
    <w:rsid w:val="007224ED"/>
    <w:rsid w:val="00722FD8"/>
    <w:rsid w:val="0072366C"/>
    <w:rsid w:val="00724291"/>
    <w:rsid w:val="00724D0C"/>
    <w:rsid w:val="00725190"/>
    <w:rsid w:val="0072590A"/>
    <w:rsid w:val="00725996"/>
    <w:rsid w:val="00725BAC"/>
    <w:rsid w:val="00726886"/>
    <w:rsid w:val="0072724E"/>
    <w:rsid w:val="00727381"/>
    <w:rsid w:val="00727924"/>
    <w:rsid w:val="00730896"/>
    <w:rsid w:val="00731044"/>
    <w:rsid w:val="007310CE"/>
    <w:rsid w:val="007314BA"/>
    <w:rsid w:val="007319B3"/>
    <w:rsid w:val="00732A2D"/>
    <w:rsid w:val="00732D06"/>
    <w:rsid w:val="0073377D"/>
    <w:rsid w:val="00733D78"/>
    <w:rsid w:val="00733E70"/>
    <w:rsid w:val="00733FFC"/>
    <w:rsid w:val="0073438B"/>
    <w:rsid w:val="007343F1"/>
    <w:rsid w:val="00734428"/>
    <w:rsid w:val="007347C7"/>
    <w:rsid w:val="00734864"/>
    <w:rsid w:val="0073490E"/>
    <w:rsid w:val="00734FE8"/>
    <w:rsid w:val="0073536C"/>
    <w:rsid w:val="007357EC"/>
    <w:rsid w:val="007359A2"/>
    <w:rsid w:val="007359BD"/>
    <w:rsid w:val="007360A9"/>
    <w:rsid w:val="0073699B"/>
    <w:rsid w:val="0073710F"/>
    <w:rsid w:val="00737362"/>
    <w:rsid w:val="00737753"/>
    <w:rsid w:val="00737882"/>
    <w:rsid w:val="007409AA"/>
    <w:rsid w:val="00740E1B"/>
    <w:rsid w:val="00740EE3"/>
    <w:rsid w:val="007411F4"/>
    <w:rsid w:val="007413BF"/>
    <w:rsid w:val="00741968"/>
    <w:rsid w:val="00741BDD"/>
    <w:rsid w:val="007423E9"/>
    <w:rsid w:val="007438D0"/>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06E7"/>
    <w:rsid w:val="007615C0"/>
    <w:rsid w:val="00762FCA"/>
    <w:rsid w:val="007639A5"/>
    <w:rsid w:val="00763DE8"/>
    <w:rsid w:val="00763EE9"/>
    <w:rsid w:val="00764375"/>
    <w:rsid w:val="007653BF"/>
    <w:rsid w:val="00765630"/>
    <w:rsid w:val="00765919"/>
    <w:rsid w:val="007661BB"/>
    <w:rsid w:val="0076653E"/>
    <w:rsid w:val="00766647"/>
    <w:rsid w:val="0076786D"/>
    <w:rsid w:val="007700F8"/>
    <w:rsid w:val="007701D4"/>
    <w:rsid w:val="0077094D"/>
    <w:rsid w:val="00770E63"/>
    <w:rsid w:val="00772964"/>
    <w:rsid w:val="00773C06"/>
    <w:rsid w:val="00774469"/>
    <w:rsid w:val="00774752"/>
    <w:rsid w:val="00774913"/>
    <w:rsid w:val="00775291"/>
    <w:rsid w:val="0077594E"/>
    <w:rsid w:val="00775FB9"/>
    <w:rsid w:val="00776268"/>
    <w:rsid w:val="00777495"/>
    <w:rsid w:val="00777F38"/>
    <w:rsid w:val="0078016F"/>
    <w:rsid w:val="007804B1"/>
    <w:rsid w:val="007805EC"/>
    <w:rsid w:val="007807E9"/>
    <w:rsid w:val="007808A4"/>
    <w:rsid w:val="00780928"/>
    <w:rsid w:val="00780B0E"/>
    <w:rsid w:val="00781689"/>
    <w:rsid w:val="00781F85"/>
    <w:rsid w:val="00782394"/>
    <w:rsid w:val="00782848"/>
    <w:rsid w:val="007829B1"/>
    <w:rsid w:val="00782C5A"/>
    <w:rsid w:val="007834C1"/>
    <w:rsid w:val="00783873"/>
    <w:rsid w:val="00783F1A"/>
    <w:rsid w:val="007847D1"/>
    <w:rsid w:val="00784924"/>
    <w:rsid w:val="00785B0C"/>
    <w:rsid w:val="00785D82"/>
    <w:rsid w:val="00785DE4"/>
    <w:rsid w:val="0078647B"/>
    <w:rsid w:val="007866B1"/>
    <w:rsid w:val="00786ED4"/>
    <w:rsid w:val="0078716F"/>
    <w:rsid w:val="00787256"/>
    <w:rsid w:val="007873C8"/>
    <w:rsid w:val="0078793D"/>
    <w:rsid w:val="00787F80"/>
    <w:rsid w:val="00790F50"/>
    <w:rsid w:val="00791374"/>
    <w:rsid w:val="0079263D"/>
    <w:rsid w:val="007929C5"/>
    <w:rsid w:val="00792B66"/>
    <w:rsid w:val="0079352C"/>
    <w:rsid w:val="007937E7"/>
    <w:rsid w:val="00793B34"/>
    <w:rsid w:val="00793B84"/>
    <w:rsid w:val="00793D87"/>
    <w:rsid w:val="00794795"/>
    <w:rsid w:val="007949E6"/>
    <w:rsid w:val="00794CC2"/>
    <w:rsid w:val="00794D98"/>
    <w:rsid w:val="00794F29"/>
    <w:rsid w:val="007954BD"/>
    <w:rsid w:val="00795A2A"/>
    <w:rsid w:val="00795E7E"/>
    <w:rsid w:val="007964B5"/>
    <w:rsid w:val="007972BC"/>
    <w:rsid w:val="007972FB"/>
    <w:rsid w:val="007977AD"/>
    <w:rsid w:val="007978FC"/>
    <w:rsid w:val="007A02BC"/>
    <w:rsid w:val="007A099F"/>
    <w:rsid w:val="007A0ADA"/>
    <w:rsid w:val="007A0F0F"/>
    <w:rsid w:val="007A16EB"/>
    <w:rsid w:val="007A17E2"/>
    <w:rsid w:val="007A26C4"/>
    <w:rsid w:val="007A2742"/>
    <w:rsid w:val="007A2790"/>
    <w:rsid w:val="007A2F96"/>
    <w:rsid w:val="007A33C4"/>
    <w:rsid w:val="007A42DA"/>
    <w:rsid w:val="007A49D9"/>
    <w:rsid w:val="007A5620"/>
    <w:rsid w:val="007A7605"/>
    <w:rsid w:val="007A7E4C"/>
    <w:rsid w:val="007B01E7"/>
    <w:rsid w:val="007B0810"/>
    <w:rsid w:val="007B0DC2"/>
    <w:rsid w:val="007B104F"/>
    <w:rsid w:val="007B120B"/>
    <w:rsid w:val="007B1418"/>
    <w:rsid w:val="007B1C29"/>
    <w:rsid w:val="007B2177"/>
    <w:rsid w:val="007B23E6"/>
    <w:rsid w:val="007B2FF1"/>
    <w:rsid w:val="007B3347"/>
    <w:rsid w:val="007B3584"/>
    <w:rsid w:val="007B3BDC"/>
    <w:rsid w:val="007B3E48"/>
    <w:rsid w:val="007B3F86"/>
    <w:rsid w:val="007B41BE"/>
    <w:rsid w:val="007B482A"/>
    <w:rsid w:val="007B52BB"/>
    <w:rsid w:val="007B56E1"/>
    <w:rsid w:val="007B5C49"/>
    <w:rsid w:val="007B71D9"/>
    <w:rsid w:val="007B7BB1"/>
    <w:rsid w:val="007C0B47"/>
    <w:rsid w:val="007C107C"/>
    <w:rsid w:val="007C1229"/>
    <w:rsid w:val="007C17AB"/>
    <w:rsid w:val="007C1DFF"/>
    <w:rsid w:val="007C1E1D"/>
    <w:rsid w:val="007C2145"/>
    <w:rsid w:val="007C21A1"/>
    <w:rsid w:val="007C2349"/>
    <w:rsid w:val="007C2A41"/>
    <w:rsid w:val="007C2AE7"/>
    <w:rsid w:val="007C377C"/>
    <w:rsid w:val="007C378F"/>
    <w:rsid w:val="007C3815"/>
    <w:rsid w:val="007C3B7F"/>
    <w:rsid w:val="007C3F35"/>
    <w:rsid w:val="007C4A9F"/>
    <w:rsid w:val="007C4E9B"/>
    <w:rsid w:val="007C5A9A"/>
    <w:rsid w:val="007C5B20"/>
    <w:rsid w:val="007C65FA"/>
    <w:rsid w:val="007C685F"/>
    <w:rsid w:val="007C7A9E"/>
    <w:rsid w:val="007C7F59"/>
    <w:rsid w:val="007D069C"/>
    <w:rsid w:val="007D090A"/>
    <w:rsid w:val="007D19F4"/>
    <w:rsid w:val="007D1AFD"/>
    <w:rsid w:val="007D1E73"/>
    <w:rsid w:val="007D23C4"/>
    <w:rsid w:val="007D25E6"/>
    <w:rsid w:val="007D298F"/>
    <w:rsid w:val="007D2FC8"/>
    <w:rsid w:val="007D310A"/>
    <w:rsid w:val="007D408D"/>
    <w:rsid w:val="007D4CA7"/>
    <w:rsid w:val="007D4CD5"/>
    <w:rsid w:val="007D52A7"/>
    <w:rsid w:val="007D5BD5"/>
    <w:rsid w:val="007D619D"/>
    <w:rsid w:val="007D658F"/>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70B"/>
    <w:rsid w:val="007E1720"/>
    <w:rsid w:val="007E18BA"/>
    <w:rsid w:val="007E18FA"/>
    <w:rsid w:val="007E1DF2"/>
    <w:rsid w:val="007E2170"/>
    <w:rsid w:val="007E2888"/>
    <w:rsid w:val="007E2BA4"/>
    <w:rsid w:val="007E3026"/>
    <w:rsid w:val="007E32D4"/>
    <w:rsid w:val="007E349F"/>
    <w:rsid w:val="007E3514"/>
    <w:rsid w:val="007E3829"/>
    <w:rsid w:val="007E402B"/>
    <w:rsid w:val="007E4167"/>
    <w:rsid w:val="007E495E"/>
    <w:rsid w:val="007E4DF6"/>
    <w:rsid w:val="007E5FF3"/>
    <w:rsid w:val="007E6257"/>
    <w:rsid w:val="007E65FE"/>
    <w:rsid w:val="007E6782"/>
    <w:rsid w:val="007E6B64"/>
    <w:rsid w:val="007E6F9A"/>
    <w:rsid w:val="007E7679"/>
    <w:rsid w:val="007E7683"/>
    <w:rsid w:val="007E79F5"/>
    <w:rsid w:val="007E7AF0"/>
    <w:rsid w:val="007F02BF"/>
    <w:rsid w:val="007F10B5"/>
    <w:rsid w:val="007F10D0"/>
    <w:rsid w:val="007F1B16"/>
    <w:rsid w:val="007F1BC2"/>
    <w:rsid w:val="007F1C7A"/>
    <w:rsid w:val="007F1CCC"/>
    <w:rsid w:val="007F25B4"/>
    <w:rsid w:val="007F2B31"/>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338"/>
    <w:rsid w:val="00800FCD"/>
    <w:rsid w:val="00801057"/>
    <w:rsid w:val="00801387"/>
    <w:rsid w:val="00801BFF"/>
    <w:rsid w:val="0080250E"/>
    <w:rsid w:val="0080281E"/>
    <w:rsid w:val="0080288E"/>
    <w:rsid w:val="00803DDF"/>
    <w:rsid w:val="00804C27"/>
    <w:rsid w:val="00805261"/>
    <w:rsid w:val="0080563D"/>
    <w:rsid w:val="008056BE"/>
    <w:rsid w:val="008059F4"/>
    <w:rsid w:val="00805F75"/>
    <w:rsid w:val="00806071"/>
    <w:rsid w:val="008070F2"/>
    <w:rsid w:val="00807692"/>
    <w:rsid w:val="00807C1B"/>
    <w:rsid w:val="00807E3E"/>
    <w:rsid w:val="00810489"/>
    <w:rsid w:val="008107E7"/>
    <w:rsid w:val="00810B18"/>
    <w:rsid w:val="00810D65"/>
    <w:rsid w:val="00810F2E"/>
    <w:rsid w:val="00811026"/>
    <w:rsid w:val="0081143A"/>
    <w:rsid w:val="00811982"/>
    <w:rsid w:val="00811B7A"/>
    <w:rsid w:val="00811E77"/>
    <w:rsid w:val="0081206F"/>
    <w:rsid w:val="00812466"/>
    <w:rsid w:val="00812638"/>
    <w:rsid w:val="00812656"/>
    <w:rsid w:val="00812720"/>
    <w:rsid w:val="00812AE2"/>
    <w:rsid w:val="00812CD4"/>
    <w:rsid w:val="0081303A"/>
    <w:rsid w:val="008130B9"/>
    <w:rsid w:val="0081342A"/>
    <w:rsid w:val="00814892"/>
    <w:rsid w:val="00814D78"/>
    <w:rsid w:val="00815167"/>
    <w:rsid w:val="008151B0"/>
    <w:rsid w:val="00815F87"/>
    <w:rsid w:val="00816744"/>
    <w:rsid w:val="0081696D"/>
    <w:rsid w:val="00816A62"/>
    <w:rsid w:val="00816B36"/>
    <w:rsid w:val="00817452"/>
    <w:rsid w:val="0081758D"/>
    <w:rsid w:val="00817C39"/>
    <w:rsid w:val="00817C8A"/>
    <w:rsid w:val="0082098B"/>
    <w:rsid w:val="008214EB"/>
    <w:rsid w:val="00821601"/>
    <w:rsid w:val="00821923"/>
    <w:rsid w:val="00821E84"/>
    <w:rsid w:val="00822005"/>
    <w:rsid w:val="0082256B"/>
    <w:rsid w:val="00822609"/>
    <w:rsid w:val="00822901"/>
    <w:rsid w:val="00822B0C"/>
    <w:rsid w:val="00822C45"/>
    <w:rsid w:val="00822F66"/>
    <w:rsid w:val="00823764"/>
    <w:rsid w:val="008241E4"/>
    <w:rsid w:val="00824394"/>
    <w:rsid w:val="00824912"/>
    <w:rsid w:val="00824F1A"/>
    <w:rsid w:val="00825B07"/>
    <w:rsid w:val="008265E8"/>
    <w:rsid w:val="00826634"/>
    <w:rsid w:val="00826C0C"/>
    <w:rsid w:val="0082711A"/>
    <w:rsid w:val="00827E75"/>
    <w:rsid w:val="00827ED8"/>
    <w:rsid w:val="0083008D"/>
    <w:rsid w:val="00830810"/>
    <w:rsid w:val="00830817"/>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5389"/>
    <w:rsid w:val="00835459"/>
    <w:rsid w:val="008356D1"/>
    <w:rsid w:val="00835819"/>
    <w:rsid w:val="008358DA"/>
    <w:rsid w:val="00836F1C"/>
    <w:rsid w:val="00837060"/>
    <w:rsid w:val="008373F3"/>
    <w:rsid w:val="008375EA"/>
    <w:rsid w:val="00837C5C"/>
    <w:rsid w:val="00840350"/>
    <w:rsid w:val="00840409"/>
    <w:rsid w:val="0084055F"/>
    <w:rsid w:val="00840983"/>
    <w:rsid w:val="0084098C"/>
    <w:rsid w:val="008411FD"/>
    <w:rsid w:val="008412C1"/>
    <w:rsid w:val="0084138C"/>
    <w:rsid w:val="00842584"/>
    <w:rsid w:val="008429DB"/>
    <w:rsid w:val="00842BA8"/>
    <w:rsid w:val="008430F2"/>
    <w:rsid w:val="0084324E"/>
    <w:rsid w:val="00843E4B"/>
    <w:rsid w:val="00844B2A"/>
    <w:rsid w:val="00844ED2"/>
    <w:rsid w:val="0084562E"/>
    <w:rsid w:val="00845780"/>
    <w:rsid w:val="008467D6"/>
    <w:rsid w:val="008470E8"/>
    <w:rsid w:val="0084736D"/>
    <w:rsid w:val="008479BC"/>
    <w:rsid w:val="00847C79"/>
    <w:rsid w:val="00850565"/>
    <w:rsid w:val="00850923"/>
    <w:rsid w:val="00850A19"/>
    <w:rsid w:val="00850AFC"/>
    <w:rsid w:val="00850C7E"/>
    <w:rsid w:val="00850DA6"/>
    <w:rsid w:val="0085106C"/>
    <w:rsid w:val="008514EC"/>
    <w:rsid w:val="00851AFC"/>
    <w:rsid w:val="00851F31"/>
    <w:rsid w:val="0085233E"/>
    <w:rsid w:val="008524F7"/>
    <w:rsid w:val="00852A9A"/>
    <w:rsid w:val="00852F34"/>
    <w:rsid w:val="008534FA"/>
    <w:rsid w:val="00853616"/>
    <w:rsid w:val="00853704"/>
    <w:rsid w:val="00853C23"/>
    <w:rsid w:val="00853EFD"/>
    <w:rsid w:val="0085413E"/>
    <w:rsid w:val="008542C1"/>
    <w:rsid w:val="00854674"/>
    <w:rsid w:val="00854784"/>
    <w:rsid w:val="00854C8E"/>
    <w:rsid w:val="008557F4"/>
    <w:rsid w:val="00855D65"/>
    <w:rsid w:val="00856542"/>
    <w:rsid w:val="00856B56"/>
    <w:rsid w:val="00856FEF"/>
    <w:rsid w:val="0085729A"/>
    <w:rsid w:val="008575ED"/>
    <w:rsid w:val="008577A7"/>
    <w:rsid w:val="00857A8B"/>
    <w:rsid w:val="00857F3D"/>
    <w:rsid w:val="008608B0"/>
    <w:rsid w:val="00860F08"/>
    <w:rsid w:val="008610DA"/>
    <w:rsid w:val="008611C8"/>
    <w:rsid w:val="008612F5"/>
    <w:rsid w:val="00861376"/>
    <w:rsid w:val="00861D5B"/>
    <w:rsid w:val="00861E55"/>
    <w:rsid w:val="00861F9D"/>
    <w:rsid w:val="00862B4C"/>
    <w:rsid w:val="0086307F"/>
    <w:rsid w:val="008639AD"/>
    <w:rsid w:val="00863C1F"/>
    <w:rsid w:val="00863E22"/>
    <w:rsid w:val="0086425E"/>
    <w:rsid w:val="00866BCC"/>
    <w:rsid w:val="00866D92"/>
    <w:rsid w:val="00870856"/>
    <w:rsid w:val="00870F6E"/>
    <w:rsid w:val="0087157B"/>
    <w:rsid w:val="00871C4C"/>
    <w:rsid w:val="00871E03"/>
    <w:rsid w:val="00873845"/>
    <w:rsid w:val="008748D1"/>
    <w:rsid w:val="00874E52"/>
    <w:rsid w:val="00876400"/>
    <w:rsid w:val="00876522"/>
    <w:rsid w:val="00876AE3"/>
    <w:rsid w:val="00876E87"/>
    <w:rsid w:val="008775DB"/>
    <w:rsid w:val="00877B07"/>
    <w:rsid w:val="00877B7A"/>
    <w:rsid w:val="00880EFA"/>
    <w:rsid w:val="00881BC8"/>
    <w:rsid w:val="00881EBC"/>
    <w:rsid w:val="0088248D"/>
    <w:rsid w:val="008828DF"/>
    <w:rsid w:val="00882C23"/>
    <w:rsid w:val="00882E91"/>
    <w:rsid w:val="00882EA8"/>
    <w:rsid w:val="00883EE1"/>
    <w:rsid w:val="0088421A"/>
    <w:rsid w:val="00884ED2"/>
    <w:rsid w:val="00885317"/>
    <w:rsid w:val="0088567D"/>
    <w:rsid w:val="00885D0E"/>
    <w:rsid w:val="00885E1B"/>
    <w:rsid w:val="008863EC"/>
    <w:rsid w:val="008865CF"/>
    <w:rsid w:val="00886995"/>
    <w:rsid w:val="00886BEE"/>
    <w:rsid w:val="00887227"/>
    <w:rsid w:val="008872A5"/>
    <w:rsid w:val="008900AA"/>
    <w:rsid w:val="00890211"/>
    <w:rsid w:val="00890427"/>
    <w:rsid w:val="008905B4"/>
    <w:rsid w:val="0089096B"/>
    <w:rsid w:val="008919D4"/>
    <w:rsid w:val="00892157"/>
    <w:rsid w:val="0089225A"/>
    <w:rsid w:val="00892AC0"/>
    <w:rsid w:val="008934FE"/>
    <w:rsid w:val="00893B5D"/>
    <w:rsid w:val="00893E2F"/>
    <w:rsid w:val="008944DB"/>
    <w:rsid w:val="00894AB9"/>
    <w:rsid w:val="00895260"/>
    <w:rsid w:val="00895570"/>
    <w:rsid w:val="0089594E"/>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A21"/>
    <w:rsid w:val="008A2E17"/>
    <w:rsid w:val="008A344E"/>
    <w:rsid w:val="008A3721"/>
    <w:rsid w:val="008A382F"/>
    <w:rsid w:val="008A39A0"/>
    <w:rsid w:val="008A39AD"/>
    <w:rsid w:val="008A3A1E"/>
    <w:rsid w:val="008A3DB6"/>
    <w:rsid w:val="008A4715"/>
    <w:rsid w:val="008A56ED"/>
    <w:rsid w:val="008A5BE4"/>
    <w:rsid w:val="008A5F0F"/>
    <w:rsid w:val="008A7E3B"/>
    <w:rsid w:val="008B0364"/>
    <w:rsid w:val="008B0379"/>
    <w:rsid w:val="008B0D70"/>
    <w:rsid w:val="008B0EA7"/>
    <w:rsid w:val="008B0FC7"/>
    <w:rsid w:val="008B18C5"/>
    <w:rsid w:val="008B1C9A"/>
    <w:rsid w:val="008B256F"/>
    <w:rsid w:val="008B29B7"/>
    <w:rsid w:val="008B480A"/>
    <w:rsid w:val="008B4F76"/>
    <w:rsid w:val="008B58D9"/>
    <w:rsid w:val="008B5C98"/>
    <w:rsid w:val="008B5F66"/>
    <w:rsid w:val="008B64DC"/>
    <w:rsid w:val="008B6AFD"/>
    <w:rsid w:val="008B6B42"/>
    <w:rsid w:val="008B70D9"/>
    <w:rsid w:val="008B7209"/>
    <w:rsid w:val="008B7236"/>
    <w:rsid w:val="008C0396"/>
    <w:rsid w:val="008C07A9"/>
    <w:rsid w:val="008C0944"/>
    <w:rsid w:val="008C0A39"/>
    <w:rsid w:val="008C17C0"/>
    <w:rsid w:val="008C1814"/>
    <w:rsid w:val="008C18D1"/>
    <w:rsid w:val="008C3B84"/>
    <w:rsid w:val="008C3CCC"/>
    <w:rsid w:val="008C4084"/>
    <w:rsid w:val="008C4116"/>
    <w:rsid w:val="008C4162"/>
    <w:rsid w:val="008C43A5"/>
    <w:rsid w:val="008C5C81"/>
    <w:rsid w:val="008C5CDF"/>
    <w:rsid w:val="008C6469"/>
    <w:rsid w:val="008C6580"/>
    <w:rsid w:val="008C66A9"/>
    <w:rsid w:val="008C703F"/>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83E"/>
    <w:rsid w:val="008D4B98"/>
    <w:rsid w:val="008D4BD7"/>
    <w:rsid w:val="008D5469"/>
    <w:rsid w:val="008D56F1"/>
    <w:rsid w:val="008D62B4"/>
    <w:rsid w:val="008D6375"/>
    <w:rsid w:val="008D65B8"/>
    <w:rsid w:val="008D7523"/>
    <w:rsid w:val="008D7D36"/>
    <w:rsid w:val="008E02E0"/>
    <w:rsid w:val="008E0670"/>
    <w:rsid w:val="008E0B71"/>
    <w:rsid w:val="008E114F"/>
    <w:rsid w:val="008E1153"/>
    <w:rsid w:val="008E1D76"/>
    <w:rsid w:val="008E2594"/>
    <w:rsid w:val="008E2DD0"/>
    <w:rsid w:val="008E3455"/>
    <w:rsid w:val="008E3BFB"/>
    <w:rsid w:val="008E4349"/>
    <w:rsid w:val="008E50BD"/>
    <w:rsid w:val="008E52DB"/>
    <w:rsid w:val="008E5755"/>
    <w:rsid w:val="008E5A64"/>
    <w:rsid w:val="008E6356"/>
    <w:rsid w:val="008E6529"/>
    <w:rsid w:val="008E664D"/>
    <w:rsid w:val="008E6C51"/>
    <w:rsid w:val="008E6F7A"/>
    <w:rsid w:val="008E7734"/>
    <w:rsid w:val="008F04B2"/>
    <w:rsid w:val="008F07ED"/>
    <w:rsid w:val="008F142D"/>
    <w:rsid w:val="008F1674"/>
    <w:rsid w:val="008F192D"/>
    <w:rsid w:val="008F2699"/>
    <w:rsid w:val="008F282A"/>
    <w:rsid w:val="008F345A"/>
    <w:rsid w:val="008F3FE5"/>
    <w:rsid w:val="008F42D7"/>
    <w:rsid w:val="008F4382"/>
    <w:rsid w:val="008F4CE7"/>
    <w:rsid w:val="008F4E16"/>
    <w:rsid w:val="008F5536"/>
    <w:rsid w:val="008F62BC"/>
    <w:rsid w:val="008F6537"/>
    <w:rsid w:val="00900416"/>
    <w:rsid w:val="00900590"/>
    <w:rsid w:val="00901459"/>
    <w:rsid w:val="00901C47"/>
    <w:rsid w:val="00902190"/>
    <w:rsid w:val="00902C9D"/>
    <w:rsid w:val="00902EDE"/>
    <w:rsid w:val="0090328B"/>
    <w:rsid w:val="009032E9"/>
    <w:rsid w:val="00903D57"/>
    <w:rsid w:val="00903EFE"/>
    <w:rsid w:val="009040EB"/>
    <w:rsid w:val="0090437C"/>
    <w:rsid w:val="0090472D"/>
    <w:rsid w:val="0090518E"/>
    <w:rsid w:val="0090563D"/>
    <w:rsid w:val="009067E1"/>
    <w:rsid w:val="00906EF4"/>
    <w:rsid w:val="00907057"/>
    <w:rsid w:val="00910287"/>
    <w:rsid w:val="00910D9D"/>
    <w:rsid w:val="00910F33"/>
    <w:rsid w:val="009110BA"/>
    <w:rsid w:val="00911691"/>
    <w:rsid w:val="00911869"/>
    <w:rsid w:val="009118B0"/>
    <w:rsid w:val="00912000"/>
    <w:rsid w:val="009120D7"/>
    <w:rsid w:val="009124E6"/>
    <w:rsid w:val="00913944"/>
    <w:rsid w:val="00913EF4"/>
    <w:rsid w:val="00914CD6"/>
    <w:rsid w:val="00915AC6"/>
    <w:rsid w:val="00915B92"/>
    <w:rsid w:val="00915F1E"/>
    <w:rsid w:val="00916440"/>
    <w:rsid w:val="009166E5"/>
    <w:rsid w:val="00916748"/>
    <w:rsid w:val="00917332"/>
    <w:rsid w:val="009177FA"/>
    <w:rsid w:val="009202C5"/>
    <w:rsid w:val="009205FD"/>
    <w:rsid w:val="00920773"/>
    <w:rsid w:val="009209C5"/>
    <w:rsid w:val="00921817"/>
    <w:rsid w:val="00922327"/>
    <w:rsid w:val="0092265F"/>
    <w:rsid w:val="00922F1A"/>
    <w:rsid w:val="0092359E"/>
    <w:rsid w:val="00923EA0"/>
    <w:rsid w:val="00924224"/>
    <w:rsid w:val="0092474D"/>
    <w:rsid w:val="00924C0E"/>
    <w:rsid w:val="00925637"/>
    <w:rsid w:val="0092598F"/>
    <w:rsid w:val="00925FF9"/>
    <w:rsid w:val="009265E4"/>
    <w:rsid w:val="00927BAA"/>
    <w:rsid w:val="00927E94"/>
    <w:rsid w:val="009305AF"/>
    <w:rsid w:val="00930743"/>
    <w:rsid w:val="00930B6B"/>
    <w:rsid w:val="00931282"/>
    <w:rsid w:val="00931457"/>
    <w:rsid w:val="009315B3"/>
    <w:rsid w:val="0093167B"/>
    <w:rsid w:val="0093175E"/>
    <w:rsid w:val="00931B23"/>
    <w:rsid w:val="00932333"/>
    <w:rsid w:val="00932567"/>
    <w:rsid w:val="009326C6"/>
    <w:rsid w:val="00933665"/>
    <w:rsid w:val="00933695"/>
    <w:rsid w:val="00933A7E"/>
    <w:rsid w:val="00933B5C"/>
    <w:rsid w:val="00933C2B"/>
    <w:rsid w:val="00933CF4"/>
    <w:rsid w:val="00933F52"/>
    <w:rsid w:val="009344EF"/>
    <w:rsid w:val="00934513"/>
    <w:rsid w:val="0093661E"/>
    <w:rsid w:val="00936789"/>
    <w:rsid w:val="00936E0F"/>
    <w:rsid w:val="00936EF5"/>
    <w:rsid w:val="009372E1"/>
    <w:rsid w:val="00937755"/>
    <w:rsid w:val="00937FBA"/>
    <w:rsid w:val="009417AC"/>
    <w:rsid w:val="00942550"/>
    <w:rsid w:val="0094325C"/>
    <w:rsid w:val="009440B0"/>
    <w:rsid w:val="0094420F"/>
    <w:rsid w:val="0094565D"/>
    <w:rsid w:val="00945766"/>
    <w:rsid w:val="009457AC"/>
    <w:rsid w:val="00945B1E"/>
    <w:rsid w:val="0094609D"/>
    <w:rsid w:val="0094617D"/>
    <w:rsid w:val="00946309"/>
    <w:rsid w:val="00946484"/>
    <w:rsid w:val="00946970"/>
    <w:rsid w:val="00946B28"/>
    <w:rsid w:val="00947447"/>
    <w:rsid w:val="00947B1C"/>
    <w:rsid w:val="009510F9"/>
    <w:rsid w:val="009516DD"/>
    <w:rsid w:val="00951D77"/>
    <w:rsid w:val="00951F1A"/>
    <w:rsid w:val="00952F06"/>
    <w:rsid w:val="00953586"/>
    <w:rsid w:val="0095377C"/>
    <w:rsid w:val="00953A0D"/>
    <w:rsid w:val="00954532"/>
    <w:rsid w:val="00954C5C"/>
    <w:rsid w:val="00954D4A"/>
    <w:rsid w:val="009552E3"/>
    <w:rsid w:val="009558BE"/>
    <w:rsid w:val="00955ADE"/>
    <w:rsid w:val="00955E1B"/>
    <w:rsid w:val="00955F37"/>
    <w:rsid w:val="0095668C"/>
    <w:rsid w:val="0095706B"/>
    <w:rsid w:val="009570F9"/>
    <w:rsid w:val="009573EB"/>
    <w:rsid w:val="009575BF"/>
    <w:rsid w:val="00957F66"/>
    <w:rsid w:val="00960092"/>
    <w:rsid w:val="00960671"/>
    <w:rsid w:val="0096083A"/>
    <w:rsid w:val="009609E5"/>
    <w:rsid w:val="009610B1"/>
    <w:rsid w:val="009618CD"/>
    <w:rsid w:val="00961F2F"/>
    <w:rsid w:val="009621E4"/>
    <w:rsid w:val="00962429"/>
    <w:rsid w:val="00963644"/>
    <w:rsid w:val="0096451A"/>
    <w:rsid w:val="00964583"/>
    <w:rsid w:val="00964775"/>
    <w:rsid w:val="00964ACE"/>
    <w:rsid w:val="009659F8"/>
    <w:rsid w:val="009660FF"/>
    <w:rsid w:val="0096616D"/>
    <w:rsid w:val="009664CB"/>
    <w:rsid w:val="00966CC0"/>
    <w:rsid w:val="009671A1"/>
    <w:rsid w:val="0097179C"/>
    <w:rsid w:val="0097191C"/>
    <w:rsid w:val="0097198A"/>
    <w:rsid w:val="00971B84"/>
    <w:rsid w:val="00971FC8"/>
    <w:rsid w:val="009734BF"/>
    <w:rsid w:val="009735EC"/>
    <w:rsid w:val="00973612"/>
    <w:rsid w:val="009737F3"/>
    <w:rsid w:val="00973917"/>
    <w:rsid w:val="00973C3E"/>
    <w:rsid w:val="0097420B"/>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876"/>
    <w:rsid w:val="00981E56"/>
    <w:rsid w:val="00982064"/>
    <w:rsid w:val="00982142"/>
    <w:rsid w:val="00982267"/>
    <w:rsid w:val="00982639"/>
    <w:rsid w:val="00982BCF"/>
    <w:rsid w:val="00982EEA"/>
    <w:rsid w:val="00982F82"/>
    <w:rsid w:val="009831E2"/>
    <w:rsid w:val="00983255"/>
    <w:rsid w:val="00983D12"/>
    <w:rsid w:val="00983E5F"/>
    <w:rsid w:val="00984B42"/>
    <w:rsid w:val="00984B7C"/>
    <w:rsid w:val="00985051"/>
    <w:rsid w:val="00985723"/>
    <w:rsid w:val="00985C80"/>
    <w:rsid w:val="00985DA2"/>
    <w:rsid w:val="0098660C"/>
    <w:rsid w:val="00986765"/>
    <w:rsid w:val="009867E7"/>
    <w:rsid w:val="00987028"/>
    <w:rsid w:val="009870A3"/>
    <w:rsid w:val="00987DF4"/>
    <w:rsid w:val="00987FDA"/>
    <w:rsid w:val="00990175"/>
    <w:rsid w:val="00990CAE"/>
    <w:rsid w:val="00990FEA"/>
    <w:rsid w:val="00991031"/>
    <w:rsid w:val="009919E9"/>
    <w:rsid w:val="00991ED6"/>
    <w:rsid w:val="009920A0"/>
    <w:rsid w:val="00992E8A"/>
    <w:rsid w:val="00992E8D"/>
    <w:rsid w:val="009937FD"/>
    <w:rsid w:val="00994F4D"/>
    <w:rsid w:val="0099561B"/>
    <w:rsid w:val="0099582B"/>
    <w:rsid w:val="00995DAF"/>
    <w:rsid w:val="00995E94"/>
    <w:rsid w:val="00995FC3"/>
    <w:rsid w:val="00996AA6"/>
    <w:rsid w:val="009970AD"/>
    <w:rsid w:val="00997230"/>
    <w:rsid w:val="009A0274"/>
    <w:rsid w:val="009A035E"/>
    <w:rsid w:val="009A0B9D"/>
    <w:rsid w:val="009A0C6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5023"/>
    <w:rsid w:val="009A5A31"/>
    <w:rsid w:val="009A5D03"/>
    <w:rsid w:val="009A6258"/>
    <w:rsid w:val="009A6B3A"/>
    <w:rsid w:val="009A7442"/>
    <w:rsid w:val="009A76F7"/>
    <w:rsid w:val="009B01CF"/>
    <w:rsid w:val="009B02DB"/>
    <w:rsid w:val="009B04BE"/>
    <w:rsid w:val="009B0A50"/>
    <w:rsid w:val="009B15C6"/>
    <w:rsid w:val="009B1DA0"/>
    <w:rsid w:val="009B1F5D"/>
    <w:rsid w:val="009B2407"/>
    <w:rsid w:val="009B2D5B"/>
    <w:rsid w:val="009B34FC"/>
    <w:rsid w:val="009B3BC3"/>
    <w:rsid w:val="009B3BEA"/>
    <w:rsid w:val="009B41BA"/>
    <w:rsid w:val="009B44F0"/>
    <w:rsid w:val="009B545D"/>
    <w:rsid w:val="009B5957"/>
    <w:rsid w:val="009B5C0B"/>
    <w:rsid w:val="009B5C8C"/>
    <w:rsid w:val="009B6013"/>
    <w:rsid w:val="009B7273"/>
    <w:rsid w:val="009B7356"/>
    <w:rsid w:val="009B76DB"/>
    <w:rsid w:val="009B7FAC"/>
    <w:rsid w:val="009C0126"/>
    <w:rsid w:val="009C03C5"/>
    <w:rsid w:val="009C0C99"/>
    <w:rsid w:val="009C1122"/>
    <w:rsid w:val="009C1840"/>
    <w:rsid w:val="009C1B99"/>
    <w:rsid w:val="009C1DC2"/>
    <w:rsid w:val="009C223F"/>
    <w:rsid w:val="009C315D"/>
    <w:rsid w:val="009C323A"/>
    <w:rsid w:val="009C3A70"/>
    <w:rsid w:val="009C3AE8"/>
    <w:rsid w:val="009C4087"/>
    <w:rsid w:val="009C4959"/>
    <w:rsid w:val="009C49E0"/>
    <w:rsid w:val="009C4CFF"/>
    <w:rsid w:val="009C5961"/>
    <w:rsid w:val="009C674C"/>
    <w:rsid w:val="009C6DB6"/>
    <w:rsid w:val="009C76A3"/>
    <w:rsid w:val="009C79E5"/>
    <w:rsid w:val="009C7ACB"/>
    <w:rsid w:val="009C7C85"/>
    <w:rsid w:val="009D03F6"/>
    <w:rsid w:val="009D0701"/>
    <w:rsid w:val="009D1578"/>
    <w:rsid w:val="009D2372"/>
    <w:rsid w:val="009D317D"/>
    <w:rsid w:val="009D366D"/>
    <w:rsid w:val="009D3833"/>
    <w:rsid w:val="009D485D"/>
    <w:rsid w:val="009D5416"/>
    <w:rsid w:val="009D6353"/>
    <w:rsid w:val="009D6B28"/>
    <w:rsid w:val="009D6CF0"/>
    <w:rsid w:val="009D6E22"/>
    <w:rsid w:val="009D71D1"/>
    <w:rsid w:val="009D7591"/>
    <w:rsid w:val="009D75A9"/>
    <w:rsid w:val="009D7906"/>
    <w:rsid w:val="009D7B53"/>
    <w:rsid w:val="009E0A40"/>
    <w:rsid w:val="009E153F"/>
    <w:rsid w:val="009E19AE"/>
    <w:rsid w:val="009E1E60"/>
    <w:rsid w:val="009E1F86"/>
    <w:rsid w:val="009E2AAB"/>
    <w:rsid w:val="009E3112"/>
    <w:rsid w:val="009E34B7"/>
    <w:rsid w:val="009E434B"/>
    <w:rsid w:val="009E480B"/>
    <w:rsid w:val="009E4986"/>
    <w:rsid w:val="009E4C2E"/>
    <w:rsid w:val="009E5772"/>
    <w:rsid w:val="009E5BAE"/>
    <w:rsid w:val="009E5BF5"/>
    <w:rsid w:val="009E5D18"/>
    <w:rsid w:val="009E5EC1"/>
    <w:rsid w:val="009E5F8E"/>
    <w:rsid w:val="009E6485"/>
    <w:rsid w:val="009E648E"/>
    <w:rsid w:val="009E65CA"/>
    <w:rsid w:val="009E699D"/>
    <w:rsid w:val="009F1904"/>
    <w:rsid w:val="009F209E"/>
    <w:rsid w:val="009F21A0"/>
    <w:rsid w:val="009F2446"/>
    <w:rsid w:val="009F2450"/>
    <w:rsid w:val="009F2516"/>
    <w:rsid w:val="009F259C"/>
    <w:rsid w:val="009F29FF"/>
    <w:rsid w:val="009F2BF4"/>
    <w:rsid w:val="009F2C12"/>
    <w:rsid w:val="009F2F47"/>
    <w:rsid w:val="009F385D"/>
    <w:rsid w:val="009F48AF"/>
    <w:rsid w:val="009F4B7F"/>
    <w:rsid w:val="009F555E"/>
    <w:rsid w:val="009F5A8C"/>
    <w:rsid w:val="009F5C78"/>
    <w:rsid w:val="009F5E9D"/>
    <w:rsid w:val="009F5F56"/>
    <w:rsid w:val="009F697A"/>
    <w:rsid w:val="009F6AE8"/>
    <w:rsid w:val="009F6DAC"/>
    <w:rsid w:val="009F6E4C"/>
    <w:rsid w:val="009F7274"/>
    <w:rsid w:val="009F7309"/>
    <w:rsid w:val="009F763F"/>
    <w:rsid w:val="009F7748"/>
    <w:rsid w:val="009F7802"/>
    <w:rsid w:val="009F78B7"/>
    <w:rsid w:val="009F791B"/>
    <w:rsid w:val="009F79D5"/>
    <w:rsid w:val="009F7D96"/>
    <w:rsid w:val="00A007E7"/>
    <w:rsid w:val="00A00F2E"/>
    <w:rsid w:val="00A0109E"/>
    <w:rsid w:val="00A0110C"/>
    <w:rsid w:val="00A016A7"/>
    <w:rsid w:val="00A01E64"/>
    <w:rsid w:val="00A02992"/>
    <w:rsid w:val="00A03470"/>
    <w:rsid w:val="00A035DE"/>
    <w:rsid w:val="00A035EA"/>
    <w:rsid w:val="00A03E2D"/>
    <w:rsid w:val="00A04331"/>
    <w:rsid w:val="00A04F59"/>
    <w:rsid w:val="00A0551F"/>
    <w:rsid w:val="00A05597"/>
    <w:rsid w:val="00A05997"/>
    <w:rsid w:val="00A05B20"/>
    <w:rsid w:val="00A05CC6"/>
    <w:rsid w:val="00A070DE"/>
    <w:rsid w:val="00A0718D"/>
    <w:rsid w:val="00A07468"/>
    <w:rsid w:val="00A0797A"/>
    <w:rsid w:val="00A07FED"/>
    <w:rsid w:val="00A100A1"/>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50"/>
    <w:rsid w:val="00A142CF"/>
    <w:rsid w:val="00A14331"/>
    <w:rsid w:val="00A145EB"/>
    <w:rsid w:val="00A14987"/>
    <w:rsid w:val="00A14AB2"/>
    <w:rsid w:val="00A14AC9"/>
    <w:rsid w:val="00A159CA"/>
    <w:rsid w:val="00A175A7"/>
    <w:rsid w:val="00A17608"/>
    <w:rsid w:val="00A177D9"/>
    <w:rsid w:val="00A1787D"/>
    <w:rsid w:val="00A17D5B"/>
    <w:rsid w:val="00A20573"/>
    <w:rsid w:val="00A206E0"/>
    <w:rsid w:val="00A207FA"/>
    <w:rsid w:val="00A20C94"/>
    <w:rsid w:val="00A21374"/>
    <w:rsid w:val="00A21C4C"/>
    <w:rsid w:val="00A220B7"/>
    <w:rsid w:val="00A227D6"/>
    <w:rsid w:val="00A227E7"/>
    <w:rsid w:val="00A22A71"/>
    <w:rsid w:val="00A22D55"/>
    <w:rsid w:val="00A22F6E"/>
    <w:rsid w:val="00A23736"/>
    <w:rsid w:val="00A239DB"/>
    <w:rsid w:val="00A24008"/>
    <w:rsid w:val="00A24070"/>
    <w:rsid w:val="00A24078"/>
    <w:rsid w:val="00A2475E"/>
    <w:rsid w:val="00A251F2"/>
    <w:rsid w:val="00A258E0"/>
    <w:rsid w:val="00A25FCF"/>
    <w:rsid w:val="00A269B5"/>
    <w:rsid w:val="00A26A3F"/>
    <w:rsid w:val="00A2726D"/>
    <w:rsid w:val="00A30627"/>
    <w:rsid w:val="00A30B6C"/>
    <w:rsid w:val="00A31498"/>
    <w:rsid w:val="00A31D99"/>
    <w:rsid w:val="00A31F37"/>
    <w:rsid w:val="00A3244C"/>
    <w:rsid w:val="00A32555"/>
    <w:rsid w:val="00A32C96"/>
    <w:rsid w:val="00A32E59"/>
    <w:rsid w:val="00A33017"/>
    <w:rsid w:val="00A333C1"/>
    <w:rsid w:val="00A33D5D"/>
    <w:rsid w:val="00A33E4D"/>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50C"/>
    <w:rsid w:val="00A43813"/>
    <w:rsid w:val="00A439B7"/>
    <w:rsid w:val="00A43D47"/>
    <w:rsid w:val="00A44090"/>
    <w:rsid w:val="00A440A6"/>
    <w:rsid w:val="00A44A4B"/>
    <w:rsid w:val="00A45121"/>
    <w:rsid w:val="00A45B00"/>
    <w:rsid w:val="00A4618D"/>
    <w:rsid w:val="00A464E1"/>
    <w:rsid w:val="00A46C4E"/>
    <w:rsid w:val="00A46D95"/>
    <w:rsid w:val="00A46F53"/>
    <w:rsid w:val="00A47081"/>
    <w:rsid w:val="00A47480"/>
    <w:rsid w:val="00A47AE0"/>
    <w:rsid w:val="00A47E8C"/>
    <w:rsid w:val="00A50F9A"/>
    <w:rsid w:val="00A51BC0"/>
    <w:rsid w:val="00A5298C"/>
    <w:rsid w:val="00A52AD0"/>
    <w:rsid w:val="00A53497"/>
    <w:rsid w:val="00A535A7"/>
    <w:rsid w:val="00A536CB"/>
    <w:rsid w:val="00A542F8"/>
    <w:rsid w:val="00A54524"/>
    <w:rsid w:val="00A54EFB"/>
    <w:rsid w:val="00A55A47"/>
    <w:rsid w:val="00A55AE0"/>
    <w:rsid w:val="00A56DF0"/>
    <w:rsid w:val="00A56E78"/>
    <w:rsid w:val="00A574BF"/>
    <w:rsid w:val="00A5790F"/>
    <w:rsid w:val="00A579F8"/>
    <w:rsid w:val="00A57EB9"/>
    <w:rsid w:val="00A605E1"/>
    <w:rsid w:val="00A60C15"/>
    <w:rsid w:val="00A60F08"/>
    <w:rsid w:val="00A6101C"/>
    <w:rsid w:val="00A61C56"/>
    <w:rsid w:val="00A6204A"/>
    <w:rsid w:val="00A62093"/>
    <w:rsid w:val="00A6310C"/>
    <w:rsid w:val="00A6316B"/>
    <w:rsid w:val="00A631ED"/>
    <w:rsid w:val="00A63679"/>
    <w:rsid w:val="00A639BE"/>
    <w:rsid w:val="00A63A8F"/>
    <w:rsid w:val="00A64389"/>
    <w:rsid w:val="00A64797"/>
    <w:rsid w:val="00A64817"/>
    <w:rsid w:val="00A66BE3"/>
    <w:rsid w:val="00A67102"/>
    <w:rsid w:val="00A67F2A"/>
    <w:rsid w:val="00A70347"/>
    <w:rsid w:val="00A718A6"/>
    <w:rsid w:val="00A71CDE"/>
    <w:rsid w:val="00A72306"/>
    <w:rsid w:val="00A7252E"/>
    <w:rsid w:val="00A72BBC"/>
    <w:rsid w:val="00A72E18"/>
    <w:rsid w:val="00A730F3"/>
    <w:rsid w:val="00A73C89"/>
    <w:rsid w:val="00A746A3"/>
    <w:rsid w:val="00A74BE6"/>
    <w:rsid w:val="00A754C4"/>
    <w:rsid w:val="00A7557C"/>
    <w:rsid w:val="00A758A4"/>
    <w:rsid w:val="00A75A61"/>
    <w:rsid w:val="00A75BA0"/>
    <w:rsid w:val="00A75FDF"/>
    <w:rsid w:val="00A768A2"/>
    <w:rsid w:val="00A76A55"/>
    <w:rsid w:val="00A773B4"/>
    <w:rsid w:val="00A80733"/>
    <w:rsid w:val="00A80948"/>
    <w:rsid w:val="00A81811"/>
    <w:rsid w:val="00A8234E"/>
    <w:rsid w:val="00A82518"/>
    <w:rsid w:val="00A82CC3"/>
    <w:rsid w:val="00A833A3"/>
    <w:rsid w:val="00A835E5"/>
    <w:rsid w:val="00A83768"/>
    <w:rsid w:val="00A84373"/>
    <w:rsid w:val="00A8456A"/>
    <w:rsid w:val="00A845ED"/>
    <w:rsid w:val="00A84CB3"/>
    <w:rsid w:val="00A859F5"/>
    <w:rsid w:val="00A867C8"/>
    <w:rsid w:val="00A867CD"/>
    <w:rsid w:val="00A86F87"/>
    <w:rsid w:val="00A87161"/>
    <w:rsid w:val="00A874D6"/>
    <w:rsid w:val="00A87C01"/>
    <w:rsid w:val="00A902A7"/>
    <w:rsid w:val="00A90327"/>
    <w:rsid w:val="00A904AB"/>
    <w:rsid w:val="00A90DEF"/>
    <w:rsid w:val="00A90E27"/>
    <w:rsid w:val="00A913D1"/>
    <w:rsid w:val="00A91FE5"/>
    <w:rsid w:val="00A92ABA"/>
    <w:rsid w:val="00A92F34"/>
    <w:rsid w:val="00A92F66"/>
    <w:rsid w:val="00A93101"/>
    <w:rsid w:val="00A93154"/>
    <w:rsid w:val="00A93214"/>
    <w:rsid w:val="00A93ABB"/>
    <w:rsid w:val="00A93C27"/>
    <w:rsid w:val="00A93C2B"/>
    <w:rsid w:val="00A9462F"/>
    <w:rsid w:val="00A94865"/>
    <w:rsid w:val="00A94D8C"/>
    <w:rsid w:val="00A9598F"/>
    <w:rsid w:val="00A95A81"/>
    <w:rsid w:val="00A95B4F"/>
    <w:rsid w:val="00A964F1"/>
    <w:rsid w:val="00A967F4"/>
    <w:rsid w:val="00A96A4E"/>
    <w:rsid w:val="00A96FC0"/>
    <w:rsid w:val="00A97BFA"/>
    <w:rsid w:val="00AA007C"/>
    <w:rsid w:val="00AA0B30"/>
    <w:rsid w:val="00AA1EB2"/>
    <w:rsid w:val="00AA20ED"/>
    <w:rsid w:val="00AA25C9"/>
    <w:rsid w:val="00AA3676"/>
    <w:rsid w:val="00AA3726"/>
    <w:rsid w:val="00AA40AA"/>
    <w:rsid w:val="00AA4F09"/>
    <w:rsid w:val="00AA62A1"/>
    <w:rsid w:val="00AA64E9"/>
    <w:rsid w:val="00AA67F0"/>
    <w:rsid w:val="00AA7897"/>
    <w:rsid w:val="00AA7A72"/>
    <w:rsid w:val="00AA7DCE"/>
    <w:rsid w:val="00AA7F8C"/>
    <w:rsid w:val="00AA7FA5"/>
    <w:rsid w:val="00AB0058"/>
    <w:rsid w:val="00AB0725"/>
    <w:rsid w:val="00AB0807"/>
    <w:rsid w:val="00AB0C5B"/>
    <w:rsid w:val="00AB0FB2"/>
    <w:rsid w:val="00AB10E3"/>
    <w:rsid w:val="00AB18AB"/>
    <w:rsid w:val="00AB1FAD"/>
    <w:rsid w:val="00AB23F9"/>
    <w:rsid w:val="00AB26FB"/>
    <w:rsid w:val="00AB2AF8"/>
    <w:rsid w:val="00AB32A1"/>
    <w:rsid w:val="00AB37FD"/>
    <w:rsid w:val="00AB41AF"/>
    <w:rsid w:val="00AB42BB"/>
    <w:rsid w:val="00AB4316"/>
    <w:rsid w:val="00AB4B6A"/>
    <w:rsid w:val="00AB502F"/>
    <w:rsid w:val="00AB50C3"/>
    <w:rsid w:val="00AB562B"/>
    <w:rsid w:val="00AB57D9"/>
    <w:rsid w:val="00AB6F61"/>
    <w:rsid w:val="00AB7601"/>
    <w:rsid w:val="00AB7957"/>
    <w:rsid w:val="00AB7A15"/>
    <w:rsid w:val="00AC00BE"/>
    <w:rsid w:val="00AC0BD8"/>
    <w:rsid w:val="00AC1E53"/>
    <w:rsid w:val="00AC2F56"/>
    <w:rsid w:val="00AC3669"/>
    <w:rsid w:val="00AC40D8"/>
    <w:rsid w:val="00AC42FA"/>
    <w:rsid w:val="00AC455C"/>
    <w:rsid w:val="00AC45CA"/>
    <w:rsid w:val="00AC4D66"/>
    <w:rsid w:val="00AC58DE"/>
    <w:rsid w:val="00AC5C0E"/>
    <w:rsid w:val="00AC5FCE"/>
    <w:rsid w:val="00AC615E"/>
    <w:rsid w:val="00AC62B7"/>
    <w:rsid w:val="00AC692A"/>
    <w:rsid w:val="00AC6BDA"/>
    <w:rsid w:val="00AC6E20"/>
    <w:rsid w:val="00AC749B"/>
    <w:rsid w:val="00AC7A38"/>
    <w:rsid w:val="00AD0404"/>
    <w:rsid w:val="00AD07F1"/>
    <w:rsid w:val="00AD1F02"/>
    <w:rsid w:val="00AD20E0"/>
    <w:rsid w:val="00AD280C"/>
    <w:rsid w:val="00AD2BE1"/>
    <w:rsid w:val="00AD3477"/>
    <w:rsid w:val="00AD3491"/>
    <w:rsid w:val="00AD3C49"/>
    <w:rsid w:val="00AD3D21"/>
    <w:rsid w:val="00AD5B51"/>
    <w:rsid w:val="00AD68F8"/>
    <w:rsid w:val="00AD692B"/>
    <w:rsid w:val="00AD74BD"/>
    <w:rsid w:val="00AD7E1C"/>
    <w:rsid w:val="00AE08FD"/>
    <w:rsid w:val="00AE0B68"/>
    <w:rsid w:val="00AE0CA2"/>
    <w:rsid w:val="00AE10CD"/>
    <w:rsid w:val="00AE13BB"/>
    <w:rsid w:val="00AE1457"/>
    <w:rsid w:val="00AE1499"/>
    <w:rsid w:val="00AE2D0A"/>
    <w:rsid w:val="00AE3725"/>
    <w:rsid w:val="00AE448F"/>
    <w:rsid w:val="00AE4A88"/>
    <w:rsid w:val="00AE4E58"/>
    <w:rsid w:val="00AE4F14"/>
    <w:rsid w:val="00AE5139"/>
    <w:rsid w:val="00AE54FA"/>
    <w:rsid w:val="00AE5C8B"/>
    <w:rsid w:val="00AE64DD"/>
    <w:rsid w:val="00AE65CA"/>
    <w:rsid w:val="00AE6800"/>
    <w:rsid w:val="00AE6CDA"/>
    <w:rsid w:val="00AE72FC"/>
    <w:rsid w:val="00AE7389"/>
    <w:rsid w:val="00AE751E"/>
    <w:rsid w:val="00AE7E09"/>
    <w:rsid w:val="00AF000E"/>
    <w:rsid w:val="00AF16A0"/>
    <w:rsid w:val="00AF17A5"/>
    <w:rsid w:val="00AF1E36"/>
    <w:rsid w:val="00AF239F"/>
    <w:rsid w:val="00AF23AA"/>
    <w:rsid w:val="00AF23C2"/>
    <w:rsid w:val="00AF3040"/>
    <w:rsid w:val="00AF31DB"/>
    <w:rsid w:val="00AF39BC"/>
    <w:rsid w:val="00AF44E0"/>
    <w:rsid w:val="00AF4979"/>
    <w:rsid w:val="00AF51E5"/>
    <w:rsid w:val="00AF52E7"/>
    <w:rsid w:val="00AF575D"/>
    <w:rsid w:val="00AF5D55"/>
    <w:rsid w:val="00AF605B"/>
    <w:rsid w:val="00AF62CE"/>
    <w:rsid w:val="00AF6749"/>
    <w:rsid w:val="00AF71AA"/>
    <w:rsid w:val="00AF741B"/>
    <w:rsid w:val="00AF7453"/>
    <w:rsid w:val="00AF7C3D"/>
    <w:rsid w:val="00AF7E72"/>
    <w:rsid w:val="00AF7F12"/>
    <w:rsid w:val="00B00223"/>
    <w:rsid w:val="00B00C97"/>
    <w:rsid w:val="00B00E2D"/>
    <w:rsid w:val="00B0115C"/>
    <w:rsid w:val="00B01F83"/>
    <w:rsid w:val="00B01FA9"/>
    <w:rsid w:val="00B02BD8"/>
    <w:rsid w:val="00B0328C"/>
    <w:rsid w:val="00B0338C"/>
    <w:rsid w:val="00B036CF"/>
    <w:rsid w:val="00B0396C"/>
    <w:rsid w:val="00B03F9B"/>
    <w:rsid w:val="00B0432F"/>
    <w:rsid w:val="00B043ED"/>
    <w:rsid w:val="00B054FF"/>
    <w:rsid w:val="00B05CB6"/>
    <w:rsid w:val="00B0619C"/>
    <w:rsid w:val="00B0633F"/>
    <w:rsid w:val="00B06DE5"/>
    <w:rsid w:val="00B070A0"/>
    <w:rsid w:val="00B07CC0"/>
    <w:rsid w:val="00B102F5"/>
    <w:rsid w:val="00B103E9"/>
    <w:rsid w:val="00B1060C"/>
    <w:rsid w:val="00B10BEF"/>
    <w:rsid w:val="00B10C2E"/>
    <w:rsid w:val="00B11539"/>
    <w:rsid w:val="00B11586"/>
    <w:rsid w:val="00B11E6D"/>
    <w:rsid w:val="00B11FA4"/>
    <w:rsid w:val="00B12242"/>
    <w:rsid w:val="00B13427"/>
    <w:rsid w:val="00B1393B"/>
    <w:rsid w:val="00B140D2"/>
    <w:rsid w:val="00B1462C"/>
    <w:rsid w:val="00B14CD1"/>
    <w:rsid w:val="00B15491"/>
    <w:rsid w:val="00B15580"/>
    <w:rsid w:val="00B1562F"/>
    <w:rsid w:val="00B15740"/>
    <w:rsid w:val="00B16C77"/>
    <w:rsid w:val="00B16D0D"/>
    <w:rsid w:val="00B16D63"/>
    <w:rsid w:val="00B172E7"/>
    <w:rsid w:val="00B174AB"/>
    <w:rsid w:val="00B17629"/>
    <w:rsid w:val="00B2135F"/>
    <w:rsid w:val="00B214E4"/>
    <w:rsid w:val="00B21A4D"/>
    <w:rsid w:val="00B21D6E"/>
    <w:rsid w:val="00B222B5"/>
    <w:rsid w:val="00B22C39"/>
    <w:rsid w:val="00B22D8C"/>
    <w:rsid w:val="00B22DE0"/>
    <w:rsid w:val="00B230F8"/>
    <w:rsid w:val="00B2352F"/>
    <w:rsid w:val="00B23D2D"/>
    <w:rsid w:val="00B24380"/>
    <w:rsid w:val="00B24FEA"/>
    <w:rsid w:val="00B25328"/>
    <w:rsid w:val="00B2540B"/>
    <w:rsid w:val="00B25426"/>
    <w:rsid w:val="00B258B5"/>
    <w:rsid w:val="00B25B94"/>
    <w:rsid w:val="00B25DAF"/>
    <w:rsid w:val="00B25FE6"/>
    <w:rsid w:val="00B2603E"/>
    <w:rsid w:val="00B26397"/>
    <w:rsid w:val="00B26407"/>
    <w:rsid w:val="00B26CD6"/>
    <w:rsid w:val="00B27255"/>
    <w:rsid w:val="00B2749B"/>
    <w:rsid w:val="00B2763A"/>
    <w:rsid w:val="00B27A0A"/>
    <w:rsid w:val="00B30160"/>
    <w:rsid w:val="00B301E2"/>
    <w:rsid w:val="00B302B8"/>
    <w:rsid w:val="00B3068C"/>
    <w:rsid w:val="00B314D4"/>
    <w:rsid w:val="00B317DC"/>
    <w:rsid w:val="00B31A2F"/>
    <w:rsid w:val="00B31E48"/>
    <w:rsid w:val="00B327F4"/>
    <w:rsid w:val="00B32D08"/>
    <w:rsid w:val="00B32F4E"/>
    <w:rsid w:val="00B3322F"/>
    <w:rsid w:val="00B334B1"/>
    <w:rsid w:val="00B339CE"/>
    <w:rsid w:val="00B33E53"/>
    <w:rsid w:val="00B3426C"/>
    <w:rsid w:val="00B346E2"/>
    <w:rsid w:val="00B35631"/>
    <w:rsid w:val="00B3586B"/>
    <w:rsid w:val="00B3587C"/>
    <w:rsid w:val="00B358CF"/>
    <w:rsid w:val="00B35902"/>
    <w:rsid w:val="00B35B04"/>
    <w:rsid w:val="00B36E10"/>
    <w:rsid w:val="00B36E89"/>
    <w:rsid w:val="00B37246"/>
    <w:rsid w:val="00B3733C"/>
    <w:rsid w:val="00B37423"/>
    <w:rsid w:val="00B3775E"/>
    <w:rsid w:val="00B37810"/>
    <w:rsid w:val="00B37B94"/>
    <w:rsid w:val="00B37E95"/>
    <w:rsid w:val="00B37FC0"/>
    <w:rsid w:val="00B4097F"/>
    <w:rsid w:val="00B410B3"/>
    <w:rsid w:val="00B4190C"/>
    <w:rsid w:val="00B41956"/>
    <w:rsid w:val="00B42A22"/>
    <w:rsid w:val="00B43539"/>
    <w:rsid w:val="00B43B71"/>
    <w:rsid w:val="00B43F67"/>
    <w:rsid w:val="00B45359"/>
    <w:rsid w:val="00B45535"/>
    <w:rsid w:val="00B4553C"/>
    <w:rsid w:val="00B4572C"/>
    <w:rsid w:val="00B4592A"/>
    <w:rsid w:val="00B459C8"/>
    <w:rsid w:val="00B45BAB"/>
    <w:rsid w:val="00B462B3"/>
    <w:rsid w:val="00B46739"/>
    <w:rsid w:val="00B46811"/>
    <w:rsid w:val="00B46975"/>
    <w:rsid w:val="00B46AA2"/>
    <w:rsid w:val="00B472EC"/>
    <w:rsid w:val="00B4777F"/>
    <w:rsid w:val="00B51611"/>
    <w:rsid w:val="00B518C6"/>
    <w:rsid w:val="00B52046"/>
    <w:rsid w:val="00B5259A"/>
    <w:rsid w:val="00B52CB1"/>
    <w:rsid w:val="00B53A25"/>
    <w:rsid w:val="00B53B6D"/>
    <w:rsid w:val="00B53C9A"/>
    <w:rsid w:val="00B53D31"/>
    <w:rsid w:val="00B54F0D"/>
    <w:rsid w:val="00B553DF"/>
    <w:rsid w:val="00B5563C"/>
    <w:rsid w:val="00B55939"/>
    <w:rsid w:val="00B56301"/>
    <w:rsid w:val="00B57469"/>
    <w:rsid w:val="00B57CDA"/>
    <w:rsid w:val="00B57D54"/>
    <w:rsid w:val="00B60946"/>
    <w:rsid w:val="00B609C3"/>
    <w:rsid w:val="00B609D4"/>
    <w:rsid w:val="00B60C95"/>
    <w:rsid w:val="00B60FB5"/>
    <w:rsid w:val="00B62014"/>
    <w:rsid w:val="00B629C9"/>
    <w:rsid w:val="00B63426"/>
    <w:rsid w:val="00B63656"/>
    <w:rsid w:val="00B63F21"/>
    <w:rsid w:val="00B63FB6"/>
    <w:rsid w:val="00B64086"/>
    <w:rsid w:val="00B64519"/>
    <w:rsid w:val="00B64541"/>
    <w:rsid w:val="00B6456D"/>
    <w:rsid w:val="00B64BD0"/>
    <w:rsid w:val="00B64DCA"/>
    <w:rsid w:val="00B64FCD"/>
    <w:rsid w:val="00B65C38"/>
    <w:rsid w:val="00B65CBD"/>
    <w:rsid w:val="00B660D9"/>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648"/>
    <w:rsid w:val="00B74D56"/>
    <w:rsid w:val="00B75CCA"/>
    <w:rsid w:val="00B768A7"/>
    <w:rsid w:val="00B76970"/>
    <w:rsid w:val="00B76F65"/>
    <w:rsid w:val="00B7738B"/>
    <w:rsid w:val="00B77E9E"/>
    <w:rsid w:val="00B80406"/>
    <w:rsid w:val="00B80645"/>
    <w:rsid w:val="00B80A5E"/>
    <w:rsid w:val="00B80F1F"/>
    <w:rsid w:val="00B813C8"/>
    <w:rsid w:val="00B8146F"/>
    <w:rsid w:val="00B8167D"/>
    <w:rsid w:val="00B816E0"/>
    <w:rsid w:val="00B824A1"/>
    <w:rsid w:val="00B82C49"/>
    <w:rsid w:val="00B82D90"/>
    <w:rsid w:val="00B82FB4"/>
    <w:rsid w:val="00B83B69"/>
    <w:rsid w:val="00B83DFC"/>
    <w:rsid w:val="00B83F10"/>
    <w:rsid w:val="00B8406A"/>
    <w:rsid w:val="00B84439"/>
    <w:rsid w:val="00B8654A"/>
    <w:rsid w:val="00B86589"/>
    <w:rsid w:val="00B865EE"/>
    <w:rsid w:val="00B86B7E"/>
    <w:rsid w:val="00B8769D"/>
    <w:rsid w:val="00B87BE1"/>
    <w:rsid w:val="00B87DD5"/>
    <w:rsid w:val="00B90B1B"/>
    <w:rsid w:val="00B90F96"/>
    <w:rsid w:val="00B9219F"/>
    <w:rsid w:val="00B926CB"/>
    <w:rsid w:val="00B92BB9"/>
    <w:rsid w:val="00B92FBB"/>
    <w:rsid w:val="00B933B2"/>
    <w:rsid w:val="00B936CB"/>
    <w:rsid w:val="00B93BDF"/>
    <w:rsid w:val="00B93CAF"/>
    <w:rsid w:val="00B941B6"/>
    <w:rsid w:val="00B94A06"/>
    <w:rsid w:val="00B952E7"/>
    <w:rsid w:val="00B95B2F"/>
    <w:rsid w:val="00B95B37"/>
    <w:rsid w:val="00B95E21"/>
    <w:rsid w:val="00B95E9C"/>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5792"/>
    <w:rsid w:val="00BA738A"/>
    <w:rsid w:val="00BA7701"/>
    <w:rsid w:val="00BA7A25"/>
    <w:rsid w:val="00BA7AF1"/>
    <w:rsid w:val="00BA7BAB"/>
    <w:rsid w:val="00BA7C02"/>
    <w:rsid w:val="00BA7C73"/>
    <w:rsid w:val="00BB00C3"/>
    <w:rsid w:val="00BB01F3"/>
    <w:rsid w:val="00BB043A"/>
    <w:rsid w:val="00BB073E"/>
    <w:rsid w:val="00BB0741"/>
    <w:rsid w:val="00BB17AD"/>
    <w:rsid w:val="00BB2428"/>
    <w:rsid w:val="00BB292D"/>
    <w:rsid w:val="00BB300F"/>
    <w:rsid w:val="00BB309F"/>
    <w:rsid w:val="00BB369B"/>
    <w:rsid w:val="00BB3919"/>
    <w:rsid w:val="00BB3A56"/>
    <w:rsid w:val="00BB3E2E"/>
    <w:rsid w:val="00BB49CB"/>
    <w:rsid w:val="00BB4CAE"/>
    <w:rsid w:val="00BB57B7"/>
    <w:rsid w:val="00BB67F1"/>
    <w:rsid w:val="00BB6A14"/>
    <w:rsid w:val="00BB79C2"/>
    <w:rsid w:val="00BB7E42"/>
    <w:rsid w:val="00BB7F0F"/>
    <w:rsid w:val="00BC0EC7"/>
    <w:rsid w:val="00BC117C"/>
    <w:rsid w:val="00BC1722"/>
    <w:rsid w:val="00BC194A"/>
    <w:rsid w:val="00BC1B69"/>
    <w:rsid w:val="00BC2214"/>
    <w:rsid w:val="00BC247C"/>
    <w:rsid w:val="00BC2825"/>
    <w:rsid w:val="00BC2E96"/>
    <w:rsid w:val="00BC365F"/>
    <w:rsid w:val="00BC3A31"/>
    <w:rsid w:val="00BC406F"/>
    <w:rsid w:val="00BC426A"/>
    <w:rsid w:val="00BC4C88"/>
    <w:rsid w:val="00BC4DFB"/>
    <w:rsid w:val="00BC59CA"/>
    <w:rsid w:val="00BC63F0"/>
    <w:rsid w:val="00BC6970"/>
    <w:rsid w:val="00BC6BA8"/>
    <w:rsid w:val="00BC6D81"/>
    <w:rsid w:val="00BC6F87"/>
    <w:rsid w:val="00BC733D"/>
    <w:rsid w:val="00BC734E"/>
    <w:rsid w:val="00BC7713"/>
    <w:rsid w:val="00BC7C93"/>
    <w:rsid w:val="00BD0286"/>
    <w:rsid w:val="00BD0A29"/>
    <w:rsid w:val="00BD18E4"/>
    <w:rsid w:val="00BD1B3F"/>
    <w:rsid w:val="00BD28CF"/>
    <w:rsid w:val="00BD33A9"/>
    <w:rsid w:val="00BD33BE"/>
    <w:rsid w:val="00BD3623"/>
    <w:rsid w:val="00BD3792"/>
    <w:rsid w:val="00BD3C72"/>
    <w:rsid w:val="00BD4E12"/>
    <w:rsid w:val="00BD4F07"/>
    <w:rsid w:val="00BD56F8"/>
    <w:rsid w:val="00BD5C57"/>
    <w:rsid w:val="00BD5D4E"/>
    <w:rsid w:val="00BD5F7E"/>
    <w:rsid w:val="00BD7991"/>
    <w:rsid w:val="00BD7E30"/>
    <w:rsid w:val="00BE0BDD"/>
    <w:rsid w:val="00BE1359"/>
    <w:rsid w:val="00BE1789"/>
    <w:rsid w:val="00BE21E3"/>
    <w:rsid w:val="00BE305B"/>
    <w:rsid w:val="00BE5C0F"/>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3F7"/>
    <w:rsid w:val="00BF4C53"/>
    <w:rsid w:val="00BF54DC"/>
    <w:rsid w:val="00BF5748"/>
    <w:rsid w:val="00BF5B81"/>
    <w:rsid w:val="00BF6270"/>
    <w:rsid w:val="00BF67B7"/>
    <w:rsid w:val="00BF6A3C"/>
    <w:rsid w:val="00BF703E"/>
    <w:rsid w:val="00BF770B"/>
    <w:rsid w:val="00BF7802"/>
    <w:rsid w:val="00C005F7"/>
    <w:rsid w:val="00C007A6"/>
    <w:rsid w:val="00C01510"/>
    <w:rsid w:val="00C01CEB"/>
    <w:rsid w:val="00C01F6E"/>
    <w:rsid w:val="00C021D2"/>
    <w:rsid w:val="00C02B42"/>
    <w:rsid w:val="00C02BED"/>
    <w:rsid w:val="00C02D3C"/>
    <w:rsid w:val="00C03249"/>
    <w:rsid w:val="00C036F7"/>
    <w:rsid w:val="00C03978"/>
    <w:rsid w:val="00C04BA2"/>
    <w:rsid w:val="00C04BAE"/>
    <w:rsid w:val="00C05362"/>
    <w:rsid w:val="00C05537"/>
    <w:rsid w:val="00C05896"/>
    <w:rsid w:val="00C0599A"/>
    <w:rsid w:val="00C05D89"/>
    <w:rsid w:val="00C06A3F"/>
    <w:rsid w:val="00C06C42"/>
    <w:rsid w:val="00C06D80"/>
    <w:rsid w:val="00C06EB2"/>
    <w:rsid w:val="00C073DA"/>
    <w:rsid w:val="00C078C1"/>
    <w:rsid w:val="00C079DB"/>
    <w:rsid w:val="00C07A40"/>
    <w:rsid w:val="00C07C15"/>
    <w:rsid w:val="00C10B9B"/>
    <w:rsid w:val="00C10C30"/>
    <w:rsid w:val="00C1104C"/>
    <w:rsid w:val="00C11577"/>
    <w:rsid w:val="00C11990"/>
    <w:rsid w:val="00C11DC5"/>
    <w:rsid w:val="00C11F13"/>
    <w:rsid w:val="00C11F39"/>
    <w:rsid w:val="00C11F55"/>
    <w:rsid w:val="00C12249"/>
    <w:rsid w:val="00C1250E"/>
    <w:rsid w:val="00C1262D"/>
    <w:rsid w:val="00C138E7"/>
    <w:rsid w:val="00C139A1"/>
    <w:rsid w:val="00C13B36"/>
    <w:rsid w:val="00C13D15"/>
    <w:rsid w:val="00C1448C"/>
    <w:rsid w:val="00C14D7A"/>
    <w:rsid w:val="00C153BC"/>
    <w:rsid w:val="00C15FAD"/>
    <w:rsid w:val="00C16490"/>
    <w:rsid w:val="00C168E7"/>
    <w:rsid w:val="00C17059"/>
    <w:rsid w:val="00C17174"/>
    <w:rsid w:val="00C171C5"/>
    <w:rsid w:val="00C17B44"/>
    <w:rsid w:val="00C17F63"/>
    <w:rsid w:val="00C2041C"/>
    <w:rsid w:val="00C20869"/>
    <w:rsid w:val="00C20DC6"/>
    <w:rsid w:val="00C2113D"/>
    <w:rsid w:val="00C21363"/>
    <w:rsid w:val="00C215D1"/>
    <w:rsid w:val="00C21AE1"/>
    <w:rsid w:val="00C223D1"/>
    <w:rsid w:val="00C227C6"/>
    <w:rsid w:val="00C22816"/>
    <w:rsid w:val="00C22B32"/>
    <w:rsid w:val="00C230F6"/>
    <w:rsid w:val="00C23686"/>
    <w:rsid w:val="00C23F8A"/>
    <w:rsid w:val="00C244B3"/>
    <w:rsid w:val="00C24B05"/>
    <w:rsid w:val="00C24D07"/>
    <w:rsid w:val="00C24EA5"/>
    <w:rsid w:val="00C25052"/>
    <w:rsid w:val="00C25D31"/>
    <w:rsid w:val="00C262C1"/>
    <w:rsid w:val="00C265D0"/>
    <w:rsid w:val="00C26FE5"/>
    <w:rsid w:val="00C3022B"/>
    <w:rsid w:val="00C30723"/>
    <w:rsid w:val="00C3137D"/>
    <w:rsid w:val="00C31756"/>
    <w:rsid w:val="00C31F7F"/>
    <w:rsid w:val="00C32186"/>
    <w:rsid w:val="00C323EC"/>
    <w:rsid w:val="00C32934"/>
    <w:rsid w:val="00C335AE"/>
    <w:rsid w:val="00C34197"/>
    <w:rsid w:val="00C3427B"/>
    <w:rsid w:val="00C34E1F"/>
    <w:rsid w:val="00C34F09"/>
    <w:rsid w:val="00C35C70"/>
    <w:rsid w:val="00C35E26"/>
    <w:rsid w:val="00C361F0"/>
    <w:rsid w:val="00C3626A"/>
    <w:rsid w:val="00C36684"/>
    <w:rsid w:val="00C36DCC"/>
    <w:rsid w:val="00C36F0A"/>
    <w:rsid w:val="00C36F4F"/>
    <w:rsid w:val="00C372CB"/>
    <w:rsid w:val="00C37B23"/>
    <w:rsid w:val="00C4067A"/>
    <w:rsid w:val="00C41480"/>
    <w:rsid w:val="00C417F1"/>
    <w:rsid w:val="00C439E0"/>
    <w:rsid w:val="00C44052"/>
    <w:rsid w:val="00C44368"/>
    <w:rsid w:val="00C44D4E"/>
    <w:rsid w:val="00C46111"/>
    <w:rsid w:val="00C46816"/>
    <w:rsid w:val="00C46822"/>
    <w:rsid w:val="00C468CE"/>
    <w:rsid w:val="00C46CE5"/>
    <w:rsid w:val="00C4706F"/>
    <w:rsid w:val="00C47CFC"/>
    <w:rsid w:val="00C50206"/>
    <w:rsid w:val="00C50260"/>
    <w:rsid w:val="00C512B5"/>
    <w:rsid w:val="00C51395"/>
    <w:rsid w:val="00C51553"/>
    <w:rsid w:val="00C518A5"/>
    <w:rsid w:val="00C51A60"/>
    <w:rsid w:val="00C51FC3"/>
    <w:rsid w:val="00C520E4"/>
    <w:rsid w:val="00C52334"/>
    <w:rsid w:val="00C5261F"/>
    <w:rsid w:val="00C52C65"/>
    <w:rsid w:val="00C53110"/>
    <w:rsid w:val="00C53B12"/>
    <w:rsid w:val="00C53B6C"/>
    <w:rsid w:val="00C5406E"/>
    <w:rsid w:val="00C541AB"/>
    <w:rsid w:val="00C541B2"/>
    <w:rsid w:val="00C54928"/>
    <w:rsid w:val="00C54A44"/>
    <w:rsid w:val="00C54E2A"/>
    <w:rsid w:val="00C54E49"/>
    <w:rsid w:val="00C550C8"/>
    <w:rsid w:val="00C558CE"/>
    <w:rsid w:val="00C5661F"/>
    <w:rsid w:val="00C57085"/>
    <w:rsid w:val="00C575AF"/>
    <w:rsid w:val="00C576FC"/>
    <w:rsid w:val="00C579F3"/>
    <w:rsid w:val="00C60361"/>
    <w:rsid w:val="00C60738"/>
    <w:rsid w:val="00C608D7"/>
    <w:rsid w:val="00C60D9F"/>
    <w:rsid w:val="00C61943"/>
    <w:rsid w:val="00C620BA"/>
    <w:rsid w:val="00C627C5"/>
    <w:rsid w:val="00C6395F"/>
    <w:rsid w:val="00C63C3D"/>
    <w:rsid w:val="00C644BF"/>
    <w:rsid w:val="00C65163"/>
    <w:rsid w:val="00C65728"/>
    <w:rsid w:val="00C658F4"/>
    <w:rsid w:val="00C65B6B"/>
    <w:rsid w:val="00C66492"/>
    <w:rsid w:val="00C664AB"/>
    <w:rsid w:val="00C66584"/>
    <w:rsid w:val="00C665A9"/>
    <w:rsid w:val="00C66705"/>
    <w:rsid w:val="00C67754"/>
    <w:rsid w:val="00C67D16"/>
    <w:rsid w:val="00C70254"/>
    <w:rsid w:val="00C703C0"/>
    <w:rsid w:val="00C706D1"/>
    <w:rsid w:val="00C70A4F"/>
    <w:rsid w:val="00C70FAE"/>
    <w:rsid w:val="00C7113D"/>
    <w:rsid w:val="00C71284"/>
    <w:rsid w:val="00C719C3"/>
    <w:rsid w:val="00C724F5"/>
    <w:rsid w:val="00C72987"/>
    <w:rsid w:val="00C72BA3"/>
    <w:rsid w:val="00C72DD5"/>
    <w:rsid w:val="00C733A6"/>
    <w:rsid w:val="00C737B0"/>
    <w:rsid w:val="00C73D39"/>
    <w:rsid w:val="00C744A3"/>
    <w:rsid w:val="00C744D7"/>
    <w:rsid w:val="00C760ED"/>
    <w:rsid w:val="00C76282"/>
    <w:rsid w:val="00C7675A"/>
    <w:rsid w:val="00C76D5D"/>
    <w:rsid w:val="00C76E9D"/>
    <w:rsid w:val="00C77906"/>
    <w:rsid w:val="00C80E18"/>
    <w:rsid w:val="00C816DF"/>
    <w:rsid w:val="00C820EE"/>
    <w:rsid w:val="00C82C1E"/>
    <w:rsid w:val="00C82CD4"/>
    <w:rsid w:val="00C835B6"/>
    <w:rsid w:val="00C84475"/>
    <w:rsid w:val="00C84713"/>
    <w:rsid w:val="00C84758"/>
    <w:rsid w:val="00C853AB"/>
    <w:rsid w:val="00C856EF"/>
    <w:rsid w:val="00C85CAC"/>
    <w:rsid w:val="00C85D45"/>
    <w:rsid w:val="00C85F72"/>
    <w:rsid w:val="00C85FB3"/>
    <w:rsid w:val="00C86896"/>
    <w:rsid w:val="00C8736D"/>
    <w:rsid w:val="00C875CF"/>
    <w:rsid w:val="00C876E1"/>
    <w:rsid w:val="00C90162"/>
    <w:rsid w:val="00C908A9"/>
    <w:rsid w:val="00C908BE"/>
    <w:rsid w:val="00C91507"/>
    <w:rsid w:val="00C9230B"/>
    <w:rsid w:val="00C929E1"/>
    <w:rsid w:val="00C92B88"/>
    <w:rsid w:val="00C92F67"/>
    <w:rsid w:val="00C93C36"/>
    <w:rsid w:val="00C940C2"/>
    <w:rsid w:val="00C944D1"/>
    <w:rsid w:val="00C952E2"/>
    <w:rsid w:val="00C952E9"/>
    <w:rsid w:val="00C95AC8"/>
    <w:rsid w:val="00C95AF0"/>
    <w:rsid w:val="00C95E95"/>
    <w:rsid w:val="00C962BE"/>
    <w:rsid w:val="00C9639C"/>
    <w:rsid w:val="00C96514"/>
    <w:rsid w:val="00C972A5"/>
    <w:rsid w:val="00C9760B"/>
    <w:rsid w:val="00C976E0"/>
    <w:rsid w:val="00C9796B"/>
    <w:rsid w:val="00C97C19"/>
    <w:rsid w:val="00CA0174"/>
    <w:rsid w:val="00CA018B"/>
    <w:rsid w:val="00CA05EE"/>
    <w:rsid w:val="00CA0C53"/>
    <w:rsid w:val="00CA0FB8"/>
    <w:rsid w:val="00CA105A"/>
    <w:rsid w:val="00CA1AE4"/>
    <w:rsid w:val="00CA1E0C"/>
    <w:rsid w:val="00CA1FA7"/>
    <w:rsid w:val="00CA20E3"/>
    <w:rsid w:val="00CA245C"/>
    <w:rsid w:val="00CA26EC"/>
    <w:rsid w:val="00CA3591"/>
    <w:rsid w:val="00CA3AC7"/>
    <w:rsid w:val="00CA423D"/>
    <w:rsid w:val="00CA4AAC"/>
    <w:rsid w:val="00CA5989"/>
    <w:rsid w:val="00CA5AF9"/>
    <w:rsid w:val="00CA5D0C"/>
    <w:rsid w:val="00CA5E13"/>
    <w:rsid w:val="00CA625D"/>
    <w:rsid w:val="00CA69FF"/>
    <w:rsid w:val="00CA6F73"/>
    <w:rsid w:val="00CA7A1F"/>
    <w:rsid w:val="00CA7DAF"/>
    <w:rsid w:val="00CB017E"/>
    <w:rsid w:val="00CB0226"/>
    <w:rsid w:val="00CB0717"/>
    <w:rsid w:val="00CB0A65"/>
    <w:rsid w:val="00CB0DC8"/>
    <w:rsid w:val="00CB0FDE"/>
    <w:rsid w:val="00CB1177"/>
    <w:rsid w:val="00CB1618"/>
    <w:rsid w:val="00CB1A88"/>
    <w:rsid w:val="00CB277F"/>
    <w:rsid w:val="00CB2809"/>
    <w:rsid w:val="00CB328B"/>
    <w:rsid w:val="00CB3318"/>
    <w:rsid w:val="00CB3628"/>
    <w:rsid w:val="00CB407C"/>
    <w:rsid w:val="00CB46B4"/>
    <w:rsid w:val="00CB4940"/>
    <w:rsid w:val="00CB4A70"/>
    <w:rsid w:val="00CB5D5B"/>
    <w:rsid w:val="00CB6E94"/>
    <w:rsid w:val="00CB7060"/>
    <w:rsid w:val="00CB763C"/>
    <w:rsid w:val="00CB77F2"/>
    <w:rsid w:val="00CB7DD6"/>
    <w:rsid w:val="00CC0438"/>
    <w:rsid w:val="00CC0563"/>
    <w:rsid w:val="00CC0C66"/>
    <w:rsid w:val="00CC140D"/>
    <w:rsid w:val="00CC1E56"/>
    <w:rsid w:val="00CC2270"/>
    <w:rsid w:val="00CC2EC5"/>
    <w:rsid w:val="00CC3277"/>
    <w:rsid w:val="00CC385B"/>
    <w:rsid w:val="00CC3EBF"/>
    <w:rsid w:val="00CC4207"/>
    <w:rsid w:val="00CC51BD"/>
    <w:rsid w:val="00CC5222"/>
    <w:rsid w:val="00CC5775"/>
    <w:rsid w:val="00CC62CD"/>
    <w:rsid w:val="00CC6C6A"/>
    <w:rsid w:val="00CC6F07"/>
    <w:rsid w:val="00CC702B"/>
    <w:rsid w:val="00CC7881"/>
    <w:rsid w:val="00CC78E6"/>
    <w:rsid w:val="00CC7971"/>
    <w:rsid w:val="00CD0422"/>
    <w:rsid w:val="00CD083E"/>
    <w:rsid w:val="00CD0982"/>
    <w:rsid w:val="00CD0FFA"/>
    <w:rsid w:val="00CD104F"/>
    <w:rsid w:val="00CD124B"/>
    <w:rsid w:val="00CD19CF"/>
    <w:rsid w:val="00CD265B"/>
    <w:rsid w:val="00CD2987"/>
    <w:rsid w:val="00CD2A22"/>
    <w:rsid w:val="00CD2A3D"/>
    <w:rsid w:val="00CD2EE0"/>
    <w:rsid w:val="00CD3B99"/>
    <w:rsid w:val="00CD3DD5"/>
    <w:rsid w:val="00CD400D"/>
    <w:rsid w:val="00CD40C7"/>
    <w:rsid w:val="00CD4F38"/>
    <w:rsid w:val="00CD5885"/>
    <w:rsid w:val="00CD5D11"/>
    <w:rsid w:val="00CD5D93"/>
    <w:rsid w:val="00CD63D3"/>
    <w:rsid w:val="00CD6924"/>
    <w:rsid w:val="00CD7055"/>
    <w:rsid w:val="00CD7340"/>
    <w:rsid w:val="00CD73E8"/>
    <w:rsid w:val="00CD7839"/>
    <w:rsid w:val="00CD78B1"/>
    <w:rsid w:val="00CE047A"/>
    <w:rsid w:val="00CE052C"/>
    <w:rsid w:val="00CE06B1"/>
    <w:rsid w:val="00CE0944"/>
    <w:rsid w:val="00CE0A76"/>
    <w:rsid w:val="00CE166B"/>
    <w:rsid w:val="00CE2362"/>
    <w:rsid w:val="00CE3120"/>
    <w:rsid w:val="00CE32D8"/>
    <w:rsid w:val="00CE37A8"/>
    <w:rsid w:val="00CE3C60"/>
    <w:rsid w:val="00CE42DB"/>
    <w:rsid w:val="00CE4C6F"/>
    <w:rsid w:val="00CE52CC"/>
    <w:rsid w:val="00CE53F4"/>
    <w:rsid w:val="00CE5510"/>
    <w:rsid w:val="00CE5B5C"/>
    <w:rsid w:val="00CE5B69"/>
    <w:rsid w:val="00CE5CA9"/>
    <w:rsid w:val="00CE6071"/>
    <w:rsid w:val="00CE66E3"/>
    <w:rsid w:val="00CE6C67"/>
    <w:rsid w:val="00CE734B"/>
    <w:rsid w:val="00CE793F"/>
    <w:rsid w:val="00CE7E6F"/>
    <w:rsid w:val="00CF15DD"/>
    <w:rsid w:val="00CF1A82"/>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5E0"/>
    <w:rsid w:val="00D00AD1"/>
    <w:rsid w:val="00D00FF7"/>
    <w:rsid w:val="00D012FF"/>
    <w:rsid w:val="00D0157B"/>
    <w:rsid w:val="00D01CC4"/>
    <w:rsid w:val="00D01E6B"/>
    <w:rsid w:val="00D0354D"/>
    <w:rsid w:val="00D0497C"/>
    <w:rsid w:val="00D04E4D"/>
    <w:rsid w:val="00D04F45"/>
    <w:rsid w:val="00D04FAA"/>
    <w:rsid w:val="00D050C0"/>
    <w:rsid w:val="00D0534B"/>
    <w:rsid w:val="00D0548B"/>
    <w:rsid w:val="00D05AEE"/>
    <w:rsid w:val="00D05D6E"/>
    <w:rsid w:val="00D0648D"/>
    <w:rsid w:val="00D06EB9"/>
    <w:rsid w:val="00D079ED"/>
    <w:rsid w:val="00D1153F"/>
    <w:rsid w:val="00D11995"/>
    <w:rsid w:val="00D11CFD"/>
    <w:rsid w:val="00D12432"/>
    <w:rsid w:val="00D126CF"/>
    <w:rsid w:val="00D12AD9"/>
    <w:rsid w:val="00D13808"/>
    <w:rsid w:val="00D14317"/>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1797A"/>
    <w:rsid w:val="00D17BF1"/>
    <w:rsid w:val="00D2079E"/>
    <w:rsid w:val="00D21356"/>
    <w:rsid w:val="00D216EE"/>
    <w:rsid w:val="00D220B5"/>
    <w:rsid w:val="00D224CF"/>
    <w:rsid w:val="00D230C1"/>
    <w:rsid w:val="00D232D8"/>
    <w:rsid w:val="00D232DC"/>
    <w:rsid w:val="00D233CD"/>
    <w:rsid w:val="00D23500"/>
    <w:rsid w:val="00D23AD3"/>
    <w:rsid w:val="00D23FC0"/>
    <w:rsid w:val="00D23FCE"/>
    <w:rsid w:val="00D2401D"/>
    <w:rsid w:val="00D24364"/>
    <w:rsid w:val="00D2469E"/>
    <w:rsid w:val="00D2649E"/>
    <w:rsid w:val="00D264D3"/>
    <w:rsid w:val="00D27300"/>
    <w:rsid w:val="00D27875"/>
    <w:rsid w:val="00D307FD"/>
    <w:rsid w:val="00D30A3B"/>
    <w:rsid w:val="00D30DAC"/>
    <w:rsid w:val="00D313FB"/>
    <w:rsid w:val="00D3141B"/>
    <w:rsid w:val="00D319AB"/>
    <w:rsid w:val="00D31E2D"/>
    <w:rsid w:val="00D321E8"/>
    <w:rsid w:val="00D328E1"/>
    <w:rsid w:val="00D329D8"/>
    <w:rsid w:val="00D32E01"/>
    <w:rsid w:val="00D33975"/>
    <w:rsid w:val="00D33A8C"/>
    <w:rsid w:val="00D34057"/>
    <w:rsid w:val="00D3523D"/>
    <w:rsid w:val="00D35597"/>
    <w:rsid w:val="00D35689"/>
    <w:rsid w:val="00D35E06"/>
    <w:rsid w:val="00D365FA"/>
    <w:rsid w:val="00D369BC"/>
    <w:rsid w:val="00D37093"/>
    <w:rsid w:val="00D40425"/>
    <w:rsid w:val="00D40BC3"/>
    <w:rsid w:val="00D40D6B"/>
    <w:rsid w:val="00D4129E"/>
    <w:rsid w:val="00D418A3"/>
    <w:rsid w:val="00D41AB6"/>
    <w:rsid w:val="00D42946"/>
    <w:rsid w:val="00D42DEC"/>
    <w:rsid w:val="00D43984"/>
    <w:rsid w:val="00D44105"/>
    <w:rsid w:val="00D4459D"/>
    <w:rsid w:val="00D45A14"/>
    <w:rsid w:val="00D45A36"/>
    <w:rsid w:val="00D46189"/>
    <w:rsid w:val="00D46BE9"/>
    <w:rsid w:val="00D46FA2"/>
    <w:rsid w:val="00D47391"/>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A96"/>
    <w:rsid w:val="00D52C43"/>
    <w:rsid w:val="00D5329D"/>
    <w:rsid w:val="00D533FE"/>
    <w:rsid w:val="00D534C8"/>
    <w:rsid w:val="00D5372A"/>
    <w:rsid w:val="00D54B1D"/>
    <w:rsid w:val="00D5509F"/>
    <w:rsid w:val="00D55425"/>
    <w:rsid w:val="00D55751"/>
    <w:rsid w:val="00D5578A"/>
    <w:rsid w:val="00D5616C"/>
    <w:rsid w:val="00D56C00"/>
    <w:rsid w:val="00D57082"/>
    <w:rsid w:val="00D576CD"/>
    <w:rsid w:val="00D577BB"/>
    <w:rsid w:val="00D57B91"/>
    <w:rsid w:val="00D57E0C"/>
    <w:rsid w:val="00D60E67"/>
    <w:rsid w:val="00D62320"/>
    <w:rsid w:val="00D6248B"/>
    <w:rsid w:val="00D62B5D"/>
    <w:rsid w:val="00D62B75"/>
    <w:rsid w:val="00D6317D"/>
    <w:rsid w:val="00D63379"/>
    <w:rsid w:val="00D635B1"/>
    <w:rsid w:val="00D639C5"/>
    <w:rsid w:val="00D63DB5"/>
    <w:rsid w:val="00D63E14"/>
    <w:rsid w:val="00D63E3D"/>
    <w:rsid w:val="00D63F98"/>
    <w:rsid w:val="00D64155"/>
    <w:rsid w:val="00D649A1"/>
    <w:rsid w:val="00D64BEA"/>
    <w:rsid w:val="00D653B9"/>
    <w:rsid w:val="00D659DC"/>
    <w:rsid w:val="00D65C02"/>
    <w:rsid w:val="00D65CC7"/>
    <w:rsid w:val="00D65D66"/>
    <w:rsid w:val="00D661D2"/>
    <w:rsid w:val="00D66410"/>
    <w:rsid w:val="00D66550"/>
    <w:rsid w:val="00D66648"/>
    <w:rsid w:val="00D66EFB"/>
    <w:rsid w:val="00D66FDA"/>
    <w:rsid w:val="00D67292"/>
    <w:rsid w:val="00D672CB"/>
    <w:rsid w:val="00D6738A"/>
    <w:rsid w:val="00D67956"/>
    <w:rsid w:val="00D70341"/>
    <w:rsid w:val="00D70C38"/>
    <w:rsid w:val="00D710E5"/>
    <w:rsid w:val="00D71197"/>
    <w:rsid w:val="00D7178C"/>
    <w:rsid w:val="00D72008"/>
    <w:rsid w:val="00D72192"/>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F19"/>
    <w:rsid w:val="00D767AE"/>
    <w:rsid w:val="00D77AD8"/>
    <w:rsid w:val="00D80605"/>
    <w:rsid w:val="00D80973"/>
    <w:rsid w:val="00D80BD8"/>
    <w:rsid w:val="00D81069"/>
    <w:rsid w:val="00D8261C"/>
    <w:rsid w:val="00D82A2B"/>
    <w:rsid w:val="00D8301D"/>
    <w:rsid w:val="00D8473E"/>
    <w:rsid w:val="00D85797"/>
    <w:rsid w:val="00D86255"/>
    <w:rsid w:val="00D863D1"/>
    <w:rsid w:val="00D872B7"/>
    <w:rsid w:val="00D87DCF"/>
    <w:rsid w:val="00D87F5B"/>
    <w:rsid w:val="00D90125"/>
    <w:rsid w:val="00D90299"/>
    <w:rsid w:val="00D9057B"/>
    <w:rsid w:val="00D9096B"/>
    <w:rsid w:val="00D90ED1"/>
    <w:rsid w:val="00D91C34"/>
    <w:rsid w:val="00D925C5"/>
    <w:rsid w:val="00D9279F"/>
    <w:rsid w:val="00D92BB0"/>
    <w:rsid w:val="00D92D23"/>
    <w:rsid w:val="00D935AB"/>
    <w:rsid w:val="00D936B4"/>
    <w:rsid w:val="00D94900"/>
    <w:rsid w:val="00D94E4C"/>
    <w:rsid w:val="00D953F7"/>
    <w:rsid w:val="00D95709"/>
    <w:rsid w:val="00D958D7"/>
    <w:rsid w:val="00D95F5C"/>
    <w:rsid w:val="00D96083"/>
    <w:rsid w:val="00D96248"/>
    <w:rsid w:val="00D96AFA"/>
    <w:rsid w:val="00D96B2B"/>
    <w:rsid w:val="00D96D46"/>
    <w:rsid w:val="00D97548"/>
    <w:rsid w:val="00D97B72"/>
    <w:rsid w:val="00D97CF6"/>
    <w:rsid w:val="00DA0BBE"/>
    <w:rsid w:val="00DA11AE"/>
    <w:rsid w:val="00DA16E5"/>
    <w:rsid w:val="00DA17FF"/>
    <w:rsid w:val="00DA1A59"/>
    <w:rsid w:val="00DA1BE6"/>
    <w:rsid w:val="00DA1BE9"/>
    <w:rsid w:val="00DA1DAA"/>
    <w:rsid w:val="00DA283D"/>
    <w:rsid w:val="00DA2CA6"/>
    <w:rsid w:val="00DA3E12"/>
    <w:rsid w:val="00DA3E52"/>
    <w:rsid w:val="00DA4141"/>
    <w:rsid w:val="00DA417B"/>
    <w:rsid w:val="00DA45BD"/>
    <w:rsid w:val="00DA5000"/>
    <w:rsid w:val="00DA52EB"/>
    <w:rsid w:val="00DA5CD6"/>
    <w:rsid w:val="00DA6868"/>
    <w:rsid w:val="00DA6DC2"/>
    <w:rsid w:val="00DA7044"/>
    <w:rsid w:val="00DA774A"/>
    <w:rsid w:val="00DA7D93"/>
    <w:rsid w:val="00DB0312"/>
    <w:rsid w:val="00DB06ED"/>
    <w:rsid w:val="00DB0ED0"/>
    <w:rsid w:val="00DB10F3"/>
    <w:rsid w:val="00DB115A"/>
    <w:rsid w:val="00DB198A"/>
    <w:rsid w:val="00DB1DCE"/>
    <w:rsid w:val="00DB1EE4"/>
    <w:rsid w:val="00DB2810"/>
    <w:rsid w:val="00DB31DB"/>
    <w:rsid w:val="00DB3213"/>
    <w:rsid w:val="00DB387C"/>
    <w:rsid w:val="00DB42F5"/>
    <w:rsid w:val="00DB4353"/>
    <w:rsid w:val="00DB43F8"/>
    <w:rsid w:val="00DB4688"/>
    <w:rsid w:val="00DB46DA"/>
    <w:rsid w:val="00DB5186"/>
    <w:rsid w:val="00DB5A7F"/>
    <w:rsid w:val="00DB640B"/>
    <w:rsid w:val="00DB656B"/>
    <w:rsid w:val="00DB6A23"/>
    <w:rsid w:val="00DB75BE"/>
    <w:rsid w:val="00DB7CD6"/>
    <w:rsid w:val="00DB7D6B"/>
    <w:rsid w:val="00DC00C2"/>
    <w:rsid w:val="00DC01DD"/>
    <w:rsid w:val="00DC13DF"/>
    <w:rsid w:val="00DC198F"/>
    <w:rsid w:val="00DC29D6"/>
    <w:rsid w:val="00DC2DA2"/>
    <w:rsid w:val="00DC2F60"/>
    <w:rsid w:val="00DC2FFF"/>
    <w:rsid w:val="00DC3149"/>
    <w:rsid w:val="00DC317B"/>
    <w:rsid w:val="00DC3FB4"/>
    <w:rsid w:val="00DC3FCB"/>
    <w:rsid w:val="00DC430F"/>
    <w:rsid w:val="00DC43B0"/>
    <w:rsid w:val="00DC478C"/>
    <w:rsid w:val="00DC47BF"/>
    <w:rsid w:val="00DC4CEC"/>
    <w:rsid w:val="00DC5F0A"/>
    <w:rsid w:val="00DC6348"/>
    <w:rsid w:val="00DC6447"/>
    <w:rsid w:val="00DC6D0D"/>
    <w:rsid w:val="00DC6F43"/>
    <w:rsid w:val="00DD086B"/>
    <w:rsid w:val="00DD0C80"/>
    <w:rsid w:val="00DD1091"/>
    <w:rsid w:val="00DD145B"/>
    <w:rsid w:val="00DD1ACD"/>
    <w:rsid w:val="00DD2409"/>
    <w:rsid w:val="00DD2798"/>
    <w:rsid w:val="00DD2A6B"/>
    <w:rsid w:val="00DD2DB6"/>
    <w:rsid w:val="00DD3217"/>
    <w:rsid w:val="00DD3A79"/>
    <w:rsid w:val="00DD4174"/>
    <w:rsid w:val="00DD418A"/>
    <w:rsid w:val="00DD452E"/>
    <w:rsid w:val="00DD4929"/>
    <w:rsid w:val="00DD4EA1"/>
    <w:rsid w:val="00DD5A5B"/>
    <w:rsid w:val="00DD6998"/>
    <w:rsid w:val="00DD720F"/>
    <w:rsid w:val="00DD7217"/>
    <w:rsid w:val="00DD7C32"/>
    <w:rsid w:val="00DD7D9D"/>
    <w:rsid w:val="00DE00A7"/>
    <w:rsid w:val="00DE0A7D"/>
    <w:rsid w:val="00DE0DC9"/>
    <w:rsid w:val="00DE12EF"/>
    <w:rsid w:val="00DE19AA"/>
    <w:rsid w:val="00DE1BFE"/>
    <w:rsid w:val="00DE2156"/>
    <w:rsid w:val="00DE367F"/>
    <w:rsid w:val="00DE3E2A"/>
    <w:rsid w:val="00DE4014"/>
    <w:rsid w:val="00DE4973"/>
    <w:rsid w:val="00DE4F7F"/>
    <w:rsid w:val="00DE53D0"/>
    <w:rsid w:val="00DE5469"/>
    <w:rsid w:val="00DE54CA"/>
    <w:rsid w:val="00DE5D83"/>
    <w:rsid w:val="00DE5E44"/>
    <w:rsid w:val="00DE6EC6"/>
    <w:rsid w:val="00DE704F"/>
    <w:rsid w:val="00DE7DBA"/>
    <w:rsid w:val="00DE7FB5"/>
    <w:rsid w:val="00DF02A0"/>
    <w:rsid w:val="00DF0953"/>
    <w:rsid w:val="00DF1273"/>
    <w:rsid w:val="00DF354D"/>
    <w:rsid w:val="00DF3B05"/>
    <w:rsid w:val="00DF44BC"/>
    <w:rsid w:val="00DF46D2"/>
    <w:rsid w:val="00DF46F0"/>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271"/>
    <w:rsid w:val="00E04F0C"/>
    <w:rsid w:val="00E04F96"/>
    <w:rsid w:val="00E053BA"/>
    <w:rsid w:val="00E05420"/>
    <w:rsid w:val="00E0562D"/>
    <w:rsid w:val="00E05C05"/>
    <w:rsid w:val="00E0606D"/>
    <w:rsid w:val="00E06510"/>
    <w:rsid w:val="00E0676D"/>
    <w:rsid w:val="00E06FE5"/>
    <w:rsid w:val="00E072B0"/>
    <w:rsid w:val="00E07619"/>
    <w:rsid w:val="00E07C90"/>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C6"/>
    <w:rsid w:val="00E1521D"/>
    <w:rsid w:val="00E154D2"/>
    <w:rsid w:val="00E155E5"/>
    <w:rsid w:val="00E16633"/>
    <w:rsid w:val="00E16C08"/>
    <w:rsid w:val="00E16E19"/>
    <w:rsid w:val="00E1769F"/>
    <w:rsid w:val="00E17930"/>
    <w:rsid w:val="00E20164"/>
    <w:rsid w:val="00E21AA6"/>
    <w:rsid w:val="00E223DC"/>
    <w:rsid w:val="00E2304B"/>
    <w:rsid w:val="00E2320D"/>
    <w:rsid w:val="00E23447"/>
    <w:rsid w:val="00E23F6C"/>
    <w:rsid w:val="00E23FBF"/>
    <w:rsid w:val="00E24712"/>
    <w:rsid w:val="00E24A35"/>
    <w:rsid w:val="00E24B3E"/>
    <w:rsid w:val="00E24B61"/>
    <w:rsid w:val="00E24E2E"/>
    <w:rsid w:val="00E2523E"/>
    <w:rsid w:val="00E25549"/>
    <w:rsid w:val="00E2575D"/>
    <w:rsid w:val="00E25CC3"/>
    <w:rsid w:val="00E25ECA"/>
    <w:rsid w:val="00E264B9"/>
    <w:rsid w:val="00E26859"/>
    <w:rsid w:val="00E26DB9"/>
    <w:rsid w:val="00E26E41"/>
    <w:rsid w:val="00E26EF2"/>
    <w:rsid w:val="00E27441"/>
    <w:rsid w:val="00E274C1"/>
    <w:rsid w:val="00E277E0"/>
    <w:rsid w:val="00E30920"/>
    <w:rsid w:val="00E309C7"/>
    <w:rsid w:val="00E30A90"/>
    <w:rsid w:val="00E30D47"/>
    <w:rsid w:val="00E30F4F"/>
    <w:rsid w:val="00E31008"/>
    <w:rsid w:val="00E31068"/>
    <w:rsid w:val="00E3123A"/>
    <w:rsid w:val="00E312E5"/>
    <w:rsid w:val="00E31699"/>
    <w:rsid w:val="00E31B79"/>
    <w:rsid w:val="00E31CB7"/>
    <w:rsid w:val="00E32715"/>
    <w:rsid w:val="00E32D36"/>
    <w:rsid w:val="00E32E22"/>
    <w:rsid w:val="00E334B8"/>
    <w:rsid w:val="00E33C3F"/>
    <w:rsid w:val="00E33C76"/>
    <w:rsid w:val="00E34523"/>
    <w:rsid w:val="00E35105"/>
    <w:rsid w:val="00E3511E"/>
    <w:rsid w:val="00E35FC8"/>
    <w:rsid w:val="00E36754"/>
    <w:rsid w:val="00E36F8A"/>
    <w:rsid w:val="00E37394"/>
    <w:rsid w:val="00E37482"/>
    <w:rsid w:val="00E37A6A"/>
    <w:rsid w:val="00E37CC3"/>
    <w:rsid w:val="00E40479"/>
    <w:rsid w:val="00E408F2"/>
    <w:rsid w:val="00E40B38"/>
    <w:rsid w:val="00E40FB5"/>
    <w:rsid w:val="00E41884"/>
    <w:rsid w:val="00E4192C"/>
    <w:rsid w:val="00E41DF6"/>
    <w:rsid w:val="00E420CB"/>
    <w:rsid w:val="00E4281D"/>
    <w:rsid w:val="00E42BB9"/>
    <w:rsid w:val="00E42FB9"/>
    <w:rsid w:val="00E44142"/>
    <w:rsid w:val="00E44577"/>
    <w:rsid w:val="00E446FD"/>
    <w:rsid w:val="00E451B6"/>
    <w:rsid w:val="00E454AD"/>
    <w:rsid w:val="00E458B2"/>
    <w:rsid w:val="00E46089"/>
    <w:rsid w:val="00E4671A"/>
    <w:rsid w:val="00E47016"/>
    <w:rsid w:val="00E474DE"/>
    <w:rsid w:val="00E47920"/>
    <w:rsid w:val="00E5019C"/>
    <w:rsid w:val="00E51311"/>
    <w:rsid w:val="00E51D11"/>
    <w:rsid w:val="00E52056"/>
    <w:rsid w:val="00E52222"/>
    <w:rsid w:val="00E522E3"/>
    <w:rsid w:val="00E52725"/>
    <w:rsid w:val="00E52841"/>
    <w:rsid w:val="00E52FF6"/>
    <w:rsid w:val="00E530E1"/>
    <w:rsid w:val="00E532BD"/>
    <w:rsid w:val="00E53D9D"/>
    <w:rsid w:val="00E53F98"/>
    <w:rsid w:val="00E54446"/>
    <w:rsid w:val="00E54704"/>
    <w:rsid w:val="00E55623"/>
    <w:rsid w:val="00E55CB7"/>
    <w:rsid w:val="00E55DC8"/>
    <w:rsid w:val="00E56479"/>
    <w:rsid w:val="00E567C7"/>
    <w:rsid w:val="00E56821"/>
    <w:rsid w:val="00E569DE"/>
    <w:rsid w:val="00E56F73"/>
    <w:rsid w:val="00E57111"/>
    <w:rsid w:val="00E574A7"/>
    <w:rsid w:val="00E577CB"/>
    <w:rsid w:val="00E57BEF"/>
    <w:rsid w:val="00E6019E"/>
    <w:rsid w:val="00E603AF"/>
    <w:rsid w:val="00E604FA"/>
    <w:rsid w:val="00E60FAB"/>
    <w:rsid w:val="00E6133F"/>
    <w:rsid w:val="00E615BD"/>
    <w:rsid w:val="00E61F48"/>
    <w:rsid w:val="00E62433"/>
    <w:rsid w:val="00E62A1B"/>
    <w:rsid w:val="00E62A47"/>
    <w:rsid w:val="00E62B98"/>
    <w:rsid w:val="00E62C01"/>
    <w:rsid w:val="00E62F16"/>
    <w:rsid w:val="00E631E5"/>
    <w:rsid w:val="00E6329E"/>
    <w:rsid w:val="00E6390E"/>
    <w:rsid w:val="00E63980"/>
    <w:rsid w:val="00E64FA9"/>
    <w:rsid w:val="00E65018"/>
    <w:rsid w:val="00E65948"/>
    <w:rsid w:val="00E664A4"/>
    <w:rsid w:val="00E66CF4"/>
    <w:rsid w:val="00E66EAB"/>
    <w:rsid w:val="00E670E6"/>
    <w:rsid w:val="00E67339"/>
    <w:rsid w:val="00E6734C"/>
    <w:rsid w:val="00E67560"/>
    <w:rsid w:val="00E67B4D"/>
    <w:rsid w:val="00E67B50"/>
    <w:rsid w:val="00E67EF0"/>
    <w:rsid w:val="00E705EE"/>
    <w:rsid w:val="00E70B72"/>
    <w:rsid w:val="00E70FDA"/>
    <w:rsid w:val="00E7132D"/>
    <w:rsid w:val="00E713BF"/>
    <w:rsid w:val="00E71F04"/>
    <w:rsid w:val="00E721F6"/>
    <w:rsid w:val="00E722A2"/>
    <w:rsid w:val="00E729B9"/>
    <w:rsid w:val="00E730FA"/>
    <w:rsid w:val="00E730FF"/>
    <w:rsid w:val="00E742E4"/>
    <w:rsid w:val="00E746A4"/>
    <w:rsid w:val="00E74A37"/>
    <w:rsid w:val="00E752A9"/>
    <w:rsid w:val="00E75529"/>
    <w:rsid w:val="00E75D96"/>
    <w:rsid w:val="00E75DC3"/>
    <w:rsid w:val="00E76B6E"/>
    <w:rsid w:val="00E76D6E"/>
    <w:rsid w:val="00E76DCC"/>
    <w:rsid w:val="00E7757E"/>
    <w:rsid w:val="00E7789E"/>
    <w:rsid w:val="00E77A75"/>
    <w:rsid w:val="00E77B23"/>
    <w:rsid w:val="00E77D56"/>
    <w:rsid w:val="00E80364"/>
    <w:rsid w:val="00E80511"/>
    <w:rsid w:val="00E80C27"/>
    <w:rsid w:val="00E8108F"/>
    <w:rsid w:val="00E81C1A"/>
    <w:rsid w:val="00E81C1F"/>
    <w:rsid w:val="00E822F5"/>
    <w:rsid w:val="00E82F03"/>
    <w:rsid w:val="00E832CF"/>
    <w:rsid w:val="00E83C04"/>
    <w:rsid w:val="00E83F2F"/>
    <w:rsid w:val="00E843F7"/>
    <w:rsid w:val="00E846F7"/>
    <w:rsid w:val="00E84FD5"/>
    <w:rsid w:val="00E850D4"/>
    <w:rsid w:val="00E8551B"/>
    <w:rsid w:val="00E86E7A"/>
    <w:rsid w:val="00E87263"/>
    <w:rsid w:val="00E878A3"/>
    <w:rsid w:val="00E900A4"/>
    <w:rsid w:val="00E902E8"/>
    <w:rsid w:val="00E9033D"/>
    <w:rsid w:val="00E9041B"/>
    <w:rsid w:val="00E9076C"/>
    <w:rsid w:val="00E90F41"/>
    <w:rsid w:val="00E91398"/>
    <w:rsid w:val="00E9159F"/>
    <w:rsid w:val="00E91768"/>
    <w:rsid w:val="00E91897"/>
    <w:rsid w:val="00E91BF4"/>
    <w:rsid w:val="00E91E02"/>
    <w:rsid w:val="00E92398"/>
    <w:rsid w:val="00E924C1"/>
    <w:rsid w:val="00E92777"/>
    <w:rsid w:val="00E92CBF"/>
    <w:rsid w:val="00E92E0A"/>
    <w:rsid w:val="00E935F5"/>
    <w:rsid w:val="00E9381C"/>
    <w:rsid w:val="00E93CFD"/>
    <w:rsid w:val="00E94584"/>
    <w:rsid w:val="00E94D45"/>
    <w:rsid w:val="00E95C26"/>
    <w:rsid w:val="00E95CEA"/>
    <w:rsid w:val="00E962EC"/>
    <w:rsid w:val="00E963CD"/>
    <w:rsid w:val="00E967F1"/>
    <w:rsid w:val="00E976D8"/>
    <w:rsid w:val="00E97FE2"/>
    <w:rsid w:val="00EA08E8"/>
    <w:rsid w:val="00EA0F7E"/>
    <w:rsid w:val="00EA13BF"/>
    <w:rsid w:val="00EA1457"/>
    <w:rsid w:val="00EA1903"/>
    <w:rsid w:val="00EA19A5"/>
    <w:rsid w:val="00EA1A5A"/>
    <w:rsid w:val="00EA24AE"/>
    <w:rsid w:val="00EA258D"/>
    <w:rsid w:val="00EA2FC0"/>
    <w:rsid w:val="00EA3085"/>
    <w:rsid w:val="00EA3446"/>
    <w:rsid w:val="00EA3CD8"/>
    <w:rsid w:val="00EA3F5C"/>
    <w:rsid w:val="00EA4397"/>
    <w:rsid w:val="00EA4816"/>
    <w:rsid w:val="00EA48E1"/>
    <w:rsid w:val="00EA499D"/>
    <w:rsid w:val="00EA4E8E"/>
    <w:rsid w:val="00EA4FFF"/>
    <w:rsid w:val="00EA53F7"/>
    <w:rsid w:val="00EA54AD"/>
    <w:rsid w:val="00EA58A0"/>
    <w:rsid w:val="00EA5AE3"/>
    <w:rsid w:val="00EA5C8C"/>
    <w:rsid w:val="00EA5ECB"/>
    <w:rsid w:val="00EA62F8"/>
    <w:rsid w:val="00EA6B56"/>
    <w:rsid w:val="00EA6D49"/>
    <w:rsid w:val="00EA7D0C"/>
    <w:rsid w:val="00EA7F0B"/>
    <w:rsid w:val="00EB0CCF"/>
    <w:rsid w:val="00EB0DA5"/>
    <w:rsid w:val="00EB0DAE"/>
    <w:rsid w:val="00EB114C"/>
    <w:rsid w:val="00EB1720"/>
    <w:rsid w:val="00EB18C0"/>
    <w:rsid w:val="00EB1B2E"/>
    <w:rsid w:val="00EB20F4"/>
    <w:rsid w:val="00EB2490"/>
    <w:rsid w:val="00EB2737"/>
    <w:rsid w:val="00EB3F05"/>
    <w:rsid w:val="00EB4207"/>
    <w:rsid w:val="00EB506D"/>
    <w:rsid w:val="00EB53CC"/>
    <w:rsid w:val="00EB56C4"/>
    <w:rsid w:val="00EB5955"/>
    <w:rsid w:val="00EB6662"/>
    <w:rsid w:val="00EB6903"/>
    <w:rsid w:val="00EB6E71"/>
    <w:rsid w:val="00EC05E1"/>
    <w:rsid w:val="00EC07BA"/>
    <w:rsid w:val="00EC08E4"/>
    <w:rsid w:val="00EC1186"/>
    <w:rsid w:val="00EC23D8"/>
    <w:rsid w:val="00EC25BB"/>
    <w:rsid w:val="00EC3785"/>
    <w:rsid w:val="00EC3B2D"/>
    <w:rsid w:val="00EC3E5A"/>
    <w:rsid w:val="00EC453E"/>
    <w:rsid w:val="00EC458A"/>
    <w:rsid w:val="00EC4DE4"/>
    <w:rsid w:val="00EC51A1"/>
    <w:rsid w:val="00EC531B"/>
    <w:rsid w:val="00EC6178"/>
    <w:rsid w:val="00EC6288"/>
    <w:rsid w:val="00EC65DD"/>
    <w:rsid w:val="00EC6A56"/>
    <w:rsid w:val="00EC7166"/>
    <w:rsid w:val="00EC75D3"/>
    <w:rsid w:val="00EC7E78"/>
    <w:rsid w:val="00ED06AD"/>
    <w:rsid w:val="00ED0BED"/>
    <w:rsid w:val="00ED1232"/>
    <w:rsid w:val="00ED1A7F"/>
    <w:rsid w:val="00ED1C5D"/>
    <w:rsid w:val="00ED20BB"/>
    <w:rsid w:val="00ED22C5"/>
    <w:rsid w:val="00ED307B"/>
    <w:rsid w:val="00ED3503"/>
    <w:rsid w:val="00ED40E1"/>
    <w:rsid w:val="00ED4DFC"/>
    <w:rsid w:val="00ED4E42"/>
    <w:rsid w:val="00ED54D7"/>
    <w:rsid w:val="00ED5E54"/>
    <w:rsid w:val="00ED69D8"/>
    <w:rsid w:val="00ED6CFE"/>
    <w:rsid w:val="00ED7786"/>
    <w:rsid w:val="00ED7EA9"/>
    <w:rsid w:val="00EE00E5"/>
    <w:rsid w:val="00EE014A"/>
    <w:rsid w:val="00EE0B31"/>
    <w:rsid w:val="00EE1E9C"/>
    <w:rsid w:val="00EE200B"/>
    <w:rsid w:val="00EE2083"/>
    <w:rsid w:val="00EE20A8"/>
    <w:rsid w:val="00EE23BC"/>
    <w:rsid w:val="00EE25D9"/>
    <w:rsid w:val="00EE2876"/>
    <w:rsid w:val="00EE37BA"/>
    <w:rsid w:val="00EE3E87"/>
    <w:rsid w:val="00EE433B"/>
    <w:rsid w:val="00EE434D"/>
    <w:rsid w:val="00EE46D0"/>
    <w:rsid w:val="00EE476D"/>
    <w:rsid w:val="00EE49A6"/>
    <w:rsid w:val="00EE4C73"/>
    <w:rsid w:val="00EE5562"/>
    <w:rsid w:val="00EE5ACC"/>
    <w:rsid w:val="00EE5C23"/>
    <w:rsid w:val="00EE6462"/>
    <w:rsid w:val="00EE67FE"/>
    <w:rsid w:val="00EE6BDD"/>
    <w:rsid w:val="00EE703E"/>
    <w:rsid w:val="00EE76F0"/>
    <w:rsid w:val="00EE795F"/>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1298"/>
    <w:rsid w:val="00F012A0"/>
    <w:rsid w:val="00F01968"/>
    <w:rsid w:val="00F01B3E"/>
    <w:rsid w:val="00F01F95"/>
    <w:rsid w:val="00F0256E"/>
    <w:rsid w:val="00F030DD"/>
    <w:rsid w:val="00F03681"/>
    <w:rsid w:val="00F03E2F"/>
    <w:rsid w:val="00F04555"/>
    <w:rsid w:val="00F0481B"/>
    <w:rsid w:val="00F04D9B"/>
    <w:rsid w:val="00F05533"/>
    <w:rsid w:val="00F0588E"/>
    <w:rsid w:val="00F05AB5"/>
    <w:rsid w:val="00F05BC9"/>
    <w:rsid w:val="00F0608B"/>
    <w:rsid w:val="00F0659C"/>
    <w:rsid w:val="00F065FA"/>
    <w:rsid w:val="00F06776"/>
    <w:rsid w:val="00F06CDD"/>
    <w:rsid w:val="00F06D5D"/>
    <w:rsid w:val="00F10A31"/>
    <w:rsid w:val="00F1139F"/>
    <w:rsid w:val="00F116E1"/>
    <w:rsid w:val="00F11AA5"/>
    <w:rsid w:val="00F11E55"/>
    <w:rsid w:val="00F1210C"/>
    <w:rsid w:val="00F128DE"/>
    <w:rsid w:val="00F12B5D"/>
    <w:rsid w:val="00F12DF4"/>
    <w:rsid w:val="00F13400"/>
    <w:rsid w:val="00F13708"/>
    <w:rsid w:val="00F1411B"/>
    <w:rsid w:val="00F148AE"/>
    <w:rsid w:val="00F149A9"/>
    <w:rsid w:val="00F14C07"/>
    <w:rsid w:val="00F14C0C"/>
    <w:rsid w:val="00F14CD6"/>
    <w:rsid w:val="00F14CF7"/>
    <w:rsid w:val="00F154D7"/>
    <w:rsid w:val="00F1585C"/>
    <w:rsid w:val="00F15FFE"/>
    <w:rsid w:val="00F16901"/>
    <w:rsid w:val="00F16B69"/>
    <w:rsid w:val="00F16FA4"/>
    <w:rsid w:val="00F170D8"/>
    <w:rsid w:val="00F17267"/>
    <w:rsid w:val="00F211C9"/>
    <w:rsid w:val="00F21448"/>
    <w:rsid w:val="00F215D1"/>
    <w:rsid w:val="00F2210C"/>
    <w:rsid w:val="00F22F2A"/>
    <w:rsid w:val="00F231FB"/>
    <w:rsid w:val="00F243C4"/>
    <w:rsid w:val="00F243FF"/>
    <w:rsid w:val="00F2515E"/>
    <w:rsid w:val="00F25199"/>
    <w:rsid w:val="00F254D8"/>
    <w:rsid w:val="00F25953"/>
    <w:rsid w:val="00F25CD3"/>
    <w:rsid w:val="00F26A46"/>
    <w:rsid w:val="00F26F86"/>
    <w:rsid w:val="00F2780A"/>
    <w:rsid w:val="00F30B28"/>
    <w:rsid w:val="00F314EF"/>
    <w:rsid w:val="00F3167E"/>
    <w:rsid w:val="00F320E3"/>
    <w:rsid w:val="00F3265E"/>
    <w:rsid w:val="00F332B2"/>
    <w:rsid w:val="00F33C57"/>
    <w:rsid w:val="00F33DD2"/>
    <w:rsid w:val="00F33E94"/>
    <w:rsid w:val="00F33F0D"/>
    <w:rsid w:val="00F34D2E"/>
    <w:rsid w:val="00F352BD"/>
    <w:rsid w:val="00F357B7"/>
    <w:rsid w:val="00F3589E"/>
    <w:rsid w:val="00F35DAE"/>
    <w:rsid w:val="00F35E2B"/>
    <w:rsid w:val="00F368F2"/>
    <w:rsid w:val="00F36FB5"/>
    <w:rsid w:val="00F3715D"/>
    <w:rsid w:val="00F374F7"/>
    <w:rsid w:val="00F37A09"/>
    <w:rsid w:val="00F404BF"/>
    <w:rsid w:val="00F404D3"/>
    <w:rsid w:val="00F405B4"/>
    <w:rsid w:val="00F40EB5"/>
    <w:rsid w:val="00F40F31"/>
    <w:rsid w:val="00F41380"/>
    <w:rsid w:val="00F41421"/>
    <w:rsid w:val="00F4174A"/>
    <w:rsid w:val="00F41886"/>
    <w:rsid w:val="00F419C3"/>
    <w:rsid w:val="00F41A80"/>
    <w:rsid w:val="00F41C4B"/>
    <w:rsid w:val="00F42798"/>
    <w:rsid w:val="00F4311B"/>
    <w:rsid w:val="00F43206"/>
    <w:rsid w:val="00F4322A"/>
    <w:rsid w:val="00F435B6"/>
    <w:rsid w:val="00F43849"/>
    <w:rsid w:val="00F439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068"/>
    <w:rsid w:val="00F523D3"/>
    <w:rsid w:val="00F5253A"/>
    <w:rsid w:val="00F5325B"/>
    <w:rsid w:val="00F53585"/>
    <w:rsid w:val="00F53AF0"/>
    <w:rsid w:val="00F544DD"/>
    <w:rsid w:val="00F55337"/>
    <w:rsid w:val="00F55BB0"/>
    <w:rsid w:val="00F55F0A"/>
    <w:rsid w:val="00F562DF"/>
    <w:rsid w:val="00F5636E"/>
    <w:rsid w:val="00F5652C"/>
    <w:rsid w:val="00F568F6"/>
    <w:rsid w:val="00F56BEF"/>
    <w:rsid w:val="00F57843"/>
    <w:rsid w:val="00F578D7"/>
    <w:rsid w:val="00F57C49"/>
    <w:rsid w:val="00F57D6B"/>
    <w:rsid w:val="00F609BF"/>
    <w:rsid w:val="00F60A98"/>
    <w:rsid w:val="00F618C5"/>
    <w:rsid w:val="00F619E0"/>
    <w:rsid w:val="00F61A38"/>
    <w:rsid w:val="00F61B4D"/>
    <w:rsid w:val="00F61B54"/>
    <w:rsid w:val="00F622E5"/>
    <w:rsid w:val="00F626FF"/>
    <w:rsid w:val="00F62A13"/>
    <w:rsid w:val="00F63036"/>
    <w:rsid w:val="00F6380C"/>
    <w:rsid w:val="00F63E23"/>
    <w:rsid w:val="00F64675"/>
    <w:rsid w:val="00F64E0F"/>
    <w:rsid w:val="00F65102"/>
    <w:rsid w:val="00F652AD"/>
    <w:rsid w:val="00F652B8"/>
    <w:rsid w:val="00F65D31"/>
    <w:rsid w:val="00F666A7"/>
    <w:rsid w:val="00F66A2E"/>
    <w:rsid w:val="00F66D0C"/>
    <w:rsid w:val="00F66D58"/>
    <w:rsid w:val="00F67F09"/>
    <w:rsid w:val="00F706A0"/>
    <w:rsid w:val="00F709F5"/>
    <w:rsid w:val="00F717CC"/>
    <w:rsid w:val="00F720A0"/>
    <w:rsid w:val="00F720B7"/>
    <w:rsid w:val="00F724F5"/>
    <w:rsid w:val="00F72F11"/>
    <w:rsid w:val="00F72F51"/>
    <w:rsid w:val="00F733A2"/>
    <w:rsid w:val="00F73999"/>
    <w:rsid w:val="00F73AB3"/>
    <w:rsid w:val="00F73AB7"/>
    <w:rsid w:val="00F7566A"/>
    <w:rsid w:val="00F76268"/>
    <w:rsid w:val="00F76CF3"/>
    <w:rsid w:val="00F76CF4"/>
    <w:rsid w:val="00F76DA3"/>
    <w:rsid w:val="00F7718B"/>
    <w:rsid w:val="00F77BCA"/>
    <w:rsid w:val="00F80519"/>
    <w:rsid w:val="00F805CA"/>
    <w:rsid w:val="00F807A4"/>
    <w:rsid w:val="00F809ED"/>
    <w:rsid w:val="00F80DD8"/>
    <w:rsid w:val="00F81914"/>
    <w:rsid w:val="00F81B7D"/>
    <w:rsid w:val="00F8215F"/>
    <w:rsid w:val="00F824D5"/>
    <w:rsid w:val="00F82628"/>
    <w:rsid w:val="00F82BC6"/>
    <w:rsid w:val="00F82D8E"/>
    <w:rsid w:val="00F8321D"/>
    <w:rsid w:val="00F83461"/>
    <w:rsid w:val="00F83883"/>
    <w:rsid w:val="00F83F7C"/>
    <w:rsid w:val="00F84162"/>
    <w:rsid w:val="00F8457A"/>
    <w:rsid w:val="00F85165"/>
    <w:rsid w:val="00F8517B"/>
    <w:rsid w:val="00F853BE"/>
    <w:rsid w:val="00F8675D"/>
    <w:rsid w:val="00F86E2D"/>
    <w:rsid w:val="00F870B7"/>
    <w:rsid w:val="00F875EE"/>
    <w:rsid w:val="00F87B71"/>
    <w:rsid w:val="00F87EB0"/>
    <w:rsid w:val="00F9052C"/>
    <w:rsid w:val="00F90EBF"/>
    <w:rsid w:val="00F9135D"/>
    <w:rsid w:val="00F915BE"/>
    <w:rsid w:val="00F9176D"/>
    <w:rsid w:val="00F91AD8"/>
    <w:rsid w:val="00F91B71"/>
    <w:rsid w:val="00F91BA8"/>
    <w:rsid w:val="00F9207A"/>
    <w:rsid w:val="00F920DB"/>
    <w:rsid w:val="00F922F2"/>
    <w:rsid w:val="00F9260F"/>
    <w:rsid w:val="00F9308E"/>
    <w:rsid w:val="00F93740"/>
    <w:rsid w:val="00F9404B"/>
    <w:rsid w:val="00F9493C"/>
    <w:rsid w:val="00F95B4E"/>
    <w:rsid w:val="00F95D20"/>
    <w:rsid w:val="00F95E64"/>
    <w:rsid w:val="00F960B8"/>
    <w:rsid w:val="00F9649D"/>
    <w:rsid w:val="00F967C4"/>
    <w:rsid w:val="00F96A46"/>
    <w:rsid w:val="00F96BB8"/>
    <w:rsid w:val="00F97647"/>
    <w:rsid w:val="00F97724"/>
    <w:rsid w:val="00F97A19"/>
    <w:rsid w:val="00FA068B"/>
    <w:rsid w:val="00FA1973"/>
    <w:rsid w:val="00FA1B1B"/>
    <w:rsid w:val="00FA20F0"/>
    <w:rsid w:val="00FA2534"/>
    <w:rsid w:val="00FA25D7"/>
    <w:rsid w:val="00FA2BC2"/>
    <w:rsid w:val="00FA2D57"/>
    <w:rsid w:val="00FA313D"/>
    <w:rsid w:val="00FA37EA"/>
    <w:rsid w:val="00FA381E"/>
    <w:rsid w:val="00FA3DE3"/>
    <w:rsid w:val="00FA3F50"/>
    <w:rsid w:val="00FA4826"/>
    <w:rsid w:val="00FA4C5D"/>
    <w:rsid w:val="00FA52C8"/>
    <w:rsid w:val="00FA54B2"/>
    <w:rsid w:val="00FA5642"/>
    <w:rsid w:val="00FA5812"/>
    <w:rsid w:val="00FA59CD"/>
    <w:rsid w:val="00FA7990"/>
    <w:rsid w:val="00FA7A7E"/>
    <w:rsid w:val="00FA7E50"/>
    <w:rsid w:val="00FB07FC"/>
    <w:rsid w:val="00FB1180"/>
    <w:rsid w:val="00FB15B5"/>
    <w:rsid w:val="00FB174F"/>
    <w:rsid w:val="00FB1FEB"/>
    <w:rsid w:val="00FB22AB"/>
    <w:rsid w:val="00FB2BD9"/>
    <w:rsid w:val="00FB2C51"/>
    <w:rsid w:val="00FB3935"/>
    <w:rsid w:val="00FB4250"/>
    <w:rsid w:val="00FB440D"/>
    <w:rsid w:val="00FB47E8"/>
    <w:rsid w:val="00FB4E05"/>
    <w:rsid w:val="00FB50F4"/>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4018"/>
    <w:rsid w:val="00FC501B"/>
    <w:rsid w:val="00FC54D5"/>
    <w:rsid w:val="00FC664D"/>
    <w:rsid w:val="00FC737A"/>
    <w:rsid w:val="00FC7844"/>
    <w:rsid w:val="00FC78E5"/>
    <w:rsid w:val="00FC7EA9"/>
    <w:rsid w:val="00FD0189"/>
    <w:rsid w:val="00FD0A8B"/>
    <w:rsid w:val="00FD0CE5"/>
    <w:rsid w:val="00FD126A"/>
    <w:rsid w:val="00FD1512"/>
    <w:rsid w:val="00FD1AB4"/>
    <w:rsid w:val="00FD1DDF"/>
    <w:rsid w:val="00FD2217"/>
    <w:rsid w:val="00FD28E8"/>
    <w:rsid w:val="00FD30D5"/>
    <w:rsid w:val="00FD3330"/>
    <w:rsid w:val="00FD3355"/>
    <w:rsid w:val="00FD3CF7"/>
    <w:rsid w:val="00FD472A"/>
    <w:rsid w:val="00FD4FCC"/>
    <w:rsid w:val="00FD522F"/>
    <w:rsid w:val="00FD55AE"/>
    <w:rsid w:val="00FD5690"/>
    <w:rsid w:val="00FD5A00"/>
    <w:rsid w:val="00FD5F89"/>
    <w:rsid w:val="00FD620A"/>
    <w:rsid w:val="00FD6570"/>
    <w:rsid w:val="00FD66E5"/>
    <w:rsid w:val="00FD6EA4"/>
    <w:rsid w:val="00FD6FCC"/>
    <w:rsid w:val="00FD79A7"/>
    <w:rsid w:val="00FD7DB9"/>
    <w:rsid w:val="00FD7E42"/>
    <w:rsid w:val="00FE0841"/>
    <w:rsid w:val="00FE08FD"/>
    <w:rsid w:val="00FE12A5"/>
    <w:rsid w:val="00FE1352"/>
    <w:rsid w:val="00FE1B58"/>
    <w:rsid w:val="00FE1DFA"/>
    <w:rsid w:val="00FE1EDA"/>
    <w:rsid w:val="00FE1F3B"/>
    <w:rsid w:val="00FE22CB"/>
    <w:rsid w:val="00FE2859"/>
    <w:rsid w:val="00FE2A81"/>
    <w:rsid w:val="00FE2F6A"/>
    <w:rsid w:val="00FE303A"/>
    <w:rsid w:val="00FE324D"/>
    <w:rsid w:val="00FE345D"/>
    <w:rsid w:val="00FE486C"/>
    <w:rsid w:val="00FE4890"/>
    <w:rsid w:val="00FE4E00"/>
    <w:rsid w:val="00FE5194"/>
    <w:rsid w:val="00FE544E"/>
    <w:rsid w:val="00FE5A35"/>
    <w:rsid w:val="00FE5D77"/>
    <w:rsid w:val="00FE64A9"/>
    <w:rsid w:val="00FE6BD7"/>
    <w:rsid w:val="00FE6C8F"/>
    <w:rsid w:val="00FE6F0F"/>
    <w:rsid w:val="00FF0644"/>
    <w:rsid w:val="00FF094E"/>
    <w:rsid w:val="00FF0A66"/>
    <w:rsid w:val="00FF1FCE"/>
    <w:rsid w:val="00FF2234"/>
    <w:rsid w:val="00FF290B"/>
    <w:rsid w:val="00FF2B9E"/>
    <w:rsid w:val="00FF320D"/>
    <w:rsid w:val="00FF33BD"/>
    <w:rsid w:val="00FF3B8C"/>
    <w:rsid w:val="00FF3C13"/>
    <w:rsid w:val="00FF3CEA"/>
    <w:rsid w:val="00FF3F18"/>
    <w:rsid w:val="00FF4169"/>
    <w:rsid w:val="00FF42CC"/>
    <w:rsid w:val="00FF4B56"/>
    <w:rsid w:val="00FF4D79"/>
    <w:rsid w:val="00FF4FD5"/>
    <w:rsid w:val="00FF57C0"/>
    <w:rsid w:val="00FF582B"/>
    <w:rsid w:val="00FF6702"/>
    <w:rsid w:val="00FF6822"/>
    <w:rsid w:val="00FF7188"/>
    <w:rsid w:val="00FF72DC"/>
    <w:rsid w:val="00FF750F"/>
    <w:rsid w:val="00FF76DE"/>
    <w:rsid w:val="00FF7785"/>
    <w:rsid w:val="00FF79FE"/>
    <w:rsid w:val="043C57EC"/>
    <w:rsid w:val="07F78205"/>
    <w:rsid w:val="0D8F4292"/>
    <w:rsid w:val="0DEB1C25"/>
    <w:rsid w:val="11E22C4A"/>
    <w:rsid w:val="12BE8D48"/>
    <w:rsid w:val="13DB5ACD"/>
    <w:rsid w:val="145ED399"/>
    <w:rsid w:val="194C367B"/>
    <w:rsid w:val="1B5A43D5"/>
    <w:rsid w:val="1C4C4731"/>
    <w:rsid w:val="1CB5B124"/>
    <w:rsid w:val="1DED22E3"/>
    <w:rsid w:val="1F3DEE6A"/>
    <w:rsid w:val="1FED51E6"/>
    <w:rsid w:val="2060D9EE"/>
    <w:rsid w:val="211FB854"/>
    <w:rsid w:val="2238F720"/>
    <w:rsid w:val="25C6C36D"/>
    <w:rsid w:val="276293CE"/>
    <w:rsid w:val="2BCBBC29"/>
    <w:rsid w:val="2C1EC6F0"/>
    <w:rsid w:val="2CAA50C7"/>
    <w:rsid w:val="2EF0BA70"/>
    <w:rsid w:val="310175D0"/>
    <w:rsid w:val="31AE206B"/>
    <w:rsid w:val="343A7F00"/>
    <w:rsid w:val="372C27B2"/>
    <w:rsid w:val="417E8D10"/>
    <w:rsid w:val="42AA2F68"/>
    <w:rsid w:val="43BF5569"/>
    <w:rsid w:val="4BD863BF"/>
    <w:rsid w:val="4C7F750E"/>
    <w:rsid w:val="4D980A94"/>
    <w:rsid w:val="525BADD2"/>
    <w:rsid w:val="52B6A45C"/>
    <w:rsid w:val="54CE23F9"/>
    <w:rsid w:val="5557A13B"/>
    <w:rsid w:val="5720733B"/>
    <w:rsid w:val="57988337"/>
    <w:rsid w:val="588FA029"/>
    <w:rsid w:val="58BC439C"/>
    <w:rsid w:val="5BEA6AB7"/>
    <w:rsid w:val="62154131"/>
    <w:rsid w:val="6451865E"/>
    <w:rsid w:val="653AA482"/>
    <w:rsid w:val="666D0AF0"/>
    <w:rsid w:val="6706DB5C"/>
    <w:rsid w:val="680C6DEA"/>
    <w:rsid w:val="68262080"/>
    <w:rsid w:val="68FFBEF7"/>
    <w:rsid w:val="7B667373"/>
    <w:rsid w:val="7B74C485"/>
    <w:rsid w:val="7F4506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509"/>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17212</Words>
  <Characters>98111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2024-04-26T05:12:00Z</dcterms:created>
  <dcterms:modified xsi:type="dcterms:W3CDTF">2024-06-26T00:34:00Z</dcterms:modified>
</cp:coreProperties>
</file>