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B4D6" w14:textId="76A6F5AC" w:rsidR="00865C8A" w:rsidRPr="00F65705" w:rsidRDefault="00903BEF" w:rsidP="00865C8A">
      <w:r w:rsidRPr="00F65705">
        <w:rPr>
          <w:noProof/>
        </w:rPr>
        <w:drawing>
          <wp:inline distT="0" distB="0" distL="0" distR="0" wp14:anchorId="2CEBA96E" wp14:editId="7A639973">
            <wp:extent cx="3249420" cy="9810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156" cy="983411"/>
                    </a:xfrm>
                    <a:prstGeom prst="rect">
                      <a:avLst/>
                    </a:prstGeom>
                    <a:noFill/>
                    <a:ln>
                      <a:noFill/>
                    </a:ln>
                  </pic:spPr>
                </pic:pic>
              </a:graphicData>
            </a:graphic>
          </wp:inline>
        </w:drawing>
      </w:r>
    </w:p>
    <w:p w14:paraId="574647DD" w14:textId="77777777" w:rsidR="00865C8A" w:rsidRPr="00F65705" w:rsidRDefault="00865C8A" w:rsidP="00865C8A">
      <w:pPr>
        <w:pStyle w:val="Pa12"/>
        <w:spacing w:before="2160"/>
        <w:jc w:val="center"/>
        <w:rPr>
          <w:rFonts w:asciiTheme="minorHAnsi" w:hAnsiTheme="minorHAnsi" w:cs="Times New Roman"/>
          <w:i/>
          <w:iCs/>
          <w:u w:val="single"/>
          <w:lang w:val="en-AU"/>
        </w:rPr>
      </w:pPr>
      <w:r w:rsidRPr="00F65705">
        <w:rPr>
          <w:rFonts w:asciiTheme="minorHAnsi" w:hAnsiTheme="minorHAnsi" w:cs="Times New Roman"/>
          <w:b/>
          <w:bCs/>
          <w:sz w:val="32"/>
          <w:szCs w:val="32"/>
          <w:lang w:val="en-AU"/>
        </w:rPr>
        <w:t>COST RECOVERY IMPLEMENTATION STATEMENT</w:t>
      </w:r>
    </w:p>
    <w:p w14:paraId="3E3FC61F" w14:textId="77777777" w:rsidR="00865C8A" w:rsidRPr="00F65705" w:rsidRDefault="00865C8A" w:rsidP="00865C8A">
      <w:pPr>
        <w:pStyle w:val="Pa12"/>
        <w:jc w:val="center"/>
        <w:rPr>
          <w:rFonts w:asciiTheme="minorHAnsi" w:hAnsiTheme="minorHAnsi"/>
          <w:b/>
          <w:sz w:val="32"/>
          <w:szCs w:val="32"/>
          <w:lang w:val="en-AU"/>
        </w:rPr>
      </w:pPr>
      <w:r w:rsidRPr="00F65705">
        <w:rPr>
          <w:rFonts w:asciiTheme="minorHAnsi" w:hAnsiTheme="minorHAnsi" w:cs="Times New Roman"/>
          <w:b/>
          <w:bCs/>
          <w:sz w:val="32"/>
          <w:szCs w:val="32"/>
          <w:lang w:val="en-AU"/>
        </w:rPr>
        <w:t xml:space="preserve"> Listing of medicines on the Pharmaceutical Benefits Scheme and designated vaccines on the National Immunisation Program</w:t>
      </w:r>
      <w:r w:rsidRPr="00F65705">
        <w:rPr>
          <w:lang w:val="en-AU"/>
        </w:rPr>
        <w:t xml:space="preserve"> </w:t>
      </w:r>
    </w:p>
    <w:p w14:paraId="2FA06F20" w14:textId="77777777" w:rsidR="00865C8A" w:rsidRPr="00F65705" w:rsidRDefault="00865C8A" w:rsidP="00865C8A">
      <w:pPr>
        <w:pStyle w:val="Pa4"/>
        <w:widowControl/>
        <w:autoSpaceDE/>
        <w:autoSpaceDN/>
        <w:adjustRightInd/>
        <w:spacing w:after="0" w:line="240" w:lineRule="auto"/>
        <w:jc w:val="center"/>
        <w:rPr>
          <w:rFonts w:asciiTheme="minorHAnsi" w:hAnsiTheme="minorHAnsi"/>
          <w:b/>
          <w:sz w:val="32"/>
          <w:lang w:val="en-AU"/>
        </w:rPr>
      </w:pPr>
      <w:r w:rsidRPr="00F65705">
        <w:rPr>
          <w:rFonts w:asciiTheme="minorHAnsi" w:hAnsiTheme="minorHAnsi"/>
          <w:b/>
          <w:sz w:val="32"/>
          <w:lang w:val="en-AU"/>
        </w:rPr>
        <w:t xml:space="preserve">1 </w:t>
      </w:r>
      <w:r w:rsidRPr="00F65705">
        <w:rPr>
          <w:rFonts w:asciiTheme="minorHAnsi" w:hAnsiTheme="minorHAnsi"/>
          <w:b/>
          <w:sz w:val="32"/>
          <w:szCs w:val="32"/>
          <w:lang w:val="en-AU"/>
        </w:rPr>
        <w:t>July</w:t>
      </w:r>
      <w:r w:rsidRPr="00F65705">
        <w:rPr>
          <w:rFonts w:asciiTheme="minorHAnsi" w:hAnsiTheme="minorHAnsi"/>
          <w:b/>
          <w:sz w:val="32"/>
          <w:lang w:val="en-AU"/>
        </w:rPr>
        <w:t xml:space="preserve"> 2023 to 30 June </w:t>
      </w:r>
      <w:r w:rsidRPr="00F65705">
        <w:rPr>
          <w:rFonts w:asciiTheme="minorHAnsi" w:hAnsiTheme="minorHAnsi"/>
          <w:b/>
          <w:sz w:val="32"/>
          <w:szCs w:val="32"/>
          <w:lang w:val="en-AU"/>
        </w:rPr>
        <w:t>2024</w:t>
      </w:r>
    </w:p>
    <w:p w14:paraId="38D3ECA0" w14:textId="44F46387" w:rsidR="00865C8A" w:rsidRPr="00F65705" w:rsidRDefault="00865C8A" w:rsidP="00865C8A">
      <w:pPr>
        <w:tabs>
          <w:tab w:val="center" w:pos="4819"/>
          <w:tab w:val="left" w:pos="6300"/>
        </w:tabs>
        <w:rPr>
          <w:rFonts w:asciiTheme="minorHAnsi" w:eastAsia="SimSun" w:hAnsiTheme="minorHAnsi"/>
          <w:b/>
          <w:sz w:val="32"/>
        </w:rPr>
      </w:pPr>
      <w:r w:rsidRPr="00F65705">
        <w:rPr>
          <w:rFonts w:asciiTheme="minorHAnsi" w:eastAsia="SimSun" w:hAnsiTheme="minorHAnsi"/>
          <w:b/>
          <w:sz w:val="32"/>
        </w:rPr>
        <w:tab/>
        <w:t>Version 1.</w:t>
      </w:r>
      <w:r w:rsidR="00853F4E" w:rsidRPr="00F65705">
        <w:rPr>
          <w:rFonts w:asciiTheme="minorHAnsi" w:eastAsia="SimSun" w:hAnsiTheme="minorHAnsi"/>
          <w:b/>
          <w:sz w:val="32"/>
        </w:rPr>
        <w:t>8</w:t>
      </w:r>
      <w:r w:rsidRPr="00F65705">
        <w:rPr>
          <w:rFonts w:asciiTheme="minorHAnsi" w:eastAsia="SimSun" w:hAnsiTheme="minorHAnsi"/>
          <w:b/>
          <w:sz w:val="32"/>
        </w:rPr>
        <w:tab/>
      </w:r>
    </w:p>
    <w:p w14:paraId="35299356" w14:textId="77777777" w:rsidR="00865C8A" w:rsidRPr="00F65705" w:rsidRDefault="00865C8A" w:rsidP="00865C8A">
      <w:pPr>
        <w:pStyle w:val="Pa12"/>
        <w:jc w:val="center"/>
        <w:rPr>
          <w:rFonts w:asciiTheme="minorHAnsi" w:hAnsiTheme="minorHAnsi"/>
          <w:b/>
          <w:sz w:val="32"/>
          <w:szCs w:val="32"/>
          <w:lang w:val="en-AU"/>
        </w:rPr>
      </w:pPr>
    </w:p>
    <w:tbl>
      <w:tblPr>
        <w:tblStyle w:val="TableGrid"/>
        <w:tblW w:w="9639" w:type="dxa"/>
        <w:tblInd w:w="137" w:type="dxa"/>
        <w:tblBorders>
          <w:insideH w:val="none" w:sz="0" w:space="0" w:color="auto"/>
          <w:insideV w:val="none" w:sz="0" w:space="0" w:color="auto"/>
        </w:tblBorders>
        <w:tblLook w:val="04A0" w:firstRow="1" w:lastRow="0" w:firstColumn="1" w:lastColumn="0" w:noHBand="0" w:noVBand="1"/>
        <w:tblCaption w:val="Cost recovery description"/>
        <w:tblDescription w:val="This table provides a high-level overview of cost recovery policy."/>
      </w:tblPr>
      <w:tblGrid>
        <w:gridCol w:w="9639"/>
      </w:tblGrid>
      <w:tr w:rsidR="00865C8A" w:rsidRPr="00F65705" w14:paraId="61698DE3" w14:textId="77777777" w:rsidTr="00DC62CD">
        <w:trPr>
          <w:tblHeader/>
        </w:trPr>
        <w:tc>
          <w:tcPr>
            <w:tcW w:w="9639" w:type="dxa"/>
            <w:shd w:val="clear" w:color="auto" w:fill="auto"/>
          </w:tcPr>
          <w:p w14:paraId="17062296" w14:textId="77777777" w:rsidR="00865C8A" w:rsidRPr="00F65705" w:rsidRDefault="00865C8A" w:rsidP="00DC62CD">
            <w:pPr>
              <w:spacing w:before="120" w:after="120"/>
              <w:jc w:val="center"/>
              <w:rPr>
                <w:rFonts w:asciiTheme="minorHAnsi" w:eastAsia="SimSun" w:hAnsiTheme="minorHAnsi"/>
              </w:rPr>
            </w:pPr>
            <w:r w:rsidRPr="00F65705">
              <w:rPr>
                <w:rFonts w:asciiTheme="minorHAnsi" w:eastAsia="SimSun" w:hAnsiTheme="minorHAnsi"/>
              </w:rPr>
              <w:t xml:space="preserve">Cost recovery involves government entities charging individuals or non-government organisations some or </w:t>
            </w:r>
            <w:proofErr w:type="gramStart"/>
            <w:r w:rsidRPr="00F65705">
              <w:rPr>
                <w:rFonts w:asciiTheme="minorHAnsi" w:eastAsia="SimSun" w:hAnsiTheme="minorHAnsi"/>
              </w:rPr>
              <w:t>all of</w:t>
            </w:r>
            <w:proofErr w:type="gramEnd"/>
            <w:r w:rsidRPr="00F65705">
              <w:rPr>
                <w:rFonts w:asciiTheme="minorHAnsi" w:eastAsia="SimSun" w:hAnsiTheme="minorHAnsi"/>
              </w:rPr>
              <w:t xml:space="preserve"> the efficient costs of a regulatory activity. This may include goods, services or regulation, or a combination of them. The Australian Government Charging Framework, which incorporates the Cost Recovery Guidelines (the CRGs)</w:t>
            </w:r>
            <w:r w:rsidRPr="00F65705">
              <w:rPr>
                <w:rFonts w:eastAsia="SimSun"/>
                <w:vertAlign w:val="superscript"/>
              </w:rPr>
              <w:footnoteReference w:id="1"/>
            </w:r>
            <w:r w:rsidRPr="00F65705">
              <w:rPr>
                <w:rFonts w:asciiTheme="minorHAnsi" w:eastAsia="SimSun" w:hAnsiTheme="minorHAnsi"/>
              </w:rPr>
              <w:t xml:space="preserve">, sets out the framework under which government entities design, implement and review regulatory charging activities, consistent with the </w:t>
            </w:r>
            <w:r w:rsidRPr="00F65705">
              <w:rPr>
                <w:rFonts w:asciiTheme="minorHAnsi" w:eastAsia="SimSun" w:hAnsiTheme="minorHAnsi"/>
                <w:i/>
              </w:rPr>
              <w:t>Public Governance, Performance and Accountability Act 2013</w:t>
            </w:r>
            <w:r w:rsidRPr="00F65705">
              <w:rPr>
                <w:rFonts w:asciiTheme="minorHAnsi" w:eastAsia="SimSun" w:hAnsiTheme="minorHAnsi"/>
              </w:rPr>
              <w:t>.</w:t>
            </w:r>
          </w:p>
        </w:tc>
      </w:tr>
    </w:tbl>
    <w:p w14:paraId="29751C8D" w14:textId="77777777" w:rsidR="00865C8A" w:rsidRPr="00F65705" w:rsidRDefault="00865C8A" w:rsidP="00865C8A">
      <w:pPr>
        <w:spacing w:line="480" w:lineRule="auto"/>
        <w:rPr>
          <w:rFonts w:asciiTheme="minorHAnsi" w:hAnsiTheme="minorHAnsi"/>
        </w:rPr>
      </w:pPr>
    </w:p>
    <w:p w14:paraId="0CD513F5" w14:textId="77777777" w:rsidR="00865C8A" w:rsidRPr="00F65705" w:rsidRDefault="00865C8A" w:rsidP="00865C8A">
      <w:pPr>
        <w:spacing w:line="480" w:lineRule="auto"/>
        <w:rPr>
          <w:rFonts w:asciiTheme="minorHAnsi" w:hAnsiTheme="minorHAnsi"/>
          <w:b/>
          <w:sz w:val="28"/>
          <w:szCs w:val="28"/>
        </w:rPr>
      </w:pPr>
      <w:r w:rsidRPr="00F65705">
        <w:rPr>
          <w:rFonts w:asciiTheme="minorHAnsi" w:hAnsiTheme="minorHAnsi"/>
          <w:b/>
          <w:sz w:val="28"/>
          <w:szCs w:val="28"/>
        </w:rPr>
        <w:br w:type="page"/>
      </w:r>
      <w:r w:rsidRPr="00F65705">
        <w:rPr>
          <w:rFonts w:asciiTheme="minorHAnsi" w:hAnsiTheme="minorHAnsi"/>
          <w:b/>
          <w:sz w:val="28"/>
          <w:szCs w:val="28"/>
        </w:rPr>
        <w:lastRenderedPageBreak/>
        <w:t xml:space="preserve">1. </w:t>
      </w:r>
      <w:r w:rsidRPr="00F65705">
        <w:rPr>
          <w:rFonts w:asciiTheme="minorHAnsi" w:hAnsiTheme="minorHAnsi"/>
          <w:b/>
          <w:sz w:val="28"/>
          <w:szCs w:val="28"/>
        </w:rPr>
        <w:tab/>
        <w:t>INTRODUCTION</w:t>
      </w:r>
    </w:p>
    <w:p w14:paraId="656B6376" w14:textId="77777777" w:rsidR="00865C8A" w:rsidRPr="00F65705" w:rsidRDefault="00865C8A" w:rsidP="00865C8A">
      <w:pPr>
        <w:spacing w:after="120"/>
        <w:rPr>
          <w:rFonts w:asciiTheme="minorHAnsi" w:eastAsia="SimSun" w:hAnsiTheme="minorHAnsi"/>
          <w:i/>
        </w:rPr>
      </w:pPr>
      <w:r w:rsidRPr="00F65705">
        <w:rPr>
          <w:rFonts w:asciiTheme="minorHAnsi" w:hAnsiTheme="minorHAnsi"/>
          <w:sz w:val="28"/>
          <w:szCs w:val="28"/>
        </w:rPr>
        <w:t xml:space="preserve">1.1 </w:t>
      </w:r>
      <w:r w:rsidRPr="00F65705">
        <w:rPr>
          <w:rFonts w:asciiTheme="minorHAnsi" w:hAnsiTheme="minorHAnsi"/>
          <w:sz w:val="28"/>
          <w:szCs w:val="28"/>
        </w:rPr>
        <w:tab/>
        <w:t>Purpose of the Cost Recovery Implementation Statement (CRIS)</w:t>
      </w:r>
    </w:p>
    <w:p w14:paraId="63D38E51" w14:textId="77777777" w:rsidR="00865C8A" w:rsidRPr="00F65705" w:rsidRDefault="00865C8A" w:rsidP="00865C8A">
      <w:pPr>
        <w:pStyle w:val="Pa12"/>
        <w:spacing w:after="120"/>
        <w:rPr>
          <w:rFonts w:asciiTheme="minorHAnsi" w:hAnsiTheme="minorHAnsi" w:cs="Times New Roman"/>
          <w:iCs/>
          <w:sz w:val="22"/>
          <w:szCs w:val="22"/>
          <w:lang w:val="en-AU"/>
        </w:rPr>
      </w:pPr>
      <w:r w:rsidRPr="00F65705">
        <w:rPr>
          <w:rFonts w:asciiTheme="minorHAnsi" w:hAnsiTheme="minorHAnsi" w:cs="Times New Roman"/>
          <w:iCs/>
          <w:sz w:val="22"/>
          <w:szCs w:val="22"/>
          <w:lang w:val="en-AU"/>
        </w:rPr>
        <w:t>This CRIS provides information on how the Department of Health and Aged Care (the Department) implements cost recovery for:</w:t>
      </w:r>
    </w:p>
    <w:p w14:paraId="46079B35" w14:textId="77777777" w:rsidR="00865C8A" w:rsidRPr="00F65705" w:rsidRDefault="00865C8A" w:rsidP="00865C8A">
      <w:pPr>
        <w:pStyle w:val="Pa12"/>
        <w:numPr>
          <w:ilvl w:val="0"/>
          <w:numId w:val="2"/>
        </w:numPr>
        <w:spacing w:after="0" w:line="240" w:lineRule="auto"/>
        <w:ind w:left="714" w:hanging="357"/>
        <w:rPr>
          <w:rFonts w:asciiTheme="minorHAnsi" w:hAnsiTheme="minorHAnsi" w:cs="Times New Roman"/>
          <w:sz w:val="22"/>
          <w:szCs w:val="22"/>
          <w:lang w:val="en-AU"/>
        </w:rPr>
      </w:pPr>
      <w:r w:rsidRPr="00F65705">
        <w:rPr>
          <w:rFonts w:asciiTheme="minorHAnsi" w:hAnsiTheme="minorHAnsi" w:cs="Times New Roman"/>
          <w:sz w:val="22"/>
          <w:szCs w:val="22"/>
          <w:lang w:val="en-AU"/>
        </w:rPr>
        <w:t>Submissions to the Pharmaceutical Benefits Advisory Committee (PBAC) for medicines seeking to be listed on the Pharmaceutical Benefits Scheme (PBS); or vaccines to be listed on the National Immunisation Program (NIP).</w:t>
      </w:r>
    </w:p>
    <w:p w14:paraId="2CDA1BAB" w14:textId="77777777" w:rsidR="00865C8A" w:rsidRPr="00F65705" w:rsidRDefault="00865C8A" w:rsidP="00865C8A">
      <w:pPr>
        <w:pStyle w:val="ListParagraph"/>
        <w:numPr>
          <w:ilvl w:val="0"/>
          <w:numId w:val="2"/>
        </w:numPr>
        <w:ind w:left="714" w:hanging="357"/>
        <w:rPr>
          <w:rFonts w:asciiTheme="minorHAnsi" w:eastAsia="SimSun" w:hAnsiTheme="minorHAnsi"/>
          <w:sz w:val="22"/>
          <w:szCs w:val="22"/>
        </w:rPr>
      </w:pPr>
      <w:r w:rsidRPr="00F65705">
        <w:rPr>
          <w:rFonts w:asciiTheme="minorHAnsi" w:eastAsia="SimSun" w:hAnsiTheme="minorHAnsi"/>
          <w:sz w:val="22"/>
          <w:szCs w:val="22"/>
        </w:rPr>
        <w:t>Applicant-driven PBS listing and list management activities.</w:t>
      </w:r>
    </w:p>
    <w:p w14:paraId="466439AD" w14:textId="77777777" w:rsidR="00865C8A" w:rsidRPr="00F65705" w:rsidRDefault="00865C8A" w:rsidP="00865C8A">
      <w:pPr>
        <w:rPr>
          <w:sz w:val="22"/>
          <w:szCs w:val="22"/>
        </w:rPr>
      </w:pPr>
    </w:p>
    <w:p w14:paraId="0E05716D" w14:textId="58383AE9" w:rsidR="00865C8A" w:rsidRPr="00F65705" w:rsidRDefault="00865C8A" w:rsidP="00865C8A">
      <w:pPr>
        <w:rPr>
          <w:rFonts w:asciiTheme="minorHAnsi" w:hAnsiTheme="minorHAnsi"/>
          <w:iCs/>
          <w:sz w:val="22"/>
          <w:szCs w:val="22"/>
        </w:rPr>
      </w:pPr>
      <w:r w:rsidRPr="00F65705">
        <w:rPr>
          <w:rFonts w:asciiTheme="minorHAnsi" w:hAnsiTheme="minorHAnsi"/>
          <w:iCs/>
          <w:sz w:val="22"/>
          <w:szCs w:val="22"/>
        </w:rPr>
        <w:t xml:space="preserve">This CRIS outlines the fees that apply for the 2023-24 financial year and the legislative changes to support more efficient administration of cost recovery arrangements. This CRIS also contains financial forecasts for the </w:t>
      </w:r>
      <w:r w:rsidR="00736CB1" w:rsidRPr="00F65705">
        <w:rPr>
          <w:rFonts w:asciiTheme="minorHAnsi" w:hAnsiTheme="minorHAnsi"/>
          <w:iCs/>
          <w:sz w:val="22"/>
          <w:szCs w:val="22"/>
        </w:rPr>
        <w:t xml:space="preserve">2022-23 and </w:t>
      </w:r>
      <w:r w:rsidRPr="00F65705">
        <w:rPr>
          <w:rFonts w:asciiTheme="minorHAnsi" w:hAnsiTheme="minorHAnsi"/>
          <w:iCs/>
          <w:sz w:val="22"/>
          <w:szCs w:val="22"/>
        </w:rPr>
        <w:t>2023-24 financial year</w:t>
      </w:r>
      <w:r w:rsidR="00736CB1" w:rsidRPr="00F65705">
        <w:rPr>
          <w:rFonts w:asciiTheme="minorHAnsi" w:hAnsiTheme="minorHAnsi"/>
          <w:iCs/>
          <w:sz w:val="22"/>
          <w:szCs w:val="22"/>
        </w:rPr>
        <w:t>s</w:t>
      </w:r>
      <w:r w:rsidRPr="00F65705">
        <w:rPr>
          <w:rFonts w:asciiTheme="minorHAnsi" w:hAnsiTheme="minorHAnsi"/>
          <w:iCs/>
          <w:sz w:val="22"/>
          <w:szCs w:val="22"/>
        </w:rPr>
        <w:t xml:space="preserve"> and three forward years and the financial and non-financial results for the 2021-22 financial year. </w:t>
      </w:r>
    </w:p>
    <w:p w14:paraId="01DD1255" w14:textId="77777777" w:rsidR="00865C8A" w:rsidRPr="00F65705" w:rsidRDefault="00865C8A" w:rsidP="00865C8A">
      <w:pPr>
        <w:spacing w:before="120"/>
        <w:rPr>
          <w:rFonts w:asciiTheme="minorHAnsi" w:hAnsiTheme="minorHAnsi" w:cstheme="minorHAnsi"/>
          <w:sz w:val="22"/>
          <w:szCs w:val="22"/>
        </w:rPr>
      </w:pPr>
      <w:r w:rsidRPr="00F65705">
        <w:rPr>
          <w:rFonts w:asciiTheme="minorHAnsi" w:hAnsiTheme="minorHAnsi"/>
          <w:iCs/>
          <w:sz w:val="22"/>
          <w:szCs w:val="22"/>
        </w:rPr>
        <w:t>The Department will maintain and update the CRIS as required until the activity or cost recovery for the activity has been discontinued.</w:t>
      </w:r>
      <w:r w:rsidRPr="00F65705">
        <w:rPr>
          <w:rFonts w:asciiTheme="minorHAnsi" w:hAnsiTheme="minorHAnsi" w:cstheme="minorHAnsi"/>
          <w:sz w:val="22"/>
          <w:szCs w:val="22"/>
        </w:rPr>
        <w:t xml:space="preserve"> </w:t>
      </w:r>
    </w:p>
    <w:p w14:paraId="1914EF0B" w14:textId="77777777" w:rsidR="00865C8A" w:rsidRPr="00F65705" w:rsidRDefault="00865C8A" w:rsidP="00865C8A">
      <w:pPr>
        <w:pStyle w:val="Pa12"/>
        <w:spacing w:before="360" w:after="120" w:line="240" w:lineRule="auto"/>
        <w:rPr>
          <w:rFonts w:asciiTheme="minorHAnsi" w:hAnsiTheme="minorHAnsi" w:cs="Times New Roman"/>
          <w:sz w:val="28"/>
          <w:szCs w:val="28"/>
          <w:lang w:val="en-AU"/>
        </w:rPr>
      </w:pPr>
      <w:r w:rsidRPr="00F65705">
        <w:rPr>
          <w:rFonts w:asciiTheme="minorHAnsi" w:hAnsiTheme="minorHAnsi" w:cs="Times New Roman"/>
          <w:sz w:val="28"/>
          <w:szCs w:val="28"/>
          <w:lang w:val="en-AU"/>
        </w:rPr>
        <w:t xml:space="preserve">1.2 </w:t>
      </w:r>
      <w:r w:rsidRPr="00F65705">
        <w:rPr>
          <w:rFonts w:asciiTheme="minorHAnsi" w:hAnsiTheme="minorHAnsi" w:cs="Times New Roman"/>
          <w:sz w:val="28"/>
          <w:szCs w:val="28"/>
          <w:lang w:val="en-AU"/>
        </w:rPr>
        <w:tab/>
        <w:t>Description of the regulatory charging activity</w:t>
      </w:r>
    </w:p>
    <w:p w14:paraId="53233A43" w14:textId="77777777" w:rsidR="00865C8A" w:rsidRPr="00F65705" w:rsidRDefault="00865C8A" w:rsidP="00865C8A">
      <w:pPr>
        <w:rPr>
          <w:rFonts w:asciiTheme="minorHAnsi" w:hAnsiTheme="minorHAnsi" w:cstheme="minorHAnsi"/>
          <w:b/>
        </w:rPr>
      </w:pPr>
      <w:r w:rsidRPr="00F65705">
        <w:rPr>
          <w:rFonts w:asciiTheme="minorHAnsi" w:hAnsiTheme="minorHAnsi" w:cstheme="minorHAnsi"/>
          <w:b/>
        </w:rPr>
        <w:t>What is the regulatory activity being cost recovered?</w:t>
      </w:r>
    </w:p>
    <w:p w14:paraId="097EEED7" w14:textId="77777777" w:rsidR="00865C8A" w:rsidRPr="00F65705" w:rsidRDefault="00865C8A" w:rsidP="00865C8A">
      <w:pPr>
        <w:spacing w:before="240" w:after="240"/>
        <w:rPr>
          <w:rFonts w:asciiTheme="minorHAnsi" w:eastAsia="SimSun" w:hAnsiTheme="minorHAnsi"/>
          <w:i/>
          <w:sz w:val="22"/>
        </w:rPr>
      </w:pPr>
      <w:r w:rsidRPr="00F65705">
        <w:rPr>
          <w:rFonts w:asciiTheme="minorHAnsi" w:eastAsia="SimSun" w:hAnsiTheme="minorHAnsi"/>
          <w:sz w:val="22"/>
        </w:rPr>
        <w:t>Cost recovery activities and fees associated with evaluation of submissions and the listing of medicines, vaccines and other products or services on the PBS and NIP commenced on 1 January 2010. In 2015, the Australian Government Charging Framework and the Cost Recovery Guidelines (the CRGs) were introduced.</w:t>
      </w:r>
    </w:p>
    <w:p w14:paraId="659D610E" w14:textId="5BFF262A" w:rsidR="00865C8A" w:rsidRPr="00F65705" w:rsidRDefault="00865C8A" w:rsidP="00865C8A">
      <w:pPr>
        <w:spacing w:before="240" w:after="240"/>
        <w:rPr>
          <w:rFonts w:asciiTheme="minorHAnsi" w:hAnsiTheme="minorHAnsi" w:cstheme="minorHAnsi"/>
          <w:sz w:val="22"/>
          <w:szCs w:val="22"/>
        </w:rPr>
      </w:pPr>
      <w:r w:rsidRPr="00F65705">
        <w:rPr>
          <w:rFonts w:asciiTheme="minorHAnsi" w:eastAsia="SimSun" w:hAnsiTheme="minorHAnsi" w:cstheme="minorHAnsi"/>
          <w:sz w:val="22"/>
          <w:szCs w:val="22"/>
        </w:rPr>
        <w:t xml:space="preserve">During 2017 and 2018, the Department developed a revised cost model in alignment with the CRGs to ensure the model reflected the efficient costs of providing PBS/NIP evaluation and listing services to industry. The revised model also included the activities and costs associated with the first stage of PBS process improvements. This model and the revised cost recovery arrangements were approved by Government in the 2018-19 Mid-Year Financial Estimates Outlook and commenced on 1 July 2019. </w:t>
      </w:r>
    </w:p>
    <w:p w14:paraId="02AF46A2" w14:textId="4654E9A3" w:rsidR="00865C8A" w:rsidRPr="00F65705" w:rsidRDefault="00865C8A" w:rsidP="00865C8A">
      <w:pPr>
        <w:autoSpaceDE w:val="0"/>
        <w:autoSpaceDN w:val="0"/>
        <w:adjustRightInd w:val="0"/>
        <w:rPr>
          <w:rFonts w:asciiTheme="minorHAnsi" w:hAnsiTheme="minorHAnsi" w:cstheme="minorHAnsi"/>
          <w:sz w:val="22"/>
          <w:szCs w:val="22"/>
        </w:rPr>
      </w:pPr>
      <w:r w:rsidRPr="00F65705">
        <w:rPr>
          <w:rFonts w:asciiTheme="minorHAnsi" w:hAnsiTheme="minorHAnsi" w:cstheme="minorHAnsi"/>
          <w:sz w:val="22"/>
          <w:szCs w:val="22"/>
        </w:rPr>
        <w:t>To support implementation of the Stage 2 PBS process improvements, the Department further reviewed and updated the 2018-19 cost model in 2020. Additional activities were identified as part of revising submission categories and the new resubmission pathways. In addition, changes were made to all fees to reflect contemporary IT costs, depreciation, and salary and wage costs to meet whole-of-Government requirements.</w:t>
      </w:r>
      <w:r w:rsidRPr="00F65705">
        <w:rPr>
          <w:rFonts w:asciiTheme="minorHAnsi" w:hAnsiTheme="minorHAnsi"/>
          <w:sz w:val="22"/>
        </w:rPr>
        <w:t xml:space="preserve"> </w:t>
      </w:r>
      <w:r w:rsidRPr="00F65705">
        <w:rPr>
          <w:rFonts w:asciiTheme="minorHAnsi" w:hAnsiTheme="minorHAnsi" w:cstheme="minorHAnsi"/>
          <w:sz w:val="22"/>
          <w:szCs w:val="22"/>
        </w:rPr>
        <w:t>Stage 2 PBS process improvements were implemented on 1 January 2021 after the model and revised cost recovery arrangements were approved by Government in the 2020-21 Budget.</w:t>
      </w:r>
    </w:p>
    <w:p w14:paraId="19355A18" w14:textId="77777777" w:rsidR="00865C8A" w:rsidRPr="00F65705" w:rsidRDefault="00865C8A" w:rsidP="00865C8A">
      <w:pPr>
        <w:autoSpaceDE w:val="0"/>
        <w:autoSpaceDN w:val="0"/>
        <w:adjustRightInd w:val="0"/>
        <w:rPr>
          <w:rFonts w:ascii="CourierHP" w:eastAsiaTheme="minorHAnsi" w:hAnsi="CourierHP" w:cs="CourierHP"/>
          <w:sz w:val="22"/>
          <w:szCs w:val="22"/>
        </w:rPr>
      </w:pPr>
      <w:r w:rsidRPr="00F65705">
        <w:rPr>
          <w:rFonts w:asciiTheme="minorHAnsi" w:eastAsiaTheme="minorHAnsi" w:hAnsiTheme="minorHAnsi" w:cstheme="minorHAnsi"/>
          <w:sz w:val="22"/>
          <w:szCs w:val="22"/>
        </w:rPr>
        <w:t>In line with the CRGs, cost recovery fees only recover the costs of those services directly requested by sponsors.</w:t>
      </w:r>
    </w:p>
    <w:p w14:paraId="2ECE08C3" w14:textId="77777777" w:rsidR="00865C8A" w:rsidRPr="00F65705" w:rsidRDefault="00865C8A" w:rsidP="00865C8A">
      <w:pPr>
        <w:pStyle w:val="Paragraphtext"/>
        <w:spacing w:before="240" w:after="120"/>
        <w:rPr>
          <w:rFonts w:asciiTheme="minorHAnsi" w:hAnsiTheme="minorHAnsi" w:cstheme="minorHAnsi"/>
          <w:color w:val="auto"/>
          <w:sz w:val="22"/>
          <w:szCs w:val="22"/>
        </w:rPr>
      </w:pPr>
      <w:r w:rsidRPr="00F65705">
        <w:rPr>
          <w:rFonts w:asciiTheme="minorHAnsi" w:hAnsiTheme="minorHAnsi" w:cstheme="minorHAnsi"/>
          <w:color w:val="auto"/>
          <w:sz w:val="22"/>
          <w:szCs w:val="22"/>
        </w:rPr>
        <w:t>The cost recovered services for PBS/NIP evaluation, listing and management include:</w:t>
      </w:r>
    </w:p>
    <w:p w14:paraId="3132FA9B" w14:textId="77777777" w:rsidR="00865C8A" w:rsidRPr="00F65705" w:rsidRDefault="00865C8A" w:rsidP="00865C8A">
      <w:pPr>
        <w:pStyle w:val="Paragraphtext"/>
        <w:numPr>
          <w:ilvl w:val="0"/>
          <w:numId w:val="3"/>
        </w:numPr>
        <w:spacing w:before="0" w:after="0"/>
        <w:rPr>
          <w:rFonts w:asciiTheme="minorHAnsi" w:hAnsiTheme="minorHAnsi" w:cstheme="minorHAnsi"/>
          <w:color w:val="auto"/>
          <w:sz w:val="22"/>
          <w:szCs w:val="22"/>
        </w:rPr>
      </w:pPr>
      <w:r w:rsidRPr="00F65705">
        <w:rPr>
          <w:rFonts w:asciiTheme="minorHAnsi" w:hAnsiTheme="minorHAnsi" w:cstheme="minorHAnsi"/>
          <w:color w:val="auto"/>
          <w:sz w:val="22"/>
          <w:szCs w:val="22"/>
        </w:rPr>
        <w:t xml:space="preserve">Australian Technical Advisory Group on Immunisation (ATAGI) pre-submission </w:t>
      </w:r>
      <w:proofErr w:type="gramStart"/>
      <w:r w:rsidRPr="00F65705">
        <w:rPr>
          <w:rFonts w:asciiTheme="minorHAnsi" w:hAnsiTheme="minorHAnsi" w:cstheme="minorHAnsi"/>
          <w:color w:val="auto"/>
          <w:sz w:val="22"/>
          <w:szCs w:val="22"/>
        </w:rPr>
        <w:t>advice;</w:t>
      </w:r>
      <w:proofErr w:type="gramEnd"/>
    </w:p>
    <w:p w14:paraId="0BC4D704" w14:textId="77777777" w:rsidR="00865C8A" w:rsidRPr="00F65705" w:rsidRDefault="00865C8A" w:rsidP="00865C8A">
      <w:pPr>
        <w:pStyle w:val="Paragraphtext"/>
        <w:numPr>
          <w:ilvl w:val="0"/>
          <w:numId w:val="3"/>
        </w:numPr>
        <w:spacing w:before="0" w:after="0"/>
        <w:rPr>
          <w:rFonts w:asciiTheme="minorHAnsi" w:hAnsiTheme="minorHAnsi" w:cstheme="minorHAnsi"/>
          <w:color w:val="auto"/>
          <w:sz w:val="22"/>
          <w:szCs w:val="22"/>
        </w:rPr>
      </w:pPr>
      <w:r w:rsidRPr="00F65705">
        <w:rPr>
          <w:rFonts w:asciiTheme="minorHAnsi" w:hAnsiTheme="minorHAnsi" w:cstheme="minorHAnsi"/>
          <w:color w:val="auto"/>
          <w:sz w:val="22"/>
          <w:szCs w:val="22"/>
        </w:rPr>
        <w:t xml:space="preserve">PBAC pre-submission </w:t>
      </w:r>
      <w:proofErr w:type="gramStart"/>
      <w:r w:rsidRPr="00F65705">
        <w:rPr>
          <w:rFonts w:asciiTheme="minorHAnsi" w:hAnsiTheme="minorHAnsi" w:cstheme="minorHAnsi"/>
          <w:color w:val="auto"/>
          <w:sz w:val="22"/>
          <w:szCs w:val="22"/>
        </w:rPr>
        <w:t>meetings;</w:t>
      </w:r>
      <w:proofErr w:type="gramEnd"/>
    </w:p>
    <w:p w14:paraId="19796B9A" w14:textId="77777777" w:rsidR="00865C8A" w:rsidRPr="00F65705" w:rsidRDefault="00865C8A" w:rsidP="00865C8A">
      <w:pPr>
        <w:pStyle w:val="Paragraphtext"/>
        <w:numPr>
          <w:ilvl w:val="0"/>
          <w:numId w:val="3"/>
        </w:numPr>
        <w:spacing w:before="0" w:after="0"/>
        <w:rPr>
          <w:rFonts w:asciiTheme="minorHAnsi" w:hAnsiTheme="minorHAnsi" w:cstheme="minorHAnsi"/>
          <w:color w:val="auto"/>
          <w:sz w:val="22"/>
          <w:szCs w:val="22"/>
        </w:rPr>
      </w:pPr>
      <w:r w:rsidRPr="00F65705">
        <w:rPr>
          <w:rFonts w:asciiTheme="minorHAnsi" w:hAnsiTheme="minorHAnsi" w:cstheme="minorHAnsi"/>
          <w:color w:val="auto"/>
          <w:sz w:val="22"/>
          <w:szCs w:val="22"/>
        </w:rPr>
        <w:t xml:space="preserve">Submission services (submissions and resubmission pathways) and Notice of Intent </w:t>
      </w:r>
      <w:proofErr w:type="gramStart"/>
      <w:r w:rsidRPr="00F65705">
        <w:rPr>
          <w:rFonts w:asciiTheme="minorHAnsi" w:hAnsiTheme="minorHAnsi" w:cstheme="minorHAnsi"/>
          <w:color w:val="auto"/>
          <w:sz w:val="22"/>
          <w:szCs w:val="22"/>
        </w:rPr>
        <w:t>services;</w:t>
      </w:r>
      <w:proofErr w:type="gramEnd"/>
      <w:r w:rsidRPr="00F65705">
        <w:rPr>
          <w:rFonts w:asciiTheme="minorHAnsi" w:hAnsiTheme="minorHAnsi" w:cstheme="minorHAnsi"/>
          <w:color w:val="auto"/>
          <w:sz w:val="22"/>
          <w:szCs w:val="22"/>
        </w:rPr>
        <w:t xml:space="preserve"> </w:t>
      </w:r>
    </w:p>
    <w:p w14:paraId="6221C0CB" w14:textId="77777777" w:rsidR="00865C8A" w:rsidRPr="00F65705" w:rsidRDefault="00865C8A" w:rsidP="00865C8A">
      <w:pPr>
        <w:pStyle w:val="Paragraphtext"/>
        <w:numPr>
          <w:ilvl w:val="0"/>
          <w:numId w:val="3"/>
        </w:numPr>
        <w:spacing w:before="0" w:after="0"/>
        <w:rPr>
          <w:rFonts w:asciiTheme="minorHAnsi" w:hAnsiTheme="minorHAnsi" w:cstheme="minorHAnsi"/>
          <w:color w:val="auto"/>
          <w:sz w:val="22"/>
          <w:szCs w:val="22"/>
        </w:rPr>
      </w:pPr>
      <w:r w:rsidRPr="00F65705">
        <w:rPr>
          <w:rFonts w:asciiTheme="minorHAnsi" w:hAnsiTheme="minorHAnsi" w:cstheme="minorHAnsi"/>
          <w:color w:val="auto"/>
          <w:sz w:val="22"/>
          <w:szCs w:val="22"/>
        </w:rPr>
        <w:t xml:space="preserve">Pricing services (pricing pathways) and Notice of Intent for Pricing </w:t>
      </w:r>
      <w:proofErr w:type="gramStart"/>
      <w:r w:rsidRPr="00F65705">
        <w:rPr>
          <w:rFonts w:asciiTheme="minorHAnsi" w:hAnsiTheme="minorHAnsi" w:cstheme="minorHAnsi"/>
          <w:color w:val="auto"/>
          <w:sz w:val="22"/>
          <w:szCs w:val="22"/>
        </w:rPr>
        <w:t>services;</w:t>
      </w:r>
      <w:proofErr w:type="gramEnd"/>
    </w:p>
    <w:p w14:paraId="43EE2162" w14:textId="77777777" w:rsidR="00865C8A" w:rsidRPr="00F65705" w:rsidRDefault="00865C8A" w:rsidP="00865C8A">
      <w:pPr>
        <w:pStyle w:val="Paragraphtext"/>
        <w:numPr>
          <w:ilvl w:val="0"/>
          <w:numId w:val="3"/>
        </w:numPr>
        <w:spacing w:before="0" w:after="0"/>
        <w:rPr>
          <w:rFonts w:asciiTheme="minorHAnsi" w:hAnsiTheme="minorHAnsi" w:cstheme="minorHAnsi"/>
          <w:color w:val="auto"/>
          <w:sz w:val="22"/>
          <w:szCs w:val="22"/>
        </w:rPr>
      </w:pPr>
      <w:r w:rsidRPr="00F65705">
        <w:rPr>
          <w:rFonts w:asciiTheme="minorHAnsi" w:hAnsiTheme="minorHAnsi" w:cstheme="minorHAnsi"/>
          <w:color w:val="auto"/>
          <w:sz w:val="22"/>
          <w:szCs w:val="22"/>
        </w:rPr>
        <w:t>PBS list management services; and</w:t>
      </w:r>
    </w:p>
    <w:p w14:paraId="21838D30" w14:textId="77777777" w:rsidR="00865C8A" w:rsidRPr="00F65705" w:rsidRDefault="00865C8A" w:rsidP="00865C8A">
      <w:pPr>
        <w:pStyle w:val="Paragraphtext"/>
        <w:numPr>
          <w:ilvl w:val="0"/>
          <w:numId w:val="3"/>
        </w:numPr>
        <w:spacing w:before="0"/>
        <w:rPr>
          <w:rFonts w:asciiTheme="minorHAnsi" w:hAnsiTheme="minorHAnsi" w:cstheme="minorHAnsi"/>
          <w:color w:val="auto"/>
          <w:sz w:val="22"/>
          <w:szCs w:val="22"/>
        </w:rPr>
      </w:pPr>
      <w:r w:rsidRPr="00F65705">
        <w:rPr>
          <w:rFonts w:asciiTheme="minorHAnsi" w:hAnsiTheme="minorHAnsi" w:cstheme="minorHAnsi"/>
          <w:color w:val="auto"/>
          <w:sz w:val="22"/>
          <w:szCs w:val="22"/>
        </w:rPr>
        <w:t>Independent reviews.</w:t>
      </w:r>
    </w:p>
    <w:p w14:paraId="4ECC2315" w14:textId="77777777" w:rsidR="00865C8A" w:rsidRPr="00F65705" w:rsidRDefault="00865C8A" w:rsidP="00865C8A">
      <w:pPr>
        <w:spacing w:after="160" w:line="259" w:lineRule="auto"/>
        <w:rPr>
          <w:rFonts w:asciiTheme="minorHAnsi" w:eastAsia="SimSun" w:hAnsiTheme="minorHAnsi" w:cstheme="minorHAnsi"/>
          <w:iCs/>
          <w:sz w:val="22"/>
          <w:szCs w:val="22"/>
          <w:u w:val="single"/>
        </w:rPr>
      </w:pPr>
      <w:r w:rsidRPr="00F65705">
        <w:rPr>
          <w:rFonts w:asciiTheme="minorHAnsi" w:eastAsia="SimSun" w:hAnsiTheme="minorHAnsi" w:cstheme="minorHAnsi"/>
          <w:i/>
          <w:sz w:val="22"/>
          <w:szCs w:val="22"/>
          <w:u w:val="single"/>
        </w:rPr>
        <w:br w:type="page"/>
      </w:r>
    </w:p>
    <w:p w14:paraId="086AC2C3" w14:textId="77777777" w:rsidR="00865C8A" w:rsidRPr="00F65705" w:rsidRDefault="00865C8A" w:rsidP="00865C8A">
      <w:pPr>
        <w:pStyle w:val="BodyText"/>
        <w:spacing w:before="240" w:after="60"/>
        <w:rPr>
          <w:rFonts w:asciiTheme="minorHAnsi" w:eastAsia="SimSun" w:hAnsiTheme="minorHAnsi" w:cstheme="minorHAnsi"/>
          <w:i w:val="0"/>
          <w:color w:val="auto"/>
          <w:sz w:val="22"/>
          <w:szCs w:val="22"/>
          <w:u w:val="single"/>
        </w:rPr>
      </w:pPr>
      <w:r w:rsidRPr="00F65705">
        <w:rPr>
          <w:rFonts w:asciiTheme="minorHAnsi" w:eastAsia="SimSun" w:hAnsiTheme="minorHAnsi" w:cstheme="minorHAnsi"/>
          <w:i w:val="0"/>
          <w:color w:val="auto"/>
          <w:sz w:val="22"/>
          <w:szCs w:val="22"/>
          <w:u w:val="single"/>
        </w:rPr>
        <w:lastRenderedPageBreak/>
        <w:t>ATAGI pre-submission advice</w:t>
      </w:r>
    </w:p>
    <w:p w14:paraId="02BE560F" w14:textId="77777777" w:rsidR="00865C8A" w:rsidRPr="00F65705" w:rsidRDefault="00865C8A" w:rsidP="00865C8A">
      <w:pPr>
        <w:pStyle w:val="BodyText"/>
        <w:rPr>
          <w:rFonts w:asciiTheme="minorHAnsi" w:eastAsia="SimSun" w:hAnsiTheme="minorHAnsi" w:cstheme="minorHAnsi"/>
          <w:i w:val="0"/>
          <w:color w:val="auto"/>
          <w:sz w:val="22"/>
          <w:szCs w:val="22"/>
        </w:rPr>
      </w:pPr>
      <w:r w:rsidRPr="00F65705" w:rsidDel="000943CB">
        <w:rPr>
          <w:rFonts w:asciiTheme="minorHAnsi" w:eastAsia="SimSun" w:hAnsiTheme="minorHAnsi" w:cstheme="minorHAnsi"/>
          <w:i w:val="0"/>
          <w:color w:val="auto"/>
          <w:sz w:val="22"/>
          <w:szCs w:val="22"/>
        </w:rPr>
        <w:t>ATAGI advises the Minister for Health (the Minister) on the NIP and other immunisation issues. In 2006, amendme</w:t>
      </w:r>
      <w:r w:rsidRPr="00F65705">
        <w:rPr>
          <w:rFonts w:asciiTheme="minorHAnsi" w:eastAsia="SimSun" w:hAnsiTheme="minorHAnsi" w:cstheme="minorHAnsi"/>
          <w:i w:val="0"/>
          <w:color w:val="auto"/>
          <w:sz w:val="22"/>
          <w:szCs w:val="22"/>
        </w:rPr>
        <w:t xml:space="preserve">nts to the </w:t>
      </w:r>
      <w:r w:rsidRPr="00F65705">
        <w:rPr>
          <w:rFonts w:asciiTheme="minorHAnsi" w:eastAsia="SimSun" w:hAnsiTheme="minorHAnsi" w:cstheme="minorHAnsi"/>
          <w:color w:val="auto"/>
          <w:sz w:val="22"/>
          <w:szCs w:val="22"/>
        </w:rPr>
        <w:t xml:space="preserve">National Health Act </w:t>
      </w:r>
      <w:r w:rsidRPr="00F65705" w:rsidDel="000943CB">
        <w:rPr>
          <w:rFonts w:asciiTheme="minorHAnsi" w:eastAsia="SimSun" w:hAnsiTheme="minorHAnsi" w:cstheme="minorHAnsi"/>
          <w:color w:val="auto"/>
          <w:sz w:val="22"/>
          <w:szCs w:val="22"/>
        </w:rPr>
        <w:t>1953</w:t>
      </w:r>
      <w:r w:rsidRPr="00F65705" w:rsidDel="000943CB">
        <w:rPr>
          <w:rFonts w:asciiTheme="minorHAnsi" w:eastAsia="SimSun" w:hAnsiTheme="minorHAnsi" w:cstheme="minorHAnsi"/>
          <w:i w:val="0"/>
          <w:color w:val="auto"/>
          <w:sz w:val="22"/>
          <w:szCs w:val="22"/>
        </w:rPr>
        <w:t xml:space="preserve"> were made to require a positive recommendation </w:t>
      </w:r>
      <w:r w:rsidRPr="00F65705">
        <w:rPr>
          <w:rFonts w:asciiTheme="minorHAnsi" w:eastAsia="SimSun" w:hAnsiTheme="minorHAnsi" w:cstheme="minorHAnsi"/>
          <w:i w:val="0"/>
          <w:color w:val="auto"/>
          <w:sz w:val="22"/>
          <w:szCs w:val="22"/>
        </w:rPr>
        <w:t xml:space="preserve">from the </w:t>
      </w:r>
      <w:r w:rsidRPr="00F65705" w:rsidDel="000943CB">
        <w:rPr>
          <w:rFonts w:asciiTheme="minorHAnsi" w:eastAsia="SimSun" w:hAnsiTheme="minorHAnsi" w:cstheme="minorHAnsi"/>
          <w:i w:val="0"/>
          <w:color w:val="auto"/>
          <w:sz w:val="22"/>
          <w:szCs w:val="22"/>
        </w:rPr>
        <w:t xml:space="preserve">PBAC </w:t>
      </w:r>
      <w:proofErr w:type="gramStart"/>
      <w:r w:rsidRPr="00F65705">
        <w:rPr>
          <w:rFonts w:asciiTheme="minorHAnsi" w:eastAsia="SimSun" w:hAnsiTheme="minorHAnsi" w:cstheme="minorHAnsi"/>
          <w:i w:val="0"/>
          <w:color w:val="auto"/>
          <w:sz w:val="22"/>
          <w:szCs w:val="22"/>
        </w:rPr>
        <w:t xml:space="preserve">in order </w:t>
      </w:r>
      <w:r w:rsidRPr="00F65705" w:rsidDel="000943CB">
        <w:rPr>
          <w:rFonts w:asciiTheme="minorHAnsi" w:eastAsia="SimSun" w:hAnsiTheme="minorHAnsi" w:cstheme="minorHAnsi"/>
          <w:i w:val="0"/>
          <w:color w:val="auto"/>
          <w:sz w:val="22"/>
          <w:szCs w:val="22"/>
        </w:rPr>
        <w:t>to</w:t>
      </w:r>
      <w:proofErr w:type="gramEnd"/>
      <w:r w:rsidRPr="00F65705" w:rsidDel="000943CB">
        <w:rPr>
          <w:rFonts w:asciiTheme="minorHAnsi" w:eastAsia="SimSun" w:hAnsiTheme="minorHAnsi" w:cstheme="minorHAnsi"/>
          <w:i w:val="0"/>
          <w:color w:val="auto"/>
          <w:sz w:val="22"/>
          <w:szCs w:val="22"/>
        </w:rPr>
        <w:t xml:space="preserve"> list vaccine</w:t>
      </w:r>
      <w:r w:rsidRPr="00F65705">
        <w:rPr>
          <w:rFonts w:asciiTheme="minorHAnsi" w:eastAsia="SimSun" w:hAnsiTheme="minorHAnsi" w:cstheme="minorHAnsi"/>
          <w:i w:val="0"/>
          <w:color w:val="auto"/>
          <w:sz w:val="22"/>
          <w:szCs w:val="22"/>
        </w:rPr>
        <w:t>s</w:t>
      </w:r>
      <w:r w:rsidRPr="00F65705" w:rsidDel="000943CB">
        <w:rPr>
          <w:rFonts w:asciiTheme="minorHAnsi" w:eastAsia="SimSun" w:hAnsiTheme="minorHAnsi" w:cstheme="minorHAnsi"/>
          <w:i w:val="0"/>
          <w:color w:val="auto"/>
          <w:sz w:val="22"/>
          <w:szCs w:val="22"/>
        </w:rPr>
        <w:t xml:space="preserve"> on the NIP. ATAGI has been providing pre</w:t>
      </w:r>
      <w:r w:rsidRPr="00F65705">
        <w:rPr>
          <w:rFonts w:asciiTheme="minorHAnsi" w:eastAsia="SimSun" w:hAnsiTheme="minorHAnsi" w:cstheme="minorHAnsi"/>
          <w:i w:val="0"/>
          <w:color w:val="auto"/>
          <w:sz w:val="22"/>
          <w:szCs w:val="22"/>
        </w:rPr>
        <w:noBreakHyphen/>
      </w:r>
      <w:r w:rsidRPr="00F65705" w:rsidDel="000943CB">
        <w:rPr>
          <w:rFonts w:asciiTheme="minorHAnsi" w:eastAsia="SimSun" w:hAnsiTheme="minorHAnsi" w:cstheme="minorHAnsi"/>
          <w:i w:val="0"/>
          <w:color w:val="auto"/>
          <w:sz w:val="22"/>
          <w:szCs w:val="22"/>
        </w:rPr>
        <w:t xml:space="preserve">submission advice to </w:t>
      </w:r>
      <w:r w:rsidRPr="00F65705">
        <w:rPr>
          <w:rFonts w:asciiTheme="minorHAnsi" w:eastAsia="SimSun" w:hAnsiTheme="minorHAnsi" w:cstheme="minorHAnsi"/>
          <w:i w:val="0"/>
          <w:color w:val="auto"/>
          <w:sz w:val="22"/>
          <w:szCs w:val="22"/>
        </w:rPr>
        <w:t>vaccine applicant</w:t>
      </w:r>
      <w:r w:rsidRPr="00F65705" w:rsidDel="000943CB">
        <w:rPr>
          <w:rFonts w:asciiTheme="minorHAnsi" w:eastAsia="SimSun" w:hAnsiTheme="minorHAnsi" w:cstheme="minorHAnsi"/>
          <w:i w:val="0"/>
          <w:color w:val="auto"/>
          <w:sz w:val="22"/>
          <w:szCs w:val="22"/>
        </w:rPr>
        <w:t>s and evaluation advice to the PBAC since that time</w:t>
      </w:r>
      <w:r w:rsidRPr="00F65705">
        <w:rPr>
          <w:rFonts w:asciiTheme="minorHAnsi" w:eastAsia="SimSun" w:hAnsiTheme="minorHAnsi" w:cstheme="minorHAnsi"/>
          <w:i w:val="0"/>
          <w:color w:val="auto"/>
          <w:sz w:val="22"/>
          <w:szCs w:val="22"/>
        </w:rPr>
        <w:t>.</w:t>
      </w:r>
    </w:p>
    <w:p w14:paraId="5AF83F29" w14:textId="77777777" w:rsidR="00865C8A" w:rsidRPr="00F65705" w:rsidRDefault="00865C8A" w:rsidP="00865C8A">
      <w:pPr>
        <w:autoSpaceDE w:val="0"/>
        <w:autoSpaceDN w:val="0"/>
        <w:adjustRightInd w:val="0"/>
        <w:rPr>
          <w:rFonts w:asciiTheme="minorHAnsi" w:eastAsia="SimSun" w:hAnsiTheme="minorHAnsi" w:cstheme="minorHAnsi"/>
          <w:sz w:val="22"/>
          <w:szCs w:val="22"/>
        </w:rPr>
      </w:pPr>
    </w:p>
    <w:p w14:paraId="009BED34" w14:textId="77777777" w:rsidR="00865C8A" w:rsidRPr="00F65705" w:rsidRDefault="00865C8A" w:rsidP="00865C8A">
      <w:pPr>
        <w:autoSpaceDE w:val="0"/>
        <w:autoSpaceDN w:val="0"/>
        <w:adjustRightInd w:val="0"/>
        <w:rPr>
          <w:rFonts w:ascii="CourierHP" w:eastAsiaTheme="minorHAnsi" w:hAnsi="CourierHP" w:cs="CourierHP"/>
          <w:sz w:val="22"/>
          <w:szCs w:val="22"/>
        </w:rPr>
      </w:pPr>
      <w:r w:rsidRPr="00F65705">
        <w:rPr>
          <w:rFonts w:asciiTheme="minorHAnsi" w:eastAsia="SimSun" w:hAnsiTheme="minorHAnsi" w:cstheme="minorHAnsi"/>
          <w:sz w:val="22"/>
          <w:szCs w:val="22"/>
        </w:rPr>
        <w:t>Cost recoverable activities include ATAGI activity in providing</w:t>
      </w:r>
      <w:r w:rsidRPr="00F65705">
        <w:rPr>
          <w:rFonts w:asciiTheme="minorHAnsi" w:eastAsiaTheme="minorHAnsi" w:hAnsiTheme="minorHAnsi" w:cstheme="minorHAnsi"/>
          <w:sz w:val="22"/>
          <w:szCs w:val="22"/>
        </w:rPr>
        <w:t xml:space="preserve"> advice to support the PBAC's evaluation of vaccines for the NIP, including on clinical, technical and implementation matters.</w:t>
      </w:r>
      <w:r w:rsidRPr="00F65705">
        <w:rPr>
          <w:rFonts w:asciiTheme="minorHAnsi" w:eastAsia="SimSun" w:hAnsiTheme="minorHAnsi" w:cstheme="minorHAnsi"/>
          <w:sz w:val="22"/>
          <w:szCs w:val="22"/>
        </w:rPr>
        <w:t xml:space="preserve"> Fees for this service were first introduced in mid-2020.</w:t>
      </w:r>
    </w:p>
    <w:p w14:paraId="78E79E2F" w14:textId="77777777" w:rsidR="00865C8A" w:rsidRPr="00F65705" w:rsidRDefault="00865C8A" w:rsidP="00865C8A">
      <w:pPr>
        <w:pStyle w:val="BodyText"/>
        <w:spacing w:before="240" w:after="60"/>
        <w:rPr>
          <w:rFonts w:asciiTheme="minorHAnsi" w:eastAsia="SimSun" w:hAnsiTheme="minorHAnsi" w:cstheme="minorHAnsi"/>
          <w:i w:val="0"/>
          <w:color w:val="auto"/>
          <w:sz w:val="22"/>
          <w:szCs w:val="22"/>
          <w:u w:val="single"/>
        </w:rPr>
      </w:pPr>
      <w:r w:rsidRPr="00F65705">
        <w:rPr>
          <w:rFonts w:asciiTheme="minorHAnsi" w:eastAsia="SimSun" w:hAnsiTheme="minorHAnsi" w:cstheme="minorHAnsi"/>
          <w:i w:val="0"/>
          <w:color w:val="auto"/>
          <w:sz w:val="22"/>
          <w:szCs w:val="22"/>
          <w:u w:val="single"/>
        </w:rPr>
        <w:t>PBAC pre-submission meetings and Submission Services</w:t>
      </w:r>
    </w:p>
    <w:p w14:paraId="68AC570D" w14:textId="77777777" w:rsidR="00865C8A" w:rsidRPr="00F65705" w:rsidRDefault="00865C8A" w:rsidP="00865C8A">
      <w:pPr>
        <w:pStyle w:val="BodyText"/>
        <w:spacing w:after="240"/>
        <w:rPr>
          <w:rFonts w:asciiTheme="minorHAnsi" w:eastAsia="SimSun" w:hAnsiTheme="minorHAnsi" w:cstheme="minorHAnsi"/>
          <w:i w:val="0"/>
          <w:color w:val="auto"/>
          <w:sz w:val="22"/>
          <w:szCs w:val="22"/>
        </w:rPr>
      </w:pPr>
      <w:r w:rsidRPr="00F65705">
        <w:rPr>
          <w:rFonts w:asciiTheme="minorHAnsi" w:eastAsia="SimSun" w:hAnsiTheme="minorHAnsi" w:cstheme="minorHAnsi"/>
          <w:i w:val="0"/>
          <w:color w:val="auto"/>
          <w:sz w:val="22"/>
          <w:szCs w:val="22"/>
        </w:rPr>
        <w:t>The PBAC is an independent expert body appointed by the Australian Government. Members include doctors, health professionals, health economists and consumer representatives. Its primary role is to recommend new medicines for listing on the PBS or NIP. No medicine can be listed (or have its listing amended) unless the PBAC makes a positive recommendation. PBAC has two sub-committees: the Drug Utilisation Sub Committee (DUSC) and the Economics Sub Committee (ESC) to assist with analysis and advice.</w:t>
      </w:r>
    </w:p>
    <w:p w14:paraId="36947B58" w14:textId="77777777" w:rsidR="00865C8A" w:rsidRPr="00F65705" w:rsidRDefault="00865C8A" w:rsidP="00865C8A">
      <w:pPr>
        <w:autoSpaceDE w:val="0"/>
        <w:autoSpaceDN w:val="0"/>
        <w:adjustRightInd w:val="0"/>
        <w:rPr>
          <w:rFonts w:asciiTheme="minorHAnsi" w:eastAsiaTheme="minorHAnsi" w:hAnsiTheme="minorHAnsi" w:cstheme="minorHAnsi"/>
          <w:sz w:val="22"/>
          <w:szCs w:val="22"/>
        </w:rPr>
      </w:pPr>
      <w:r w:rsidRPr="00F65705">
        <w:rPr>
          <w:rFonts w:asciiTheme="minorHAnsi" w:eastAsia="SimSun" w:hAnsiTheme="minorHAnsi" w:cstheme="minorHAnsi"/>
          <w:sz w:val="22"/>
          <w:szCs w:val="22"/>
        </w:rPr>
        <w:t xml:space="preserve">Cost recoverable activities include pre-submission advice provided by the Department to assist applicants in developing their PBAC submission </w:t>
      </w:r>
      <w:r w:rsidRPr="00F65705">
        <w:rPr>
          <w:rFonts w:asciiTheme="minorHAnsi" w:eastAsiaTheme="minorHAnsi" w:hAnsiTheme="minorHAnsi" w:cstheme="minorHAnsi"/>
          <w:sz w:val="22"/>
          <w:szCs w:val="22"/>
        </w:rPr>
        <w:t>and evaluation activity to support the PBAC's evaluation of medicines for listing on the PBS.</w:t>
      </w:r>
      <w:r w:rsidRPr="00F65705">
        <w:rPr>
          <w:rFonts w:asciiTheme="minorHAnsi" w:eastAsia="SimSun" w:hAnsiTheme="minorHAnsi" w:cstheme="minorHAnsi"/>
          <w:sz w:val="22"/>
          <w:szCs w:val="22"/>
        </w:rPr>
        <w:t xml:space="preserve"> Fees for pre-submission meetings were first introduced in mid-2019. Fees for evaluation activity and provision of advice to support the PBAC’s evaluation of medicines for listing on the PBS have been in place since 2010. </w:t>
      </w:r>
    </w:p>
    <w:p w14:paraId="794CAED7" w14:textId="77777777" w:rsidR="00865C8A" w:rsidRPr="00F65705" w:rsidRDefault="00865C8A" w:rsidP="00865C8A">
      <w:pPr>
        <w:pStyle w:val="BodyText"/>
        <w:spacing w:before="240" w:after="60"/>
        <w:rPr>
          <w:rFonts w:asciiTheme="minorHAnsi" w:eastAsia="SimSun" w:hAnsiTheme="minorHAnsi" w:cstheme="minorHAnsi"/>
          <w:i w:val="0"/>
          <w:color w:val="auto"/>
          <w:sz w:val="22"/>
          <w:szCs w:val="22"/>
          <w:u w:val="single"/>
        </w:rPr>
      </w:pPr>
      <w:r w:rsidRPr="00F65705">
        <w:rPr>
          <w:rFonts w:asciiTheme="minorHAnsi" w:eastAsia="SimSun" w:hAnsiTheme="minorHAnsi" w:cstheme="minorHAnsi"/>
          <w:i w:val="0"/>
          <w:color w:val="auto"/>
          <w:sz w:val="22"/>
          <w:szCs w:val="22"/>
          <w:u w:val="single"/>
        </w:rPr>
        <w:t>PBS Pricing Services (Pricing Pathways)</w:t>
      </w:r>
    </w:p>
    <w:p w14:paraId="0DDC6013" w14:textId="77777777" w:rsidR="00865C8A" w:rsidRPr="00F65705" w:rsidRDefault="00865C8A" w:rsidP="00865C8A">
      <w:pPr>
        <w:pStyle w:val="BodyText"/>
        <w:spacing w:after="120"/>
        <w:rPr>
          <w:rFonts w:asciiTheme="minorHAnsi" w:eastAsia="SimSun" w:hAnsiTheme="minorHAnsi" w:cstheme="minorHAnsi"/>
          <w:i w:val="0"/>
          <w:color w:val="auto"/>
          <w:sz w:val="22"/>
          <w:szCs w:val="22"/>
        </w:rPr>
      </w:pPr>
      <w:r w:rsidRPr="00F65705">
        <w:rPr>
          <w:rFonts w:asciiTheme="minorHAnsi" w:eastAsia="SimSun" w:hAnsiTheme="minorHAnsi" w:cstheme="minorHAnsi"/>
          <w:i w:val="0"/>
          <w:color w:val="auto"/>
          <w:sz w:val="22"/>
          <w:szCs w:val="22"/>
        </w:rPr>
        <w:t>Pricing services include activities directly requested by applicants seeking to list on the PBS following a ‘recommended’ PBAC outcome. Pricing fees have been in place since 2010. Revised fees to support sponsor identified, individual listing requirements were first introduced in mid-2019. There are five pathways for finalising listing terms and conditions:</w:t>
      </w:r>
    </w:p>
    <w:p w14:paraId="5A5E7704" w14:textId="77777777" w:rsidR="00865C8A" w:rsidRPr="00F65705" w:rsidRDefault="00865C8A" w:rsidP="00865C8A">
      <w:pPr>
        <w:pStyle w:val="ListParagraph"/>
        <w:numPr>
          <w:ilvl w:val="0"/>
          <w:numId w:val="15"/>
        </w:numPr>
        <w:autoSpaceDE w:val="0"/>
        <w:autoSpaceDN w:val="0"/>
        <w:adjustRightInd w:val="0"/>
        <w:rPr>
          <w:rFonts w:asciiTheme="minorHAnsi" w:eastAsiaTheme="minorHAnsi" w:hAnsiTheme="minorHAnsi" w:cstheme="minorHAnsi"/>
          <w:sz w:val="22"/>
          <w:szCs w:val="22"/>
        </w:rPr>
      </w:pPr>
      <w:r w:rsidRPr="00F65705">
        <w:rPr>
          <w:rFonts w:asciiTheme="minorHAnsi" w:eastAsiaTheme="minorHAnsi" w:hAnsiTheme="minorHAnsi" w:cstheme="minorHAnsi"/>
          <w:sz w:val="22"/>
          <w:szCs w:val="22"/>
        </w:rPr>
        <w:t>Pricing Pathway A (only applies where nominated by the PBAC and accepted by an applicant</w:t>
      </w:r>
      <w:proofErr w:type="gramStart"/>
      <w:r w:rsidRPr="00F65705">
        <w:rPr>
          <w:rFonts w:asciiTheme="minorHAnsi" w:eastAsiaTheme="minorHAnsi" w:hAnsiTheme="minorHAnsi" w:cstheme="minorHAnsi"/>
          <w:sz w:val="22"/>
          <w:szCs w:val="22"/>
        </w:rPr>
        <w:t>);</w:t>
      </w:r>
      <w:proofErr w:type="gramEnd"/>
    </w:p>
    <w:p w14:paraId="7508C48B" w14:textId="77777777" w:rsidR="00865C8A" w:rsidRPr="00F65705" w:rsidRDefault="00865C8A" w:rsidP="00865C8A">
      <w:pPr>
        <w:pStyle w:val="ListParagraph"/>
        <w:numPr>
          <w:ilvl w:val="0"/>
          <w:numId w:val="15"/>
        </w:numPr>
        <w:autoSpaceDE w:val="0"/>
        <w:autoSpaceDN w:val="0"/>
        <w:adjustRightInd w:val="0"/>
        <w:rPr>
          <w:rFonts w:asciiTheme="minorHAnsi" w:eastAsiaTheme="minorHAnsi" w:hAnsiTheme="minorHAnsi" w:cstheme="minorHAnsi"/>
          <w:sz w:val="22"/>
          <w:szCs w:val="22"/>
        </w:rPr>
      </w:pPr>
      <w:r w:rsidRPr="00F65705">
        <w:rPr>
          <w:rFonts w:asciiTheme="minorHAnsi" w:eastAsiaTheme="minorHAnsi" w:hAnsiTheme="minorHAnsi" w:cstheme="minorHAnsi"/>
          <w:sz w:val="22"/>
          <w:szCs w:val="22"/>
        </w:rPr>
        <w:t>Pricing Pathway B (new deed</w:t>
      </w:r>
      <w:proofErr w:type="gramStart"/>
      <w:r w:rsidRPr="00F65705">
        <w:rPr>
          <w:rFonts w:asciiTheme="minorHAnsi" w:eastAsiaTheme="minorHAnsi" w:hAnsiTheme="minorHAnsi" w:cstheme="minorHAnsi"/>
          <w:sz w:val="22"/>
          <w:szCs w:val="22"/>
        </w:rPr>
        <w:t>);</w:t>
      </w:r>
      <w:proofErr w:type="gramEnd"/>
    </w:p>
    <w:p w14:paraId="6C68FE81" w14:textId="77777777" w:rsidR="00865C8A" w:rsidRPr="00F65705" w:rsidRDefault="00865C8A" w:rsidP="00865C8A">
      <w:pPr>
        <w:pStyle w:val="ListParagraph"/>
        <w:numPr>
          <w:ilvl w:val="0"/>
          <w:numId w:val="15"/>
        </w:numPr>
        <w:autoSpaceDE w:val="0"/>
        <w:autoSpaceDN w:val="0"/>
        <w:adjustRightInd w:val="0"/>
        <w:rPr>
          <w:rFonts w:asciiTheme="minorHAnsi" w:eastAsiaTheme="minorHAnsi" w:hAnsiTheme="minorHAnsi" w:cstheme="minorHAnsi"/>
          <w:sz w:val="22"/>
          <w:szCs w:val="22"/>
        </w:rPr>
      </w:pPr>
      <w:r w:rsidRPr="00F65705">
        <w:rPr>
          <w:rFonts w:asciiTheme="minorHAnsi" w:eastAsiaTheme="minorHAnsi" w:hAnsiTheme="minorHAnsi" w:cstheme="minorHAnsi"/>
          <w:sz w:val="22"/>
          <w:szCs w:val="22"/>
        </w:rPr>
        <w:t>Pricing Pathway C (existing deed</w:t>
      </w:r>
      <w:proofErr w:type="gramStart"/>
      <w:r w:rsidRPr="00F65705">
        <w:rPr>
          <w:rFonts w:asciiTheme="minorHAnsi" w:eastAsiaTheme="minorHAnsi" w:hAnsiTheme="minorHAnsi" w:cstheme="minorHAnsi"/>
          <w:sz w:val="22"/>
          <w:szCs w:val="22"/>
        </w:rPr>
        <w:t>);</w:t>
      </w:r>
      <w:proofErr w:type="gramEnd"/>
    </w:p>
    <w:p w14:paraId="12F89E5E" w14:textId="77777777" w:rsidR="00865C8A" w:rsidRPr="00F65705" w:rsidRDefault="00865C8A" w:rsidP="00865C8A">
      <w:pPr>
        <w:pStyle w:val="ListParagraph"/>
        <w:numPr>
          <w:ilvl w:val="0"/>
          <w:numId w:val="15"/>
        </w:numPr>
        <w:autoSpaceDE w:val="0"/>
        <w:autoSpaceDN w:val="0"/>
        <w:adjustRightInd w:val="0"/>
        <w:rPr>
          <w:rFonts w:asciiTheme="minorHAnsi" w:eastAsiaTheme="minorHAnsi" w:hAnsiTheme="minorHAnsi" w:cstheme="minorHAnsi"/>
          <w:sz w:val="22"/>
          <w:szCs w:val="22"/>
        </w:rPr>
      </w:pPr>
      <w:r w:rsidRPr="00F65705">
        <w:rPr>
          <w:rFonts w:asciiTheme="minorHAnsi" w:eastAsiaTheme="minorHAnsi" w:hAnsiTheme="minorHAnsi" w:cstheme="minorHAnsi"/>
          <w:sz w:val="22"/>
          <w:szCs w:val="22"/>
        </w:rPr>
        <w:t>Pricing Pathway D (no deed); and</w:t>
      </w:r>
    </w:p>
    <w:p w14:paraId="66E0273B" w14:textId="77777777" w:rsidR="00865C8A" w:rsidRPr="00F65705" w:rsidRDefault="00865C8A" w:rsidP="00865C8A">
      <w:pPr>
        <w:pStyle w:val="ListParagraph"/>
        <w:numPr>
          <w:ilvl w:val="0"/>
          <w:numId w:val="15"/>
        </w:numPr>
        <w:autoSpaceDE w:val="0"/>
        <w:autoSpaceDN w:val="0"/>
        <w:adjustRightInd w:val="0"/>
        <w:rPr>
          <w:rFonts w:asciiTheme="minorHAnsi" w:eastAsiaTheme="minorHAnsi" w:hAnsiTheme="minorHAnsi" w:cstheme="minorHAnsi"/>
          <w:sz w:val="22"/>
          <w:szCs w:val="22"/>
        </w:rPr>
      </w:pPr>
      <w:r w:rsidRPr="00F65705">
        <w:rPr>
          <w:rFonts w:asciiTheme="minorHAnsi" w:eastAsiaTheme="minorHAnsi" w:hAnsiTheme="minorHAnsi" w:cstheme="minorHAnsi"/>
          <w:sz w:val="22"/>
          <w:szCs w:val="22"/>
        </w:rPr>
        <w:t>Pricing Secretariat.</w:t>
      </w:r>
    </w:p>
    <w:p w14:paraId="404DED48" w14:textId="77777777" w:rsidR="00865C8A" w:rsidRPr="00F65705" w:rsidRDefault="00865C8A" w:rsidP="00865C8A">
      <w:pPr>
        <w:pStyle w:val="BodyText"/>
        <w:spacing w:before="240" w:after="60"/>
        <w:rPr>
          <w:rFonts w:asciiTheme="minorHAnsi" w:eastAsia="SimSun" w:hAnsiTheme="minorHAnsi" w:cstheme="minorHAnsi"/>
          <w:i w:val="0"/>
          <w:color w:val="auto"/>
          <w:sz w:val="22"/>
          <w:szCs w:val="22"/>
          <w:u w:val="single"/>
        </w:rPr>
      </w:pPr>
      <w:r w:rsidRPr="00F65705">
        <w:rPr>
          <w:rFonts w:asciiTheme="minorHAnsi" w:eastAsia="SimSun" w:hAnsiTheme="minorHAnsi" w:cstheme="minorHAnsi"/>
          <w:i w:val="0"/>
          <w:color w:val="auto"/>
          <w:sz w:val="22"/>
          <w:szCs w:val="22"/>
          <w:u w:val="single"/>
        </w:rPr>
        <w:t>PBS List Management Services</w:t>
      </w:r>
    </w:p>
    <w:p w14:paraId="0894BDC0" w14:textId="77777777" w:rsidR="00865C8A" w:rsidRPr="00F65705" w:rsidRDefault="00865C8A" w:rsidP="00865C8A">
      <w:pPr>
        <w:pStyle w:val="BodyText"/>
        <w:spacing w:after="120"/>
        <w:rPr>
          <w:rFonts w:asciiTheme="minorHAnsi" w:eastAsia="SimSun" w:hAnsiTheme="minorHAnsi" w:cstheme="minorHAnsi"/>
          <w:i w:val="0"/>
          <w:color w:val="auto"/>
          <w:sz w:val="22"/>
          <w:szCs w:val="22"/>
        </w:rPr>
      </w:pPr>
      <w:r w:rsidRPr="00F65705">
        <w:rPr>
          <w:rFonts w:asciiTheme="minorHAnsi" w:eastAsia="SimSun" w:hAnsiTheme="minorHAnsi" w:cstheme="minorHAnsi"/>
          <w:i w:val="0"/>
          <w:color w:val="auto"/>
          <w:sz w:val="22"/>
          <w:szCs w:val="22"/>
        </w:rPr>
        <w:t>PBS list management includes activities that are directly requested by sponsors seeking to manage their medicine’s listing. Fees were first introduced in mid-2019 for price change requests. Deed-related fees were introduced on 1 January 2021. List management services include:</w:t>
      </w:r>
    </w:p>
    <w:p w14:paraId="4D401304" w14:textId="77777777" w:rsidR="00865C8A" w:rsidRPr="00F65705" w:rsidRDefault="00865C8A" w:rsidP="00865C8A">
      <w:pPr>
        <w:pStyle w:val="BodyText"/>
        <w:numPr>
          <w:ilvl w:val="0"/>
          <w:numId w:val="5"/>
        </w:numPr>
        <w:ind w:left="714" w:hanging="357"/>
        <w:rPr>
          <w:rFonts w:asciiTheme="minorHAnsi" w:eastAsia="SimSun" w:hAnsiTheme="minorHAnsi" w:cstheme="minorHAnsi"/>
          <w:i w:val="0"/>
          <w:color w:val="auto"/>
          <w:sz w:val="22"/>
          <w:szCs w:val="22"/>
        </w:rPr>
      </w:pPr>
      <w:r w:rsidRPr="00F65705">
        <w:rPr>
          <w:rFonts w:asciiTheme="minorHAnsi" w:eastAsia="SimSun" w:hAnsiTheme="minorHAnsi" w:cstheme="minorHAnsi"/>
          <w:i w:val="0"/>
          <w:color w:val="auto"/>
          <w:sz w:val="22"/>
          <w:szCs w:val="22"/>
        </w:rPr>
        <w:t xml:space="preserve">Price increase requests including brand premium </w:t>
      </w:r>
      <w:proofErr w:type="gramStart"/>
      <w:r w:rsidRPr="00F65705">
        <w:rPr>
          <w:rFonts w:asciiTheme="minorHAnsi" w:eastAsia="SimSun" w:hAnsiTheme="minorHAnsi" w:cstheme="minorHAnsi"/>
          <w:i w:val="0"/>
          <w:color w:val="auto"/>
          <w:sz w:val="22"/>
          <w:szCs w:val="22"/>
        </w:rPr>
        <w:t>requests;</w:t>
      </w:r>
      <w:proofErr w:type="gramEnd"/>
      <w:r w:rsidRPr="00F65705">
        <w:rPr>
          <w:rFonts w:asciiTheme="minorHAnsi" w:eastAsia="SimSun" w:hAnsiTheme="minorHAnsi" w:cstheme="minorHAnsi"/>
          <w:i w:val="0"/>
          <w:color w:val="auto"/>
          <w:sz w:val="22"/>
          <w:szCs w:val="22"/>
        </w:rPr>
        <w:t xml:space="preserve"> </w:t>
      </w:r>
    </w:p>
    <w:p w14:paraId="2E2656FF" w14:textId="77777777" w:rsidR="00865C8A" w:rsidRPr="00F65705" w:rsidRDefault="00865C8A" w:rsidP="00865C8A">
      <w:pPr>
        <w:pStyle w:val="BodyText"/>
        <w:numPr>
          <w:ilvl w:val="0"/>
          <w:numId w:val="5"/>
        </w:numPr>
        <w:ind w:left="714" w:hanging="357"/>
        <w:rPr>
          <w:rFonts w:asciiTheme="minorHAnsi" w:eastAsia="SimSun" w:hAnsiTheme="minorHAnsi" w:cstheme="minorHAnsi"/>
          <w:i w:val="0"/>
          <w:color w:val="auto"/>
          <w:sz w:val="22"/>
          <w:szCs w:val="22"/>
        </w:rPr>
      </w:pPr>
      <w:r w:rsidRPr="00F65705">
        <w:rPr>
          <w:rFonts w:asciiTheme="minorHAnsi" w:eastAsia="SimSun" w:hAnsiTheme="minorHAnsi" w:cstheme="minorHAnsi"/>
          <w:i w:val="0"/>
          <w:color w:val="auto"/>
          <w:sz w:val="22"/>
          <w:szCs w:val="22"/>
        </w:rPr>
        <w:t xml:space="preserve">Ministerial discretion </w:t>
      </w:r>
      <w:proofErr w:type="gramStart"/>
      <w:r w:rsidRPr="00F65705">
        <w:rPr>
          <w:rFonts w:asciiTheme="minorHAnsi" w:eastAsia="SimSun" w:hAnsiTheme="minorHAnsi" w:cstheme="minorHAnsi"/>
          <w:i w:val="0"/>
          <w:color w:val="auto"/>
          <w:sz w:val="22"/>
          <w:szCs w:val="22"/>
        </w:rPr>
        <w:t>requests;</w:t>
      </w:r>
      <w:proofErr w:type="gramEnd"/>
      <w:r w:rsidRPr="00F65705">
        <w:rPr>
          <w:rFonts w:asciiTheme="minorHAnsi" w:eastAsia="SimSun" w:hAnsiTheme="minorHAnsi" w:cstheme="minorHAnsi"/>
          <w:i w:val="0"/>
          <w:color w:val="auto"/>
          <w:sz w:val="22"/>
          <w:szCs w:val="22"/>
        </w:rPr>
        <w:t xml:space="preserve"> </w:t>
      </w:r>
    </w:p>
    <w:p w14:paraId="0FE4469D" w14:textId="77777777" w:rsidR="00865C8A" w:rsidRPr="00F65705" w:rsidRDefault="00865C8A" w:rsidP="00865C8A">
      <w:pPr>
        <w:pStyle w:val="BodyText"/>
        <w:numPr>
          <w:ilvl w:val="0"/>
          <w:numId w:val="5"/>
        </w:numPr>
        <w:ind w:left="714" w:hanging="357"/>
        <w:rPr>
          <w:rFonts w:asciiTheme="minorHAnsi" w:eastAsia="SimSun" w:hAnsiTheme="minorHAnsi" w:cstheme="minorHAnsi"/>
          <w:i w:val="0"/>
          <w:color w:val="auto"/>
          <w:sz w:val="22"/>
          <w:szCs w:val="22"/>
        </w:rPr>
      </w:pPr>
      <w:r w:rsidRPr="00F65705">
        <w:rPr>
          <w:rFonts w:asciiTheme="minorHAnsi" w:eastAsia="SimSun" w:hAnsiTheme="minorHAnsi" w:cstheme="minorHAnsi"/>
          <w:i w:val="0"/>
          <w:color w:val="auto"/>
          <w:sz w:val="22"/>
          <w:szCs w:val="22"/>
        </w:rPr>
        <w:t xml:space="preserve">Deed renewal </w:t>
      </w:r>
      <w:proofErr w:type="gramStart"/>
      <w:r w:rsidRPr="00F65705">
        <w:rPr>
          <w:rFonts w:asciiTheme="minorHAnsi" w:eastAsia="SimSun" w:hAnsiTheme="minorHAnsi" w:cstheme="minorHAnsi"/>
          <w:i w:val="0"/>
          <w:color w:val="auto"/>
          <w:sz w:val="22"/>
          <w:szCs w:val="22"/>
        </w:rPr>
        <w:t>requests;</w:t>
      </w:r>
      <w:proofErr w:type="gramEnd"/>
    </w:p>
    <w:p w14:paraId="43759D92" w14:textId="77777777" w:rsidR="00865C8A" w:rsidRPr="00F65705" w:rsidRDefault="00865C8A" w:rsidP="00865C8A">
      <w:pPr>
        <w:pStyle w:val="BodyText"/>
        <w:numPr>
          <w:ilvl w:val="0"/>
          <w:numId w:val="5"/>
        </w:numPr>
        <w:ind w:left="714" w:hanging="357"/>
        <w:rPr>
          <w:rFonts w:asciiTheme="minorHAnsi" w:eastAsia="SimSun" w:hAnsiTheme="minorHAnsi" w:cstheme="minorHAnsi"/>
          <w:i w:val="0"/>
          <w:color w:val="auto"/>
          <w:sz w:val="22"/>
          <w:szCs w:val="22"/>
        </w:rPr>
      </w:pPr>
      <w:r w:rsidRPr="00F65705">
        <w:rPr>
          <w:rFonts w:asciiTheme="minorHAnsi" w:eastAsia="SimSun" w:hAnsiTheme="minorHAnsi" w:cstheme="minorHAnsi"/>
          <w:i w:val="0"/>
          <w:color w:val="auto"/>
          <w:sz w:val="22"/>
          <w:szCs w:val="22"/>
        </w:rPr>
        <w:t>Deed variation requests; and</w:t>
      </w:r>
    </w:p>
    <w:p w14:paraId="122ACE25" w14:textId="77777777" w:rsidR="00865C8A" w:rsidRPr="00F65705" w:rsidRDefault="00865C8A" w:rsidP="00865C8A">
      <w:pPr>
        <w:pStyle w:val="BodyText"/>
        <w:numPr>
          <w:ilvl w:val="0"/>
          <w:numId w:val="5"/>
        </w:numPr>
        <w:ind w:left="714" w:hanging="357"/>
        <w:rPr>
          <w:rFonts w:asciiTheme="minorHAnsi" w:eastAsia="SimSun" w:hAnsiTheme="minorHAnsi" w:cstheme="minorHAnsi"/>
          <w:i w:val="0"/>
          <w:color w:val="auto"/>
          <w:sz w:val="22"/>
          <w:szCs w:val="22"/>
        </w:rPr>
      </w:pPr>
      <w:r w:rsidRPr="00F65705">
        <w:rPr>
          <w:rFonts w:asciiTheme="minorHAnsi" w:eastAsia="SimSun" w:hAnsiTheme="minorHAnsi" w:cstheme="minorHAnsi"/>
          <w:i w:val="0"/>
          <w:color w:val="auto"/>
          <w:sz w:val="22"/>
          <w:szCs w:val="22"/>
        </w:rPr>
        <w:t>Ministerial determination requests (stockholding requests).</w:t>
      </w:r>
      <w:r w:rsidRPr="00F65705">
        <w:rPr>
          <w:rFonts w:asciiTheme="minorHAnsi" w:eastAsia="SimSun" w:hAnsiTheme="minorHAnsi" w:cstheme="minorHAnsi"/>
          <w:i w:val="0"/>
          <w:color w:val="auto"/>
          <w:sz w:val="22"/>
          <w:szCs w:val="22"/>
        </w:rPr>
        <w:br/>
      </w:r>
    </w:p>
    <w:p w14:paraId="0F332EB2" w14:textId="77777777" w:rsidR="00865C8A" w:rsidRPr="00F65705" w:rsidRDefault="00865C8A" w:rsidP="00865C8A">
      <w:pPr>
        <w:spacing w:after="160" w:line="259" w:lineRule="auto"/>
        <w:rPr>
          <w:rFonts w:asciiTheme="minorHAnsi" w:hAnsiTheme="minorHAnsi" w:cstheme="minorHAnsi"/>
          <w:b/>
        </w:rPr>
      </w:pPr>
      <w:r w:rsidRPr="00F65705">
        <w:rPr>
          <w:rFonts w:asciiTheme="minorHAnsi" w:hAnsiTheme="minorHAnsi" w:cstheme="minorHAnsi"/>
          <w:b/>
        </w:rPr>
        <w:br w:type="page"/>
      </w:r>
    </w:p>
    <w:p w14:paraId="3993208E" w14:textId="77777777" w:rsidR="00865C8A" w:rsidRPr="00F65705" w:rsidRDefault="00865C8A" w:rsidP="00865C8A">
      <w:pPr>
        <w:spacing w:after="120"/>
        <w:rPr>
          <w:rFonts w:asciiTheme="minorHAnsi" w:hAnsiTheme="minorHAnsi" w:cstheme="minorHAnsi"/>
          <w:b/>
        </w:rPr>
      </w:pPr>
      <w:r w:rsidRPr="00F65705">
        <w:rPr>
          <w:rFonts w:asciiTheme="minorHAnsi" w:hAnsiTheme="minorHAnsi" w:cstheme="minorHAnsi"/>
          <w:b/>
        </w:rPr>
        <w:lastRenderedPageBreak/>
        <w:t>What policy outcomes will the activity achieve?</w:t>
      </w:r>
    </w:p>
    <w:p w14:paraId="5C54C2C6" w14:textId="77777777" w:rsidR="00865C8A" w:rsidRPr="00F65705" w:rsidRDefault="00865C8A" w:rsidP="00865C8A">
      <w:pPr>
        <w:rPr>
          <w:rFonts w:asciiTheme="minorHAnsi" w:hAnsiTheme="minorHAnsi" w:cstheme="minorHAnsi"/>
          <w:sz w:val="22"/>
          <w:szCs w:val="22"/>
        </w:rPr>
      </w:pPr>
      <w:r w:rsidRPr="00F65705">
        <w:rPr>
          <w:rFonts w:asciiTheme="minorHAnsi" w:hAnsiTheme="minorHAnsi" w:cstheme="minorHAnsi"/>
          <w:sz w:val="22"/>
          <w:szCs w:val="22"/>
        </w:rPr>
        <w:t>The activity for reviewing and approval of products for PBS/NIP listing and management is appropriate for cost recovery for the following reasons:</w:t>
      </w:r>
    </w:p>
    <w:p w14:paraId="3AC101F1" w14:textId="77777777" w:rsidR="00865C8A" w:rsidRPr="00F65705" w:rsidRDefault="00865C8A" w:rsidP="00865C8A">
      <w:pPr>
        <w:pStyle w:val="ListParagraph"/>
        <w:numPr>
          <w:ilvl w:val="0"/>
          <w:numId w:val="4"/>
        </w:numPr>
        <w:spacing w:before="120"/>
        <w:ind w:left="714" w:hanging="357"/>
        <w:rPr>
          <w:rFonts w:asciiTheme="minorHAnsi" w:hAnsiTheme="minorHAnsi" w:cstheme="minorHAnsi"/>
          <w:sz w:val="22"/>
          <w:szCs w:val="22"/>
        </w:rPr>
      </w:pPr>
      <w:bookmarkStart w:id="0" w:name="_Hlk100129100"/>
      <w:r w:rsidRPr="00F65705">
        <w:rPr>
          <w:rFonts w:asciiTheme="minorHAnsi" w:hAnsiTheme="minorHAnsi" w:cstheme="minorHAnsi"/>
          <w:sz w:val="22"/>
          <w:szCs w:val="22"/>
        </w:rPr>
        <w:t>It provides an important means of improving the efficiency and equity with which Government services are provided.</w:t>
      </w:r>
    </w:p>
    <w:p w14:paraId="1974567E" w14:textId="77777777" w:rsidR="00865C8A" w:rsidRPr="00F65705" w:rsidRDefault="00865C8A" w:rsidP="00865C8A">
      <w:pPr>
        <w:pStyle w:val="ListParagraph"/>
        <w:numPr>
          <w:ilvl w:val="0"/>
          <w:numId w:val="4"/>
        </w:numPr>
        <w:rPr>
          <w:rFonts w:asciiTheme="minorHAnsi" w:hAnsiTheme="minorHAnsi" w:cstheme="minorHAnsi"/>
          <w:sz w:val="22"/>
          <w:szCs w:val="22"/>
        </w:rPr>
      </w:pPr>
      <w:r w:rsidRPr="00F65705">
        <w:rPr>
          <w:rFonts w:asciiTheme="minorHAnsi" w:hAnsiTheme="minorHAnsi" w:cstheme="minorHAnsi"/>
          <w:sz w:val="22"/>
          <w:szCs w:val="22"/>
        </w:rPr>
        <w:t>Charging of fees sends price signals to individuals or groups about the cost or value of a government activity.</w:t>
      </w:r>
    </w:p>
    <w:p w14:paraId="1F26CE62" w14:textId="77777777" w:rsidR="00865C8A" w:rsidRPr="00F65705" w:rsidRDefault="00865C8A" w:rsidP="00865C8A">
      <w:pPr>
        <w:pStyle w:val="ListParagraph"/>
        <w:numPr>
          <w:ilvl w:val="0"/>
          <w:numId w:val="4"/>
        </w:numPr>
        <w:rPr>
          <w:rFonts w:asciiTheme="minorHAnsi" w:hAnsiTheme="minorHAnsi" w:cstheme="minorHAnsi"/>
          <w:sz w:val="22"/>
          <w:szCs w:val="22"/>
        </w:rPr>
      </w:pPr>
      <w:r w:rsidRPr="00F65705">
        <w:rPr>
          <w:rFonts w:asciiTheme="minorHAnsi" w:hAnsiTheme="minorHAnsi" w:cstheme="minorHAnsi"/>
          <w:sz w:val="22"/>
          <w:szCs w:val="22"/>
        </w:rPr>
        <w:t>The services are requested by an identifiable group of parties who cause regulatory effort for the listing of their products on the PBS or NIP.</w:t>
      </w:r>
    </w:p>
    <w:p w14:paraId="2EC83854" w14:textId="77777777" w:rsidR="00865C8A" w:rsidRPr="00F65705" w:rsidRDefault="00865C8A" w:rsidP="00865C8A">
      <w:pPr>
        <w:pStyle w:val="ListParagraph"/>
        <w:numPr>
          <w:ilvl w:val="0"/>
          <w:numId w:val="4"/>
        </w:numPr>
        <w:rPr>
          <w:rFonts w:asciiTheme="minorHAnsi" w:hAnsiTheme="minorHAnsi" w:cstheme="minorHAnsi"/>
          <w:sz w:val="22"/>
          <w:szCs w:val="22"/>
        </w:rPr>
      </w:pPr>
      <w:r w:rsidRPr="00F65705">
        <w:rPr>
          <w:rFonts w:asciiTheme="minorHAnsi" w:hAnsiTheme="minorHAnsi" w:cstheme="minorHAnsi"/>
          <w:sz w:val="22"/>
          <w:szCs w:val="22"/>
        </w:rPr>
        <w:t>It ensures the quality use of PBS listed medicines and the ongoing sustainability of the PBS.</w:t>
      </w:r>
    </w:p>
    <w:bookmarkEnd w:id="0"/>
    <w:p w14:paraId="5225C73B" w14:textId="4293DCC5" w:rsidR="00865C8A" w:rsidRPr="00F65705" w:rsidRDefault="00865C8A" w:rsidP="00865C8A">
      <w:pPr>
        <w:spacing w:before="240"/>
        <w:rPr>
          <w:rFonts w:asciiTheme="minorHAnsi" w:hAnsiTheme="minorHAnsi" w:cstheme="minorHAnsi"/>
          <w:sz w:val="22"/>
          <w:szCs w:val="22"/>
        </w:rPr>
      </w:pPr>
      <w:r w:rsidRPr="00F65705">
        <w:rPr>
          <w:rFonts w:asciiTheme="minorHAnsi" w:hAnsiTheme="minorHAnsi" w:cstheme="minorHAnsi"/>
          <w:sz w:val="22"/>
          <w:szCs w:val="22"/>
        </w:rPr>
        <w:t>This CRIS describes the cost recoverable activities that have contributed to the achievement of Outcome 2 (Program 2.3) as outlined in the 2023</w:t>
      </w:r>
      <w:r w:rsidR="002E2930" w:rsidRPr="00F65705">
        <w:rPr>
          <w:rFonts w:asciiTheme="minorHAnsi" w:hAnsiTheme="minorHAnsi" w:cstheme="minorHAnsi"/>
          <w:sz w:val="22"/>
          <w:szCs w:val="22"/>
        </w:rPr>
        <w:t>-24</w:t>
      </w:r>
      <w:r w:rsidRPr="00F65705">
        <w:rPr>
          <w:rFonts w:asciiTheme="minorHAnsi" w:hAnsiTheme="minorHAnsi" w:cstheme="minorHAnsi"/>
          <w:sz w:val="22"/>
          <w:szCs w:val="22"/>
        </w:rPr>
        <w:t xml:space="preserve"> Health Portfolio Budget Statement.</w:t>
      </w:r>
    </w:p>
    <w:p w14:paraId="0E58FEAC" w14:textId="77777777" w:rsidR="00865C8A" w:rsidRPr="00F65705" w:rsidRDefault="00865C8A" w:rsidP="00865C8A">
      <w:pPr>
        <w:pStyle w:val="BodyText"/>
        <w:spacing w:before="240" w:after="60"/>
        <w:rPr>
          <w:rFonts w:asciiTheme="minorHAnsi" w:eastAsia="SimSun" w:hAnsiTheme="minorHAnsi" w:cstheme="minorHAnsi"/>
          <w:i w:val="0"/>
          <w:color w:val="auto"/>
          <w:sz w:val="22"/>
          <w:szCs w:val="22"/>
          <w:u w:val="single"/>
        </w:rPr>
      </w:pPr>
      <w:r w:rsidRPr="00F65705">
        <w:rPr>
          <w:rFonts w:asciiTheme="minorHAnsi" w:eastAsia="SimSun" w:hAnsiTheme="minorHAnsi" w:cstheme="minorHAnsi"/>
          <w:i w:val="0"/>
          <w:color w:val="auto"/>
          <w:sz w:val="22"/>
          <w:szCs w:val="22"/>
          <w:u w:val="single"/>
        </w:rPr>
        <w:t>Outcome 2: Individual Health Benefits</w:t>
      </w:r>
    </w:p>
    <w:p w14:paraId="072ED6F8" w14:textId="77777777" w:rsidR="00865C8A" w:rsidRPr="00F65705" w:rsidRDefault="00865C8A" w:rsidP="00865C8A">
      <w:pPr>
        <w:spacing w:before="240"/>
        <w:rPr>
          <w:rFonts w:asciiTheme="minorHAnsi" w:hAnsiTheme="minorHAnsi" w:cstheme="minorHAnsi"/>
          <w:sz w:val="22"/>
          <w:szCs w:val="22"/>
        </w:rPr>
      </w:pPr>
      <w:r w:rsidRPr="00F65705">
        <w:rPr>
          <w:rFonts w:asciiTheme="minorHAnsi" w:hAnsiTheme="minorHAnsi" w:cstheme="minorHAnsi"/>
          <w:iCs/>
          <w:sz w:val="22"/>
          <w:szCs w:val="22"/>
        </w:rPr>
        <w:t>Ensuring improved access for all Australians to cost-effective and affordable medicines, medical, dental</w:t>
      </w:r>
      <w:r w:rsidRPr="00F65705">
        <w:rPr>
          <w:rFonts w:asciiTheme="minorHAnsi" w:hAnsiTheme="minorHAnsi" w:cstheme="minorHAnsi"/>
          <w:i/>
          <w:iCs/>
          <w:sz w:val="22"/>
          <w:szCs w:val="22"/>
        </w:rPr>
        <w:t xml:space="preserve"> </w:t>
      </w:r>
      <w:r w:rsidRPr="00F65705">
        <w:rPr>
          <w:rFonts w:asciiTheme="minorHAnsi" w:hAnsiTheme="minorHAnsi" w:cstheme="minorHAnsi"/>
          <w:iCs/>
          <w:sz w:val="22"/>
          <w:szCs w:val="22"/>
        </w:rPr>
        <w:t xml:space="preserve">and hearing services; improved </w:t>
      </w:r>
      <w:r w:rsidRPr="00F65705">
        <w:rPr>
          <w:rFonts w:asciiTheme="minorHAnsi" w:hAnsiTheme="minorHAnsi" w:cstheme="minorHAnsi"/>
          <w:sz w:val="22"/>
          <w:szCs w:val="22"/>
        </w:rPr>
        <w:t>choice in health care services, through guaranteeing Medicare and the Pharmaceutical Benefits Scheme; supporting targeted assistance strategies and private health insurance.</w:t>
      </w:r>
    </w:p>
    <w:p w14:paraId="2AF98A56" w14:textId="77777777" w:rsidR="00865C8A" w:rsidRPr="00F65705" w:rsidRDefault="00865C8A" w:rsidP="00865C8A">
      <w:pPr>
        <w:spacing w:before="240"/>
        <w:rPr>
          <w:rFonts w:asciiTheme="minorHAnsi" w:hAnsiTheme="minorHAnsi" w:cstheme="minorHAnsi"/>
          <w:sz w:val="22"/>
          <w:szCs w:val="22"/>
          <w:u w:val="single"/>
        </w:rPr>
      </w:pPr>
      <w:r w:rsidRPr="00F65705">
        <w:rPr>
          <w:rFonts w:asciiTheme="minorHAnsi" w:hAnsiTheme="minorHAnsi" w:cstheme="minorHAnsi"/>
          <w:sz w:val="22"/>
          <w:szCs w:val="22"/>
          <w:u w:val="single"/>
        </w:rPr>
        <w:t>Program 2.3: Pharmaceutical Benefits</w:t>
      </w:r>
    </w:p>
    <w:p w14:paraId="423CDF75" w14:textId="77777777" w:rsidR="00865C8A" w:rsidRPr="00F65705" w:rsidRDefault="00865C8A" w:rsidP="00865C8A">
      <w:pPr>
        <w:spacing w:before="240"/>
        <w:rPr>
          <w:rFonts w:asciiTheme="minorHAnsi" w:hAnsiTheme="minorHAnsi" w:cstheme="minorHAnsi"/>
          <w:sz w:val="22"/>
          <w:szCs w:val="22"/>
        </w:rPr>
      </w:pPr>
      <w:r w:rsidRPr="00F65705">
        <w:rPr>
          <w:rFonts w:asciiTheme="minorHAnsi" w:hAnsiTheme="minorHAnsi" w:cstheme="minorHAnsi"/>
          <w:sz w:val="22"/>
          <w:szCs w:val="22"/>
        </w:rPr>
        <w:t>Provide all eligible Australians with reliable, timely, and affordable access to high quality, cost-effective, innovative, clinically effective medicines, and sustainable pharmaceutical services by subsidising the cost of medicines through the Pharmaceutical Benefits Scheme (PBS) and the Life Saving Drugs Program (LSDP).</w:t>
      </w:r>
    </w:p>
    <w:p w14:paraId="345559A8" w14:textId="77777777" w:rsidR="00865C8A" w:rsidRPr="00F65705" w:rsidRDefault="00865C8A" w:rsidP="00865C8A">
      <w:pPr>
        <w:spacing w:before="240"/>
        <w:rPr>
          <w:rFonts w:asciiTheme="minorHAnsi" w:eastAsia="SimSun" w:hAnsiTheme="minorHAnsi" w:cstheme="minorHAnsi"/>
          <w:iCs/>
          <w:sz w:val="22"/>
          <w:szCs w:val="22"/>
        </w:rPr>
      </w:pPr>
      <w:r w:rsidRPr="00F65705">
        <w:rPr>
          <w:rFonts w:asciiTheme="minorHAnsi" w:hAnsiTheme="minorHAnsi" w:cstheme="minorHAnsi"/>
          <w:b/>
        </w:rPr>
        <w:t>Why is charging appropriate for the regulatory activity?</w:t>
      </w:r>
    </w:p>
    <w:p w14:paraId="495D46D1" w14:textId="77777777" w:rsidR="00865C8A" w:rsidRPr="00F65705" w:rsidRDefault="00865C8A" w:rsidP="00865C8A">
      <w:pPr>
        <w:pStyle w:val="Paragraphtext"/>
        <w:spacing w:after="240"/>
        <w:rPr>
          <w:rFonts w:asciiTheme="minorHAnsi" w:hAnsiTheme="minorHAnsi" w:cstheme="minorHAnsi"/>
          <w:color w:val="auto"/>
          <w:sz w:val="22"/>
          <w:szCs w:val="22"/>
        </w:rPr>
      </w:pPr>
      <w:r w:rsidRPr="00F65705">
        <w:rPr>
          <w:rFonts w:asciiTheme="minorHAnsi" w:hAnsiTheme="minorHAnsi" w:cstheme="minorHAnsi"/>
          <w:color w:val="auto"/>
          <w:sz w:val="22"/>
          <w:szCs w:val="22"/>
        </w:rPr>
        <w:t xml:space="preserve">Cost recovery involves government entities charging individuals or non-government organisations some or </w:t>
      </w:r>
      <w:proofErr w:type="gramStart"/>
      <w:r w:rsidRPr="00F65705">
        <w:rPr>
          <w:rFonts w:asciiTheme="minorHAnsi" w:hAnsiTheme="minorHAnsi" w:cstheme="minorHAnsi"/>
          <w:color w:val="auto"/>
          <w:sz w:val="22"/>
          <w:szCs w:val="22"/>
        </w:rPr>
        <w:t>all of</w:t>
      </w:r>
      <w:proofErr w:type="gramEnd"/>
      <w:r w:rsidRPr="00F65705">
        <w:rPr>
          <w:rFonts w:asciiTheme="minorHAnsi" w:hAnsiTheme="minorHAnsi" w:cstheme="minorHAnsi"/>
          <w:color w:val="auto"/>
          <w:sz w:val="22"/>
          <w:szCs w:val="22"/>
        </w:rPr>
        <w:t xml:space="preserve"> the efficient costs of a specific government activity. This may include goods, services or regulation, or a combination of these. In 2015, the Government implemented revised CRGs which set out the framework under which government entities design, implement and review cost-recovered activities.</w:t>
      </w:r>
    </w:p>
    <w:p w14:paraId="1A729007" w14:textId="77777777" w:rsidR="00865C8A" w:rsidRPr="00F65705" w:rsidRDefault="00865C8A" w:rsidP="00865C8A">
      <w:pPr>
        <w:pStyle w:val="Paragraphtext"/>
        <w:spacing w:after="240"/>
        <w:rPr>
          <w:rFonts w:asciiTheme="minorHAnsi" w:hAnsiTheme="minorHAnsi" w:cstheme="minorHAnsi"/>
          <w:color w:val="auto"/>
          <w:sz w:val="22"/>
          <w:szCs w:val="22"/>
        </w:rPr>
      </w:pPr>
      <w:r w:rsidRPr="00F65705">
        <w:rPr>
          <w:rFonts w:asciiTheme="minorHAnsi" w:hAnsiTheme="minorHAnsi" w:cstheme="minorHAnsi"/>
          <w:color w:val="auto"/>
          <w:sz w:val="22"/>
          <w:szCs w:val="22"/>
        </w:rPr>
        <w:t xml:space="preserve">The Australian Government Charging Framework applies to non-corporate and corporate Commonwealth entities as defined in the </w:t>
      </w:r>
      <w:r w:rsidRPr="00F65705">
        <w:rPr>
          <w:rFonts w:asciiTheme="minorHAnsi" w:hAnsiTheme="minorHAnsi" w:cstheme="minorHAnsi"/>
          <w:i/>
          <w:color w:val="auto"/>
          <w:sz w:val="22"/>
          <w:szCs w:val="22"/>
        </w:rPr>
        <w:t>Public Governance, Performance and Accountability Act 2013 (PGPA Act).</w:t>
      </w:r>
      <w:r w:rsidRPr="00F65705">
        <w:rPr>
          <w:rFonts w:asciiTheme="minorHAnsi" w:hAnsiTheme="minorHAnsi" w:cstheme="minorHAnsi"/>
          <w:color w:val="auto"/>
          <w:sz w:val="22"/>
          <w:szCs w:val="22"/>
        </w:rPr>
        <w:t xml:space="preserve"> The Department is a non-corporate Commonwealth entity.</w:t>
      </w:r>
    </w:p>
    <w:p w14:paraId="380C16B0" w14:textId="77777777" w:rsidR="00865C8A" w:rsidRPr="00F65705" w:rsidRDefault="00865C8A" w:rsidP="00865C8A">
      <w:pPr>
        <w:pStyle w:val="Paragraphtext"/>
        <w:spacing w:after="240"/>
        <w:rPr>
          <w:rFonts w:asciiTheme="minorHAnsi" w:hAnsiTheme="minorHAnsi" w:cstheme="minorHAnsi"/>
          <w:color w:val="auto"/>
          <w:sz w:val="22"/>
          <w:szCs w:val="22"/>
        </w:rPr>
      </w:pPr>
      <w:r w:rsidRPr="00F65705">
        <w:rPr>
          <w:rFonts w:asciiTheme="minorHAnsi" w:hAnsiTheme="minorHAnsi" w:cstheme="minorHAnsi"/>
          <w:color w:val="auto"/>
          <w:sz w:val="22"/>
          <w:szCs w:val="22"/>
        </w:rPr>
        <w:t xml:space="preserve">The Government’s cost recovery policy is that, where appropriate, non-government recipients of specific government activities should be charged some or </w:t>
      </w:r>
      <w:proofErr w:type="gramStart"/>
      <w:r w:rsidRPr="00F65705">
        <w:rPr>
          <w:rFonts w:asciiTheme="minorHAnsi" w:hAnsiTheme="minorHAnsi" w:cstheme="minorHAnsi"/>
          <w:color w:val="auto"/>
          <w:sz w:val="22"/>
          <w:szCs w:val="22"/>
        </w:rPr>
        <w:t>all of</w:t>
      </w:r>
      <w:proofErr w:type="gramEnd"/>
      <w:r w:rsidRPr="00F65705">
        <w:rPr>
          <w:rFonts w:asciiTheme="minorHAnsi" w:hAnsiTheme="minorHAnsi" w:cstheme="minorHAnsi"/>
          <w:color w:val="auto"/>
          <w:sz w:val="22"/>
          <w:szCs w:val="22"/>
        </w:rPr>
        <w:t xml:space="preserve"> the cost of those activities. </w:t>
      </w:r>
    </w:p>
    <w:p w14:paraId="42CF35FA" w14:textId="77777777" w:rsidR="00865C8A" w:rsidRPr="00F65705" w:rsidRDefault="00865C8A" w:rsidP="00865C8A">
      <w:pPr>
        <w:rPr>
          <w:rFonts w:asciiTheme="minorHAnsi" w:hAnsiTheme="minorHAnsi" w:cstheme="minorHAnsi"/>
          <w:b/>
        </w:rPr>
      </w:pPr>
      <w:r w:rsidRPr="00F65705">
        <w:rPr>
          <w:rFonts w:asciiTheme="minorHAnsi" w:hAnsiTheme="minorHAnsi" w:cstheme="minorHAnsi"/>
          <w:b/>
        </w:rPr>
        <w:t>Who will pay the regulatory charges?</w:t>
      </w:r>
    </w:p>
    <w:p w14:paraId="2256A212" w14:textId="77777777" w:rsidR="00865C8A" w:rsidRPr="00F65705" w:rsidRDefault="00865C8A" w:rsidP="00865C8A">
      <w:pPr>
        <w:pStyle w:val="BodyText"/>
        <w:spacing w:before="120" w:after="120"/>
        <w:rPr>
          <w:rFonts w:asciiTheme="minorHAnsi" w:hAnsiTheme="minorHAnsi" w:cstheme="minorHAnsi"/>
          <w:color w:val="auto"/>
          <w:sz w:val="22"/>
          <w:szCs w:val="22"/>
        </w:rPr>
      </w:pPr>
      <w:r w:rsidRPr="00F65705">
        <w:rPr>
          <w:rFonts w:asciiTheme="minorHAnsi" w:hAnsiTheme="minorHAnsi" w:cstheme="minorHAnsi"/>
          <w:i w:val="0"/>
          <w:color w:val="auto"/>
          <w:sz w:val="22"/>
          <w:szCs w:val="22"/>
        </w:rPr>
        <w:t xml:space="preserve">The PBAC considers medicine/vaccine applications and contemplates the views of medical bodies, health professionals, individual consumers of medicines and their representatives. Applicants request the regulatory effort of having their medicine listed and maintained on the PBS/NIP </w:t>
      </w:r>
      <w:proofErr w:type="gramStart"/>
      <w:r w:rsidRPr="00F65705">
        <w:rPr>
          <w:rFonts w:asciiTheme="minorHAnsi" w:hAnsiTheme="minorHAnsi" w:cstheme="minorHAnsi"/>
          <w:i w:val="0"/>
          <w:color w:val="auto"/>
          <w:sz w:val="22"/>
          <w:szCs w:val="22"/>
        </w:rPr>
        <w:t>as a result of</w:t>
      </w:r>
      <w:proofErr w:type="gramEnd"/>
      <w:r w:rsidRPr="00F65705">
        <w:rPr>
          <w:rFonts w:asciiTheme="minorHAnsi" w:hAnsiTheme="minorHAnsi" w:cstheme="minorHAnsi"/>
          <w:i w:val="0"/>
          <w:color w:val="auto"/>
          <w:sz w:val="22"/>
          <w:szCs w:val="22"/>
        </w:rPr>
        <w:t xml:space="preserve"> these considerations.</w:t>
      </w:r>
    </w:p>
    <w:p w14:paraId="709455BE" w14:textId="77777777" w:rsidR="00865C8A" w:rsidRPr="00F65705" w:rsidRDefault="00865C8A" w:rsidP="00865C8A">
      <w:pPr>
        <w:spacing w:before="240"/>
        <w:rPr>
          <w:rFonts w:asciiTheme="minorHAnsi" w:hAnsiTheme="minorHAnsi" w:cstheme="minorHAnsi"/>
          <w:iCs/>
          <w:sz w:val="22"/>
          <w:szCs w:val="22"/>
        </w:rPr>
      </w:pPr>
      <w:r w:rsidRPr="00F65705">
        <w:rPr>
          <w:rFonts w:asciiTheme="minorHAnsi" w:hAnsiTheme="minorHAnsi" w:cstheme="minorHAnsi"/>
          <w:sz w:val="22"/>
          <w:szCs w:val="22"/>
        </w:rPr>
        <w:t>All applicants are charged fees for services provided, unless the applicant successfully applies to have the fee waived on public interest and financial viability grounds, or the application meets the specified criteria for a fee exemption.</w:t>
      </w:r>
    </w:p>
    <w:p w14:paraId="05AA45A0" w14:textId="77777777" w:rsidR="00865C8A" w:rsidRPr="00F65705" w:rsidRDefault="00865C8A" w:rsidP="00865C8A">
      <w:pPr>
        <w:spacing w:before="240"/>
        <w:rPr>
          <w:rFonts w:asciiTheme="minorHAnsi" w:hAnsiTheme="minorHAnsi" w:cstheme="minorHAnsi"/>
          <w:iCs/>
          <w:sz w:val="22"/>
          <w:szCs w:val="22"/>
        </w:rPr>
      </w:pPr>
      <w:r w:rsidRPr="00F65705">
        <w:rPr>
          <w:rFonts w:asciiTheme="minorHAnsi" w:hAnsiTheme="minorHAnsi" w:cstheme="minorHAnsi"/>
          <w:iCs/>
          <w:sz w:val="22"/>
          <w:szCs w:val="22"/>
        </w:rPr>
        <w:t>Policies and processes relating to fee exemptions and fee waivers have been approved by Government and are stipulated in the supporting regulations.</w:t>
      </w:r>
    </w:p>
    <w:p w14:paraId="703DB84E" w14:textId="77777777" w:rsidR="00865C8A" w:rsidRPr="00F65705" w:rsidRDefault="00865C8A" w:rsidP="00865C8A">
      <w:pPr>
        <w:spacing w:after="160" w:line="259" w:lineRule="auto"/>
        <w:rPr>
          <w:rFonts w:asciiTheme="minorHAnsi" w:hAnsiTheme="minorHAnsi" w:cstheme="minorHAnsi"/>
          <w:b/>
        </w:rPr>
      </w:pPr>
      <w:r w:rsidRPr="00F65705">
        <w:rPr>
          <w:rFonts w:asciiTheme="minorHAnsi" w:hAnsiTheme="minorHAnsi" w:cstheme="minorHAnsi"/>
          <w:b/>
        </w:rPr>
        <w:br w:type="page"/>
      </w:r>
    </w:p>
    <w:p w14:paraId="0AD4767C" w14:textId="77777777" w:rsidR="00865C8A" w:rsidRPr="00F65705" w:rsidRDefault="00865C8A" w:rsidP="00865C8A">
      <w:pPr>
        <w:spacing w:after="160" w:line="259" w:lineRule="auto"/>
        <w:rPr>
          <w:rFonts w:asciiTheme="minorHAnsi" w:hAnsiTheme="minorHAnsi" w:cstheme="minorHAnsi"/>
          <w:bCs/>
          <w:sz w:val="28"/>
          <w:szCs w:val="28"/>
        </w:rPr>
      </w:pPr>
      <w:r w:rsidRPr="00F65705">
        <w:rPr>
          <w:rFonts w:asciiTheme="minorHAnsi" w:hAnsiTheme="minorHAnsi" w:cstheme="minorHAnsi"/>
          <w:bCs/>
          <w:sz w:val="28"/>
          <w:szCs w:val="28"/>
        </w:rPr>
        <w:lastRenderedPageBreak/>
        <w:t>1.3</w:t>
      </w:r>
      <w:r w:rsidRPr="00F65705">
        <w:rPr>
          <w:rFonts w:asciiTheme="minorHAnsi" w:hAnsiTheme="minorHAnsi" w:cstheme="minorHAnsi"/>
          <w:bCs/>
          <w:sz w:val="28"/>
          <w:szCs w:val="28"/>
        </w:rPr>
        <w:tab/>
        <w:t>New and amended cost recovery arrangements commencing 1 July 2023</w:t>
      </w:r>
    </w:p>
    <w:p w14:paraId="13D22720" w14:textId="77777777" w:rsidR="00865C8A" w:rsidRPr="00F65705" w:rsidRDefault="00865C8A" w:rsidP="00865C8A">
      <w:pPr>
        <w:spacing w:after="160" w:line="259" w:lineRule="auto"/>
        <w:rPr>
          <w:rFonts w:asciiTheme="minorHAnsi" w:hAnsiTheme="minorHAnsi" w:cstheme="minorHAnsi"/>
          <w:b/>
        </w:rPr>
      </w:pPr>
      <w:r w:rsidRPr="00F65705">
        <w:rPr>
          <w:rFonts w:asciiTheme="minorHAnsi" w:hAnsiTheme="minorHAnsi" w:cstheme="minorHAnsi"/>
          <w:b/>
        </w:rPr>
        <w:t>What changes have been made to cost recovery activities?</w:t>
      </w:r>
    </w:p>
    <w:p w14:paraId="0033B352" w14:textId="77777777" w:rsidR="00865C8A" w:rsidRPr="00F65705" w:rsidRDefault="00865C8A" w:rsidP="00865C8A">
      <w:pPr>
        <w:spacing w:after="160" w:line="259" w:lineRule="auto"/>
        <w:rPr>
          <w:rFonts w:asciiTheme="minorHAnsi" w:hAnsiTheme="minorHAnsi" w:cstheme="minorHAnsi"/>
          <w:bCs/>
          <w:sz w:val="22"/>
          <w:szCs w:val="22"/>
          <w:u w:val="single"/>
        </w:rPr>
      </w:pPr>
      <w:r w:rsidRPr="00F65705">
        <w:rPr>
          <w:rFonts w:asciiTheme="minorHAnsi" w:hAnsiTheme="minorHAnsi" w:cstheme="minorHAnsi"/>
          <w:bCs/>
          <w:sz w:val="22"/>
          <w:szCs w:val="22"/>
          <w:u w:val="single"/>
        </w:rPr>
        <w:t xml:space="preserve">Annual review of indexation for PBAC cost recovery </w:t>
      </w:r>
      <w:proofErr w:type="gramStart"/>
      <w:r w:rsidRPr="00F65705">
        <w:rPr>
          <w:rFonts w:asciiTheme="minorHAnsi" w:hAnsiTheme="minorHAnsi" w:cstheme="minorHAnsi"/>
          <w:bCs/>
          <w:sz w:val="22"/>
          <w:szCs w:val="22"/>
          <w:u w:val="single"/>
        </w:rPr>
        <w:t>fees</w:t>
      </w:r>
      <w:proofErr w:type="gramEnd"/>
      <w:r w:rsidRPr="00F65705">
        <w:rPr>
          <w:rFonts w:asciiTheme="minorHAnsi" w:hAnsiTheme="minorHAnsi" w:cstheme="minorHAnsi"/>
          <w:bCs/>
          <w:sz w:val="22"/>
          <w:szCs w:val="22"/>
          <w:u w:val="single"/>
        </w:rPr>
        <w:t xml:space="preserve"> </w:t>
      </w:r>
    </w:p>
    <w:p w14:paraId="5A730935" w14:textId="4A35DE82" w:rsidR="00865C8A" w:rsidRPr="00F65705" w:rsidRDefault="00865C8A" w:rsidP="00865C8A">
      <w:pPr>
        <w:spacing w:after="160" w:line="259" w:lineRule="auto"/>
        <w:rPr>
          <w:rFonts w:asciiTheme="minorHAnsi" w:hAnsiTheme="minorHAnsi" w:cstheme="minorHAnsi"/>
          <w:bCs/>
          <w:sz w:val="22"/>
          <w:szCs w:val="22"/>
        </w:rPr>
      </w:pPr>
      <w:r w:rsidRPr="00F65705">
        <w:rPr>
          <w:rFonts w:asciiTheme="minorHAnsi" w:hAnsiTheme="minorHAnsi" w:cstheme="minorHAnsi"/>
          <w:bCs/>
          <w:sz w:val="22"/>
          <w:szCs w:val="22"/>
        </w:rPr>
        <w:t xml:space="preserve">The Department </w:t>
      </w:r>
      <w:r w:rsidR="00D623EE" w:rsidRPr="00F65705">
        <w:rPr>
          <w:rFonts w:asciiTheme="minorHAnsi" w:hAnsiTheme="minorHAnsi" w:cstheme="minorHAnsi"/>
          <w:bCs/>
          <w:sz w:val="22"/>
          <w:szCs w:val="22"/>
        </w:rPr>
        <w:t xml:space="preserve">has </w:t>
      </w:r>
      <w:r w:rsidRPr="00F65705">
        <w:rPr>
          <w:rFonts w:asciiTheme="minorHAnsi" w:hAnsiTheme="minorHAnsi" w:cstheme="minorHAnsi"/>
          <w:bCs/>
          <w:sz w:val="22"/>
          <w:szCs w:val="22"/>
        </w:rPr>
        <w:t xml:space="preserve">conducted </w:t>
      </w:r>
      <w:r w:rsidR="00D623EE" w:rsidRPr="00F65705">
        <w:rPr>
          <w:rFonts w:asciiTheme="minorHAnsi" w:hAnsiTheme="minorHAnsi" w:cstheme="minorHAnsi"/>
          <w:bCs/>
          <w:sz w:val="22"/>
          <w:szCs w:val="22"/>
        </w:rPr>
        <w:t>the</w:t>
      </w:r>
      <w:r w:rsidRPr="00F65705">
        <w:rPr>
          <w:rFonts w:asciiTheme="minorHAnsi" w:hAnsiTheme="minorHAnsi" w:cstheme="minorHAnsi"/>
          <w:bCs/>
          <w:sz w:val="22"/>
          <w:szCs w:val="22"/>
        </w:rPr>
        <w:t xml:space="preserve"> annual review of cost recovery </w:t>
      </w:r>
      <w:r w:rsidR="00736CB1" w:rsidRPr="00F65705">
        <w:rPr>
          <w:rFonts w:asciiTheme="minorHAnsi" w:hAnsiTheme="minorHAnsi" w:cstheme="minorHAnsi"/>
          <w:bCs/>
          <w:sz w:val="22"/>
          <w:szCs w:val="22"/>
        </w:rPr>
        <w:t>fees</w:t>
      </w:r>
      <w:r w:rsidRPr="00F65705">
        <w:rPr>
          <w:rFonts w:asciiTheme="minorHAnsi" w:hAnsiTheme="minorHAnsi" w:cstheme="minorHAnsi"/>
          <w:bCs/>
          <w:sz w:val="22"/>
          <w:szCs w:val="22"/>
        </w:rPr>
        <w:t xml:space="preserve"> for </w:t>
      </w:r>
      <w:r w:rsidR="00736CB1" w:rsidRPr="00F65705">
        <w:rPr>
          <w:rFonts w:asciiTheme="minorHAnsi" w:hAnsiTheme="minorHAnsi" w:cstheme="minorHAnsi"/>
          <w:bCs/>
          <w:sz w:val="22"/>
          <w:szCs w:val="22"/>
        </w:rPr>
        <w:t>the 2023-24 financial year</w:t>
      </w:r>
      <w:r w:rsidRPr="00F65705">
        <w:rPr>
          <w:rFonts w:asciiTheme="minorHAnsi" w:hAnsiTheme="minorHAnsi" w:cstheme="minorHAnsi"/>
          <w:bCs/>
          <w:sz w:val="22"/>
          <w:szCs w:val="22"/>
        </w:rPr>
        <w:t xml:space="preserve">. Further information regarding the review can be found at section 3.2.1 (page 14) of this document. Fees for 2023-24 can be found at table 7 (page 15). These fees will commence on 1 July 2023. </w:t>
      </w:r>
    </w:p>
    <w:p w14:paraId="0A352DD8" w14:textId="77777777" w:rsidR="00865C8A" w:rsidRPr="00F65705" w:rsidRDefault="00865C8A" w:rsidP="00865C8A">
      <w:pPr>
        <w:spacing w:after="160" w:line="259" w:lineRule="auto"/>
        <w:rPr>
          <w:rFonts w:asciiTheme="minorHAnsi" w:hAnsiTheme="minorHAnsi" w:cstheme="minorHAnsi"/>
          <w:bCs/>
          <w:sz w:val="22"/>
          <w:szCs w:val="22"/>
          <w:u w:val="single"/>
        </w:rPr>
      </w:pPr>
      <w:r w:rsidRPr="00F65705">
        <w:rPr>
          <w:rFonts w:asciiTheme="minorHAnsi" w:hAnsiTheme="minorHAnsi" w:cstheme="minorHAnsi"/>
          <w:bCs/>
          <w:sz w:val="22"/>
          <w:szCs w:val="22"/>
          <w:u w:val="single"/>
        </w:rPr>
        <w:t>Commencement of Ministerial determination request (stockholding) charging pathway</w:t>
      </w:r>
    </w:p>
    <w:p w14:paraId="352C756F" w14:textId="77777777" w:rsidR="00865C8A" w:rsidRPr="00F65705" w:rsidRDefault="00865C8A" w:rsidP="00865C8A">
      <w:pPr>
        <w:spacing w:after="160" w:line="259" w:lineRule="auto"/>
        <w:rPr>
          <w:rFonts w:asciiTheme="minorHAnsi" w:hAnsiTheme="minorHAnsi" w:cstheme="minorHAnsi"/>
          <w:bCs/>
          <w:sz w:val="22"/>
          <w:szCs w:val="22"/>
        </w:rPr>
      </w:pPr>
      <w:r w:rsidRPr="00F65705">
        <w:rPr>
          <w:rFonts w:asciiTheme="minorHAnsi" w:hAnsiTheme="minorHAnsi" w:cstheme="minorHAnsi"/>
          <w:bCs/>
          <w:sz w:val="22"/>
          <w:szCs w:val="22"/>
        </w:rPr>
        <w:t xml:space="preserve">Consistent with commitments made in the 2022 Strategic Agreement with the Medicines Industry, manufacturers of certain PBS listed medicines are required to hold a minimum quantity of </w:t>
      </w:r>
      <w:proofErr w:type="gramStart"/>
      <w:r w:rsidRPr="00F65705">
        <w:rPr>
          <w:rFonts w:asciiTheme="minorHAnsi" w:hAnsiTheme="minorHAnsi" w:cstheme="minorHAnsi"/>
          <w:bCs/>
          <w:sz w:val="22"/>
          <w:szCs w:val="22"/>
        </w:rPr>
        <w:t xml:space="preserve">four or six </w:t>
      </w:r>
      <w:proofErr w:type="spellStart"/>
      <w:r w:rsidRPr="00F65705">
        <w:rPr>
          <w:rFonts w:asciiTheme="minorHAnsi" w:hAnsiTheme="minorHAnsi" w:cstheme="minorHAnsi"/>
          <w:bCs/>
          <w:sz w:val="22"/>
          <w:szCs w:val="22"/>
        </w:rPr>
        <w:t>months</w:t>
      </w:r>
      <w:proofErr w:type="spellEnd"/>
      <w:proofErr w:type="gramEnd"/>
      <w:r w:rsidRPr="00F65705">
        <w:rPr>
          <w:rFonts w:asciiTheme="minorHAnsi" w:hAnsiTheme="minorHAnsi" w:cstheme="minorHAnsi"/>
          <w:bCs/>
          <w:sz w:val="22"/>
          <w:szCs w:val="22"/>
        </w:rPr>
        <w:t xml:space="preserve"> supply within Australia. Manufacturers may submit applications seeking a determination from the Minister to alter these stockholding arrangements to remain compliant with their legal obligations of supply. Such applications have been accepted by the Department since October 2022. </w:t>
      </w:r>
    </w:p>
    <w:p w14:paraId="05A2057C" w14:textId="0FA608DB" w:rsidR="00865C8A" w:rsidRPr="00F65705" w:rsidRDefault="00865C8A" w:rsidP="00865C8A">
      <w:pPr>
        <w:spacing w:after="160" w:line="259" w:lineRule="auto"/>
        <w:rPr>
          <w:rFonts w:asciiTheme="minorHAnsi" w:hAnsiTheme="minorHAnsi" w:cstheme="minorHAnsi"/>
          <w:bCs/>
          <w:sz w:val="22"/>
          <w:szCs w:val="22"/>
        </w:rPr>
      </w:pPr>
      <w:proofErr w:type="gramStart"/>
      <w:r w:rsidRPr="00F65705">
        <w:rPr>
          <w:rFonts w:asciiTheme="minorHAnsi" w:hAnsiTheme="minorHAnsi" w:cstheme="minorHAnsi"/>
          <w:bCs/>
          <w:sz w:val="22"/>
          <w:szCs w:val="22"/>
        </w:rPr>
        <w:t>Similar to</w:t>
      </w:r>
      <w:proofErr w:type="gramEnd"/>
      <w:r w:rsidRPr="00F65705">
        <w:rPr>
          <w:rFonts w:asciiTheme="minorHAnsi" w:hAnsiTheme="minorHAnsi" w:cstheme="minorHAnsi"/>
          <w:bCs/>
          <w:sz w:val="22"/>
          <w:szCs w:val="22"/>
        </w:rPr>
        <w:t xml:space="preserve"> existing types of list management application, these applications require Departmental assessment and processing. To ensure consistency with existing cost recovery arrangements and the Australian Government Charging Framework, Ministerial determination requests will be subject to cost recovery from 1 July 2023. The fee, as noted in table 7 (page 15), is $4,880. Only Ministerial determination request (stockholding) applications received from 1 July 2023 will be subject to cost recovery.</w:t>
      </w:r>
    </w:p>
    <w:p w14:paraId="33B91793" w14:textId="77777777" w:rsidR="00865C8A" w:rsidRPr="00F65705" w:rsidRDefault="00865C8A" w:rsidP="00865C8A">
      <w:pPr>
        <w:spacing w:after="160" w:line="259" w:lineRule="auto"/>
        <w:rPr>
          <w:rFonts w:asciiTheme="minorHAnsi" w:hAnsiTheme="minorHAnsi" w:cstheme="minorHAnsi"/>
          <w:bCs/>
          <w:sz w:val="22"/>
          <w:szCs w:val="22"/>
          <w:u w:val="single"/>
        </w:rPr>
      </w:pPr>
      <w:r w:rsidRPr="00F65705">
        <w:rPr>
          <w:rFonts w:asciiTheme="minorHAnsi" w:hAnsiTheme="minorHAnsi" w:cstheme="minorHAnsi"/>
          <w:bCs/>
          <w:sz w:val="22"/>
          <w:szCs w:val="22"/>
          <w:u w:val="single"/>
        </w:rPr>
        <w:t>Amendments to Ministerial Discretion requests for Statutory Price Reductions (SPRs)</w:t>
      </w:r>
    </w:p>
    <w:p w14:paraId="5ECA3EB6" w14:textId="12CD561B" w:rsidR="00865C8A" w:rsidRPr="00F65705" w:rsidRDefault="00865C8A" w:rsidP="00865C8A">
      <w:pPr>
        <w:spacing w:after="160" w:line="259" w:lineRule="auto"/>
        <w:rPr>
          <w:rFonts w:asciiTheme="minorHAnsi" w:hAnsiTheme="minorHAnsi" w:cstheme="minorHAnsi"/>
          <w:bCs/>
          <w:sz w:val="22"/>
          <w:szCs w:val="22"/>
        </w:rPr>
      </w:pPr>
      <w:r w:rsidRPr="00F65705">
        <w:rPr>
          <w:rFonts w:asciiTheme="minorHAnsi" w:hAnsiTheme="minorHAnsi" w:cstheme="minorHAnsi"/>
          <w:bCs/>
          <w:sz w:val="22"/>
          <w:szCs w:val="22"/>
        </w:rPr>
        <w:t xml:space="preserve">Under the current arrangements, sponsors of PBS-listed medicines subject to a SPR may apply to the Department requesting Ministerial </w:t>
      </w:r>
      <w:r w:rsidR="00D623EE" w:rsidRPr="00F65705">
        <w:rPr>
          <w:rFonts w:asciiTheme="minorHAnsi" w:hAnsiTheme="minorHAnsi" w:cstheme="minorHAnsi"/>
          <w:bCs/>
          <w:sz w:val="22"/>
          <w:szCs w:val="22"/>
        </w:rPr>
        <w:t xml:space="preserve">discretion </w:t>
      </w:r>
      <w:r w:rsidRPr="00F65705">
        <w:rPr>
          <w:rFonts w:asciiTheme="minorHAnsi" w:hAnsiTheme="minorHAnsi" w:cstheme="minorHAnsi"/>
          <w:bCs/>
          <w:sz w:val="22"/>
          <w:szCs w:val="22"/>
        </w:rPr>
        <w:t xml:space="preserve">to reduce or abstain from a SPR. These Ministerial </w:t>
      </w:r>
      <w:r w:rsidR="00D623EE" w:rsidRPr="00F65705">
        <w:rPr>
          <w:rFonts w:asciiTheme="minorHAnsi" w:hAnsiTheme="minorHAnsi" w:cstheme="minorHAnsi"/>
          <w:bCs/>
          <w:sz w:val="22"/>
          <w:szCs w:val="22"/>
        </w:rPr>
        <w:t xml:space="preserve">discretional </w:t>
      </w:r>
      <w:r w:rsidRPr="00F65705">
        <w:rPr>
          <w:rFonts w:asciiTheme="minorHAnsi" w:hAnsiTheme="minorHAnsi" w:cstheme="minorHAnsi"/>
          <w:bCs/>
          <w:sz w:val="22"/>
          <w:szCs w:val="22"/>
        </w:rPr>
        <w:t xml:space="preserve">applications require Departmental assessment and processing. Commitments made in the 2022 Strategic Agreement with the Medicines Industry provide for new variations of catch-up price reductions for combination items and first new brands listed on the PBS. The Minister has retained the discretion to reduce or not apply these new types of SPR and consequently sponsors may apply to the Department requesting Ministerial discretion. </w:t>
      </w:r>
    </w:p>
    <w:p w14:paraId="0FD4C3EE" w14:textId="6A6D1050" w:rsidR="00865C8A" w:rsidRPr="00F65705" w:rsidRDefault="00865C8A" w:rsidP="00865C8A">
      <w:pPr>
        <w:spacing w:after="160" w:line="259" w:lineRule="auto"/>
        <w:rPr>
          <w:rFonts w:asciiTheme="minorHAnsi" w:hAnsiTheme="minorHAnsi" w:cstheme="minorHAnsi"/>
          <w:bCs/>
          <w:sz w:val="22"/>
          <w:szCs w:val="22"/>
        </w:rPr>
      </w:pPr>
      <w:r w:rsidRPr="00F65705">
        <w:rPr>
          <w:rFonts w:asciiTheme="minorHAnsi" w:hAnsiTheme="minorHAnsi" w:cstheme="minorHAnsi"/>
          <w:bCs/>
          <w:sz w:val="22"/>
          <w:szCs w:val="22"/>
        </w:rPr>
        <w:t xml:space="preserve">Ministerial discretion requests regarding catch-up and first new brand SPRs will be subject to cost recovery from 1 July 2023. These cost recovery arrangements will remain identical to existing </w:t>
      </w:r>
      <w:r w:rsidR="00D623EE" w:rsidRPr="00F65705">
        <w:rPr>
          <w:rFonts w:asciiTheme="minorHAnsi" w:hAnsiTheme="minorHAnsi" w:cstheme="minorHAnsi"/>
          <w:bCs/>
          <w:sz w:val="22"/>
          <w:szCs w:val="22"/>
        </w:rPr>
        <w:t xml:space="preserve">Ministerial </w:t>
      </w:r>
      <w:r w:rsidRPr="00F65705">
        <w:rPr>
          <w:rFonts w:asciiTheme="minorHAnsi" w:hAnsiTheme="minorHAnsi" w:cstheme="minorHAnsi"/>
          <w:bCs/>
          <w:sz w:val="22"/>
          <w:szCs w:val="22"/>
        </w:rPr>
        <w:t>discretion requests.</w:t>
      </w:r>
    </w:p>
    <w:p w14:paraId="706D45F1" w14:textId="77777777" w:rsidR="00865C8A" w:rsidRPr="00F65705" w:rsidRDefault="00865C8A" w:rsidP="00865C8A">
      <w:pPr>
        <w:spacing w:before="600" w:after="160"/>
      </w:pPr>
      <w:r w:rsidRPr="00F65705">
        <w:rPr>
          <w:rFonts w:asciiTheme="minorHAnsi" w:hAnsiTheme="minorHAnsi"/>
          <w:b/>
          <w:sz w:val="28"/>
          <w:szCs w:val="28"/>
        </w:rPr>
        <w:t>2.</w:t>
      </w:r>
      <w:r w:rsidRPr="00F65705">
        <w:rPr>
          <w:rFonts w:asciiTheme="minorHAnsi" w:hAnsiTheme="minorHAnsi"/>
          <w:b/>
          <w:sz w:val="28"/>
          <w:szCs w:val="28"/>
        </w:rPr>
        <w:tab/>
        <w:t>POLICY AND STATUTORY AUTHORITY TO COST RECOVER</w:t>
      </w:r>
    </w:p>
    <w:p w14:paraId="2B212F81" w14:textId="77777777" w:rsidR="00865C8A" w:rsidRPr="00F65705" w:rsidRDefault="00865C8A" w:rsidP="00865C8A">
      <w:pPr>
        <w:pStyle w:val="Pa12"/>
        <w:spacing w:before="360" w:after="120"/>
        <w:rPr>
          <w:rFonts w:asciiTheme="minorHAnsi" w:hAnsiTheme="minorHAnsi" w:cs="Times New Roman"/>
          <w:sz w:val="28"/>
          <w:szCs w:val="28"/>
          <w:lang w:val="en-AU"/>
        </w:rPr>
      </w:pPr>
      <w:r w:rsidRPr="00F65705">
        <w:rPr>
          <w:rFonts w:asciiTheme="minorHAnsi" w:hAnsiTheme="minorHAnsi" w:cs="Times New Roman"/>
          <w:sz w:val="28"/>
          <w:szCs w:val="28"/>
          <w:lang w:val="en-AU"/>
        </w:rPr>
        <w:t>2.1</w:t>
      </w:r>
      <w:r w:rsidRPr="00F65705">
        <w:rPr>
          <w:rFonts w:asciiTheme="minorHAnsi" w:hAnsiTheme="minorHAnsi" w:cs="Times New Roman"/>
          <w:sz w:val="28"/>
          <w:szCs w:val="28"/>
          <w:lang w:val="en-AU"/>
        </w:rPr>
        <w:tab/>
        <w:t xml:space="preserve">Government policy approval to cost recover the regulatory </w:t>
      </w:r>
      <w:proofErr w:type="gramStart"/>
      <w:r w:rsidRPr="00F65705">
        <w:rPr>
          <w:rFonts w:asciiTheme="minorHAnsi" w:hAnsiTheme="minorHAnsi" w:cs="Times New Roman"/>
          <w:sz w:val="28"/>
          <w:szCs w:val="28"/>
          <w:lang w:val="en-AU"/>
        </w:rPr>
        <w:t>activity</w:t>
      </w:r>
      <w:proofErr w:type="gramEnd"/>
    </w:p>
    <w:p w14:paraId="33283291" w14:textId="77777777" w:rsidR="00865C8A" w:rsidRPr="00F65705" w:rsidRDefault="00865C8A" w:rsidP="00865C8A">
      <w:pPr>
        <w:spacing w:after="120"/>
        <w:rPr>
          <w:rFonts w:asciiTheme="minorHAnsi" w:hAnsiTheme="minorHAnsi"/>
          <w:b/>
          <w:iCs/>
        </w:rPr>
      </w:pPr>
      <w:r w:rsidRPr="00F65705">
        <w:rPr>
          <w:rFonts w:asciiTheme="minorHAnsi" w:hAnsiTheme="minorHAnsi"/>
          <w:b/>
          <w:iCs/>
        </w:rPr>
        <w:t>When and what did the government announce?</w:t>
      </w:r>
    </w:p>
    <w:p w14:paraId="2828C230" w14:textId="77777777" w:rsidR="00865C8A" w:rsidRPr="00F65705" w:rsidRDefault="00865C8A" w:rsidP="00865C8A">
      <w:pPr>
        <w:spacing w:before="120" w:after="240"/>
        <w:jc w:val="both"/>
        <w:rPr>
          <w:rFonts w:asciiTheme="minorHAnsi" w:hAnsiTheme="minorHAnsi" w:cstheme="minorHAnsi"/>
          <w:iCs/>
          <w:sz w:val="22"/>
          <w:szCs w:val="22"/>
        </w:rPr>
      </w:pPr>
      <w:r w:rsidRPr="00F65705">
        <w:rPr>
          <w:rFonts w:asciiTheme="minorHAnsi" w:hAnsiTheme="minorHAnsi" w:cstheme="minorHAnsi"/>
          <w:iCs/>
          <w:sz w:val="22"/>
          <w:szCs w:val="22"/>
        </w:rPr>
        <w:t xml:space="preserve">In the 2008-09 Budget, the Government announced that costs associated with the listing of medicines on the PBS and designated vaccines for the NIP would be recovered from applicants. Cost recovery, via fees for services provided, commenced on 1 January 2010 and was indexed by Consumer Price Index (CPI) up until 2019. </w:t>
      </w:r>
    </w:p>
    <w:p w14:paraId="3EAE794A" w14:textId="77777777" w:rsidR="00865C8A" w:rsidRPr="00F65705" w:rsidRDefault="00865C8A" w:rsidP="00865C8A">
      <w:pPr>
        <w:pStyle w:val="Paragraphtext"/>
        <w:spacing w:before="0" w:after="0"/>
        <w:rPr>
          <w:rFonts w:asciiTheme="minorHAnsi" w:hAnsiTheme="minorHAnsi" w:cstheme="minorHAnsi"/>
          <w:color w:val="auto"/>
          <w:sz w:val="22"/>
          <w:szCs w:val="22"/>
        </w:rPr>
      </w:pPr>
      <w:r w:rsidRPr="00F65705">
        <w:rPr>
          <w:rFonts w:asciiTheme="minorHAnsi" w:hAnsiTheme="minorHAnsi" w:cstheme="minorHAnsi"/>
          <w:color w:val="auto"/>
          <w:sz w:val="22"/>
          <w:szCs w:val="22"/>
        </w:rPr>
        <w:t xml:space="preserve">The 2018-19 Mid-Year Economic and Fiscal Outlook (MYEFO) measure: </w:t>
      </w:r>
      <w:r w:rsidRPr="00F65705">
        <w:rPr>
          <w:rFonts w:asciiTheme="minorHAnsi" w:hAnsiTheme="minorHAnsi" w:cstheme="minorHAnsi"/>
          <w:i/>
          <w:color w:val="auto"/>
          <w:sz w:val="22"/>
          <w:szCs w:val="22"/>
        </w:rPr>
        <w:t>Improving Access to Medicines — streamlined listings</w:t>
      </w:r>
      <w:r w:rsidRPr="00F65705">
        <w:rPr>
          <w:rFonts w:asciiTheme="minorHAnsi" w:hAnsiTheme="minorHAnsi" w:cstheme="minorHAnsi"/>
          <w:color w:val="auto"/>
          <w:sz w:val="22"/>
          <w:szCs w:val="22"/>
        </w:rPr>
        <w:t xml:space="preserve"> provided Government approval for the first stage of PBS process improvements and related cost recovery. Existing fees were also revised to reflect the efficient costs of services provided to industry during the PBS listing process of 2019. Following stakeholder feedback and t</w:t>
      </w:r>
      <w:r w:rsidRPr="00F65705">
        <w:rPr>
          <w:rStyle w:val="Emphasis"/>
          <w:rFonts w:asciiTheme="minorHAnsi" w:eastAsiaTheme="majorEastAsia" w:hAnsiTheme="minorHAnsi" w:cstheme="minorHAnsi"/>
          <w:i w:val="0"/>
          <w:color w:val="auto"/>
          <w:sz w:val="22"/>
          <w:szCs w:val="22"/>
        </w:rPr>
        <w:t xml:space="preserve">o reduce the impact </w:t>
      </w:r>
      <w:r w:rsidRPr="00F65705">
        <w:rPr>
          <w:rStyle w:val="Emphasis"/>
          <w:rFonts w:asciiTheme="minorHAnsi" w:eastAsiaTheme="majorEastAsia" w:hAnsiTheme="minorHAnsi" w:cstheme="minorHAnsi"/>
          <w:i w:val="0"/>
          <w:color w:val="auto"/>
          <w:sz w:val="22"/>
          <w:szCs w:val="22"/>
        </w:rPr>
        <w:lastRenderedPageBreak/>
        <w:t xml:space="preserve">on applicants, Government agreed to the staged increase of existing fees (50 per cent in July 2019 with the remaining 50 per cent in July 2020). </w:t>
      </w:r>
    </w:p>
    <w:p w14:paraId="466FDB28" w14:textId="77777777" w:rsidR="00865C8A" w:rsidRPr="00F65705" w:rsidRDefault="00865C8A" w:rsidP="00865C8A">
      <w:pPr>
        <w:pStyle w:val="Paragraphtext"/>
        <w:spacing w:before="240" w:after="120"/>
        <w:rPr>
          <w:rFonts w:asciiTheme="minorHAnsi" w:hAnsiTheme="minorHAnsi" w:cstheme="minorHAnsi"/>
          <w:color w:val="auto"/>
          <w:sz w:val="22"/>
          <w:szCs w:val="22"/>
        </w:rPr>
      </w:pPr>
      <w:r w:rsidRPr="00F65705">
        <w:rPr>
          <w:rFonts w:asciiTheme="minorHAnsi" w:hAnsiTheme="minorHAnsi" w:cstheme="minorHAnsi"/>
          <w:color w:val="auto"/>
          <w:sz w:val="22"/>
          <w:szCs w:val="22"/>
        </w:rPr>
        <w:t xml:space="preserve">In June 2020, Government agreed to implement ATAGI fees from 1 July 2020, and to further delay implementation of deed management fees until Stage 2 implementation. </w:t>
      </w:r>
    </w:p>
    <w:p w14:paraId="4C376E1D" w14:textId="77777777" w:rsidR="00865C8A" w:rsidRPr="00F65705" w:rsidRDefault="00865C8A" w:rsidP="00865C8A">
      <w:pPr>
        <w:spacing w:before="240" w:after="120"/>
        <w:rPr>
          <w:rFonts w:asciiTheme="minorHAnsi" w:hAnsiTheme="minorHAnsi" w:cstheme="minorHAnsi"/>
          <w:sz w:val="22"/>
          <w:szCs w:val="22"/>
        </w:rPr>
      </w:pPr>
      <w:r w:rsidRPr="00F65705">
        <w:rPr>
          <w:rFonts w:asciiTheme="minorHAnsi" w:hAnsiTheme="minorHAnsi" w:cstheme="minorHAnsi"/>
          <w:sz w:val="22"/>
          <w:szCs w:val="22"/>
        </w:rPr>
        <w:t xml:space="preserve">The 2020-21 Budget measure: </w:t>
      </w:r>
      <w:r w:rsidRPr="00F65705">
        <w:rPr>
          <w:rFonts w:asciiTheme="minorHAnsi" w:hAnsiTheme="minorHAnsi" w:cstheme="minorHAnsi"/>
          <w:i/>
          <w:sz w:val="22"/>
          <w:szCs w:val="22"/>
        </w:rPr>
        <w:t>Improving Access to Medicines — Pharmaceutical Benefits Scheme and Repatriation Pharmaceutical Benefits Scheme — new and amended listings</w:t>
      </w:r>
      <w:r w:rsidRPr="00F65705">
        <w:rPr>
          <w:rFonts w:asciiTheme="minorHAnsi" w:hAnsiTheme="minorHAnsi" w:cstheme="minorHAnsi"/>
          <w:sz w:val="22"/>
          <w:szCs w:val="22"/>
        </w:rPr>
        <w:t xml:space="preserve"> provided Government approval for the second stage of PBS process improvements and consequential cost recovery arrangements including new fees for deed management activities. Stage 2 PBS process improvements and related cost recovery changes came into effect on 1 January 2021. Fees approved by Government are indexed annually in line with the Australian Government Charging Framework. </w:t>
      </w:r>
    </w:p>
    <w:p w14:paraId="05882D8C" w14:textId="358A2C60" w:rsidR="00865C8A" w:rsidRPr="00F65705" w:rsidRDefault="00865C8A" w:rsidP="00865C8A">
      <w:pPr>
        <w:spacing w:before="240" w:after="120"/>
        <w:rPr>
          <w:rFonts w:asciiTheme="minorHAnsi" w:hAnsiTheme="minorHAnsi" w:cstheme="minorHAnsi"/>
          <w:sz w:val="22"/>
          <w:szCs w:val="22"/>
        </w:rPr>
      </w:pPr>
      <w:r w:rsidRPr="00F65705">
        <w:rPr>
          <w:rFonts w:asciiTheme="minorHAnsi" w:hAnsiTheme="minorHAnsi" w:cstheme="minorHAnsi"/>
          <w:sz w:val="22"/>
          <w:szCs w:val="22"/>
        </w:rPr>
        <w:t xml:space="preserve">The 2023-24 Budget measure: </w:t>
      </w:r>
      <w:r w:rsidRPr="00F65705">
        <w:rPr>
          <w:rFonts w:asciiTheme="minorHAnsi" w:hAnsiTheme="minorHAnsi" w:cstheme="minorHAnsi"/>
          <w:i/>
          <w:iCs/>
          <w:sz w:val="22"/>
          <w:szCs w:val="22"/>
        </w:rPr>
        <w:t>Portfolio Charging Review Outcomes – Cost Recovery Arrangements for Health Technology Assessment</w:t>
      </w:r>
      <w:r w:rsidRPr="00F65705">
        <w:rPr>
          <w:rFonts w:asciiTheme="minorHAnsi" w:hAnsiTheme="minorHAnsi" w:cstheme="minorHAnsi"/>
          <w:sz w:val="22"/>
          <w:szCs w:val="22"/>
        </w:rPr>
        <w:t xml:space="preserve"> </w:t>
      </w:r>
      <w:r w:rsidR="00023DDB" w:rsidRPr="00F65705">
        <w:rPr>
          <w:rFonts w:asciiTheme="minorHAnsi" w:hAnsiTheme="minorHAnsi" w:cstheme="minorHAnsi"/>
          <w:sz w:val="22"/>
          <w:szCs w:val="22"/>
        </w:rPr>
        <w:t xml:space="preserve">provided </w:t>
      </w:r>
      <w:r w:rsidRPr="00F65705">
        <w:rPr>
          <w:rFonts w:asciiTheme="minorHAnsi" w:hAnsiTheme="minorHAnsi" w:cstheme="minorHAnsi"/>
          <w:sz w:val="22"/>
          <w:szCs w:val="22"/>
        </w:rPr>
        <w:t xml:space="preserve">Government approval to implement cost recovery arrangements for Ministerial determination requests, also known as Stockholding requests. </w:t>
      </w:r>
    </w:p>
    <w:p w14:paraId="5448139F" w14:textId="77777777" w:rsidR="00865C8A" w:rsidRPr="00F65705" w:rsidRDefault="00865C8A" w:rsidP="00865C8A">
      <w:pPr>
        <w:spacing w:before="360" w:after="120"/>
        <w:rPr>
          <w:rFonts w:asciiTheme="minorHAnsi" w:hAnsiTheme="minorHAnsi"/>
          <w:b/>
          <w:iCs/>
        </w:rPr>
      </w:pPr>
      <w:r w:rsidRPr="00F65705">
        <w:rPr>
          <w:rFonts w:asciiTheme="minorHAnsi" w:hAnsiTheme="minorHAnsi"/>
          <w:b/>
          <w:iCs/>
        </w:rPr>
        <w:t xml:space="preserve">PBS list regulatory activities undertaken but not charged – PBS levy related </w:t>
      </w:r>
      <w:proofErr w:type="gramStart"/>
      <w:r w:rsidRPr="00F65705">
        <w:rPr>
          <w:rFonts w:asciiTheme="minorHAnsi" w:hAnsiTheme="minorHAnsi"/>
          <w:b/>
          <w:iCs/>
        </w:rPr>
        <w:t>activity</w:t>
      </w:r>
      <w:proofErr w:type="gramEnd"/>
    </w:p>
    <w:p w14:paraId="6C25AAB4" w14:textId="77777777" w:rsidR="00865C8A" w:rsidRPr="00F65705" w:rsidRDefault="00865C8A" w:rsidP="00865C8A">
      <w:pPr>
        <w:spacing w:before="120" w:after="240"/>
        <w:ind w:left="34"/>
        <w:rPr>
          <w:rFonts w:asciiTheme="minorHAnsi" w:hAnsiTheme="minorHAnsi" w:cstheme="minorHAnsi"/>
          <w:sz w:val="22"/>
          <w:szCs w:val="22"/>
        </w:rPr>
      </w:pPr>
      <w:r w:rsidRPr="00F65705">
        <w:rPr>
          <w:rFonts w:ascii="Calibri" w:hAnsi="Calibri" w:cs="Calibri"/>
          <w:sz w:val="22"/>
          <w:szCs w:val="22"/>
        </w:rPr>
        <w:t xml:space="preserve">Consultation with industry in early 2018 included the application of a PBS listing levy for activities where the work undertaken cannot be directly attributed to an individual sponsor, and to cover the cost of fees waived on certain grounds to achieve policy outcomes. Under the Australian </w:t>
      </w:r>
      <w:r w:rsidRPr="00F65705">
        <w:rPr>
          <w:rFonts w:asciiTheme="minorHAnsi" w:hAnsiTheme="minorHAnsi" w:cstheme="minorHAnsi"/>
          <w:sz w:val="22"/>
          <w:szCs w:val="22"/>
        </w:rPr>
        <w:t>Government Charging Framework, these types of costs can be recovered as an annual levy.</w:t>
      </w:r>
    </w:p>
    <w:p w14:paraId="7C12A376" w14:textId="77777777" w:rsidR="00865C8A" w:rsidRPr="00F65705" w:rsidRDefault="00865C8A" w:rsidP="00865C8A">
      <w:pPr>
        <w:spacing w:before="120" w:after="240"/>
        <w:ind w:left="34"/>
        <w:rPr>
          <w:rFonts w:asciiTheme="minorHAnsi" w:hAnsiTheme="minorHAnsi" w:cstheme="minorHAnsi"/>
          <w:sz w:val="22"/>
          <w:szCs w:val="22"/>
        </w:rPr>
      </w:pPr>
      <w:r w:rsidRPr="00F65705">
        <w:rPr>
          <w:rFonts w:asciiTheme="minorHAnsi" w:hAnsiTheme="minorHAnsi" w:cstheme="minorHAnsi"/>
          <w:sz w:val="22"/>
          <w:szCs w:val="22"/>
        </w:rPr>
        <w:t xml:space="preserve">For example, activities such as maintaining the currency of information about the medicine and ensuring the medicine’s price is compliant with the legislation ensure the ongoing clinical and cost effectiveness of PBS medicines and Australian patients’ ongoing access to medicines. These activities are of benefit to those who cause regulatory effort. </w:t>
      </w:r>
    </w:p>
    <w:p w14:paraId="7215F19B" w14:textId="77777777" w:rsidR="00865C8A" w:rsidRPr="00F65705" w:rsidRDefault="00865C8A" w:rsidP="00865C8A">
      <w:pPr>
        <w:spacing w:before="120" w:after="240"/>
        <w:ind w:left="34"/>
        <w:rPr>
          <w:rFonts w:asciiTheme="minorHAnsi" w:hAnsiTheme="minorHAnsi" w:cstheme="minorHAnsi"/>
          <w:sz w:val="22"/>
          <w:szCs w:val="22"/>
        </w:rPr>
      </w:pPr>
      <w:r w:rsidRPr="00F65705">
        <w:rPr>
          <w:rFonts w:asciiTheme="minorHAnsi" w:hAnsiTheme="minorHAnsi" w:cstheme="minorHAnsi"/>
          <w:sz w:val="22"/>
          <w:szCs w:val="22"/>
        </w:rPr>
        <w:t xml:space="preserve">The levy proposed in consultation would have applied to each PBS listed medicine and total approximately $5 million per annum in cost recovered revenue (estimate for 2018-19). Industry raised strong concerns about the additional cost and being charged for these non-requested activities (e.g. price disclosure and statutory price reductions). Consultation also determined there would be an impact on listings on the PBS under this proposed approach. </w:t>
      </w:r>
    </w:p>
    <w:p w14:paraId="4EE2BE5E" w14:textId="30106A06" w:rsidR="00865C8A" w:rsidRPr="00F65705" w:rsidRDefault="00865C8A" w:rsidP="00865C8A">
      <w:pPr>
        <w:spacing w:before="240"/>
        <w:rPr>
          <w:rFonts w:asciiTheme="minorHAnsi" w:hAnsiTheme="minorHAnsi"/>
          <w:sz w:val="28"/>
        </w:rPr>
      </w:pPr>
      <w:r w:rsidRPr="00F65705">
        <w:rPr>
          <w:rFonts w:asciiTheme="minorHAnsi" w:hAnsiTheme="minorHAnsi" w:cstheme="minorHAnsi"/>
          <w:sz w:val="22"/>
          <w:szCs w:val="22"/>
        </w:rPr>
        <w:t xml:space="preserve">In 2018-19, the </w:t>
      </w:r>
      <w:r w:rsidR="00D623EE" w:rsidRPr="00F65705">
        <w:rPr>
          <w:rFonts w:asciiTheme="minorHAnsi" w:hAnsiTheme="minorHAnsi" w:cstheme="minorHAnsi"/>
          <w:sz w:val="22"/>
          <w:szCs w:val="22"/>
        </w:rPr>
        <w:t xml:space="preserve">former </w:t>
      </w:r>
      <w:r w:rsidRPr="00F65705">
        <w:rPr>
          <w:rFonts w:asciiTheme="minorHAnsi" w:hAnsiTheme="minorHAnsi" w:cstheme="minorHAnsi"/>
          <w:sz w:val="22"/>
          <w:szCs w:val="22"/>
        </w:rPr>
        <w:t xml:space="preserve">Government decided not to apply a PBS listing levy and </w:t>
      </w:r>
      <w:r w:rsidR="00805008" w:rsidRPr="00F65705">
        <w:rPr>
          <w:rFonts w:asciiTheme="minorHAnsi" w:hAnsiTheme="minorHAnsi" w:cstheme="minorHAnsi"/>
          <w:sz w:val="22"/>
          <w:szCs w:val="22"/>
        </w:rPr>
        <w:t xml:space="preserve">the </w:t>
      </w:r>
      <w:r w:rsidRPr="00F65705">
        <w:rPr>
          <w:rFonts w:asciiTheme="minorHAnsi" w:hAnsiTheme="minorHAnsi" w:cstheme="minorHAnsi"/>
          <w:sz w:val="22"/>
          <w:szCs w:val="22"/>
        </w:rPr>
        <w:t xml:space="preserve">relevant activities continue to be funded by the Government via an appropriation to the Department. This partial cost recovery approach may change </w:t>
      </w:r>
      <w:proofErr w:type="gramStart"/>
      <w:r w:rsidRPr="00F65705">
        <w:rPr>
          <w:rFonts w:asciiTheme="minorHAnsi" w:hAnsiTheme="minorHAnsi" w:cstheme="minorHAnsi"/>
          <w:sz w:val="22"/>
          <w:szCs w:val="22"/>
        </w:rPr>
        <w:t>as a result of</w:t>
      </w:r>
      <w:proofErr w:type="gramEnd"/>
      <w:r w:rsidRPr="00F65705">
        <w:rPr>
          <w:rFonts w:asciiTheme="minorHAnsi" w:hAnsiTheme="minorHAnsi" w:cstheme="minorHAnsi"/>
          <w:sz w:val="22"/>
          <w:szCs w:val="22"/>
        </w:rPr>
        <w:t xml:space="preserve"> any review of the cost recovery arrangements currently in place.</w:t>
      </w:r>
    </w:p>
    <w:p w14:paraId="6BAE0E1D" w14:textId="77777777" w:rsidR="00865C8A" w:rsidRPr="00F65705" w:rsidRDefault="00865C8A" w:rsidP="00865C8A">
      <w:pPr>
        <w:spacing w:before="360" w:after="160" w:line="259" w:lineRule="auto"/>
        <w:rPr>
          <w:rFonts w:asciiTheme="minorHAnsi" w:eastAsia="SimSun" w:hAnsiTheme="minorHAnsi"/>
          <w:sz w:val="28"/>
          <w:szCs w:val="28"/>
        </w:rPr>
      </w:pPr>
      <w:r w:rsidRPr="00F65705">
        <w:rPr>
          <w:rFonts w:asciiTheme="minorHAnsi" w:hAnsiTheme="minorHAnsi"/>
          <w:sz w:val="28"/>
          <w:szCs w:val="28"/>
        </w:rPr>
        <w:t>2.2</w:t>
      </w:r>
      <w:r w:rsidRPr="00F65705">
        <w:rPr>
          <w:rFonts w:asciiTheme="minorHAnsi" w:hAnsiTheme="minorHAnsi"/>
          <w:sz w:val="28"/>
          <w:szCs w:val="28"/>
        </w:rPr>
        <w:tab/>
        <w:t xml:space="preserve">Statutory authority to </w:t>
      </w:r>
      <w:proofErr w:type="gramStart"/>
      <w:r w:rsidRPr="00F65705">
        <w:rPr>
          <w:rFonts w:asciiTheme="minorHAnsi" w:hAnsiTheme="minorHAnsi"/>
          <w:sz w:val="28"/>
          <w:szCs w:val="28"/>
        </w:rPr>
        <w:t>charge</w:t>
      </w:r>
      <w:proofErr w:type="gramEnd"/>
    </w:p>
    <w:p w14:paraId="0F6052F1" w14:textId="77777777" w:rsidR="00865C8A" w:rsidRPr="00F65705" w:rsidRDefault="00865C8A" w:rsidP="00865C8A">
      <w:pPr>
        <w:rPr>
          <w:rFonts w:asciiTheme="minorHAnsi" w:hAnsiTheme="minorHAnsi" w:cstheme="minorHAnsi"/>
          <w:sz w:val="22"/>
          <w:szCs w:val="22"/>
        </w:rPr>
      </w:pPr>
      <w:bookmarkStart w:id="1" w:name="_Hlk100130337"/>
      <w:r w:rsidRPr="00F65705">
        <w:rPr>
          <w:rFonts w:ascii="Calibri" w:hAnsi="Calibri" w:cs="Calibri"/>
          <w:sz w:val="22"/>
          <w:szCs w:val="22"/>
        </w:rPr>
        <w:t xml:space="preserve">Section 99YBA in Division 4C—Cost recovery of the </w:t>
      </w:r>
      <w:r w:rsidRPr="00F65705">
        <w:rPr>
          <w:rFonts w:ascii="Calibri" w:hAnsi="Calibri" w:cs="Calibri"/>
          <w:i/>
          <w:sz w:val="22"/>
          <w:szCs w:val="22"/>
        </w:rPr>
        <w:t>National Health Act 1953</w:t>
      </w:r>
      <w:r w:rsidRPr="00F65705">
        <w:rPr>
          <w:rFonts w:ascii="Calibri" w:hAnsi="Calibri" w:cs="Calibri"/>
          <w:sz w:val="22"/>
          <w:szCs w:val="22"/>
        </w:rPr>
        <w:t xml:space="preserve"> provides for regulations setting out the fees to be charged to recover costs to the Commonwealth of providing certain services. The regulations may make provisions in relation to services outlined in Section 9B (Provision of Vaccines) and Part VII (Pharmaceutical Benefits) of the Act. </w:t>
      </w:r>
      <w:r w:rsidRPr="00F65705">
        <w:rPr>
          <w:rFonts w:asciiTheme="minorHAnsi" w:hAnsiTheme="minorHAnsi" w:cstheme="minorHAnsi"/>
          <w:sz w:val="22"/>
          <w:szCs w:val="22"/>
        </w:rPr>
        <w:t xml:space="preserve">The </w:t>
      </w:r>
      <w:hyperlink r:id="rId9" w:history="1">
        <w:r w:rsidRPr="00F65705">
          <w:rPr>
            <w:rStyle w:val="Hyperlink"/>
            <w:rFonts w:asciiTheme="minorHAnsi" w:hAnsiTheme="minorHAnsi" w:cstheme="minorHAnsi"/>
            <w:i/>
            <w:color w:val="auto"/>
            <w:sz w:val="22"/>
            <w:szCs w:val="22"/>
          </w:rPr>
          <w:t>National Health (Pharmaceuticals and Vaccines – Cost Recovery) Regulations 2022</w:t>
        </w:r>
      </w:hyperlink>
      <w:r w:rsidRPr="00F65705">
        <w:rPr>
          <w:rFonts w:asciiTheme="minorHAnsi" w:hAnsiTheme="minorHAnsi" w:cstheme="minorHAnsi"/>
          <w:i/>
          <w:sz w:val="22"/>
          <w:szCs w:val="22"/>
        </w:rPr>
        <w:t xml:space="preserve"> </w:t>
      </w:r>
      <w:r w:rsidRPr="00F65705">
        <w:rPr>
          <w:rFonts w:asciiTheme="minorHAnsi" w:hAnsiTheme="minorHAnsi" w:cstheme="minorHAnsi"/>
          <w:sz w:val="22"/>
          <w:szCs w:val="22"/>
        </w:rPr>
        <w:t>(the Regulations) provide authority for cost recovery charges for services provided to list and manage items on the PBS/NIP.</w:t>
      </w:r>
    </w:p>
    <w:bookmarkEnd w:id="1"/>
    <w:p w14:paraId="7D5AAA4F" w14:textId="77777777" w:rsidR="00865C8A" w:rsidRPr="00F65705" w:rsidRDefault="00865C8A" w:rsidP="00865C8A">
      <w:pPr>
        <w:spacing w:before="360" w:after="160" w:line="259" w:lineRule="auto"/>
        <w:rPr>
          <w:rFonts w:asciiTheme="minorHAnsi" w:hAnsiTheme="minorHAnsi"/>
          <w:b/>
          <w:iCs/>
          <w:sz w:val="22"/>
          <w:szCs w:val="22"/>
        </w:rPr>
      </w:pPr>
      <w:r w:rsidRPr="00F65705">
        <w:rPr>
          <w:rFonts w:asciiTheme="minorHAnsi" w:hAnsiTheme="minorHAnsi"/>
          <w:b/>
          <w:iCs/>
          <w:sz w:val="22"/>
          <w:szCs w:val="22"/>
        </w:rPr>
        <w:t>Legislative amendments</w:t>
      </w:r>
    </w:p>
    <w:p w14:paraId="1A4492D6" w14:textId="77777777" w:rsidR="00865C8A" w:rsidRPr="00F65705" w:rsidRDefault="00865C8A" w:rsidP="00865C8A">
      <w:pPr>
        <w:spacing w:before="120"/>
        <w:rPr>
          <w:rFonts w:asciiTheme="minorHAnsi" w:hAnsiTheme="minorHAnsi"/>
          <w:sz w:val="22"/>
          <w:szCs w:val="22"/>
          <w:u w:val="single"/>
        </w:rPr>
      </w:pPr>
      <w:r w:rsidRPr="00F65705">
        <w:rPr>
          <w:rFonts w:asciiTheme="minorHAnsi" w:hAnsiTheme="minorHAnsi"/>
          <w:sz w:val="22"/>
          <w:szCs w:val="22"/>
          <w:u w:val="single"/>
        </w:rPr>
        <w:t>Cost recovery regulations</w:t>
      </w:r>
    </w:p>
    <w:p w14:paraId="53C1D237" w14:textId="77777777" w:rsidR="00865C8A" w:rsidRPr="00F65705" w:rsidRDefault="00865C8A" w:rsidP="00865C8A">
      <w:pPr>
        <w:spacing w:before="120"/>
        <w:rPr>
          <w:rFonts w:asciiTheme="minorHAnsi" w:hAnsiTheme="minorHAnsi"/>
          <w:iCs/>
          <w:sz w:val="22"/>
          <w:szCs w:val="22"/>
        </w:rPr>
      </w:pPr>
      <w:r w:rsidRPr="00F65705">
        <w:rPr>
          <w:rFonts w:asciiTheme="minorHAnsi" w:hAnsiTheme="minorHAnsi"/>
          <w:sz w:val="22"/>
          <w:szCs w:val="22"/>
        </w:rPr>
        <w:t xml:space="preserve">On 1 July 2023 the </w:t>
      </w:r>
      <w:r w:rsidRPr="00F65705">
        <w:rPr>
          <w:rFonts w:asciiTheme="minorHAnsi" w:hAnsiTheme="minorHAnsi"/>
          <w:i/>
          <w:iCs/>
          <w:sz w:val="22"/>
          <w:szCs w:val="22"/>
        </w:rPr>
        <w:t>Natio</w:t>
      </w:r>
      <w:r w:rsidRPr="00F65705">
        <w:rPr>
          <w:rFonts w:asciiTheme="minorHAnsi" w:hAnsiTheme="minorHAnsi"/>
          <w:i/>
          <w:sz w:val="22"/>
          <w:szCs w:val="22"/>
        </w:rPr>
        <w:t xml:space="preserve">nal Health (Pharmaceutical and Vaccines—Cost Recovery) Regulations 2022 </w:t>
      </w:r>
      <w:r w:rsidRPr="00F65705">
        <w:rPr>
          <w:rFonts w:asciiTheme="minorHAnsi" w:hAnsiTheme="minorHAnsi"/>
          <w:iCs/>
          <w:sz w:val="22"/>
          <w:szCs w:val="22"/>
        </w:rPr>
        <w:t>(the Regulations) will be amended. The amendments to the Regulations will make three key changes:</w:t>
      </w:r>
    </w:p>
    <w:p w14:paraId="4DAA63D8" w14:textId="77777777" w:rsidR="00865C8A" w:rsidRPr="00F65705" w:rsidRDefault="00865C8A" w:rsidP="00865C8A">
      <w:pPr>
        <w:pStyle w:val="ListParagraph"/>
        <w:numPr>
          <w:ilvl w:val="0"/>
          <w:numId w:val="26"/>
        </w:numPr>
        <w:spacing w:before="120"/>
        <w:rPr>
          <w:rFonts w:asciiTheme="minorHAnsi" w:hAnsiTheme="minorHAnsi"/>
          <w:sz w:val="22"/>
          <w:szCs w:val="22"/>
        </w:rPr>
      </w:pPr>
      <w:r w:rsidRPr="00F65705">
        <w:rPr>
          <w:rFonts w:asciiTheme="minorHAnsi" w:hAnsiTheme="minorHAnsi"/>
          <w:iCs/>
          <w:sz w:val="22"/>
          <w:szCs w:val="22"/>
        </w:rPr>
        <w:lastRenderedPageBreak/>
        <w:t xml:space="preserve">Fees will be indexed for </w:t>
      </w:r>
      <w:proofErr w:type="gramStart"/>
      <w:r w:rsidRPr="00F65705">
        <w:rPr>
          <w:rFonts w:asciiTheme="minorHAnsi" w:hAnsiTheme="minorHAnsi"/>
          <w:iCs/>
          <w:sz w:val="22"/>
          <w:szCs w:val="22"/>
        </w:rPr>
        <w:t>2023-24;</w:t>
      </w:r>
      <w:proofErr w:type="gramEnd"/>
    </w:p>
    <w:p w14:paraId="1CC52379" w14:textId="77777777" w:rsidR="00865C8A" w:rsidRPr="00F65705" w:rsidRDefault="00865C8A" w:rsidP="00865C8A">
      <w:pPr>
        <w:pStyle w:val="ListParagraph"/>
        <w:numPr>
          <w:ilvl w:val="0"/>
          <w:numId w:val="26"/>
        </w:numPr>
        <w:spacing w:before="120"/>
        <w:rPr>
          <w:rFonts w:asciiTheme="minorHAnsi" w:hAnsiTheme="minorHAnsi"/>
          <w:sz w:val="22"/>
          <w:szCs w:val="22"/>
        </w:rPr>
      </w:pPr>
      <w:r w:rsidRPr="00F65705">
        <w:rPr>
          <w:rFonts w:asciiTheme="minorHAnsi" w:hAnsiTheme="minorHAnsi"/>
          <w:iCs/>
          <w:sz w:val="22"/>
          <w:szCs w:val="22"/>
        </w:rPr>
        <w:t>The Ministerial determination request (stockholding) charging pathway will commence; and</w:t>
      </w:r>
    </w:p>
    <w:p w14:paraId="51EE8FCE" w14:textId="77777777" w:rsidR="00865C8A" w:rsidRPr="00F65705" w:rsidRDefault="00865C8A" w:rsidP="00865C8A">
      <w:pPr>
        <w:pStyle w:val="ListParagraph"/>
        <w:numPr>
          <w:ilvl w:val="0"/>
          <w:numId w:val="26"/>
        </w:numPr>
        <w:spacing w:before="120"/>
        <w:rPr>
          <w:rFonts w:asciiTheme="minorHAnsi" w:hAnsiTheme="minorHAnsi"/>
          <w:sz w:val="22"/>
          <w:szCs w:val="22"/>
        </w:rPr>
      </w:pPr>
      <w:r w:rsidRPr="00F65705">
        <w:rPr>
          <w:rFonts w:asciiTheme="minorHAnsi" w:hAnsiTheme="minorHAnsi"/>
          <w:iCs/>
          <w:sz w:val="22"/>
          <w:szCs w:val="22"/>
        </w:rPr>
        <w:t>Amendments to the existing Ministerial discretion request charging pathway to reflect additional types of ministerial discretion that may be sought by applicants will commence.</w:t>
      </w:r>
    </w:p>
    <w:p w14:paraId="480FAA2D" w14:textId="77777777" w:rsidR="00865C8A" w:rsidRPr="00F65705" w:rsidRDefault="00865C8A" w:rsidP="00865C8A">
      <w:pPr>
        <w:spacing w:before="120"/>
        <w:rPr>
          <w:rFonts w:asciiTheme="minorHAnsi" w:hAnsiTheme="minorHAnsi"/>
          <w:sz w:val="22"/>
          <w:szCs w:val="22"/>
        </w:rPr>
      </w:pPr>
      <w:r w:rsidRPr="00F65705">
        <w:rPr>
          <w:rFonts w:asciiTheme="minorHAnsi" w:hAnsiTheme="minorHAnsi"/>
          <w:sz w:val="22"/>
          <w:szCs w:val="22"/>
        </w:rPr>
        <w:t xml:space="preserve">The Regulations can be accessed via the </w:t>
      </w:r>
      <w:hyperlink r:id="rId10" w:history="1">
        <w:r w:rsidRPr="00F65705">
          <w:rPr>
            <w:rStyle w:val="Hyperlink"/>
            <w:rFonts w:asciiTheme="minorHAnsi" w:hAnsiTheme="minorHAnsi"/>
            <w:color w:val="auto"/>
            <w:sz w:val="22"/>
            <w:szCs w:val="22"/>
          </w:rPr>
          <w:t>PBS website</w:t>
        </w:r>
      </w:hyperlink>
      <w:r w:rsidRPr="00F65705">
        <w:rPr>
          <w:rFonts w:asciiTheme="minorHAnsi" w:hAnsiTheme="minorHAnsi"/>
          <w:sz w:val="22"/>
          <w:szCs w:val="22"/>
        </w:rPr>
        <w:t xml:space="preserve"> or on the Federal Register of Legislation.</w:t>
      </w:r>
    </w:p>
    <w:p w14:paraId="1C00601C" w14:textId="77777777" w:rsidR="00865C8A" w:rsidRPr="00F65705" w:rsidRDefault="00865C8A" w:rsidP="00865C8A">
      <w:pPr>
        <w:spacing w:before="600" w:after="160" w:line="259" w:lineRule="auto"/>
        <w:rPr>
          <w:rFonts w:asciiTheme="minorHAnsi" w:hAnsiTheme="minorHAnsi"/>
          <w:b/>
          <w:sz w:val="28"/>
          <w:szCs w:val="28"/>
        </w:rPr>
      </w:pPr>
      <w:r w:rsidRPr="00F65705">
        <w:rPr>
          <w:rFonts w:asciiTheme="minorHAnsi" w:hAnsiTheme="minorHAnsi"/>
          <w:b/>
          <w:sz w:val="28"/>
          <w:szCs w:val="28"/>
        </w:rPr>
        <w:t>3.  COST RECOVERY MODEL</w:t>
      </w:r>
    </w:p>
    <w:p w14:paraId="5573CAE4" w14:textId="77777777" w:rsidR="00865C8A" w:rsidRPr="00F65705" w:rsidRDefault="00865C8A" w:rsidP="00865C8A">
      <w:pPr>
        <w:spacing w:before="360" w:after="160" w:line="259" w:lineRule="auto"/>
        <w:rPr>
          <w:rFonts w:asciiTheme="minorHAnsi" w:hAnsiTheme="minorHAnsi"/>
          <w:sz w:val="28"/>
          <w:szCs w:val="28"/>
        </w:rPr>
      </w:pPr>
      <w:r w:rsidRPr="00F65705">
        <w:rPr>
          <w:rFonts w:asciiTheme="minorHAnsi" w:hAnsiTheme="minorHAnsi"/>
          <w:sz w:val="28"/>
          <w:szCs w:val="28"/>
        </w:rPr>
        <w:t xml:space="preserve">3.1 Regulatory activities included in the </w:t>
      </w:r>
      <w:proofErr w:type="gramStart"/>
      <w:r w:rsidRPr="00F65705">
        <w:rPr>
          <w:rFonts w:asciiTheme="minorHAnsi" w:hAnsiTheme="minorHAnsi"/>
          <w:sz w:val="28"/>
          <w:szCs w:val="28"/>
        </w:rPr>
        <w:t>model</w:t>
      </w:r>
      <w:proofErr w:type="gramEnd"/>
    </w:p>
    <w:p w14:paraId="563B79EC" w14:textId="77777777" w:rsidR="00865C8A" w:rsidRPr="00F65705" w:rsidRDefault="00865C8A" w:rsidP="00865C8A">
      <w:pPr>
        <w:pStyle w:val="Pa12"/>
        <w:spacing w:after="120"/>
        <w:ind w:left="36"/>
        <w:rPr>
          <w:rFonts w:asciiTheme="minorHAnsi" w:hAnsiTheme="minorHAnsi" w:cs="Times New Roman"/>
          <w:sz w:val="22"/>
          <w:szCs w:val="22"/>
          <w:lang w:val="en-AU"/>
        </w:rPr>
      </w:pPr>
      <w:r w:rsidRPr="00F65705">
        <w:rPr>
          <w:rFonts w:asciiTheme="minorHAnsi" w:hAnsiTheme="minorHAnsi" w:cs="Times New Roman"/>
          <w:sz w:val="22"/>
          <w:szCs w:val="22"/>
          <w:lang w:val="en-AU"/>
        </w:rPr>
        <w:t>Cost recovery fee categories are as follows, with the activity descriptions detailed in Tables 1-5:</w:t>
      </w:r>
    </w:p>
    <w:p w14:paraId="42C13E8E" w14:textId="77777777" w:rsidR="00865C8A" w:rsidRPr="00F65705" w:rsidRDefault="00865C8A" w:rsidP="00865C8A">
      <w:pPr>
        <w:pStyle w:val="Pa12"/>
        <w:numPr>
          <w:ilvl w:val="0"/>
          <w:numId w:val="6"/>
        </w:numPr>
        <w:spacing w:after="0" w:line="240" w:lineRule="auto"/>
        <w:ind w:left="1077" w:hanging="357"/>
        <w:rPr>
          <w:rFonts w:asciiTheme="minorHAnsi" w:hAnsiTheme="minorHAnsi" w:cs="Times New Roman"/>
          <w:i/>
          <w:sz w:val="22"/>
          <w:szCs w:val="22"/>
          <w:lang w:val="en-AU"/>
        </w:rPr>
      </w:pPr>
      <w:r w:rsidRPr="00F65705">
        <w:rPr>
          <w:rFonts w:asciiTheme="minorHAnsi" w:hAnsiTheme="minorHAnsi" w:cs="Times New Roman"/>
          <w:i/>
          <w:sz w:val="22"/>
          <w:szCs w:val="22"/>
          <w:lang w:val="en-AU"/>
        </w:rPr>
        <w:t>Section 3.2.1 – ATAGI pre-submission advice (evaluation</w:t>
      </w:r>
      <w:proofErr w:type="gramStart"/>
      <w:r w:rsidRPr="00F65705">
        <w:rPr>
          <w:rFonts w:asciiTheme="minorHAnsi" w:hAnsiTheme="minorHAnsi" w:cs="Times New Roman"/>
          <w:i/>
          <w:sz w:val="22"/>
          <w:szCs w:val="22"/>
          <w:lang w:val="en-AU"/>
        </w:rPr>
        <w:t>);</w:t>
      </w:r>
      <w:proofErr w:type="gramEnd"/>
      <w:r w:rsidRPr="00F65705">
        <w:rPr>
          <w:rFonts w:asciiTheme="minorHAnsi" w:hAnsiTheme="minorHAnsi" w:cs="Times New Roman"/>
          <w:i/>
          <w:sz w:val="22"/>
          <w:szCs w:val="22"/>
          <w:lang w:val="en-AU"/>
        </w:rPr>
        <w:t xml:space="preserve"> </w:t>
      </w:r>
    </w:p>
    <w:p w14:paraId="0A89B60A" w14:textId="77777777" w:rsidR="00865C8A" w:rsidRPr="00F65705" w:rsidRDefault="00865C8A" w:rsidP="00865C8A">
      <w:pPr>
        <w:pStyle w:val="Pa12"/>
        <w:numPr>
          <w:ilvl w:val="0"/>
          <w:numId w:val="6"/>
        </w:numPr>
        <w:spacing w:after="0" w:line="240" w:lineRule="auto"/>
        <w:ind w:left="1077" w:hanging="357"/>
        <w:rPr>
          <w:rFonts w:asciiTheme="minorHAnsi" w:hAnsiTheme="minorHAnsi" w:cs="Times New Roman"/>
          <w:i/>
          <w:sz w:val="22"/>
          <w:szCs w:val="22"/>
          <w:lang w:val="en-AU"/>
        </w:rPr>
      </w:pPr>
      <w:r w:rsidRPr="00F65705">
        <w:rPr>
          <w:rFonts w:asciiTheme="minorHAnsi" w:hAnsiTheme="minorHAnsi" w:cs="Times New Roman"/>
          <w:i/>
          <w:sz w:val="22"/>
          <w:szCs w:val="22"/>
          <w:lang w:val="en-AU"/>
        </w:rPr>
        <w:t xml:space="preserve">Section 3.2.2 – PBAC pre-submission </w:t>
      </w:r>
      <w:proofErr w:type="gramStart"/>
      <w:r w:rsidRPr="00F65705">
        <w:rPr>
          <w:rFonts w:asciiTheme="minorHAnsi" w:hAnsiTheme="minorHAnsi" w:cs="Times New Roman"/>
          <w:i/>
          <w:sz w:val="22"/>
          <w:szCs w:val="22"/>
          <w:lang w:val="en-AU"/>
        </w:rPr>
        <w:t>meetings;</w:t>
      </w:r>
      <w:proofErr w:type="gramEnd"/>
    </w:p>
    <w:p w14:paraId="6019590D" w14:textId="77777777" w:rsidR="00865C8A" w:rsidRPr="00F65705" w:rsidRDefault="00865C8A" w:rsidP="00865C8A">
      <w:pPr>
        <w:pStyle w:val="Pa12"/>
        <w:numPr>
          <w:ilvl w:val="0"/>
          <w:numId w:val="6"/>
        </w:numPr>
        <w:spacing w:after="0" w:line="240" w:lineRule="auto"/>
        <w:ind w:left="1077" w:hanging="357"/>
        <w:rPr>
          <w:rFonts w:asciiTheme="minorHAnsi" w:hAnsiTheme="minorHAnsi" w:cs="Times New Roman"/>
          <w:i/>
          <w:sz w:val="22"/>
          <w:szCs w:val="22"/>
          <w:lang w:val="en-AU"/>
        </w:rPr>
      </w:pPr>
      <w:r w:rsidRPr="00F65705">
        <w:rPr>
          <w:rFonts w:asciiTheme="minorHAnsi" w:hAnsiTheme="minorHAnsi" w:cs="Times New Roman"/>
          <w:i/>
          <w:sz w:val="22"/>
          <w:szCs w:val="22"/>
          <w:lang w:val="en-AU"/>
        </w:rPr>
        <w:t xml:space="preserve">Section 3.2.3 – Submission Services including Notice of </w:t>
      </w:r>
      <w:proofErr w:type="gramStart"/>
      <w:r w:rsidRPr="00F65705">
        <w:rPr>
          <w:rFonts w:asciiTheme="minorHAnsi" w:hAnsiTheme="minorHAnsi" w:cs="Times New Roman"/>
          <w:i/>
          <w:sz w:val="22"/>
          <w:szCs w:val="22"/>
          <w:lang w:val="en-AU"/>
        </w:rPr>
        <w:t>Intent;</w:t>
      </w:r>
      <w:proofErr w:type="gramEnd"/>
    </w:p>
    <w:p w14:paraId="477A2323" w14:textId="77777777" w:rsidR="00865C8A" w:rsidRPr="00F65705" w:rsidRDefault="00865C8A" w:rsidP="00865C8A">
      <w:pPr>
        <w:pStyle w:val="Pa12"/>
        <w:numPr>
          <w:ilvl w:val="0"/>
          <w:numId w:val="6"/>
        </w:numPr>
        <w:spacing w:after="0" w:line="240" w:lineRule="auto"/>
        <w:ind w:left="1077" w:hanging="357"/>
        <w:rPr>
          <w:rFonts w:asciiTheme="minorHAnsi" w:hAnsiTheme="minorHAnsi" w:cs="Times New Roman"/>
          <w:i/>
          <w:sz w:val="22"/>
          <w:szCs w:val="22"/>
          <w:lang w:val="en-AU"/>
        </w:rPr>
      </w:pPr>
      <w:r w:rsidRPr="00F65705">
        <w:rPr>
          <w:rFonts w:asciiTheme="minorHAnsi" w:hAnsiTheme="minorHAnsi" w:cs="Times New Roman"/>
          <w:i/>
          <w:sz w:val="22"/>
          <w:szCs w:val="22"/>
          <w:lang w:val="en-AU"/>
        </w:rPr>
        <w:t xml:space="preserve">Section 3.2.4 – Pricing Services including Notice of Intent for </w:t>
      </w:r>
      <w:proofErr w:type="gramStart"/>
      <w:r w:rsidRPr="00F65705">
        <w:rPr>
          <w:rFonts w:asciiTheme="minorHAnsi" w:hAnsiTheme="minorHAnsi" w:cs="Times New Roman"/>
          <w:i/>
          <w:sz w:val="22"/>
          <w:szCs w:val="22"/>
          <w:lang w:val="en-AU"/>
        </w:rPr>
        <w:t>Pricing;</w:t>
      </w:r>
      <w:proofErr w:type="gramEnd"/>
    </w:p>
    <w:p w14:paraId="33A2C045" w14:textId="77777777" w:rsidR="00865C8A" w:rsidRPr="00F65705" w:rsidRDefault="00865C8A" w:rsidP="00865C8A">
      <w:pPr>
        <w:pStyle w:val="Pa12"/>
        <w:numPr>
          <w:ilvl w:val="0"/>
          <w:numId w:val="6"/>
        </w:numPr>
        <w:spacing w:after="0" w:line="240" w:lineRule="auto"/>
        <w:ind w:left="1077" w:hanging="357"/>
        <w:rPr>
          <w:rFonts w:asciiTheme="minorHAnsi" w:hAnsiTheme="minorHAnsi" w:cs="Times New Roman"/>
          <w:sz w:val="22"/>
          <w:szCs w:val="22"/>
          <w:lang w:val="fr-FR"/>
        </w:rPr>
      </w:pPr>
      <w:r w:rsidRPr="00F65705">
        <w:rPr>
          <w:rFonts w:asciiTheme="minorHAnsi" w:hAnsiTheme="minorHAnsi" w:cs="Times New Roman"/>
          <w:i/>
          <w:sz w:val="22"/>
          <w:szCs w:val="22"/>
          <w:lang w:val="fr-FR"/>
        </w:rPr>
        <w:t xml:space="preserve">Section 3.2.5 – PBS List Management Services. </w:t>
      </w:r>
    </w:p>
    <w:p w14:paraId="05B6E6A5" w14:textId="77777777" w:rsidR="00865C8A" w:rsidRPr="00F65705" w:rsidRDefault="00865C8A" w:rsidP="00865C8A">
      <w:pPr>
        <w:spacing w:before="240" w:after="160"/>
        <w:rPr>
          <w:rFonts w:asciiTheme="minorHAnsi" w:hAnsiTheme="minorHAnsi"/>
          <w:sz w:val="22"/>
          <w:szCs w:val="22"/>
        </w:rPr>
      </w:pPr>
      <w:r w:rsidRPr="00F65705">
        <w:rPr>
          <w:rFonts w:asciiTheme="minorHAnsi" w:hAnsiTheme="minorHAnsi"/>
          <w:sz w:val="22"/>
          <w:szCs w:val="22"/>
        </w:rPr>
        <w:t>For the cost breakdowns of the different fee categories please refer to Table 8.</w:t>
      </w:r>
      <w:r w:rsidRPr="00F65705">
        <w:rPr>
          <w:rFonts w:asciiTheme="minorHAnsi" w:hAnsiTheme="minorHAnsi"/>
          <w:sz w:val="22"/>
          <w:szCs w:val="22"/>
        </w:rPr>
        <w:br w:type="page"/>
      </w:r>
    </w:p>
    <w:p w14:paraId="54BAF7AB" w14:textId="77777777" w:rsidR="00865C8A" w:rsidRPr="00F65705" w:rsidRDefault="00865C8A" w:rsidP="00865C8A">
      <w:pPr>
        <w:spacing w:after="160" w:line="259" w:lineRule="auto"/>
        <w:rPr>
          <w:rFonts w:asciiTheme="minorHAnsi" w:hAnsiTheme="minorHAnsi"/>
          <w:b/>
          <w:sz w:val="22"/>
          <w:szCs w:val="22"/>
          <w:u w:val="single"/>
        </w:rPr>
      </w:pPr>
      <w:r w:rsidRPr="00F65705">
        <w:rPr>
          <w:rFonts w:asciiTheme="minorHAnsi" w:hAnsiTheme="minorHAnsi"/>
          <w:b/>
          <w:sz w:val="22"/>
          <w:szCs w:val="22"/>
          <w:u w:val="single"/>
        </w:rPr>
        <w:lastRenderedPageBreak/>
        <w:t>3.1.1 ATAGI pre-submission advice (evaluation</w:t>
      </w:r>
      <w:r w:rsidRPr="00F65705">
        <w:rPr>
          <w:rFonts w:asciiTheme="minorHAnsi" w:hAnsiTheme="minorHAnsi"/>
          <w:b/>
          <w:sz w:val="22"/>
          <w:szCs w:val="22"/>
        </w:rPr>
        <w:t>)</w:t>
      </w:r>
      <w:r w:rsidRPr="00F65705">
        <w:rPr>
          <w:rFonts w:asciiTheme="minorHAnsi" w:hAnsiTheme="minorHAnsi"/>
          <w:b/>
          <w:sz w:val="22"/>
          <w:szCs w:val="22"/>
          <w:u w:val="single"/>
        </w:rPr>
        <w:t xml:space="preserve"> </w:t>
      </w:r>
    </w:p>
    <w:p w14:paraId="23BC5003" w14:textId="77777777" w:rsidR="00865C8A" w:rsidRPr="00F65705" w:rsidRDefault="00865C8A" w:rsidP="00865C8A">
      <w:pPr>
        <w:spacing w:before="120" w:after="120"/>
        <w:rPr>
          <w:rFonts w:ascii="Calibri" w:hAnsi="Calibri" w:cs="Calibri"/>
          <w:i/>
          <w:iCs/>
          <w:sz w:val="22"/>
          <w:szCs w:val="22"/>
        </w:rPr>
      </w:pPr>
      <w:r w:rsidRPr="00F65705">
        <w:rPr>
          <w:rFonts w:asciiTheme="minorHAnsi" w:hAnsiTheme="minorHAnsi" w:cstheme="minorHAnsi"/>
          <w:sz w:val="22"/>
          <w:szCs w:val="22"/>
        </w:rPr>
        <w:t xml:space="preserve">ATAGI pre-submission advice (evaluations) is an existing service provided as part of the NIP listing process. </w:t>
      </w:r>
      <w:r w:rsidRPr="00F65705">
        <w:rPr>
          <w:rFonts w:ascii="Calibri" w:hAnsi="Calibri" w:cs="Calibri"/>
          <w:bCs/>
          <w:iCs/>
          <w:sz w:val="22"/>
          <w:szCs w:val="22"/>
        </w:rPr>
        <w:t>ATAGI evaluations assess the suitability of a vaccine for the NIP. These evaluations involve the analysis and review of complex clinical, vaccinology and epidemiological data.</w:t>
      </w:r>
    </w:p>
    <w:p w14:paraId="0A56445B" w14:textId="77777777" w:rsidR="00865C8A" w:rsidRPr="00F65705" w:rsidRDefault="00865C8A" w:rsidP="00865C8A">
      <w:pPr>
        <w:pStyle w:val="Paragraphtext"/>
        <w:spacing w:after="120"/>
        <w:rPr>
          <w:rFonts w:asciiTheme="minorHAnsi" w:hAnsiTheme="minorHAnsi" w:cstheme="minorHAnsi"/>
          <w:color w:val="auto"/>
          <w:sz w:val="22"/>
          <w:szCs w:val="22"/>
        </w:rPr>
      </w:pPr>
      <w:r w:rsidRPr="00F65705">
        <w:rPr>
          <w:rFonts w:asciiTheme="minorHAnsi" w:hAnsiTheme="minorHAnsi" w:cstheme="minorHAnsi"/>
          <w:color w:val="auto"/>
          <w:sz w:val="22"/>
          <w:szCs w:val="22"/>
        </w:rPr>
        <w:t xml:space="preserve">Cost recovery arrangements for this activity were introduced on 1 July 2020. </w:t>
      </w:r>
      <w:r w:rsidRPr="00F65705">
        <w:rPr>
          <w:rFonts w:asciiTheme="minorHAnsi" w:hAnsiTheme="minorHAnsi"/>
          <w:color w:val="auto"/>
          <w:sz w:val="22"/>
          <w:szCs w:val="22"/>
        </w:rPr>
        <w:t xml:space="preserve">A fee waiver or fee exemption may apply for eligible applications – refer to the Cost Recovery Administrative Guidelines and/or Part 7 of the Regulations. Fee </w:t>
      </w:r>
      <w:r w:rsidRPr="00F65705">
        <w:rPr>
          <w:rFonts w:asciiTheme="minorHAnsi" w:hAnsiTheme="minorHAnsi" w:cstheme="minorHAnsi"/>
          <w:color w:val="auto"/>
          <w:sz w:val="22"/>
          <w:szCs w:val="22"/>
        </w:rPr>
        <w:t xml:space="preserve">Waiver and Fee Exemption requests for ATAGI advice are considered as part of the ATAGI application process. </w:t>
      </w:r>
    </w:p>
    <w:p w14:paraId="2A89128E" w14:textId="68BD61FD" w:rsidR="00865C8A" w:rsidRPr="00F65705" w:rsidRDefault="00805008" w:rsidP="00865C8A">
      <w:pPr>
        <w:pStyle w:val="Paragraphtext"/>
        <w:spacing w:after="120"/>
        <w:rPr>
          <w:rFonts w:asciiTheme="minorHAnsi" w:hAnsiTheme="minorHAnsi" w:cstheme="minorHAnsi"/>
          <w:color w:val="auto"/>
          <w:sz w:val="22"/>
          <w:szCs w:val="22"/>
        </w:rPr>
      </w:pPr>
      <w:r w:rsidRPr="00F65705">
        <w:rPr>
          <w:rFonts w:asciiTheme="minorHAnsi" w:hAnsiTheme="minorHAnsi" w:cstheme="minorHAnsi"/>
          <w:color w:val="auto"/>
          <w:sz w:val="22"/>
          <w:szCs w:val="22"/>
        </w:rPr>
        <w:t xml:space="preserve">On </w:t>
      </w:r>
      <w:r w:rsidR="00865C8A" w:rsidRPr="00F65705">
        <w:rPr>
          <w:rFonts w:asciiTheme="minorHAnsi" w:hAnsiTheme="minorHAnsi" w:cstheme="minorHAnsi"/>
          <w:color w:val="auto"/>
          <w:sz w:val="22"/>
          <w:szCs w:val="22"/>
        </w:rPr>
        <w:t xml:space="preserve">1 July 2022 the Notice of Intent step for ATAGI applications </w:t>
      </w:r>
      <w:r w:rsidRPr="00F65705">
        <w:rPr>
          <w:rFonts w:asciiTheme="minorHAnsi" w:hAnsiTheme="minorHAnsi" w:cstheme="minorHAnsi"/>
          <w:color w:val="auto"/>
          <w:sz w:val="22"/>
          <w:szCs w:val="22"/>
        </w:rPr>
        <w:t>was</w:t>
      </w:r>
      <w:r w:rsidR="00865C8A" w:rsidRPr="00F65705">
        <w:rPr>
          <w:rFonts w:asciiTheme="minorHAnsi" w:hAnsiTheme="minorHAnsi" w:cstheme="minorHAnsi"/>
          <w:color w:val="auto"/>
          <w:sz w:val="22"/>
          <w:szCs w:val="22"/>
        </w:rPr>
        <w:t xml:space="preserve"> implemented. </w:t>
      </w:r>
      <w:r w:rsidR="00865C8A" w:rsidRPr="00F65705">
        <w:rPr>
          <w:rFonts w:asciiTheme="minorHAnsi" w:hAnsiTheme="minorHAnsi"/>
          <w:color w:val="auto"/>
          <w:sz w:val="22"/>
          <w:szCs w:val="22"/>
        </w:rPr>
        <w:t>This supports increased planning time for applications seeking ATAGI advice. Additional information regarding the Notice of Intent step is provided in section 3.1.3.</w:t>
      </w:r>
    </w:p>
    <w:p w14:paraId="67998D9A" w14:textId="77777777" w:rsidR="00865C8A" w:rsidRPr="00F65705" w:rsidRDefault="00865C8A" w:rsidP="00865C8A">
      <w:pPr>
        <w:pStyle w:val="Paragraphtext"/>
        <w:spacing w:after="120"/>
        <w:rPr>
          <w:rFonts w:ascii="Calibri" w:hAnsi="Calibri" w:cs="Calibri"/>
          <w:b/>
          <w:bCs/>
          <w:color w:val="auto"/>
          <w:sz w:val="22"/>
          <w:szCs w:val="22"/>
        </w:rPr>
      </w:pPr>
      <w:r w:rsidRPr="00F65705">
        <w:rPr>
          <w:rFonts w:ascii="Calibri" w:hAnsi="Calibri" w:cs="Calibri"/>
          <w:bCs/>
          <w:iCs/>
          <w:color w:val="auto"/>
          <w:sz w:val="22"/>
          <w:szCs w:val="22"/>
        </w:rPr>
        <w:t>There are two types of vaccine submissions - complex and simple as outlined below.</w:t>
      </w:r>
    </w:p>
    <w:p w14:paraId="08DA39BF" w14:textId="77777777" w:rsidR="00865C8A" w:rsidRPr="00F65705" w:rsidRDefault="00865C8A" w:rsidP="00865C8A">
      <w:pPr>
        <w:keepNext/>
        <w:spacing w:before="120" w:after="120"/>
        <w:outlineLvl w:val="2"/>
        <w:rPr>
          <w:rFonts w:ascii="Calibri" w:hAnsi="Calibri" w:cs="Calibri"/>
          <w:b/>
          <w:bCs/>
          <w:sz w:val="22"/>
          <w:szCs w:val="22"/>
        </w:rPr>
      </w:pPr>
      <w:r w:rsidRPr="00F65705">
        <w:rPr>
          <w:rFonts w:ascii="Calibri" w:hAnsi="Calibri" w:cs="Calibri"/>
          <w:b/>
          <w:bCs/>
          <w:sz w:val="22"/>
          <w:szCs w:val="22"/>
        </w:rPr>
        <w:t>Table 1 – ATAGI pre-submission evaluation activity description</w:t>
      </w:r>
    </w:p>
    <w:tbl>
      <w:tblPr>
        <w:tblStyle w:val="GridTable41"/>
        <w:tblW w:w="5000" w:type="pct"/>
        <w:jc w:val="center"/>
        <w:tblLook w:val="0620" w:firstRow="1" w:lastRow="0" w:firstColumn="0" w:lastColumn="0" w:noHBand="1" w:noVBand="1"/>
        <w:tblCaption w:val="Table 1 – ATAGI pre-submission evaluation activity description"/>
        <w:tblDescription w:val="This table provides a description of ATAGI complex and simple submission categories."/>
      </w:tblPr>
      <w:tblGrid>
        <w:gridCol w:w="2392"/>
        <w:gridCol w:w="7236"/>
      </w:tblGrid>
      <w:tr w:rsidR="00F65705" w:rsidRPr="00F65705" w14:paraId="16D348D4" w14:textId="77777777" w:rsidTr="00DC62CD">
        <w:trPr>
          <w:cnfStyle w:val="100000000000" w:firstRow="1" w:lastRow="0" w:firstColumn="0" w:lastColumn="0" w:oddVBand="0" w:evenVBand="0" w:oddHBand="0" w:evenHBand="0" w:firstRowFirstColumn="0" w:firstRowLastColumn="0" w:lastRowFirstColumn="0" w:lastRowLastColumn="0"/>
          <w:trHeight w:val="315"/>
          <w:tblHeader/>
          <w:jc w:val="center"/>
        </w:trPr>
        <w:tc>
          <w:tcPr>
            <w:tcW w:w="1242" w:type="pct"/>
            <w:hideMark/>
          </w:tcPr>
          <w:p w14:paraId="36E5FDF9" w14:textId="77777777" w:rsidR="00865C8A" w:rsidRPr="00F65705" w:rsidRDefault="00865C8A" w:rsidP="00DC62CD">
            <w:pPr>
              <w:widowControl w:val="0"/>
              <w:rPr>
                <w:rFonts w:ascii="Calibri" w:eastAsia="Calibri" w:hAnsi="Calibri"/>
                <w:color w:val="auto"/>
                <w:sz w:val="22"/>
                <w:szCs w:val="22"/>
                <w:lang w:val="en-US"/>
              </w:rPr>
            </w:pPr>
            <w:r w:rsidRPr="00F65705">
              <w:rPr>
                <w:rFonts w:ascii="Calibri" w:eastAsia="Calibri" w:hAnsi="Calibri"/>
                <w:color w:val="auto"/>
                <w:sz w:val="22"/>
                <w:szCs w:val="22"/>
                <w:lang w:val="en-US"/>
              </w:rPr>
              <w:t>Fee Category</w:t>
            </w:r>
          </w:p>
        </w:tc>
        <w:tc>
          <w:tcPr>
            <w:tcW w:w="3758" w:type="pct"/>
            <w:hideMark/>
          </w:tcPr>
          <w:p w14:paraId="304D0C07" w14:textId="77777777" w:rsidR="00865C8A" w:rsidRPr="00F65705" w:rsidRDefault="00865C8A" w:rsidP="00DC62CD">
            <w:pPr>
              <w:widowControl w:val="0"/>
              <w:rPr>
                <w:rFonts w:ascii="Calibri" w:eastAsia="Calibri" w:hAnsi="Calibri"/>
                <w:color w:val="auto"/>
                <w:sz w:val="22"/>
                <w:szCs w:val="22"/>
                <w:lang w:val="en-US"/>
              </w:rPr>
            </w:pPr>
            <w:r w:rsidRPr="00F65705">
              <w:rPr>
                <w:rFonts w:ascii="Calibri" w:eastAsia="Calibri" w:hAnsi="Calibri"/>
                <w:color w:val="auto"/>
                <w:sz w:val="22"/>
                <w:szCs w:val="22"/>
                <w:lang w:val="en-US"/>
              </w:rPr>
              <w:t>Description</w:t>
            </w:r>
          </w:p>
        </w:tc>
      </w:tr>
      <w:tr w:rsidR="00F65705" w:rsidRPr="00F65705" w14:paraId="3E9308F4" w14:textId="77777777" w:rsidTr="00DC62CD">
        <w:trPr>
          <w:trHeight w:val="630"/>
          <w:jc w:val="center"/>
        </w:trPr>
        <w:tc>
          <w:tcPr>
            <w:tcW w:w="1242" w:type="pct"/>
            <w:hideMark/>
          </w:tcPr>
          <w:p w14:paraId="429DB027" w14:textId="77777777" w:rsidR="00865C8A" w:rsidRPr="00F65705" w:rsidRDefault="00865C8A" w:rsidP="00DC62CD">
            <w:pPr>
              <w:widowControl w:val="0"/>
              <w:rPr>
                <w:rFonts w:ascii="Calibri" w:eastAsia="Calibri" w:hAnsi="Calibri"/>
                <w:sz w:val="22"/>
                <w:szCs w:val="22"/>
                <w:lang w:val="en-US"/>
              </w:rPr>
            </w:pPr>
            <w:r w:rsidRPr="00F65705">
              <w:rPr>
                <w:rFonts w:ascii="Calibri" w:eastAsia="Calibri" w:hAnsi="Calibri"/>
                <w:sz w:val="22"/>
                <w:szCs w:val="22"/>
                <w:lang w:val="en-US"/>
              </w:rPr>
              <w:t>ATAGI - Complex application</w:t>
            </w:r>
          </w:p>
        </w:tc>
        <w:tc>
          <w:tcPr>
            <w:tcW w:w="3758" w:type="pct"/>
            <w:hideMark/>
          </w:tcPr>
          <w:p w14:paraId="367B986B" w14:textId="77777777" w:rsidR="00865C8A" w:rsidRPr="00F65705" w:rsidRDefault="00865C8A" w:rsidP="00DC62CD">
            <w:pPr>
              <w:widowControl w:val="0"/>
              <w:rPr>
                <w:rFonts w:ascii="Calibri" w:eastAsia="Calibri" w:hAnsi="Calibri"/>
                <w:sz w:val="22"/>
                <w:szCs w:val="22"/>
                <w:lang w:val="en-US"/>
              </w:rPr>
            </w:pPr>
            <w:r w:rsidRPr="00F65705">
              <w:rPr>
                <w:rFonts w:ascii="Calibri" w:eastAsia="Calibri" w:hAnsi="Calibri"/>
                <w:sz w:val="22"/>
                <w:szCs w:val="22"/>
                <w:lang w:val="en-US"/>
              </w:rPr>
              <w:t>An ATAGI application is in the complex category if the Secretary determines that considering the application will require extensive, or complex, data analysis and review.</w:t>
            </w:r>
          </w:p>
        </w:tc>
      </w:tr>
      <w:tr w:rsidR="00F65705" w:rsidRPr="00F65705" w14:paraId="7A46B119" w14:textId="77777777" w:rsidTr="00DC62CD">
        <w:trPr>
          <w:trHeight w:val="630"/>
          <w:jc w:val="center"/>
        </w:trPr>
        <w:tc>
          <w:tcPr>
            <w:tcW w:w="1242" w:type="pct"/>
            <w:hideMark/>
          </w:tcPr>
          <w:p w14:paraId="29CB4871" w14:textId="77777777" w:rsidR="00865C8A" w:rsidRPr="00F65705" w:rsidRDefault="00865C8A" w:rsidP="00DC62CD">
            <w:pPr>
              <w:widowControl w:val="0"/>
              <w:rPr>
                <w:rFonts w:ascii="Calibri" w:eastAsia="Calibri" w:hAnsi="Calibri"/>
                <w:sz w:val="22"/>
                <w:szCs w:val="22"/>
                <w:lang w:val="en-US"/>
              </w:rPr>
            </w:pPr>
            <w:r w:rsidRPr="00F65705">
              <w:rPr>
                <w:rFonts w:ascii="Calibri" w:eastAsia="Calibri" w:hAnsi="Calibri"/>
                <w:sz w:val="22"/>
                <w:szCs w:val="22"/>
                <w:lang w:val="en-US"/>
              </w:rPr>
              <w:t>ATAGI - Simple application</w:t>
            </w:r>
          </w:p>
        </w:tc>
        <w:tc>
          <w:tcPr>
            <w:tcW w:w="3758" w:type="pct"/>
            <w:hideMark/>
          </w:tcPr>
          <w:p w14:paraId="76A6DBAF" w14:textId="77777777" w:rsidR="00865C8A" w:rsidRPr="00F65705" w:rsidRDefault="00865C8A" w:rsidP="00DC62CD">
            <w:pPr>
              <w:widowControl w:val="0"/>
              <w:rPr>
                <w:rFonts w:ascii="Calibri" w:eastAsia="Calibri" w:hAnsi="Calibri"/>
                <w:sz w:val="22"/>
                <w:szCs w:val="22"/>
                <w:lang w:val="en-US"/>
              </w:rPr>
            </w:pPr>
            <w:r w:rsidRPr="00F65705">
              <w:rPr>
                <w:rFonts w:ascii="Calibri" w:eastAsia="Calibri" w:hAnsi="Calibri"/>
                <w:sz w:val="22"/>
                <w:szCs w:val="22"/>
                <w:lang w:val="en-US"/>
              </w:rPr>
              <w:t>An ATAGI application is in the simple category if the Secretary determines the application is not in the complex category.</w:t>
            </w:r>
          </w:p>
        </w:tc>
      </w:tr>
    </w:tbl>
    <w:p w14:paraId="0504F4E9" w14:textId="77777777" w:rsidR="00865C8A" w:rsidRPr="00F65705" w:rsidRDefault="00865C8A" w:rsidP="00865C8A">
      <w:pPr>
        <w:spacing w:before="120" w:after="160"/>
        <w:rPr>
          <w:rFonts w:ascii="Calibri" w:hAnsi="Calibri"/>
          <w:b/>
          <w:sz w:val="22"/>
          <w:u w:val="single"/>
        </w:rPr>
      </w:pPr>
      <w:r w:rsidRPr="00F65705">
        <w:rPr>
          <w:rFonts w:ascii="Calibri" w:hAnsi="Calibri" w:cs="Calibri"/>
          <w:bCs/>
          <w:iCs/>
          <w:sz w:val="22"/>
          <w:szCs w:val="22"/>
        </w:rPr>
        <w:t xml:space="preserve">Note: The </w:t>
      </w:r>
      <w:hyperlink r:id="rId11" w:history="1">
        <w:r w:rsidRPr="00F65705">
          <w:rPr>
            <w:rStyle w:val="Hyperlink"/>
            <w:rFonts w:ascii="Calibri" w:hAnsi="Calibri" w:cs="Calibri"/>
            <w:bCs/>
            <w:iCs/>
            <w:color w:val="auto"/>
            <w:sz w:val="22"/>
            <w:szCs w:val="22"/>
            <w:u w:val="single"/>
          </w:rPr>
          <w:t>ATAGI procedures document</w:t>
        </w:r>
      </w:hyperlink>
      <w:r w:rsidRPr="00F65705">
        <w:rPr>
          <w:rFonts w:ascii="Calibri" w:hAnsi="Calibri" w:cs="Calibri"/>
          <w:bCs/>
          <w:iCs/>
          <w:sz w:val="22"/>
          <w:szCs w:val="22"/>
        </w:rPr>
        <w:t xml:space="preserve"> available on the Department’s website outlines the criteria for complex and simple applications.  </w:t>
      </w:r>
    </w:p>
    <w:p w14:paraId="2A34469E" w14:textId="77777777" w:rsidR="00865C8A" w:rsidRPr="00F65705" w:rsidRDefault="00865C8A" w:rsidP="00865C8A">
      <w:pPr>
        <w:spacing w:before="360" w:after="160"/>
        <w:rPr>
          <w:rFonts w:ascii="Calibri" w:hAnsi="Calibri" w:cs="Calibri"/>
          <w:b/>
          <w:bCs/>
          <w:iCs/>
          <w:sz w:val="22"/>
          <w:szCs w:val="22"/>
          <w:u w:val="single"/>
        </w:rPr>
      </w:pPr>
      <w:r w:rsidRPr="00F65705">
        <w:rPr>
          <w:rFonts w:ascii="Calibri" w:hAnsi="Calibri" w:cs="Calibri"/>
          <w:b/>
          <w:bCs/>
          <w:iCs/>
          <w:sz w:val="22"/>
          <w:szCs w:val="22"/>
          <w:u w:val="single"/>
        </w:rPr>
        <w:t>3.1.2 PBAC Pre-submission meetings</w:t>
      </w:r>
    </w:p>
    <w:p w14:paraId="3285E92D" w14:textId="77777777" w:rsidR="00865C8A" w:rsidRPr="00F65705" w:rsidRDefault="00865C8A" w:rsidP="00865C8A">
      <w:pPr>
        <w:rPr>
          <w:rFonts w:asciiTheme="minorHAnsi" w:hAnsiTheme="minorHAnsi" w:cstheme="minorHAnsi"/>
          <w:sz w:val="22"/>
          <w:szCs w:val="22"/>
        </w:rPr>
      </w:pPr>
      <w:r w:rsidRPr="00F65705">
        <w:rPr>
          <w:rFonts w:asciiTheme="minorHAnsi" w:hAnsiTheme="minorHAnsi" w:cstheme="minorHAnsi"/>
          <w:sz w:val="22"/>
          <w:szCs w:val="22"/>
        </w:rPr>
        <w:t>Pre-submission meetings are an applicant-driven service for the Department to provide formal (non</w:t>
      </w:r>
      <w:r w:rsidRPr="00F65705">
        <w:rPr>
          <w:rFonts w:asciiTheme="minorHAnsi" w:hAnsiTheme="minorHAnsi" w:cstheme="minorHAnsi"/>
          <w:sz w:val="22"/>
          <w:szCs w:val="22"/>
        </w:rPr>
        <w:noBreakHyphen/>
        <w:t xml:space="preserve">binding) advice to applicants on the preparation of certain submissions to the PBAC. These services are an optional component of the PBS listing process. Fees only apply where an applicant has requested a meeting. </w:t>
      </w:r>
    </w:p>
    <w:p w14:paraId="564F2BA7" w14:textId="77777777" w:rsidR="00865C8A" w:rsidRPr="00F65705" w:rsidRDefault="00865C8A" w:rsidP="00865C8A">
      <w:pPr>
        <w:spacing w:before="120"/>
        <w:rPr>
          <w:rFonts w:asciiTheme="minorHAnsi" w:hAnsiTheme="minorHAnsi" w:cstheme="minorHAnsi"/>
          <w:sz w:val="22"/>
          <w:szCs w:val="22"/>
        </w:rPr>
      </w:pPr>
      <w:r w:rsidRPr="00F65705">
        <w:rPr>
          <w:rFonts w:asciiTheme="minorHAnsi" w:hAnsiTheme="minorHAnsi" w:cstheme="minorHAnsi"/>
          <w:bCs/>
          <w:iCs/>
          <w:sz w:val="22"/>
          <w:szCs w:val="22"/>
        </w:rPr>
        <w:t>There are two types of pre-submission meetings, as outlined below.</w:t>
      </w:r>
    </w:p>
    <w:p w14:paraId="364A8A5F" w14:textId="77777777" w:rsidR="00865C8A" w:rsidRPr="00F65705" w:rsidRDefault="00865C8A" w:rsidP="00865C8A">
      <w:pPr>
        <w:keepNext/>
        <w:keepLines/>
        <w:spacing w:before="120" w:after="120"/>
        <w:jc w:val="both"/>
        <w:rPr>
          <w:rFonts w:ascii="Calibri" w:hAnsi="Calibri" w:cs="Calibri"/>
          <w:b/>
          <w:bCs/>
          <w:sz w:val="22"/>
          <w:szCs w:val="22"/>
        </w:rPr>
      </w:pPr>
      <w:r w:rsidRPr="00F65705">
        <w:rPr>
          <w:rFonts w:ascii="Calibri" w:hAnsi="Calibri" w:cs="Calibri"/>
          <w:b/>
          <w:bCs/>
          <w:sz w:val="22"/>
          <w:szCs w:val="22"/>
        </w:rPr>
        <w:t>Table 2 – PBAC pre-submission meeting activity description</w:t>
      </w:r>
    </w:p>
    <w:tbl>
      <w:tblPr>
        <w:tblStyle w:val="GridTable41"/>
        <w:tblW w:w="5000" w:type="pct"/>
        <w:jc w:val="center"/>
        <w:tblLook w:val="0620" w:firstRow="1" w:lastRow="0" w:firstColumn="0" w:lastColumn="0" w:noHBand="1" w:noVBand="1"/>
        <w:tblCaption w:val="Table 2 – PBAC pre-submission meeting activity description"/>
        <w:tblDescription w:val="This table provides a description of first and second PBAC pre-submission meetings (existing fees). "/>
      </w:tblPr>
      <w:tblGrid>
        <w:gridCol w:w="2392"/>
        <w:gridCol w:w="7236"/>
      </w:tblGrid>
      <w:tr w:rsidR="00F65705" w:rsidRPr="00F65705" w14:paraId="279EB68B" w14:textId="77777777" w:rsidTr="00DC62CD">
        <w:trPr>
          <w:cnfStyle w:val="100000000000" w:firstRow="1" w:lastRow="0" w:firstColumn="0" w:lastColumn="0" w:oddVBand="0" w:evenVBand="0" w:oddHBand="0" w:evenHBand="0" w:firstRowFirstColumn="0" w:firstRowLastColumn="0" w:lastRowFirstColumn="0" w:lastRowLastColumn="0"/>
          <w:trHeight w:val="315"/>
          <w:tblHeader/>
          <w:jc w:val="center"/>
        </w:trPr>
        <w:tc>
          <w:tcPr>
            <w:tcW w:w="1242" w:type="pct"/>
            <w:hideMark/>
          </w:tcPr>
          <w:p w14:paraId="64AB3D25" w14:textId="77777777" w:rsidR="00865C8A" w:rsidRPr="00F65705" w:rsidRDefault="00865C8A" w:rsidP="00DC62CD">
            <w:pPr>
              <w:keepNext/>
              <w:keepLines/>
              <w:widowControl w:val="0"/>
              <w:rPr>
                <w:rFonts w:ascii="Calibri" w:eastAsia="Calibri" w:hAnsi="Calibri"/>
                <w:color w:val="auto"/>
                <w:sz w:val="22"/>
                <w:szCs w:val="22"/>
                <w:lang w:val="en-US"/>
              </w:rPr>
            </w:pPr>
            <w:r w:rsidRPr="00F65705">
              <w:rPr>
                <w:rFonts w:ascii="Calibri" w:eastAsia="Calibri" w:hAnsi="Calibri"/>
                <w:color w:val="auto"/>
                <w:sz w:val="22"/>
                <w:szCs w:val="22"/>
                <w:lang w:val="en-US"/>
              </w:rPr>
              <w:t>Fee Category</w:t>
            </w:r>
          </w:p>
        </w:tc>
        <w:tc>
          <w:tcPr>
            <w:tcW w:w="3758" w:type="pct"/>
            <w:hideMark/>
          </w:tcPr>
          <w:p w14:paraId="18559E18" w14:textId="77777777" w:rsidR="00865C8A" w:rsidRPr="00F65705" w:rsidRDefault="00865C8A" w:rsidP="00DC62CD">
            <w:pPr>
              <w:keepNext/>
              <w:keepLines/>
              <w:widowControl w:val="0"/>
              <w:rPr>
                <w:rFonts w:ascii="Calibri" w:eastAsia="Calibri" w:hAnsi="Calibri"/>
                <w:color w:val="auto"/>
                <w:sz w:val="22"/>
                <w:szCs w:val="22"/>
                <w:lang w:val="en-US"/>
              </w:rPr>
            </w:pPr>
            <w:r w:rsidRPr="00F65705">
              <w:rPr>
                <w:rFonts w:ascii="Calibri" w:eastAsia="Calibri" w:hAnsi="Calibri"/>
                <w:color w:val="auto"/>
                <w:sz w:val="22"/>
                <w:szCs w:val="22"/>
                <w:lang w:val="en-US"/>
              </w:rPr>
              <w:t>Description</w:t>
            </w:r>
          </w:p>
        </w:tc>
      </w:tr>
      <w:tr w:rsidR="00F65705" w:rsidRPr="00F65705" w14:paraId="0DFDF257" w14:textId="77777777" w:rsidTr="00DC62CD">
        <w:trPr>
          <w:trHeight w:val="630"/>
          <w:jc w:val="center"/>
        </w:trPr>
        <w:tc>
          <w:tcPr>
            <w:tcW w:w="1242" w:type="pct"/>
            <w:hideMark/>
          </w:tcPr>
          <w:p w14:paraId="0ECDB257" w14:textId="77777777" w:rsidR="00865C8A" w:rsidRPr="00F65705" w:rsidRDefault="00865C8A" w:rsidP="00DC62CD">
            <w:pPr>
              <w:keepNext/>
              <w:keepLines/>
              <w:widowControl w:val="0"/>
              <w:rPr>
                <w:rFonts w:ascii="Calibri" w:eastAsia="Calibri" w:hAnsi="Calibri"/>
                <w:sz w:val="22"/>
                <w:szCs w:val="22"/>
                <w:lang w:val="en-US"/>
              </w:rPr>
            </w:pPr>
            <w:r w:rsidRPr="00F65705">
              <w:rPr>
                <w:rFonts w:ascii="Calibri" w:eastAsia="Calibri" w:hAnsi="Calibri"/>
                <w:sz w:val="22"/>
                <w:szCs w:val="22"/>
                <w:lang w:val="en-US"/>
              </w:rPr>
              <w:t xml:space="preserve">First meeting </w:t>
            </w:r>
          </w:p>
        </w:tc>
        <w:tc>
          <w:tcPr>
            <w:tcW w:w="3758" w:type="pct"/>
            <w:hideMark/>
          </w:tcPr>
          <w:p w14:paraId="043F5DCB" w14:textId="77777777" w:rsidR="00865C8A" w:rsidRPr="00F65705" w:rsidRDefault="00865C8A" w:rsidP="00DC62CD">
            <w:pPr>
              <w:keepNext/>
              <w:keepLines/>
              <w:widowControl w:val="0"/>
              <w:rPr>
                <w:rFonts w:ascii="Calibri" w:eastAsia="Calibri" w:hAnsi="Calibri"/>
                <w:sz w:val="22"/>
                <w:szCs w:val="22"/>
                <w:lang w:val="en-US"/>
              </w:rPr>
            </w:pPr>
            <w:r w:rsidRPr="00F65705">
              <w:rPr>
                <w:rFonts w:ascii="Calibri" w:eastAsia="Calibri" w:hAnsi="Calibri"/>
                <w:sz w:val="22"/>
                <w:szCs w:val="22"/>
                <w:lang w:val="en-US"/>
              </w:rPr>
              <w:t xml:space="preserve">The initial pre-submission meeting between an applicant and the Department in relation to a PBAC submission.   </w:t>
            </w:r>
          </w:p>
        </w:tc>
      </w:tr>
      <w:tr w:rsidR="00F65705" w:rsidRPr="00F65705" w14:paraId="49C89816" w14:textId="77777777" w:rsidTr="00DC62CD">
        <w:trPr>
          <w:trHeight w:val="630"/>
          <w:jc w:val="center"/>
        </w:trPr>
        <w:tc>
          <w:tcPr>
            <w:tcW w:w="1242" w:type="pct"/>
            <w:hideMark/>
          </w:tcPr>
          <w:p w14:paraId="6246B2EB" w14:textId="77777777" w:rsidR="00865C8A" w:rsidRPr="00F65705" w:rsidRDefault="00865C8A" w:rsidP="00DC62CD">
            <w:pPr>
              <w:widowControl w:val="0"/>
              <w:rPr>
                <w:rFonts w:ascii="Calibri" w:eastAsia="Calibri" w:hAnsi="Calibri"/>
                <w:sz w:val="22"/>
                <w:szCs w:val="22"/>
                <w:lang w:val="en-US"/>
              </w:rPr>
            </w:pPr>
            <w:r w:rsidRPr="00F65705">
              <w:rPr>
                <w:rFonts w:ascii="Calibri" w:eastAsia="Calibri" w:hAnsi="Calibri"/>
                <w:sz w:val="22"/>
                <w:szCs w:val="22"/>
                <w:lang w:val="en-US"/>
              </w:rPr>
              <w:t xml:space="preserve">Second meeting </w:t>
            </w:r>
          </w:p>
        </w:tc>
        <w:tc>
          <w:tcPr>
            <w:tcW w:w="3758" w:type="pct"/>
            <w:hideMark/>
          </w:tcPr>
          <w:p w14:paraId="4D4ACDDE" w14:textId="77777777" w:rsidR="00865C8A" w:rsidRPr="00F65705" w:rsidRDefault="00865C8A" w:rsidP="00DC62CD">
            <w:pPr>
              <w:widowControl w:val="0"/>
              <w:rPr>
                <w:rFonts w:ascii="Calibri" w:eastAsia="Calibri" w:hAnsi="Calibri"/>
                <w:sz w:val="22"/>
                <w:szCs w:val="22"/>
                <w:lang w:val="en-US"/>
              </w:rPr>
            </w:pPr>
            <w:r w:rsidRPr="00F65705">
              <w:rPr>
                <w:rFonts w:ascii="Calibri" w:eastAsia="Calibri" w:hAnsi="Calibri"/>
                <w:sz w:val="22"/>
                <w:szCs w:val="22"/>
                <w:lang w:val="en-US"/>
              </w:rPr>
              <w:t xml:space="preserve">A second or subsequent pre-submission meeting applies if a first meeting has been previously convened and invoiced in relation to a PBAC submission.  </w:t>
            </w:r>
          </w:p>
        </w:tc>
      </w:tr>
    </w:tbl>
    <w:p w14:paraId="2F7F670C" w14:textId="77777777" w:rsidR="00865C8A" w:rsidRPr="00F65705" w:rsidRDefault="00865C8A" w:rsidP="00865C8A">
      <w:pPr>
        <w:keepNext/>
        <w:spacing w:before="480"/>
        <w:outlineLvl w:val="2"/>
        <w:rPr>
          <w:rFonts w:ascii="Calibri" w:hAnsi="Calibri" w:cs="Calibri"/>
          <w:b/>
          <w:bCs/>
          <w:iCs/>
          <w:sz w:val="22"/>
          <w:szCs w:val="22"/>
          <w:u w:val="single"/>
        </w:rPr>
      </w:pPr>
      <w:r w:rsidRPr="00F65705">
        <w:rPr>
          <w:rFonts w:ascii="Calibri" w:hAnsi="Calibri" w:cs="Calibri"/>
          <w:b/>
          <w:bCs/>
          <w:iCs/>
          <w:sz w:val="22"/>
          <w:szCs w:val="22"/>
          <w:u w:val="single"/>
        </w:rPr>
        <w:t>3.1.3 Submission Services including Notice of Intent</w:t>
      </w:r>
    </w:p>
    <w:p w14:paraId="45A11625" w14:textId="77777777" w:rsidR="00865C8A" w:rsidRPr="00F65705" w:rsidRDefault="00865C8A" w:rsidP="00865C8A">
      <w:pPr>
        <w:pStyle w:val="Pa12"/>
        <w:spacing w:before="120" w:after="120" w:line="240" w:lineRule="auto"/>
        <w:rPr>
          <w:rFonts w:asciiTheme="minorHAnsi" w:hAnsiTheme="minorHAnsi" w:cs="Times New Roman"/>
          <w:sz w:val="22"/>
          <w:szCs w:val="22"/>
          <w:lang w:val="en-AU"/>
        </w:rPr>
      </w:pPr>
      <w:r w:rsidRPr="00F65705">
        <w:rPr>
          <w:rFonts w:asciiTheme="minorHAnsi" w:hAnsiTheme="minorHAnsi" w:cs="Times New Roman"/>
          <w:sz w:val="22"/>
          <w:szCs w:val="22"/>
          <w:lang w:val="en-AU"/>
        </w:rPr>
        <w:t xml:space="preserve">Submission services include cost recovered evaluation activities that are a mandatory part of the PBS listing process. Fees are charged when the Notice of Intent or submission (where a Notice of Intent exception applies) is lodged with the Department. </w:t>
      </w:r>
    </w:p>
    <w:p w14:paraId="4FDB5AAA" w14:textId="77777777" w:rsidR="00865C8A" w:rsidRPr="00F65705" w:rsidRDefault="00865C8A" w:rsidP="00865C8A">
      <w:pPr>
        <w:pStyle w:val="Pa12"/>
        <w:spacing w:after="120"/>
        <w:rPr>
          <w:rFonts w:asciiTheme="minorHAnsi" w:hAnsiTheme="minorHAnsi" w:cs="Times New Roman"/>
          <w:sz w:val="22"/>
          <w:szCs w:val="22"/>
          <w:lang w:val="en-AU"/>
        </w:rPr>
      </w:pPr>
      <w:r w:rsidRPr="00F65705">
        <w:rPr>
          <w:rFonts w:asciiTheme="minorHAnsi" w:hAnsiTheme="minorHAnsi" w:cs="Times New Roman"/>
          <w:sz w:val="22"/>
          <w:szCs w:val="22"/>
          <w:lang w:val="en-AU"/>
        </w:rPr>
        <w:t xml:space="preserve">A Notice of Intent must be lodged for all PBAC submissions. This supports increased planning time which will permit the progression of all submissions through to the PBAC, by allowing the Department time to prepare and resource all incoming identified assessments to support efficiency and provide certainty. </w:t>
      </w:r>
    </w:p>
    <w:p w14:paraId="2D3201B4" w14:textId="77777777" w:rsidR="00865C8A" w:rsidRPr="00F65705" w:rsidRDefault="00865C8A" w:rsidP="00865C8A">
      <w:pPr>
        <w:pStyle w:val="Pa12"/>
        <w:spacing w:before="120" w:after="120" w:line="240" w:lineRule="auto"/>
        <w:rPr>
          <w:rFonts w:asciiTheme="minorHAnsi" w:hAnsiTheme="minorHAnsi" w:cs="Times New Roman"/>
          <w:sz w:val="22"/>
          <w:szCs w:val="22"/>
          <w:lang w:val="en-AU"/>
        </w:rPr>
      </w:pPr>
      <w:r w:rsidRPr="00F65705">
        <w:rPr>
          <w:rFonts w:asciiTheme="minorHAnsi" w:hAnsiTheme="minorHAnsi" w:cs="Times New Roman"/>
          <w:sz w:val="22"/>
          <w:szCs w:val="22"/>
          <w:lang w:val="en-AU"/>
        </w:rPr>
        <w:t>A fee waiver or fee exemption may apply for eligible applications – refer to the Cost Recovery Administrative Guidelines and/or Part 7 of the Regulations.</w:t>
      </w:r>
    </w:p>
    <w:p w14:paraId="727816FA" w14:textId="77777777" w:rsidR="00865C8A" w:rsidRPr="00F65705" w:rsidRDefault="00865C8A" w:rsidP="00865C8A">
      <w:pPr>
        <w:pStyle w:val="Pa12"/>
        <w:spacing w:after="120"/>
        <w:rPr>
          <w:rFonts w:asciiTheme="minorHAnsi" w:hAnsiTheme="minorHAnsi"/>
          <w:sz w:val="22"/>
        </w:rPr>
      </w:pPr>
      <w:r w:rsidRPr="00F65705">
        <w:rPr>
          <w:rFonts w:asciiTheme="minorHAnsi" w:hAnsiTheme="minorHAnsi"/>
          <w:sz w:val="22"/>
          <w:lang w:val="en-AU"/>
        </w:rPr>
        <w:t>PBAC submission services are outlined below.</w:t>
      </w:r>
    </w:p>
    <w:p w14:paraId="041664B1" w14:textId="77777777" w:rsidR="00865C8A" w:rsidRPr="00F65705" w:rsidRDefault="00865C8A" w:rsidP="00865C8A">
      <w:pPr>
        <w:spacing w:before="120" w:after="160"/>
        <w:rPr>
          <w:rFonts w:asciiTheme="minorHAnsi" w:hAnsiTheme="minorHAnsi"/>
          <w:b/>
          <w:sz w:val="22"/>
          <w:szCs w:val="22"/>
        </w:rPr>
      </w:pPr>
      <w:r w:rsidRPr="00F65705">
        <w:rPr>
          <w:rFonts w:asciiTheme="minorHAnsi" w:hAnsiTheme="minorHAnsi"/>
          <w:b/>
          <w:sz w:val="22"/>
          <w:szCs w:val="22"/>
        </w:rPr>
        <w:lastRenderedPageBreak/>
        <w:t xml:space="preserve">Table 3 – PBAC submission activity description  </w:t>
      </w:r>
    </w:p>
    <w:tbl>
      <w:tblPr>
        <w:tblStyle w:val="GridTable4"/>
        <w:tblpPr w:leftFromText="180" w:rightFromText="180" w:vertAnchor="text" w:tblpY="1"/>
        <w:tblOverlap w:val="never"/>
        <w:tblW w:w="5000" w:type="pct"/>
        <w:tblLook w:val="0620" w:firstRow="1" w:lastRow="0" w:firstColumn="0" w:lastColumn="0" w:noHBand="1" w:noVBand="1"/>
        <w:tblCaption w:val="Table 3 – PBAC evaluation submission activity description"/>
        <w:tblDescription w:val="This table provides a description of Intent to Apply, revised submission categories 1 to 4, Committee secretariat and (Generic) New brand applications; and independent reviews. (existing fees)"/>
      </w:tblPr>
      <w:tblGrid>
        <w:gridCol w:w="2372"/>
        <w:gridCol w:w="7256"/>
      </w:tblGrid>
      <w:tr w:rsidR="00F65705" w:rsidRPr="00F65705" w14:paraId="11D42C5C" w14:textId="77777777" w:rsidTr="00DC62CD">
        <w:trPr>
          <w:cnfStyle w:val="100000000000" w:firstRow="1" w:lastRow="0" w:firstColumn="0" w:lastColumn="0" w:oddVBand="0" w:evenVBand="0" w:oddHBand="0" w:evenHBand="0" w:firstRowFirstColumn="0" w:firstRowLastColumn="0" w:lastRowFirstColumn="0" w:lastRowLastColumn="0"/>
          <w:trHeight w:val="315"/>
          <w:tblHeader/>
        </w:trPr>
        <w:tc>
          <w:tcPr>
            <w:tcW w:w="1232" w:type="pct"/>
            <w:tcBorders>
              <w:top w:val="single" w:sz="4" w:space="0" w:color="auto"/>
              <w:left w:val="single" w:sz="4" w:space="0" w:color="auto"/>
              <w:bottom w:val="single" w:sz="4" w:space="0" w:color="auto"/>
              <w:right w:val="single" w:sz="4" w:space="0" w:color="auto"/>
            </w:tcBorders>
            <w:hideMark/>
          </w:tcPr>
          <w:p w14:paraId="6A21951E" w14:textId="77777777" w:rsidR="00865C8A" w:rsidRPr="00F65705" w:rsidRDefault="00865C8A" w:rsidP="00DC62CD">
            <w:pPr>
              <w:pStyle w:val="TableParagraph"/>
              <w:rPr>
                <w:color w:val="auto"/>
              </w:rPr>
            </w:pPr>
            <w:r w:rsidRPr="00F65705">
              <w:rPr>
                <w:color w:val="auto"/>
              </w:rPr>
              <w:t xml:space="preserve">Submission </w:t>
            </w:r>
          </w:p>
          <w:p w14:paraId="2562904B" w14:textId="77777777" w:rsidR="00865C8A" w:rsidRPr="00F65705" w:rsidRDefault="00865C8A" w:rsidP="00DC62CD">
            <w:pPr>
              <w:pStyle w:val="TableParagraph"/>
              <w:rPr>
                <w:rFonts w:ascii="Calibri" w:eastAsia="Calibri" w:hAnsi="Calibri"/>
                <w:color w:val="auto"/>
              </w:rPr>
            </w:pPr>
            <w:r w:rsidRPr="00F65705">
              <w:rPr>
                <w:color w:val="auto"/>
              </w:rPr>
              <w:t>Fee</w:t>
            </w:r>
            <w:r w:rsidRPr="00F65705">
              <w:rPr>
                <w:rFonts w:ascii="Calibri" w:eastAsia="Calibri" w:hAnsi="Calibri"/>
                <w:color w:val="auto"/>
              </w:rPr>
              <w:t xml:space="preserve"> Category</w:t>
            </w:r>
          </w:p>
        </w:tc>
        <w:tc>
          <w:tcPr>
            <w:tcW w:w="3768" w:type="pct"/>
            <w:tcBorders>
              <w:top w:val="single" w:sz="4" w:space="0" w:color="auto"/>
              <w:left w:val="single" w:sz="4" w:space="0" w:color="auto"/>
              <w:bottom w:val="single" w:sz="4" w:space="0" w:color="auto"/>
              <w:right w:val="single" w:sz="4" w:space="0" w:color="auto"/>
            </w:tcBorders>
            <w:hideMark/>
          </w:tcPr>
          <w:p w14:paraId="51465267" w14:textId="77777777" w:rsidR="00865C8A" w:rsidRPr="00F65705" w:rsidRDefault="00865C8A" w:rsidP="00DC62CD">
            <w:pPr>
              <w:widowControl w:val="0"/>
              <w:rPr>
                <w:rFonts w:ascii="Calibri" w:eastAsia="Calibri" w:hAnsi="Calibri"/>
                <w:color w:val="auto"/>
                <w:sz w:val="22"/>
                <w:szCs w:val="22"/>
                <w:lang w:val="en-US"/>
              </w:rPr>
            </w:pPr>
            <w:r w:rsidRPr="00F65705">
              <w:rPr>
                <w:rFonts w:ascii="Calibri" w:eastAsia="Calibri" w:hAnsi="Calibri"/>
                <w:color w:val="auto"/>
                <w:sz w:val="22"/>
                <w:szCs w:val="22"/>
                <w:lang w:val="en-US"/>
              </w:rPr>
              <w:t>Description</w:t>
            </w:r>
          </w:p>
        </w:tc>
      </w:tr>
      <w:tr w:rsidR="00F65705" w:rsidRPr="00F65705" w14:paraId="67F16A31" w14:textId="77777777" w:rsidTr="00DC62CD">
        <w:trPr>
          <w:trHeight w:val="630"/>
        </w:trPr>
        <w:tc>
          <w:tcPr>
            <w:tcW w:w="1232" w:type="pct"/>
            <w:tcBorders>
              <w:top w:val="single" w:sz="4" w:space="0" w:color="auto"/>
            </w:tcBorders>
          </w:tcPr>
          <w:p w14:paraId="13B69154" w14:textId="77777777" w:rsidR="00865C8A" w:rsidRPr="00F65705" w:rsidRDefault="00865C8A" w:rsidP="00DC62CD">
            <w:pPr>
              <w:widowControl w:val="0"/>
              <w:rPr>
                <w:rFonts w:ascii="Calibri" w:eastAsia="Calibri" w:hAnsi="Calibri"/>
                <w:sz w:val="22"/>
                <w:szCs w:val="22"/>
                <w:lang w:val="en-US"/>
              </w:rPr>
            </w:pPr>
            <w:r w:rsidRPr="00F65705">
              <w:rPr>
                <w:rFonts w:ascii="Calibri" w:eastAsia="Calibri" w:hAnsi="Calibri"/>
                <w:sz w:val="22"/>
                <w:szCs w:val="22"/>
                <w:lang w:val="en-US"/>
              </w:rPr>
              <w:t>Notice of Intent</w:t>
            </w:r>
          </w:p>
          <w:p w14:paraId="5DF1F711" w14:textId="77777777" w:rsidR="00865C8A" w:rsidRPr="00F65705" w:rsidRDefault="00865C8A" w:rsidP="00DC62CD">
            <w:pPr>
              <w:widowControl w:val="0"/>
              <w:rPr>
                <w:rFonts w:ascii="Calibri" w:eastAsia="Calibri" w:hAnsi="Calibri"/>
                <w:sz w:val="22"/>
                <w:szCs w:val="22"/>
                <w:lang w:val="en-US"/>
              </w:rPr>
            </w:pPr>
          </w:p>
        </w:tc>
        <w:tc>
          <w:tcPr>
            <w:tcW w:w="3768" w:type="pct"/>
            <w:tcBorders>
              <w:top w:val="single" w:sz="4" w:space="0" w:color="auto"/>
            </w:tcBorders>
          </w:tcPr>
          <w:p w14:paraId="26A01FD1" w14:textId="77777777" w:rsidR="00865C8A" w:rsidRPr="00F65705" w:rsidRDefault="00865C8A" w:rsidP="00DC62CD">
            <w:pPr>
              <w:widowControl w:val="0"/>
              <w:rPr>
                <w:rFonts w:ascii="Calibri" w:eastAsia="Calibri" w:hAnsi="Calibri"/>
                <w:sz w:val="22"/>
                <w:szCs w:val="22"/>
                <w:lang w:val="en-US"/>
              </w:rPr>
            </w:pPr>
            <w:r w:rsidRPr="00F65705">
              <w:rPr>
                <w:rFonts w:ascii="Calibri" w:eastAsia="Calibri" w:hAnsi="Calibri"/>
                <w:sz w:val="22"/>
                <w:szCs w:val="22"/>
                <w:lang w:val="en-US"/>
              </w:rPr>
              <w:t xml:space="preserve">A Notice of Intent form must be completed and lodged with the Department at least 20 business days prior to </w:t>
            </w:r>
            <w:proofErr w:type="spellStart"/>
            <w:r w:rsidRPr="00F65705">
              <w:rPr>
                <w:rFonts w:ascii="Calibri" w:eastAsia="Calibri" w:hAnsi="Calibri"/>
                <w:sz w:val="22"/>
                <w:szCs w:val="22"/>
                <w:lang w:val="en-US"/>
              </w:rPr>
              <w:t>lodgement</w:t>
            </w:r>
            <w:proofErr w:type="spellEnd"/>
            <w:r w:rsidRPr="00F65705">
              <w:rPr>
                <w:rFonts w:ascii="Calibri" w:eastAsia="Calibri" w:hAnsi="Calibri"/>
                <w:sz w:val="22"/>
                <w:szCs w:val="22"/>
                <w:lang w:val="en-US"/>
              </w:rPr>
              <w:t xml:space="preserve"> of a PBAC submission and each ATAGI submission. The Notice of Intent form must include the applicant’s nominated evaluation category based on the type of submission being lodged. The Notice of Intent fee is a non-refundable administrative fee that is invoiced together with the submission services fee (that generally reflects the evaluation category). A Notice of Intent form is not required for generic submissions. Notice of Intent </w:t>
            </w:r>
            <w:proofErr w:type="spellStart"/>
            <w:r w:rsidRPr="00F65705">
              <w:rPr>
                <w:rFonts w:ascii="Calibri" w:eastAsia="Calibri" w:hAnsi="Calibri"/>
                <w:sz w:val="22"/>
                <w:szCs w:val="22"/>
                <w:lang w:val="en-US"/>
              </w:rPr>
              <w:t>lodgement</w:t>
            </w:r>
            <w:proofErr w:type="spellEnd"/>
            <w:r w:rsidRPr="00F65705">
              <w:rPr>
                <w:rFonts w:ascii="Calibri" w:eastAsia="Calibri" w:hAnsi="Calibri"/>
                <w:sz w:val="22"/>
                <w:szCs w:val="22"/>
                <w:lang w:val="en-US"/>
              </w:rPr>
              <w:t xml:space="preserve"> timeframes vary for resubmission pathways.</w:t>
            </w:r>
          </w:p>
        </w:tc>
      </w:tr>
      <w:tr w:rsidR="00F65705" w:rsidRPr="00F65705" w14:paraId="33F18FEE" w14:textId="77777777" w:rsidTr="00DC62CD">
        <w:trPr>
          <w:trHeight w:val="630"/>
        </w:trPr>
        <w:tc>
          <w:tcPr>
            <w:tcW w:w="1232" w:type="pct"/>
            <w:tcBorders>
              <w:top w:val="single" w:sz="4" w:space="0" w:color="auto"/>
            </w:tcBorders>
          </w:tcPr>
          <w:p w14:paraId="3383CEC4" w14:textId="77777777" w:rsidR="00865C8A" w:rsidRPr="00F65705" w:rsidRDefault="00865C8A" w:rsidP="00DC62CD">
            <w:pPr>
              <w:widowControl w:val="0"/>
              <w:rPr>
                <w:rFonts w:ascii="Calibri" w:eastAsia="Calibri" w:hAnsi="Calibri"/>
                <w:sz w:val="22"/>
                <w:szCs w:val="22"/>
                <w:lang w:val="en-US"/>
              </w:rPr>
            </w:pPr>
            <w:r w:rsidRPr="00F65705">
              <w:rPr>
                <w:rFonts w:asciiTheme="minorHAnsi" w:eastAsia="Calibri" w:hAnsiTheme="minorHAnsi" w:cstheme="minorHAnsi"/>
                <w:sz w:val="22"/>
                <w:szCs w:val="22"/>
                <w:lang w:val="en-US"/>
              </w:rPr>
              <w:t xml:space="preserve">Category 1 </w:t>
            </w:r>
          </w:p>
        </w:tc>
        <w:tc>
          <w:tcPr>
            <w:tcW w:w="3768" w:type="pct"/>
            <w:tcBorders>
              <w:top w:val="single" w:sz="4" w:space="0" w:color="auto"/>
            </w:tcBorders>
          </w:tcPr>
          <w:p w14:paraId="629FFD6F" w14:textId="77777777" w:rsidR="00865C8A" w:rsidRPr="00F65705" w:rsidRDefault="00865C8A" w:rsidP="00DC62CD">
            <w:pPr>
              <w:pStyle w:val="TableParagraph"/>
              <w:rPr>
                <w:rFonts w:cstheme="minorHAnsi"/>
              </w:rPr>
            </w:pPr>
            <w:r w:rsidRPr="00F65705">
              <w:rPr>
                <w:rFonts w:cstheme="minorHAnsi"/>
              </w:rPr>
              <w:t xml:space="preserve">Category 1 submissions involve a request for PBS or NIP listing of one or more of the following: </w:t>
            </w:r>
          </w:p>
          <w:p w14:paraId="2ECA6910" w14:textId="77777777" w:rsidR="00865C8A" w:rsidRPr="00F65705" w:rsidRDefault="00865C8A" w:rsidP="00DC62CD">
            <w:pPr>
              <w:pStyle w:val="TableParagraph"/>
              <w:numPr>
                <w:ilvl w:val="0"/>
                <w:numId w:val="17"/>
              </w:numPr>
              <w:rPr>
                <w:rFonts w:cstheme="minorHAnsi"/>
              </w:rPr>
            </w:pPr>
            <w:r w:rsidRPr="00F65705">
              <w:rPr>
                <w:rFonts w:cstheme="minorHAnsi"/>
              </w:rPr>
              <w:t>A first in class medicine or vaccine, and/or a medicine or vaccine for a new population; or</w:t>
            </w:r>
          </w:p>
          <w:p w14:paraId="262D4735" w14:textId="77777777" w:rsidR="00865C8A" w:rsidRPr="00F65705" w:rsidRDefault="00865C8A" w:rsidP="00DC62CD">
            <w:pPr>
              <w:pStyle w:val="TableParagraph"/>
              <w:numPr>
                <w:ilvl w:val="1"/>
                <w:numId w:val="17"/>
              </w:numPr>
              <w:rPr>
                <w:rFonts w:cstheme="minorHAnsi"/>
                <w:i/>
              </w:rPr>
            </w:pPr>
            <w:r w:rsidRPr="00F65705">
              <w:rPr>
                <w:rFonts w:cstheme="minorHAnsi"/>
                <w:i/>
              </w:rPr>
              <w:t>A first-in-class medicine or vaccine represents a drug or vaccine with a unique mechanism of action that has not been considered by the PBAC; and/or</w:t>
            </w:r>
          </w:p>
          <w:p w14:paraId="32117F2B" w14:textId="77777777" w:rsidR="00865C8A" w:rsidRPr="00F65705" w:rsidRDefault="00865C8A" w:rsidP="00DC62CD">
            <w:pPr>
              <w:pStyle w:val="TableParagraph"/>
              <w:numPr>
                <w:ilvl w:val="1"/>
                <w:numId w:val="17"/>
              </w:numPr>
              <w:rPr>
                <w:rFonts w:cstheme="minorHAnsi"/>
                <w:i/>
              </w:rPr>
            </w:pPr>
            <w:r w:rsidRPr="00F65705">
              <w:rPr>
                <w:rFonts w:cstheme="minorHAnsi"/>
                <w:i/>
              </w:rPr>
              <w:t>A new population could include a disease or medical condition not previously considered by the PBAC.</w:t>
            </w:r>
            <w:r w:rsidRPr="00F65705">
              <w:t xml:space="preserve"> </w:t>
            </w:r>
            <w:r w:rsidRPr="00F65705">
              <w:rPr>
                <w:rFonts w:cstheme="minorHAnsi"/>
                <w:i/>
              </w:rPr>
              <w:t>A disease is intended to cover whole diseases when all stages and genetic subtypes are considered.</w:t>
            </w:r>
          </w:p>
          <w:p w14:paraId="64484FF6" w14:textId="77777777" w:rsidR="00865C8A" w:rsidRPr="00F65705" w:rsidRDefault="00865C8A" w:rsidP="00DC62CD">
            <w:pPr>
              <w:pStyle w:val="TableParagraph"/>
              <w:numPr>
                <w:ilvl w:val="0"/>
                <w:numId w:val="18"/>
              </w:numPr>
              <w:rPr>
                <w:rFonts w:cstheme="minorHAnsi"/>
              </w:rPr>
            </w:pPr>
            <w:r w:rsidRPr="00F65705">
              <w:rPr>
                <w:rFonts w:cstheme="minorHAnsi"/>
              </w:rPr>
              <w:t>A drug with a codependent technology that requires an integrated codependent submission to the PBAC and Medical Services Advisory Committee (MSAC); or</w:t>
            </w:r>
          </w:p>
          <w:p w14:paraId="45308B2D" w14:textId="77777777" w:rsidR="00865C8A" w:rsidRPr="00F65705" w:rsidRDefault="00865C8A" w:rsidP="00DC62CD">
            <w:pPr>
              <w:pStyle w:val="TableParagraph"/>
              <w:numPr>
                <w:ilvl w:val="0"/>
                <w:numId w:val="18"/>
              </w:numPr>
              <w:rPr>
                <w:rFonts w:cstheme="minorHAnsi"/>
              </w:rPr>
            </w:pPr>
            <w:r w:rsidRPr="00F65705">
              <w:rPr>
                <w:rFonts w:cstheme="minorHAnsi"/>
              </w:rPr>
              <w:t xml:space="preserve">A drug or designated vaccine with a Therapeutic Goods Administration (TGA) Provisional determination related to the proposed population. </w:t>
            </w:r>
          </w:p>
          <w:p w14:paraId="72580C05" w14:textId="77777777" w:rsidR="00865C8A" w:rsidRPr="00F65705" w:rsidRDefault="00865C8A" w:rsidP="00DC62CD">
            <w:pPr>
              <w:widowControl w:val="0"/>
              <w:rPr>
                <w:rFonts w:ascii="Calibri" w:eastAsia="Calibri" w:hAnsi="Calibri"/>
                <w:sz w:val="22"/>
                <w:szCs w:val="22"/>
                <w:lang w:val="en-US"/>
              </w:rPr>
            </w:pPr>
            <w:r w:rsidRPr="00F65705">
              <w:rPr>
                <w:rFonts w:ascii="Calibri" w:eastAsia="Calibri" w:hAnsi="Calibri"/>
                <w:sz w:val="22"/>
                <w:szCs w:val="22"/>
                <w:lang w:val="en-US"/>
              </w:rPr>
              <w:t>Where multiple submissions are lodged at the same time, the Category 1 fee will apply to each submission that meets the Category 1 criteria.</w:t>
            </w:r>
          </w:p>
          <w:p w14:paraId="36D21161" w14:textId="77777777" w:rsidR="00865C8A" w:rsidRPr="00F65705" w:rsidRDefault="00865C8A" w:rsidP="00DC62CD">
            <w:pPr>
              <w:widowControl w:val="0"/>
              <w:rPr>
                <w:rFonts w:ascii="Calibri" w:eastAsia="Calibri" w:hAnsi="Calibri"/>
                <w:sz w:val="22"/>
                <w:szCs w:val="22"/>
                <w:lang w:val="en-US"/>
              </w:rPr>
            </w:pPr>
            <w:r w:rsidRPr="00F65705">
              <w:rPr>
                <w:rFonts w:ascii="Calibri" w:eastAsia="Calibri" w:hAnsi="Calibri"/>
                <w:sz w:val="22"/>
                <w:szCs w:val="22"/>
                <w:lang w:val="en-US"/>
              </w:rPr>
              <w:t>Activities include evaluation of new clinical or economic information that is supported by an economic evaluation and financial analysis, DUSC and ESC consideration. These submissions may require additional interaction between the PBAC Secretariat and either TGA representatives or MSAC Secretariat and the PBAC to progress these submission types.</w:t>
            </w:r>
          </w:p>
        </w:tc>
      </w:tr>
      <w:tr w:rsidR="00F65705" w:rsidRPr="00F65705" w14:paraId="4A9E4173" w14:textId="77777777" w:rsidTr="00DC62CD">
        <w:trPr>
          <w:trHeight w:val="234"/>
        </w:trPr>
        <w:tc>
          <w:tcPr>
            <w:tcW w:w="1232" w:type="pct"/>
            <w:tcBorders>
              <w:top w:val="single" w:sz="4" w:space="0" w:color="auto"/>
            </w:tcBorders>
          </w:tcPr>
          <w:p w14:paraId="552B6132" w14:textId="77777777" w:rsidR="00865C8A" w:rsidRPr="00F65705" w:rsidRDefault="00865C8A" w:rsidP="00DC62CD">
            <w:pPr>
              <w:widowControl w:val="0"/>
              <w:rPr>
                <w:rFonts w:ascii="Calibri" w:eastAsia="Calibri" w:hAnsi="Calibri"/>
                <w:sz w:val="22"/>
                <w:szCs w:val="22"/>
                <w:lang w:val="en-US"/>
              </w:rPr>
            </w:pPr>
            <w:r w:rsidRPr="00F65705">
              <w:rPr>
                <w:rFonts w:asciiTheme="minorHAnsi" w:eastAsia="Calibri" w:hAnsiTheme="minorHAnsi" w:cstheme="minorHAnsi"/>
                <w:sz w:val="22"/>
                <w:szCs w:val="22"/>
                <w:lang w:val="en-US"/>
              </w:rPr>
              <w:t>Category 2</w:t>
            </w:r>
          </w:p>
        </w:tc>
        <w:tc>
          <w:tcPr>
            <w:tcW w:w="3768" w:type="pct"/>
            <w:tcBorders>
              <w:top w:val="single" w:sz="4" w:space="0" w:color="auto"/>
            </w:tcBorders>
          </w:tcPr>
          <w:p w14:paraId="7C3C9CCB" w14:textId="77777777" w:rsidR="00865C8A" w:rsidRPr="00F65705" w:rsidRDefault="00865C8A" w:rsidP="00DC62CD">
            <w:pPr>
              <w:pStyle w:val="CommentText"/>
              <w:rPr>
                <w:rFonts w:asciiTheme="minorHAnsi" w:hAnsiTheme="minorHAnsi" w:cstheme="minorHAnsi"/>
                <w:sz w:val="22"/>
                <w:szCs w:val="22"/>
              </w:rPr>
            </w:pPr>
            <w:r w:rsidRPr="00F65705">
              <w:rPr>
                <w:rFonts w:asciiTheme="minorHAnsi" w:hAnsiTheme="minorHAnsi" w:cstheme="minorHAnsi"/>
                <w:sz w:val="22"/>
                <w:szCs w:val="22"/>
              </w:rPr>
              <w:t>Category 2 submissions generally relate to request a PBS or NIP listing of a new medicine or new vaccine, a new indication of a currently listed medicine or vaccine, or to make material changes to a currently listed indication; and do not meet the criteria for a Category 1 submission.</w:t>
            </w:r>
          </w:p>
          <w:p w14:paraId="3C580B96" w14:textId="77777777" w:rsidR="00865C8A" w:rsidRPr="00F65705" w:rsidRDefault="00865C8A" w:rsidP="00DC62CD">
            <w:pPr>
              <w:pStyle w:val="CommentText"/>
              <w:rPr>
                <w:rFonts w:asciiTheme="minorHAnsi" w:hAnsiTheme="minorHAnsi" w:cstheme="minorHAnsi"/>
                <w:sz w:val="22"/>
                <w:szCs w:val="22"/>
              </w:rPr>
            </w:pPr>
            <w:r w:rsidRPr="00F65705">
              <w:rPr>
                <w:rFonts w:asciiTheme="minorHAnsi" w:hAnsiTheme="minorHAnsi" w:cstheme="minorHAnsi"/>
                <w:sz w:val="22"/>
                <w:szCs w:val="22"/>
              </w:rPr>
              <w:t xml:space="preserve">Category 2 may also relate to a request for the PBAC to reconsider an existing recommendation where there is a change to the clinical, economic and/or financial information most recently relied on by the PBAC. </w:t>
            </w:r>
          </w:p>
          <w:p w14:paraId="18C14C71" w14:textId="77777777" w:rsidR="00865C8A" w:rsidRPr="00F65705" w:rsidRDefault="00865C8A" w:rsidP="00DC62CD">
            <w:pPr>
              <w:pStyle w:val="CommentText"/>
              <w:rPr>
                <w:rFonts w:asciiTheme="minorHAnsi" w:hAnsiTheme="minorHAnsi" w:cstheme="minorHAnsi"/>
                <w:sz w:val="22"/>
                <w:szCs w:val="22"/>
              </w:rPr>
            </w:pPr>
            <w:r w:rsidRPr="00F65705">
              <w:rPr>
                <w:rFonts w:asciiTheme="minorHAnsi" w:hAnsiTheme="minorHAnsi" w:cstheme="minorHAnsi"/>
                <w:sz w:val="22"/>
                <w:szCs w:val="22"/>
              </w:rPr>
              <w:t>A Category 2 submission may be required for a new form or strength of an already-listed medicine or vaccine that is not bioequivalent to an existing listed form of the medicine or vaccine. This may be necessary to demonstrate that the new form delivers similar clinical outcomes to the existing form. Activities include evaluation as per Category 1 and ESC consideration.</w:t>
            </w:r>
          </w:p>
        </w:tc>
      </w:tr>
      <w:tr w:rsidR="00F65705" w:rsidRPr="00F65705" w14:paraId="201D2F6E" w14:textId="77777777" w:rsidTr="00DC62CD">
        <w:trPr>
          <w:trHeight w:val="630"/>
        </w:trPr>
        <w:tc>
          <w:tcPr>
            <w:tcW w:w="1232" w:type="pct"/>
            <w:tcBorders>
              <w:top w:val="single" w:sz="4" w:space="0" w:color="auto"/>
            </w:tcBorders>
          </w:tcPr>
          <w:p w14:paraId="3441ADAC" w14:textId="77777777" w:rsidR="00865C8A" w:rsidRPr="00F65705" w:rsidRDefault="00865C8A" w:rsidP="00DC62CD">
            <w:pPr>
              <w:widowControl w:val="0"/>
              <w:rPr>
                <w:rFonts w:ascii="Calibri" w:eastAsia="Calibri" w:hAnsi="Calibri"/>
                <w:sz w:val="22"/>
                <w:szCs w:val="22"/>
                <w:lang w:val="en-US"/>
              </w:rPr>
            </w:pPr>
            <w:r w:rsidRPr="00F65705">
              <w:rPr>
                <w:rFonts w:asciiTheme="minorHAnsi" w:eastAsia="Calibri" w:hAnsiTheme="minorHAnsi" w:cstheme="minorHAnsi"/>
                <w:sz w:val="22"/>
                <w:szCs w:val="22"/>
                <w:lang w:val="en-US"/>
              </w:rPr>
              <w:t xml:space="preserve">Category 3 </w:t>
            </w:r>
          </w:p>
        </w:tc>
        <w:tc>
          <w:tcPr>
            <w:tcW w:w="3768" w:type="pct"/>
            <w:tcBorders>
              <w:top w:val="single" w:sz="4" w:space="0" w:color="auto"/>
            </w:tcBorders>
          </w:tcPr>
          <w:p w14:paraId="56B0719B" w14:textId="77777777" w:rsidR="00865C8A" w:rsidRPr="00F65705" w:rsidRDefault="00865C8A" w:rsidP="00DC62CD">
            <w:pPr>
              <w:pStyle w:val="CommentText"/>
              <w:rPr>
                <w:rFonts w:asciiTheme="minorHAnsi" w:hAnsiTheme="minorHAnsi" w:cstheme="minorHAnsi"/>
                <w:sz w:val="22"/>
                <w:szCs w:val="22"/>
              </w:rPr>
            </w:pPr>
            <w:r w:rsidRPr="00F65705">
              <w:rPr>
                <w:rFonts w:asciiTheme="minorHAnsi" w:hAnsiTheme="minorHAnsi" w:cstheme="minorHAnsi"/>
                <w:sz w:val="22"/>
                <w:szCs w:val="22"/>
              </w:rPr>
              <w:t xml:space="preserve">Category 3 submissions generally relate to requests to change existing listings that do not change the population or cost-effectiveness of the medicine or vaccine that do not meet the criteria for a Category 4 submission. This includes requests to </w:t>
            </w:r>
            <w:proofErr w:type="gramStart"/>
            <w:r w:rsidRPr="00F65705">
              <w:rPr>
                <w:rFonts w:asciiTheme="minorHAnsi" w:hAnsiTheme="minorHAnsi" w:cstheme="minorHAnsi"/>
                <w:sz w:val="22"/>
                <w:szCs w:val="22"/>
              </w:rPr>
              <w:t>enter into</w:t>
            </w:r>
            <w:proofErr w:type="gramEnd"/>
            <w:r w:rsidRPr="00F65705">
              <w:rPr>
                <w:rFonts w:asciiTheme="minorHAnsi" w:hAnsiTheme="minorHAnsi" w:cstheme="minorHAnsi"/>
                <w:sz w:val="22"/>
                <w:szCs w:val="22"/>
              </w:rPr>
              <w:t xml:space="preserve"> a deed or vary an existing deed. Although the PBAC will assess the clinical need for and clinical effectiveness of the requested listing, an economic evaluation is not necessary to support the </w:t>
            </w:r>
            <w:r w:rsidRPr="00F65705">
              <w:rPr>
                <w:rFonts w:asciiTheme="minorHAnsi" w:hAnsiTheme="minorHAnsi" w:cstheme="minorHAnsi"/>
                <w:sz w:val="22"/>
                <w:szCs w:val="22"/>
              </w:rPr>
              <w:lastRenderedPageBreak/>
              <w:t xml:space="preserve">claims made in the submission. Additionally, the financial estimates do not require the PBAC to assess any substantial financial implications for the supply of a listed medicine or designated vaccine. </w:t>
            </w:r>
          </w:p>
          <w:p w14:paraId="4A032425" w14:textId="77777777" w:rsidR="00865C8A" w:rsidRPr="00F65705" w:rsidRDefault="00865C8A" w:rsidP="00DC62CD">
            <w:pPr>
              <w:pStyle w:val="CommentText"/>
              <w:rPr>
                <w:rFonts w:asciiTheme="minorHAnsi" w:hAnsiTheme="minorHAnsi" w:cstheme="minorHAnsi"/>
                <w:sz w:val="22"/>
                <w:szCs w:val="22"/>
              </w:rPr>
            </w:pPr>
            <w:r w:rsidRPr="00F65705">
              <w:rPr>
                <w:rFonts w:asciiTheme="minorHAnsi" w:hAnsiTheme="minorHAnsi" w:cstheme="minorHAnsi"/>
                <w:sz w:val="22"/>
                <w:szCs w:val="22"/>
              </w:rPr>
              <w:t xml:space="preserve">Category 3 may also relate to a request for the PBAC to reconsider an existing recommendation where there is no change to the clinical, economic or financial information most recently relied on by the PBAC. </w:t>
            </w:r>
          </w:p>
          <w:p w14:paraId="758E7B4D" w14:textId="77777777" w:rsidR="00865C8A" w:rsidRPr="00F65705" w:rsidRDefault="00865C8A" w:rsidP="00DC62CD">
            <w:pPr>
              <w:pStyle w:val="CommentText"/>
              <w:rPr>
                <w:rFonts w:asciiTheme="minorHAnsi" w:hAnsiTheme="minorHAnsi" w:cstheme="minorHAnsi"/>
                <w:sz w:val="22"/>
                <w:szCs w:val="22"/>
              </w:rPr>
            </w:pPr>
            <w:r w:rsidRPr="00F65705">
              <w:rPr>
                <w:rFonts w:asciiTheme="minorHAnsi" w:hAnsiTheme="minorHAnsi" w:cstheme="minorHAnsi"/>
                <w:sz w:val="22"/>
                <w:szCs w:val="22"/>
              </w:rPr>
              <w:t>As PBAC advice is required on a case-by-case basis regarding the potential for schedule equivalence for biosimilar listings, Category 3 submissions are also appropriate for a new biosimilar brand of an existing pharmaceutical item with no indication changes.</w:t>
            </w:r>
          </w:p>
          <w:p w14:paraId="761D2D55" w14:textId="77777777" w:rsidR="00865C8A" w:rsidRPr="00F65705" w:rsidRDefault="00865C8A" w:rsidP="00DC62CD">
            <w:pPr>
              <w:pStyle w:val="CommentText"/>
              <w:rPr>
                <w:rFonts w:asciiTheme="minorHAnsi" w:hAnsiTheme="minorHAnsi" w:cstheme="minorHAnsi"/>
                <w:sz w:val="22"/>
                <w:szCs w:val="22"/>
              </w:rPr>
            </w:pPr>
            <w:r w:rsidRPr="00F65705">
              <w:rPr>
                <w:rFonts w:asciiTheme="minorHAnsi" w:hAnsiTheme="minorHAnsi" w:cstheme="minorHAnsi"/>
                <w:sz w:val="22"/>
                <w:szCs w:val="22"/>
              </w:rPr>
              <w:t>PBAC advice may also be required through a Category 3 submission process in some other circumstances (e.g. requests for PBS listing of nutritional products (medicinal foods) or some new brands of existing pharmaceutical items with an unusual presentation; or advice on potential equivalence, substitution, or issues related to quality use of medicines).</w:t>
            </w:r>
          </w:p>
          <w:p w14:paraId="58611987" w14:textId="77777777" w:rsidR="00865C8A" w:rsidRPr="00F65705" w:rsidRDefault="00865C8A" w:rsidP="00DC62CD">
            <w:pPr>
              <w:pStyle w:val="CommentText"/>
              <w:rPr>
                <w:rFonts w:asciiTheme="minorHAnsi" w:hAnsiTheme="minorHAnsi" w:cstheme="minorHAnsi"/>
                <w:sz w:val="22"/>
                <w:szCs w:val="22"/>
              </w:rPr>
            </w:pPr>
            <w:r w:rsidRPr="00F65705">
              <w:rPr>
                <w:rFonts w:asciiTheme="minorHAnsi" w:hAnsiTheme="minorHAnsi" w:cstheme="minorHAnsi"/>
                <w:sz w:val="22"/>
                <w:szCs w:val="22"/>
              </w:rPr>
              <w:t>Activities include departmental assessment of claims made in the submission.</w:t>
            </w:r>
          </w:p>
        </w:tc>
      </w:tr>
      <w:tr w:rsidR="00F65705" w:rsidRPr="00F65705" w14:paraId="54EF8CC4" w14:textId="77777777" w:rsidTr="00DC62CD">
        <w:trPr>
          <w:trHeight w:val="630"/>
        </w:trPr>
        <w:tc>
          <w:tcPr>
            <w:tcW w:w="1232" w:type="pct"/>
            <w:tcBorders>
              <w:top w:val="single" w:sz="4" w:space="0" w:color="auto"/>
            </w:tcBorders>
          </w:tcPr>
          <w:p w14:paraId="1AB14B35" w14:textId="77777777" w:rsidR="00865C8A" w:rsidRPr="00F65705" w:rsidRDefault="00865C8A" w:rsidP="00DC62CD">
            <w:pPr>
              <w:widowControl w:val="0"/>
              <w:rPr>
                <w:rFonts w:asciiTheme="minorHAnsi" w:eastAsia="Calibri" w:hAnsiTheme="minorHAnsi" w:cstheme="minorHAnsi"/>
                <w:sz w:val="22"/>
                <w:szCs w:val="22"/>
                <w:lang w:val="en-US"/>
              </w:rPr>
            </w:pPr>
            <w:r w:rsidRPr="00F65705">
              <w:rPr>
                <w:rFonts w:asciiTheme="minorHAnsi" w:eastAsia="Calibri" w:hAnsiTheme="minorHAnsi" w:cstheme="minorHAnsi"/>
                <w:sz w:val="22"/>
                <w:szCs w:val="22"/>
                <w:lang w:val="en-US"/>
              </w:rPr>
              <w:lastRenderedPageBreak/>
              <w:t xml:space="preserve">Category 4 </w:t>
            </w:r>
          </w:p>
        </w:tc>
        <w:tc>
          <w:tcPr>
            <w:tcW w:w="3768" w:type="pct"/>
            <w:tcBorders>
              <w:top w:val="single" w:sz="4" w:space="0" w:color="auto"/>
            </w:tcBorders>
          </w:tcPr>
          <w:p w14:paraId="1E9EE53B" w14:textId="77777777" w:rsidR="00865C8A" w:rsidRPr="00F65705" w:rsidRDefault="00865C8A" w:rsidP="00DC62CD">
            <w:pPr>
              <w:pStyle w:val="TableParagraph"/>
              <w:rPr>
                <w:rFonts w:cstheme="minorHAnsi"/>
              </w:rPr>
            </w:pPr>
            <w:r w:rsidRPr="00F65705">
              <w:rPr>
                <w:rFonts w:cstheme="minorHAnsi"/>
              </w:rPr>
              <w:t>Category 4 submissions involve a request for one or more of the following:</w:t>
            </w:r>
          </w:p>
          <w:p w14:paraId="50CCCC05" w14:textId="77777777" w:rsidR="00865C8A" w:rsidRPr="00F65705" w:rsidRDefault="00865C8A" w:rsidP="00DC62CD">
            <w:pPr>
              <w:pStyle w:val="ListParagraph"/>
              <w:numPr>
                <w:ilvl w:val="0"/>
                <w:numId w:val="11"/>
              </w:numPr>
              <w:spacing w:after="240"/>
              <w:rPr>
                <w:rFonts w:asciiTheme="minorHAnsi" w:hAnsiTheme="minorHAnsi" w:cstheme="minorHAnsi"/>
                <w:sz w:val="22"/>
                <w:szCs w:val="22"/>
              </w:rPr>
            </w:pPr>
            <w:r w:rsidRPr="00F65705">
              <w:rPr>
                <w:rFonts w:asciiTheme="minorHAnsi" w:hAnsiTheme="minorHAnsi" w:cstheme="minorHAnsi"/>
                <w:sz w:val="22"/>
                <w:szCs w:val="22"/>
              </w:rPr>
              <w:t xml:space="preserve">Listing of a new pharmaceutical item of a listed </w:t>
            </w:r>
            <w:proofErr w:type="gramStart"/>
            <w:r w:rsidRPr="00F65705">
              <w:rPr>
                <w:rFonts w:asciiTheme="minorHAnsi" w:hAnsiTheme="minorHAnsi" w:cstheme="minorHAnsi"/>
                <w:sz w:val="22"/>
                <w:szCs w:val="22"/>
              </w:rPr>
              <w:t>medicine;</w:t>
            </w:r>
            <w:proofErr w:type="gramEnd"/>
          </w:p>
          <w:p w14:paraId="5BBBAF83" w14:textId="77777777" w:rsidR="00865C8A" w:rsidRPr="00F65705" w:rsidRDefault="00865C8A" w:rsidP="00DC62CD">
            <w:pPr>
              <w:pStyle w:val="ListParagraph"/>
              <w:numPr>
                <w:ilvl w:val="0"/>
                <w:numId w:val="11"/>
              </w:numPr>
              <w:spacing w:after="240"/>
              <w:rPr>
                <w:rFonts w:asciiTheme="minorHAnsi" w:hAnsiTheme="minorHAnsi" w:cstheme="minorHAnsi"/>
                <w:sz w:val="22"/>
                <w:szCs w:val="22"/>
              </w:rPr>
            </w:pPr>
            <w:r w:rsidRPr="00F65705">
              <w:rPr>
                <w:rFonts w:asciiTheme="minorHAnsi" w:hAnsiTheme="minorHAnsi" w:cstheme="minorHAnsi"/>
                <w:sz w:val="22"/>
                <w:szCs w:val="22"/>
              </w:rPr>
              <w:t xml:space="preserve">Consideration as an exempt </w:t>
            </w:r>
            <w:proofErr w:type="gramStart"/>
            <w:r w:rsidRPr="00F65705">
              <w:rPr>
                <w:rFonts w:asciiTheme="minorHAnsi" w:hAnsiTheme="minorHAnsi" w:cstheme="minorHAnsi"/>
                <w:sz w:val="22"/>
                <w:szCs w:val="22"/>
              </w:rPr>
              <w:t>item;</w:t>
            </w:r>
            <w:proofErr w:type="gramEnd"/>
          </w:p>
          <w:p w14:paraId="4A490A4F" w14:textId="77777777" w:rsidR="00865C8A" w:rsidRPr="00F65705" w:rsidRDefault="00865C8A" w:rsidP="00DC62CD">
            <w:pPr>
              <w:pStyle w:val="ListParagraph"/>
              <w:numPr>
                <w:ilvl w:val="0"/>
                <w:numId w:val="11"/>
              </w:numPr>
              <w:spacing w:after="240"/>
              <w:rPr>
                <w:rFonts w:asciiTheme="minorHAnsi" w:hAnsiTheme="minorHAnsi" w:cstheme="minorHAnsi"/>
                <w:sz w:val="22"/>
                <w:szCs w:val="22"/>
              </w:rPr>
            </w:pPr>
            <w:r w:rsidRPr="00F65705">
              <w:rPr>
                <w:rFonts w:asciiTheme="minorHAnsi" w:hAnsiTheme="minorHAnsi" w:cstheme="minorHAnsi"/>
                <w:sz w:val="22"/>
                <w:szCs w:val="22"/>
              </w:rPr>
              <w:t xml:space="preserve">Including a listed medicine on the prescriber bag or varying an existing prescriber bag </w:t>
            </w:r>
            <w:proofErr w:type="gramStart"/>
            <w:r w:rsidRPr="00F65705">
              <w:rPr>
                <w:rFonts w:asciiTheme="minorHAnsi" w:hAnsiTheme="minorHAnsi" w:cstheme="minorHAnsi"/>
                <w:sz w:val="22"/>
                <w:szCs w:val="22"/>
              </w:rPr>
              <w:t>listing;</w:t>
            </w:r>
            <w:proofErr w:type="gramEnd"/>
          </w:p>
          <w:p w14:paraId="6F1D4ABE" w14:textId="77777777" w:rsidR="00865C8A" w:rsidRPr="00F65705" w:rsidRDefault="00865C8A" w:rsidP="00DC62CD">
            <w:pPr>
              <w:pStyle w:val="ListParagraph"/>
              <w:numPr>
                <w:ilvl w:val="0"/>
                <w:numId w:val="11"/>
              </w:numPr>
              <w:spacing w:after="240"/>
              <w:rPr>
                <w:rFonts w:asciiTheme="minorHAnsi" w:hAnsiTheme="minorHAnsi" w:cstheme="minorHAnsi"/>
                <w:sz w:val="22"/>
                <w:szCs w:val="22"/>
              </w:rPr>
            </w:pPr>
            <w:r w:rsidRPr="00F65705">
              <w:rPr>
                <w:rFonts w:asciiTheme="minorHAnsi" w:hAnsiTheme="minorHAnsi" w:cstheme="minorHAnsi"/>
                <w:sz w:val="22"/>
                <w:szCs w:val="22"/>
              </w:rPr>
              <w:t xml:space="preserve">A change/new manner of administration of a listed </w:t>
            </w:r>
            <w:proofErr w:type="gramStart"/>
            <w:r w:rsidRPr="00F65705">
              <w:rPr>
                <w:rFonts w:asciiTheme="minorHAnsi" w:hAnsiTheme="minorHAnsi" w:cstheme="minorHAnsi"/>
                <w:sz w:val="22"/>
                <w:szCs w:val="22"/>
              </w:rPr>
              <w:t>medicine;</w:t>
            </w:r>
            <w:proofErr w:type="gramEnd"/>
          </w:p>
          <w:p w14:paraId="51C95741" w14:textId="77777777" w:rsidR="00865C8A" w:rsidRPr="00F65705" w:rsidRDefault="00865C8A" w:rsidP="00DC62CD">
            <w:pPr>
              <w:pStyle w:val="ListParagraph"/>
              <w:numPr>
                <w:ilvl w:val="0"/>
                <w:numId w:val="11"/>
              </w:numPr>
              <w:spacing w:after="240"/>
              <w:rPr>
                <w:rFonts w:asciiTheme="minorHAnsi" w:hAnsiTheme="minorHAnsi" w:cstheme="minorHAnsi"/>
                <w:sz w:val="22"/>
                <w:szCs w:val="22"/>
              </w:rPr>
            </w:pPr>
            <w:r w:rsidRPr="00F65705">
              <w:rPr>
                <w:rFonts w:asciiTheme="minorHAnsi" w:hAnsiTheme="minorHAnsi" w:cstheme="minorHAnsi"/>
                <w:sz w:val="22"/>
                <w:szCs w:val="22"/>
              </w:rPr>
              <w:t>A change to the maximum quantity and/or number of repeats of a listed medicine; or</w:t>
            </w:r>
          </w:p>
          <w:p w14:paraId="342538BF" w14:textId="77777777" w:rsidR="00865C8A" w:rsidRPr="00F65705" w:rsidRDefault="00865C8A" w:rsidP="00DC62CD">
            <w:pPr>
              <w:pStyle w:val="ListParagraph"/>
              <w:numPr>
                <w:ilvl w:val="0"/>
                <w:numId w:val="11"/>
              </w:numPr>
              <w:ind w:left="714" w:hanging="357"/>
              <w:rPr>
                <w:rFonts w:asciiTheme="minorHAnsi" w:hAnsiTheme="minorHAnsi" w:cstheme="minorHAnsi"/>
                <w:sz w:val="22"/>
                <w:szCs w:val="22"/>
              </w:rPr>
            </w:pPr>
            <w:r w:rsidRPr="00F65705">
              <w:rPr>
                <w:rFonts w:asciiTheme="minorHAnsi" w:hAnsiTheme="minorHAnsi" w:cstheme="minorHAnsi"/>
                <w:sz w:val="22"/>
                <w:szCs w:val="22"/>
              </w:rPr>
              <w:t>A change or addition to the prescriber type(s) of a listed medicine.</w:t>
            </w:r>
          </w:p>
          <w:p w14:paraId="12FED2F4" w14:textId="77777777" w:rsidR="00865C8A" w:rsidRPr="00F65705" w:rsidRDefault="00865C8A" w:rsidP="00DC62CD">
            <w:pPr>
              <w:widowControl w:val="0"/>
              <w:rPr>
                <w:rFonts w:asciiTheme="minorHAnsi" w:hAnsiTheme="minorHAnsi" w:cstheme="minorHAnsi"/>
                <w:sz w:val="22"/>
                <w:szCs w:val="22"/>
              </w:rPr>
            </w:pPr>
            <w:r w:rsidRPr="00F65705">
              <w:rPr>
                <w:rFonts w:asciiTheme="minorHAnsi" w:hAnsiTheme="minorHAnsi" w:cstheme="minorHAnsi"/>
                <w:sz w:val="22"/>
                <w:szCs w:val="22"/>
              </w:rPr>
              <w:t xml:space="preserve">Activities include evaluation as per Category 3, consideration by the PBAC Executive and ratification by the PBAC. </w:t>
            </w:r>
          </w:p>
        </w:tc>
      </w:tr>
      <w:tr w:rsidR="00F65705" w:rsidRPr="00F65705" w14:paraId="0AB3DA8A" w14:textId="77777777" w:rsidTr="00DC62CD">
        <w:trPr>
          <w:trHeight w:val="630"/>
        </w:trPr>
        <w:tc>
          <w:tcPr>
            <w:tcW w:w="1232" w:type="pct"/>
            <w:tcBorders>
              <w:top w:val="single" w:sz="4" w:space="0" w:color="auto"/>
              <w:bottom w:val="single" w:sz="4" w:space="0" w:color="auto"/>
            </w:tcBorders>
          </w:tcPr>
          <w:p w14:paraId="04F828E7" w14:textId="77777777" w:rsidR="00865C8A" w:rsidRPr="00F65705" w:rsidRDefault="00865C8A" w:rsidP="00DC62CD">
            <w:pPr>
              <w:widowControl w:val="0"/>
              <w:rPr>
                <w:rFonts w:asciiTheme="minorHAnsi" w:eastAsia="Calibri" w:hAnsiTheme="minorHAnsi" w:cstheme="minorHAnsi"/>
                <w:sz w:val="22"/>
                <w:szCs w:val="22"/>
                <w:lang w:val="en-US"/>
              </w:rPr>
            </w:pPr>
            <w:r w:rsidRPr="00F65705">
              <w:rPr>
                <w:rFonts w:ascii="Calibri" w:eastAsia="Calibri" w:hAnsi="Calibri"/>
                <w:sz w:val="22"/>
                <w:szCs w:val="22"/>
                <w:lang w:val="en-US"/>
              </w:rPr>
              <w:t>Committee secretariat</w:t>
            </w:r>
          </w:p>
        </w:tc>
        <w:tc>
          <w:tcPr>
            <w:tcW w:w="3768" w:type="pct"/>
            <w:tcBorders>
              <w:top w:val="single" w:sz="4" w:space="0" w:color="auto"/>
              <w:bottom w:val="single" w:sz="4" w:space="0" w:color="auto"/>
            </w:tcBorders>
          </w:tcPr>
          <w:p w14:paraId="3F45D666" w14:textId="77777777" w:rsidR="00865C8A" w:rsidRPr="00F65705" w:rsidRDefault="00865C8A" w:rsidP="00DC62CD">
            <w:pPr>
              <w:pStyle w:val="TableParagraph"/>
            </w:pPr>
            <w:r w:rsidRPr="00F65705">
              <w:t xml:space="preserve">Committee secretariat submissions relate to applications where the requested listing changes do not require the PBAC to consider comparative effectiveness, </w:t>
            </w:r>
            <w:proofErr w:type="gramStart"/>
            <w:r w:rsidRPr="00F65705">
              <w:t>cost-effectiveness</w:t>
            </w:r>
            <w:proofErr w:type="gramEnd"/>
            <w:r w:rsidRPr="00F65705">
              <w:t xml:space="preserve"> or clinical need: </w:t>
            </w:r>
          </w:p>
          <w:p w14:paraId="753ECE89" w14:textId="77777777" w:rsidR="00865C8A" w:rsidRPr="00F65705" w:rsidRDefault="00865C8A" w:rsidP="00DC62CD">
            <w:pPr>
              <w:pStyle w:val="TableParagraph"/>
              <w:numPr>
                <w:ilvl w:val="0"/>
                <w:numId w:val="19"/>
              </w:numPr>
            </w:pPr>
            <w:r w:rsidRPr="00F65705">
              <w:t xml:space="preserve">there is no difference in patient safety or population for the new pharmaceutical item in the submission compared to an already-listed pharmaceutical item; and </w:t>
            </w:r>
          </w:p>
          <w:p w14:paraId="0586428D" w14:textId="77777777" w:rsidR="00865C8A" w:rsidRPr="00F65705" w:rsidRDefault="00865C8A" w:rsidP="00DC62CD">
            <w:pPr>
              <w:pStyle w:val="TableParagraph"/>
              <w:numPr>
                <w:ilvl w:val="0"/>
                <w:numId w:val="19"/>
              </w:numPr>
            </w:pPr>
            <w:r w:rsidRPr="00F65705">
              <w:t>there is no financial impact from the proposed change to the PBS.</w:t>
            </w:r>
          </w:p>
        </w:tc>
      </w:tr>
      <w:tr w:rsidR="00F65705" w:rsidRPr="00F65705" w14:paraId="446F0023" w14:textId="77777777" w:rsidTr="00DC62CD">
        <w:trPr>
          <w:trHeight w:val="630"/>
        </w:trPr>
        <w:tc>
          <w:tcPr>
            <w:tcW w:w="1232" w:type="pct"/>
            <w:tcBorders>
              <w:top w:val="single" w:sz="4" w:space="0" w:color="auto"/>
              <w:bottom w:val="single" w:sz="4" w:space="0" w:color="auto"/>
            </w:tcBorders>
          </w:tcPr>
          <w:p w14:paraId="30D3A644" w14:textId="77777777" w:rsidR="00865C8A" w:rsidRPr="00F65705" w:rsidRDefault="00865C8A" w:rsidP="00DC62CD">
            <w:pPr>
              <w:widowControl w:val="0"/>
              <w:rPr>
                <w:rFonts w:ascii="Calibri" w:eastAsia="Calibri" w:hAnsi="Calibri"/>
                <w:sz w:val="22"/>
                <w:szCs w:val="22"/>
                <w:lang w:val="en-US"/>
              </w:rPr>
            </w:pPr>
            <w:r w:rsidRPr="00F65705">
              <w:rPr>
                <w:rFonts w:ascii="Calibri" w:eastAsia="Calibri" w:hAnsi="Calibri"/>
                <w:sz w:val="22"/>
                <w:szCs w:val="22"/>
                <w:lang w:val="en-US"/>
              </w:rPr>
              <w:t>Generic listing of a new brand or new oral form of existing</w:t>
            </w:r>
          </w:p>
          <w:p w14:paraId="429E5924" w14:textId="77777777" w:rsidR="00865C8A" w:rsidRPr="00F65705" w:rsidRDefault="00865C8A" w:rsidP="00DC62CD">
            <w:pPr>
              <w:widowControl w:val="0"/>
              <w:rPr>
                <w:rFonts w:ascii="Calibri" w:eastAsia="Calibri" w:hAnsi="Calibri"/>
                <w:sz w:val="22"/>
                <w:szCs w:val="22"/>
                <w:lang w:val="en-US"/>
              </w:rPr>
            </w:pPr>
            <w:r w:rsidRPr="00F65705">
              <w:rPr>
                <w:rFonts w:ascii="Calibri" w:eastAsia="Calibri" w:hAnsi="Calibri"/>
                <w:sz w:val="22"/>
                <w:szCs w:val="22"/>
                <w:lang w:val="en-US"/>
              </w:rPr>
              <w:t>pharmaceutical item</w:t>
            </w:r>
          </w:p>
        </w:tc>
        <w:tc>
          <w:tcPr>
            <w:tcW w:w="3768" w:type="pct"/>
            <w:tcBorders>
              <w:top w:val="single" w:sz="4" w:space="0" w:color="auto"/>
              <w:bottom w:val="single" w:sz="4" w:space="0" w:color="auto"/>
            </w:tcBorders>
          </w:tcPr>
          <w:p w14:paraId="4FCE9D22" w14:textId="77777777" w:rsidR="00865C8A" w:rsidRPr="00F65705" w:rsidRDefault="00865C8A" w:rsidP="00DC62CD">
            <w:pPr>
              <w:rPr>
                <w:rFonts w:asciiTheme="minorHAnsi" w:hAnsiTheme="minorHAnsi"/>
                <w:sz w:val="22"/>
                <w:szCs w:val="22"/>
              </w:rPr>
            </w:pPr>
            <w:r w:rsidRPr="00F65705">
              <w:rPr>
                <w:rFonts w:asciiTheme="minorHAnsi" w:hAnsiTheme="minorHAnsi"/>
                <w:sz w:val="22"/>
                <w:szCs w:val="22"/>
              </w:rPr>
              <w:t xml:space="preserve">These applications do not require PBAC consideration for listing an additional brand (a generic medicine) or new oral form of an existing TGA-approved and PBS-listed pharmaceutical item. Evidence of equivalence from the TGA must also be provided. However, </w:t>
            </w:r>
            <w:r w:rsidRPr="00F65705">
              <w:rPr>
                <w:rFonts w:ascii="Calibri" w:eastAsia="Calibri" w:hAnsi="Calibri"/>
                <w:sz w:val="22"/>
                <w:szCs w:val="22"/>
                <w:lang w:val="en-US"/>
              </w:rPr>
              <w:t>applications that relate to Somatropin (growth hormone), are classified as Category 3.</w:t>
            </w:r>
          </w:p>
        </w:tc>
      </w:tr>
    </w:tbl>
    <w:p w14:paraId="71650FEF" w14:textId="77777777" w:rsidR="00865C8A" w:rsidRPr="00F65705" w:rsidRDefault="00865C8A" w:rsidP="00865C8A"/>
    <w:tbl>
      <w:tblPr>
        <w:tblStyle w:val="GridTable4"/>
        <w:tblpPr w:leftFromText="180" w:rightFromText="180" w:vertAnchor="text" w:tblpY="1"/>
        <w:tblOverlap w:val="never"/>
        <w:tblW w:w="5000" w:type="pct"/>
        <w:tblLook w:val="0620" w:firstRow="1" w:lastRow="0" w:firstColumn="0" w:lastColumn="0" w:noHBand="1" w:noVBand="1"/>
        <w:tblCaption w:val="Table 3 – PBAC evaluation submission activity description"/>
        <w:tblDescription w:val="This table provides a description of the new resubmission pathways - Early Resolution, Faciltated Resolution, Early Re-entry and Standard Re-entry. (new fees)"/>
      </w:tblPr>
      <w:tblGrid>
        <w:gridCol w:w="2372"/>
        <w:gridCol w:w="7256"/>
      </w:tblGrid>
      <w:tr w:rsidR="00F65705" w:rsidRPr="00F65705" w14:paraId="7D842715" w14:textId="77777777" w:rsidTr="00DC62CD">
        <w:trPr>
          <w:cnfStyle w:val="100000000000" w:firstRow="1" w:lastRow="0" w:firstColumn="0" w:lastColumn="0" w:oddVBand="0" w:evenVBand="0" w:oddHBand="0" w:evenHBand="0" w:firstRowFirstColumn="0" w:firstRowLastColumn="0" w:lastRowFirstColumn="0" w:lastRowLastColumn="0"/>
          <w:trHeight w:val="315"/>
          <w:tblHeader/>
        </w:trPr>
        <w:tc>
          <w:tcPr>
            <w:tcW w:w="1232" w:type="pct"/>
            <w:tcBorders>
              <w:top w:val="single" w:sz="4" w:space="0" w:color="auto"/>
              <w:left w:val="single" w:sz="4" w:space="0" w:color="auto"/>
              <w:bottom w:val="single" w:sz="4" w:space="0" w:color="auto"/>
              <w:right w:val="single" w:sz="4" w:space="0" w:color="auto"/>
            </w:tcBorders>
            <w:hideMark/>
          </w:tcPr>
          <w:p w14:paraId="4D214021" w14:textId="77777777" w:rsidR="00865C8A" w:rsidRPr="00F65705" w:rsidRDefault="00865C8A" w:rsidP="00DC62CD">
            <w:pPr>
              <w:pStyle w:val="TableParagraph"/>
              <w:rPr>
                <w:color w:val="auto"/>
              </w:rPr>
            </w:pPr>
            <w:r w:rsidRPr="00F65705">
              <w:rPr>
                <w:color w:val="auto"/>
              </w:rPr>
              <w:t xml:space="preserve">Resubmission </w:t>
            </w:r>
          </w:p>
          <w:p w14:paraId="0FA61905" w14:textId="77777777" w:rsidR="00865C8A" w:rsidRPr="00F65705" w:rsidRDefault="00865C8A" w:rsidP="00DC62CD">
            <w:pPr>
              <w:pStyle w:val="TableParagraph"/>
              <w:rPr>
                <w:color w:val="auto"/>
              </w:rPr>
            </w:pPr>
            <w:r w:rsidRPr="00F65705">
              <w:rPr>
                <w:color w:val="auto"/>
              </w:rPr>
              <w:t>Fee Category</w:t>
            </w:r>
          </w:p>
        </w:tc>
        <w:tc>
          <w:tcPr>
            <w:tcW w:w="3768" w:type="pct"/>
            <w:tcBorders>
              <w:top w:val="single" w:sz="4" w:space="0" w:color="auto"/>
              <w:left w:val="single" w:sz="4" w:space="0" w:color="auto"/>
              <w:bottom w:val="single" w:sz="4" w:space="0" w:color="auto"/>
              <w:right w:val="single" w:sz="4" w:space="0" w:color="auto"/>
            </w:tcBorders>
            <w:hideMark/>
          </w:tcPr>
          <w:p w14:paraId="721A7EEC" w14:textId="77777777" w:rsidR="00865C8A" w:rsidRPr="00F65705" w:rsidRDefault="00865C8A" w:rsidP="00DC62CD">
            <w:pPr>
              <w:widowControl w:val="0"/>
              <w:rPr>
                <w:rFonts w:asciiTheme="minorHAnsi" w:eastAsiaTheme="minorHAnsi" w:hAnsiTheme="minorHAnsi" w:cstheme="minorBidi"/>
                <w:color w:val="auto"/>
                <w:sz w:val="22"/>
                <w:szCs w:val="22"/>
                <w:lang w:val="en-US"/>
              </w:rPr>
            </w:pPr>
            <w:r w:rsidRPr="00F65705">
              <w:rPr>
                <w:rFonts w:asciiTheme="minorHAnsi" w:eastAsiaTheme="minorHAnsi" w:hAnsiTheme="minorHAnsi" w:cstheme="minorBidi"/>
                <w:color w:val="auto"/>
                <w:sz w:val="22"/>
                <w:szCs w:val="22"/>
                <w:lang w:val="en-US"/>
              </w:rPr>
              <w:t>Description</w:t>
            </w:r>
          </w:p>
        </w:tc>
      </w:tr>
      <w:tr w:rsidR="00F65705" w:rsidRPr="00F65705" w14:paraId="68EB91EC" w14:textId="77777777" w:rsidTr="00DC62CD">
        <w:trPr>
          <w:trHeight w:val="274"/>
        </w:trPr>
        <w:tc>
          <w:tcPr>
            <w:tcW w:w="1232" w:type="pct"/>
            <w:tcBorders>
              <w:top w:val="single" w:sz="4" w:space="0" w:color="auto"/>
              <w:bottom w:val="single" w:sz="4" w:space="0" w:color="auto"/>
            </w:tcBorders>
          </w:tcPr>
          <w:p w14:paraId="51DC3A80" w14:textId="77777777" w:rsidR="00865C8A" w:rsidRPr="00F65705" w:rsidRDefault="00865C8A" w:rsidP="00DC62CD">
            <w:pPr>
              <w:pStyle w:val="TableParagraph"/>
              <w:rPr>
                <w:rFonts w:eastAsia="Times New Roman" w:cstheme="minorHAnsi"/>
                <w:lang w:val="en-AU"/>
              </w:rPr>
            </w:pPr>
            <w:r w:rsidRPr="00F65705">
              <w:rPr>
                <w:rFonts w:eastAsia="Times New Roman" w:cstheme="minorHAnsi"/>
                <w:lang w:val="en-AU"/>
              </w:rPr>
              <w:t>Early Resolution Pathway</w:t>
            </w:r>
          </w:p>
          <w:p w14:paraId="08BD33AB" w14:textId="77777777" w:rsidR="00865C8A" w:rsidRPr="00F65705" w:rsidRDefault="00865C8A" w:rsidP="00DC62CD">
            <w:pPr>
              <w:pStyle w:val="TableParagraph"/>
              <w:rPr>
                <w:rFonts w:eastAsia="Times New Roman" w:cstheme="minorHAnsi"/>
                <w:i/>
                <w:lang w:val="en-AU"/>
              </w:rPr>
            </w:pPr>
            <w:r w:rsidRPr="00F65705">
              <w:rPr>
                <w:rFonts w:eastAsia="Times New Roman" w:cstheme="minorHAnsi"/>
                <w:i/>
                <w:lang w:val="en-AU"/>
              </w:rPr>
              <w:t>(optional)</w:t>
            </w:r>
          </w:p>
          <w:p w14:paraId="5D73E190" w14:textId="77777777" w:rsidR="00865C8A" w:rsidRPr="00F65705" w:rsidRDefault="00865C8A" w:rsidP="00DC62CD">
            <w:pPr>
              <w:widowControl w:val="0"/>
              <w:rPr>
                <w:rFonts w:ascii="Calibri" w:eastAsia="Calibri" w:hAnsi="Calibri"/>
                <w:sz w:val="22"/>
                <w:szCs w:val="22"/>
                <w:lang w:val="en-US"/>
              </w:rPr>
            </w:pPr>
          </w:p>
        </w:tc>
        <w:tc>
          <w:tcPr>
            <w:tcW w:w="3768" w:type="pct"/>
            <w:tcBorders>
              <w:top w:val="single" w:sz="4" w:space="0" w:color="auto"/>
              <w:bottom w:val="single" w:sz="4" w:space="0" w:color="auto"/>
            </w:tcBorders>
          </w:tcPr>
          <w:p w14:paraId="41A1453A" w14:textId="77777777" w:rsidR="00865C8A" w:rsidRPr="00F65705" w:rsidRDefault="00865C8A" w:rsidP="00DC62CD">
            <w:pPr>
              <w:rPr>
                <w:rFonts w:asciiTheme="minorHAnsi" w:eastAsia="Calibri" w:hAnsiTheme="minorHAnsi" w:cstheme="minorHAnsi"/>
                <w:sz w:val="22"/>
                <w:szCs w:val="22"/>
              </w:rPr>
            </w:pPr>
            <w:r w:rsidRPr="00F65705">
              <w:rPr>
                <w:rFonts w:asciiTheme="minorHAnsi" w:eastAsia="Calibri" w:hAnsiTheme="minorHAnsi" w:cstheme="minorHAnsi"/>
                <w:sz w:val="22"/>
                <w:szCs w:val="22"/>
              </w:rPr>
              <w:t xml:space="preserve">This pathway applies where the PBAC has nominated based on independent assessment of the submission, considers the issues identified can be easily resolved and the medicine or vaccine represents high added therapeutic value (HATV); and the applicant accepts the nomination via the Notice of Intent form. </w:t>
            </w:r>
          </w:p>
          <w:p w14:paraId="62E99BD5" w14:textId="77777777" w:rsidR="00865C8A" w:rsidRPr="00F65705" w:rsidRDefault="00865C8A" w:rsidP="00DC62CD">
            <w:pPr>
              <w:rPr>
                <w:rFonts w:eastAsia="Calibri" w:cstheme="minorHAnsi"/>
              </w:rPr>
            </w:pPr>
            <w:r w:rsidRPr="00F65705">
              <w:rPr>
                <w:rFonts w:asciiTheme="minorHAnsi" w:eastAsia="Calibri" w:hAnsiTheme="minorHAnsi" w:cstheme="minorHAnsi"/>
                <w:sz w:val="22"/>
                <w:szCs w:val="22"/>
              </w:rPr>
              <w:t xml:space="preserve">Activities include </w:t>
            </w:r>
            <w:r w:rsidRPr="00F65705">
              <w:rPr>
                <w:rFonts w:asciiTheme="minorHAnsi" w:hAnsiTheme="minorHAnsi" w:cstheme="minorHAnsi"/>
                <w:sz w:val="22"/>
                <w:szCs w:val="22"/>
              </w:rPr>
              <w:t>departmental assessment of claims made in the submission and</w:t>
            </w:r>
            <w:r w:rsidRPr="00F65705">
              <w:rPr>
                <w:rFonts w:asciiTheme="minorHAnsi" w:eastAsia="Calibri" w:hAnsiTheme="minorHAnsi" w:cstheme="minorHAnsi"/>
                <w:sz w:val="22"/>
                <w:szCs w:val="22"/>
              </w:rPr>
              <w:t xml:space="preserve"> out-of-session PBAC reconsideration (where possible).</w:t>
            </w:r>
            <w:r w:rsidRPr="00F65705">
              <w:rPr>
                <w:rFonts w:eastAsia="Calibri" w:cstheme="minorHAnsi"/>
              </w:rPr>
              <w:t xml:space="preserve"> </w:t>
            </w:r>
          </w:p>
          <w:p w14:paraId="370C2B72" w14:textId="77777777" w:rsidR="00865C8A" w:rsidRPr="00F65705" w:rsidRDefault="00865C8A" w:rsidP="00DC62CD">
            <w:pPr>
              <w:rPr>
                <w:rFonts w:eastAsia="Calibri" w:cstheme="minorHAnsi"/>
              </w:rPr>
            </w:pPr>
            <w:r w:rsidRPr="00F65705">
              <w:rPr>
                <w:rFonts w:asciiTheme="minorHAnsi" w:eastAsia="Calibri" w:hAnsiTheme="minorHAnsi" w:cstheme="minorHAnsi"/>
                <w:sz w:val="22"/>
                <w:szCs w:val="22"/>
              </w:rPr>
              <w:t>Where an applicant chooses not to accept the PBAC nominated pathway; addresses issues other than those identified by the PBAC; or is unable to meet the lodgement timeframes, the Standard Re-entry Pathway would apply.</w:t>
            </w:r>
          </w:p>
        </w:tc>
      </w:tr>
      <w:tr w:rsidR="00F65705" w:rsidRPr="00F65705" w14:paraId="0DA900F9" w14:textId="77777777" w:rsidTr="00DC62CD">
        <w:trPr>
          <w:trHeight w:val="630"/>
        </w:trPr>
        <w:tc>
          <w:tcPr>
            <w:tcW w:w="1232" w:type="pct"/>
            <w:tcBorders>
              <w:top w:val="single" w:sz="4" w:space="0" w:color="auto"/>
              <w:bottom w:val="single" w:sz="4" w:space="0" w:color="auto"/>
            </w:tcBorders>
          </w:tcPr>
          <w:p w14:paraId="3049FEF3" w14:textId="77777777" w:rsidR="00865C8A" w:rsidRPr="00F65705" w:rsidRDefault="00865C8A" w:rsidP="00DC62CD">
            <w:pPr>
              <w:pStyle w:val="TableParagraph"/>
              <w:rPr>
                <w:rFonts w:cstheme="minorHAnsi"/>
              </w:rPr>
            </w:pPr>
            <w:r w:rsidRPr="00F65705">
              <w:rPr>
                <w:rFonts w:cstheme="minorHAnsi"/>
              </w:rPr>
              <w:lastRenderedPageBreak/>
              <w:t>Facilitated Resolution Pathway</w:t>
            </w:r>
          </w:p>
          <w:p w14:paraId="21C67F8E" w14:textId="77777777" w:rsidR="00865C8A" w:rsidRPr="00F65705" w:rsidRDefault="00865C8A" w:rsidP="00DC62CD">
            <w:pPr>
              <w:pStyle w:val="TableParagraph"/>
              <w:rPr>
                <w:rFonts w:cstheme="minorHAnsi"/>
                <w:i/>
              </w:rPr>
            </w:pPr>
            <w:r w:rsidRPr="00F65705">
              <w:rPr>
                <w:rFonts w:cstheme="minorHAnsi"/>
                <w:i/>
              </w:rPr>
              <w:t>(optional)</w:t>
            </w:r>
          </w:p>
          <w:p w14:paraId="571824CE" w14:textId="77777777" w:rsidR="00865C8A" w:rsidRPr="00F65705" w:rsidRDefault="00865C8A" w:rsidP="00DC62CD">
            <w:pPr>
              <w:widowControl w:val="0"/>
              <w:rPr>
                <w:rFonts w:ascii="Calibri" w:eastAsia="Calibri" w:hAnsi="Calibri"/>
                <w:sz w:val="22"/>
                <w:szCs w:val="22"/>
                <w:lang w:val="en-US"/>
              </w:rPr>
            </w:pPr>
          </w:p>
        </w:tc>
        <w:tc>
          <w:tcPr>
            <w:tcW w:w="3768" w:type="pct"/>
            <w:tcBorders>
              <w:top w:val="single" w:sz="4" w:space="0" w:color="auto"/>
              <w:bottom w:val="single" w:sz="4" w:space="0" w:color="auto"/>
            </w:tcBorders>
          </w:tcPr>
          <w:p w14:paraId="5448D1D8" w14:textId="77777777" w:rsidR="00865C8A" w:rsidRPr="00F65705" w:rsidRDefault="00865C8A" w:rsidP="00DC62CD">
            <w:pPr>
              <w:pStyle w:val="TableParagraph"/>
              <w:rPr>
                <w:rFonts w:cstheme="minorHAnsi"/>
              </w:rPr>
            </w:pPr>
            <w:r w:rsidRPr="00F65705">
              <w:rPr>
                <w:rFonts w:cstheme="minorHAnsi"/>
              </w:rPr>
              <w:t>This pathway applies where the PBAC nominates the pathway based on independent assessment and identification of the issues to be resolved through a workshop; the medicine or vaccine represents HATV; and the applicant accepts the nomination via the Notice of Intent form.</w:t>
            </w:r>
          </w:p>
          <w:p w14:paraId="08A7319A" w14:textId="77777777" w:rsidR="00865C8A" w:rsidRPr="00F65705" w:rsidRDefault="00865C8A" w:rsidP="00DC62CD">
            <w:pPr>
              <w:pStyle w:val="TableParagraph"/>
              <w:rPr>
                <w:rFonts w:cstheme="minorHAnsi"/>
              </w:rPr>
            </w:pPr>
            <w:r w:rsidRPr="00F65705">
              <w:rPr>
                <w:rFonts w:cstheme="minorHAnsi"/>
              </w:rPr>
              <w:t>Activities include a post-PBAC meeting with the Chair to determine the workshop agenda, a workshop with PBAC members (relevant to workshop outcomes) and evaluation of new information as per Category 2 submissions.</w:t>
            </w:r>
          </w:p>
          <w:p w14:paraId="1126842A" w14:textId="77777777" w:rsidR="00865C8A" w:rsidRPr="00F65705" w:rsidRDefault="00865C8A" w:rsidP="00DC62CD">
            <w:pPr>
              <w:pStyle w:val="TableParagraph"/>
              <w:rPr>
                <w:rFonts w:cstheme="minorHAnsi"/>
              </w:rPr>
            </w:pPr>
            <w:r w:rsidRPr="00F65705">
              <w:rPr>
                <w:rFonts w:eastAsia="Calibri" w:cstheme="minorHAnsi"/>
              </w:rPr>
              <w:t>Where an applicant chooses not to accept the PBAC nominated pathway; or is unable to meet the</w:t>
            </w:r>
            <w:r w:rsidRPr="00F65705">
              <w:rPr>
                <w:rFonts w:eastAsia="Calibri" w:cstheme="minorHAnsi"/>
                <w:lang w:val="en-AU"/>
              </w:rPr>
              <w:t xml:space="preserve"> lodgement</w:t>
            </w:r>
            <w:r w:rsidRPr="00F65705">
              <w:rPr>
                <w:rFonts w:eastAsia="Calibri" w:cstheme="minorHAnsi"/>
              </w:rPr>
              <w:t xml:space="preserve"> timeframes, the Standard Re-entry Pathway would apply.</w:t>
            </w:r>
          </w:p>
        </w:tc>
      </w:tr>
      <w:tr w:rsidR="00F65705" w:rsidRPr="00F65705" w14:paraId="399CF31A" w14:textId="77777777" w:rsidTr="00DC62CD">
        <w:trPr>
          <w:trHeight w:val="630"/>
        </w:trPr>
        <w:tc>
          <w:tcPr>
            <w:tcW w:w="1232" w:type="pct"/>
            <w:tcBorders>
              <w:top w:val="single" w:sz="4" w:space="0" w:color="auto"/>
              <w:bottom w:val="single" w:sz="4" w:space="0" w:color="auto"/>
            </w:tcBorders>
          </w:tcPr>
          <w:p w14:paraId="27970F66" w14:textId="77777777" w:rsidR="00865C8A" w:rsidRPr="00F65705" w:rsidRDefault="00865C8A" w:rsidP="00DC62CD">
            <w:pPr>
              <w:rPr>
                <w:rFonts w:asciiTheme="minorHAnsi" w:eastAsiaTheme="minorHAnsi" w:hAnsiTheme="minorHAnsi" w:cstheme="minorHAnsi"/>
                <w:sz w:val="22"/>
                <w:szCs w:val="22"/>
                <w:lang w:val="en-US"/>
              </w:rPr>
            </w:pPr>
            <w:r w:rsidRPr="00F65705">
              <w:rPr>
                <w:rFonts w:asciiTheme="minorHAnsi" w:eastAsiaTheme="minorHAnsi" w:hAnsiTheme="minorHAnsi" w:cstheme="minorHAnsi"/>
                <w:sz w:val="22"/>
                <w:szCs w:val="22"/>
                <w:lang w:val="en-US"/>
              </w:rPr>
              <w:t>Early Re-entry Pathway</w:t>
            </w:r>
          </w:p>
          <w:p w14:paraId="693685B5" w14:textId="77777777" w:rsidR="00865C8A" w:rsidRPr="00F65705" w:rsidRDefault="00865C8A" w:rsidP="00DC62CD">
            <w:pPr>
              <w:pStyle w:val="TableParagraph"/>
              <w:rPr>
                <w:rFonts w:cstheme="minorHAnsi"/>
                <w:i/>
              </w:rPr>
            </w:pPr>
            <w:r w:rsidRPr="00F65705">
              <w:rPr>
                <w:rFonts w:cstheme="minorHAnsi"/>
                <w:i/>
              </w:rPr>
              <w:t>(optional)</w:t>
            </w:r>
          </w:p>
          <w:p w14:paraId="6BB45FCC" w14:textId="77777777" w:rsidR="00865C8A" w:rsidRPr="00F65705" w:rsidRDefault="00865C8A" w:rsidP="00DC62CD">
            <w:pPr>
              <w:pStyle w:val="TableParagraph"/>
              <w:rPr>
                <w:rFonts w:cstheme="minorHAnsi"/>
              </w:rPr>
            </w:pPr>
          </w:p>
        </w:tc>
        <w:tc>
          <w:tcPr>
            <w:tcW w:w="3768" w:type="pct"/>
            <w:tcBorders>
              <w:top w:val="single" w:sz="4" w:space="0" w:color="auto"/>
              <w:bottom w:val="single" w:sz="4" w:space="0" w:color="auto"/>
            </w:tcBorders>
          </w:tcPr>
          <w:p w14:paraId="01CBF64C" w14:textId="77777777" w:rsidR="00865C8A" w:rsidRPr="00F65705" w:rsidRDefault="00865C8A" w:rsidP="00DC62CD">
            <w:pPr>
              <w:pStyle w:val="TableParagraph"/>
              <w:rPr>
                <w:rFonts w:cstheme="minorHAnsi"/>
              </w:rPr>
            </w:pPr>
            <w:r w:rsidRPr="00F65705">
              <w:rPr>
                <w:rFonts w:cstheme="minorHAnsi"/>
              </w:rPr>
              <w:t xml:space="preserve">This pathway only applies where the PBAC has nominated the pathway based on their independent assessment of the submission and considers the issues identified can be easily resolved; and the applicant accepts the nomination through the Notice of Intent form. </w:t>
            </w:r>
          </w:p>
          <w:p w14:paraId="08B4655B" w14:textId="77777777" w:rsidR="00865C8A" w:rsidRPr="00F65705" w:rsidRDefault="00865C8A" w:rsidP="00DC62CD">
            <w:pPr>
              <w:pStyle w:val="TableParagraph"/>
              <w:rPr>
                <w:rFonts w:cstheme="minorHAnsi"/>
              </w:rPr>
            </w:pPr>
            <w:r w:rsidRPr="00F65705">
              <w:rPr>
                <w:rFonts w:cstheme="minorHAnsi"/>
              </w:rPr>
              <w:t>Activities include departmental assessment of claims made in the submission and early PBAC reconsideration.</w:t>
            </w:r>
          </w:p>
          <w:p w14:paraId="0BA0F9D4" w14:textId="77777777" w:rsidR="00865C8A" w:rsidRPr="00F65705" w:rsidRDefault="00865C8A" w:rsidP="00DC62CD">
            <w:pPr>
              <w:pStyle w:val="TableParagraph"/>
              <w:rPr>
                <w:rFonts w:cstheme="minorHAnsi"/>
              </w:rPr>
            </w:pPr>
            <w:r w:rsidRPr="00F65705">
              <w:rPr>
                <w:rFonts w:eastAsia="Calibri" w:cstheme="minorHAnsi"/>
              </w:rPr>
              <w:t xml:space="preserve">Where an applicant chooses not to accept the PBAC nominated pathway; addresses issues other than those identified by the PBAC; or is unable to meet the </w:t>
            </w:r>
            <w:proofErr w:type="spellStart"/>
            <w:r w:rsidRPr="00F65705">
              <w:rPr>
                <w:rFonts w:eastAsia="Calibri" w:cstheme="minorHAnsi"/>
              </w:rPr>
              <w:t>lodgement</w:t>
            </w:r>
            <w:proofErr w:type="spellEnd"/>
            <w:r w:rsidRPr="00F65705">
              <w:rPr>
                <w:rFonts w:eastAsia="Calibri" w:cstheme="minorHAnsi"/>
              </w:rPr>
              <w:t xml:space="preserve"> timeframes, the Standard Re-entry Pathway would apply.</w:t>
            </w:r>
          </w:p>
        </w:tc>
      </w:tr>
      <w:tr w:rsidR="00F65705" w:rsidRPr="00F65705" w14:paraId="026F9294" w14:textId="77777777" w:rsidTr="00DC62CD">
        <w:trPr>
          <w:trHeight w:val="630"/>
        </w:trPr>
        <w:tc>
          <w:tcPr>
            <w:tcW w:w="1232" w:type="pct"/>
            <w:tcBorders>
              <w:top w:val="single" w:sz="4" w:space="0" w:color="auto"/>
              <w:bottom w:val="single" w:sz="4" w:space="0" w:color="auto"/>
            </w:tcBorders>
          </w:tcPr>
          <w:p w14:paraId="552706C3" w14:textId="77777777" w:rsidR="00865C8A" w:rsidRPr="00F65705" w:rsidRDefault="00865C8A" w:rsidP="00DC62CD">
            <w:pPr>
              <w:rPr>
                <w:rFonts w:asciiTheme="minorHAnsi" w:hAnsiTheme="minorHAnsi" w:cstheme="minorHAnsi"/>
                <w:sz w:val="22"/>
                <w:szCs w:val="22"/>
              </w:rPr>
            </w:pPr>
            <w:r w:rsidRPr="00F65705">
              <w:rPr>
                <w:rFonts w:asciiTheme="minorHAnsi" w:hAnsiTheme="minorHAnsi" w:cstheme="minorHAnsi"/>
                <w:sz w:val="22"/>
                <w:szCs w:val="22"/>
              </w:rPr>
              <w:t>Standard Re-Entry Pathway</w:t>
            </w:r>
          </w:p>
          <w:p w14:paraId="553B4360" w14:textId="77777777" w:rsidR="00865C8A" w:rsidRPr="00F65705" w:rsidRDefault="00865C8A" w:rsidP="00DC62CD">
            <w:pPr>
              <w:rPr>
                <w:rFonts w:asciiTheme="minorHAnsi" w:hAnsiTheme="minorHAnsi" w:cstheme="minorHAnsi"/>
                <w:sz w:val="22"/>
                <w:szCs w:val="22"/>
              </w:rPr>
            </w:pPr>
          </w:p>
        </w:tc>
        <w:tc>
          <w:tcPr>
            <w:tcW w:w="3768" w:type="pct"/>
            <w:tcBorders>
              <w:top w:val="single" w:sz="4" w:space="0" w:color="auto"/>
              <w:bottom w:val="single" w:sz="4" w:space="0" w:color="auto"/>
            </w:tcBorders>
          </w:tcPr>
          <w:p w14:paraId="5D94A03A" w14:textId="77777777" w:rsidR="00865C8A" w:rsidRPr="00F65705" w:rsidRDefault="00865C8A" w:rsidP="00DC62CD">
            <w:pPr>
              <w:pStyle w:val="TableParagraph"/>
              <w:rPr>
                <w:rFonts w:cstheme="minorHAnsi"/>
              </w:rPr>
            </w:pPr>
            <w:r w:rsidRPr="00F65705">
              <w:rPr>
                <w:rFonts w:eastAsia="+mn-ea" w:cstheme="minorHAnsi"/>
              </w:rPr>
              <w:t xml:space="preserve">This pathway </w:t>
            </w:r>
            <w:r w:rsidRPr="00F65705">
              <w:rPr>
                <w:rFonts w:cstheme="minorHAnsi"/>
              </w:rPr>
              <w:t xml:space="preserve">is the default pathway for resubmissions following a ‘not recommended’ PBAC outcome </w:t>
            </w:r>
            <w:proofErr w:type="gramStart"/>
            <w:r w:rsidRPr="00F65705">
              <w:rPr>
                <w:rFonts w:cstheme="minorHAnsi"/>
              </w:rPr>
              <w:t>and also</w:t>
            </w:r>
            <w:proofErr w:type="gramEnd"/>
            <w:r w:rsidRPr="00F65705">
              <w:rPr>
                <w:rFonts w:cstheme="minorHAnsi"/>
              </w:rPr>
              <w:t xml:space="preserve"> applies where:</w:t>
            </w:r>
          </w:p>
          <w:p w14:paraId="29D3AF8E" w14:textId="77777777" w:rsidR="00865C8A" w:rsidRPr="00F65705" w:rsidRDefault="00865C8A" w:rsidP="00DC62CD">
            <w:pPr>
              <w:pStyle w:val="TableParagraph"/>
              <w:numPr>
                <w:ilvl w:val="0"/>
                <w:numId w:val="14"/>
              </w:numPr>
              <w:rPr>
                <w:rFonts w:cstheme="minorHAnsi"/>
              </w:rPr>
            </w:pPr>
            <w:r w:rsidRPr="00F65705">
              <w:rPr>
                <w:rFonts w:cstheme="minorHAnsi"/>
              </w:rPr>
              <w:t>an applicant chooses not to accept the PBAC nominated pathway; or</w:t>
            </w:r>
          </w:p>
          <w:p w14:paraId="3902B64D" w14:textId="77777777" w:rsidR="00865C8A" w:rsidRPr="00F65705" w:rsidRDefault="00865C8A" w:rsidP="00DC62CD">
            <w:pPr>
              <w:pStyle w:val="TableParagraph"/>
              <w:numPr>
                <w:ilvl w:val="0"/>
                <w:numId w:val="14"/>
              </w:numPr>
              <w:rPr>
                <w:rFonts w:cstheme="minorHAnsi"/>
              </w:rPr>
            </w:pPr>
            <w:r w:rsidRPr="00F65705">
              <w:rPr>
                <w:rFonts w:cstheme="minorHAnsi"/>
              </w:rPr>
              <w:t>an Early Re-entry or Early Resolution Pathway has been nominated by the PBAC and an applicant decides to address issues other than those identified by the PBAC (including a subset of issues); or</w:t>
            </w:r>
          </w:p>
          <w:p w14:paraId="3818680A" w14:textId="77777777" w:rsidR="00865C8A" w:rsidRPr="00F65705" w:rsidRDefault="00865C8A" w:rsidP="00DC62CD">
            <w:pPr>
              <w:pStyle w:val="TableParagraph"/>
              <w:numPr>
                <w:ilvl w:val="0"/>
                <w:numId w:val="14"/>
              </w:numPr>
              <w:rPr>
                <w:rFonts w:cstheme="minorHAnsi"/>
              </w:rPr>
            </w:pPr>
            <w:r w:rsidRPr="00F65705">
              <w:rPr>
                <w:rFonts w:cstheme="minorHAnsi"/>
              </w:rPr>
              <w:t>the PBAC does not nominate a resubmission pathway; or</w:t>
            </w:r>
          </w:p>
          <w:p w14:paraId="1B5C06BA" w14:textId="77777777" w:rsidR="00865C8A" w:rsidRPr="00F65705" w:rsidRDefault="00865C8A" w:rsidP="00DC62CD">
            <w:pPr>
              <w:pStyle w:val="TableParagraph"/>
              <w:numPr>
                <w:ilvl w:val="0"/>
                <w:numId w:val="14"/>
              </w:numPr>
              <w:rPr>
                <w:rFonts w:cstheme="minorHAnsi"/>
              </w:rPr>
            </w:pPr>
            <w:r w:rsidRPr="00F65705">
              <w:rPr>
                <w:rFonts w:cstheme="minorHAnsi"/>
              </w:rPr>
              <w:t>an Early Re-entry, Early Resolution or Facilitated Resolution resubmission receives a ‘not recommended’ outcome; or</w:t>
            </w:r>
          </w:p>
          <w:p w14:paraId="347ABECD" w14:textId="77777777" w:rsidR="00865C8A" w:rsidRPr="00F65705" w:rsidRDefault="00865C8A" w:rsidP="00DC62CD">
            <w:pPr>
              <w:pStyle w:val="TableParagraph"/>
              <w:numPr>
                <w:ilvl w:val="0"/>
                <w:numId w:val="14"/>
              </w:numPr>
              <w:rPr>
                <w:rFonts w:cstheme="minorHAnsi"/>
              </w:rPr>
            </w:pPr>
            <w:r w:rsidRPr="00F65705">
              <w:rPr>
                <w:rFonts w:cstheme="minorHAnsi"/>
              </w:rPr>
              <w:t>an applicant decides to lodge their resubmission later than allowable for other pathways.</w:t>
            </w:r>
          </w:p>
          <w:p w14:paraId="63F67EE9" w14:textId="77777777" w:rsidR="00865C8A" w:rsidRPr="00F65705" w:rsidRDefault="00865C8A" w:rsidP="00DC62CD">
            <w:pPr>
              <w:pStyle w:val="TableParagraph"/>
              <w:rPr>
                <w:rFonts w:cstheme="minorHAnsi"/>
              </w:rPr>
            </w:pPr>
            <w:r w:rsidRPr="00F65705">
              <w:rPr>
                <w:rFonts w:eastAsia="+mn-ea" w:cstheme="minorHAnsi"/>
              </w:rPr>
              <w:t>Activities include evaluation or assessment of the claims made in the submission.</w:t>
            </w:r>
          </w:p>
        </w:tc>
      </w:tr>
      <w:tr w:rsidR="00F65705" w:rsidRPr="00F65705" w14:paraId="7AE93A11" w14:textId="77777777" w:rsidTr="00DC62CD">
        <w:trPr>
          <w:trHeight w:val="630"/>
        </w:trPr>
        <w:tc>
          <w:tcPr>
            <w:tcW w:w="1232" w:type="pct"/>
            <w:tcBorders>
              <w:top w:val="single" w:sz="4" w:space="0" w:color="auto"/>
              <w:bottom w:val="single" w:sz="4" w:space="0" w:color="auto"/>
            </w:tcBorders>
          </w:tcPr>
          <w:p w14:paraId="0D56FAC1" w14:textId="77777777" w:rsidR="00865C8A" w:rsidRPr="00F65705" w:rsidRDefault="00865C8A" w:rsidP="00DC62CD">
            <w:pPr>
              <w:widowControl w:val="0"/>
              <w:rPr>
                <w:rFonts w:ascii="Calibri" w:eastAsia="Calibri" w:hAnsi="Calibri"/>
                <w:sz w:val="22"/>
                <w:szCs w:val="22"/>
                <w:lang w:val="en-US"/>
              </w:rPr>
            </w:pPr>
            <w:r w:rsidRPr="00F65705">
              <w:rPr>
                <w:rFonts w:ascii="Calibri" w:eastAsia="Calibri" w:hAnsi="Calibri"/>
                <w:sz w:val="22"/>
                <w:szCs w:val="22"/>
                <w:lang w:val="en-US"/>
              </w:rPr>
              <w:t>Independent Review</w:t>
            </w:r>
          </w:p>
          <w:p w14:paraId="5CDE806D" w14:textId="77777777" w:rsidR="00865C8A" w:rsidRPr="00F65705" w:rsidRDefault="00865C8A" w:rsidP="00DC62CD">
            <w:pPr>
              <w:rPr>
                <w:rFonts w:asciiTheme="minorHAnsi" w:hAnsiTheme="minorHAnsi" w:cstheme="minorHAnsi"/>
                <w:sz w:val="22"/>
                <w:szCs w:val="22"/>
              </w:rPr>
            </w:pPr>
            <w:r w:rsidRPr="00F65705">
              <w:rPr>
                <w:rFonts w:ascii="Calibri" w:eastAsia="Calibri" w:hAnsi="Calibri"/>
                <w:i/>
                <w:sz w:val="22"/>
                <w:szCs w:val="22"/>
                <w:lang w:val="en-US"/>
              </w:rPr>
              <w:t>(optional)</w:t>
            </w:r>
          </w:p>
        </w:tc>
        <w:tc>
          <w:tcPr>
            <w:tcW w:w="3768" w:type="pct"/>
            <w:tcBorders>
              <w:top w:val="single" w:sz="4" w:space="0" w:color="auto"/>
              <w:bottom w:val="single" w:sz="4" w:space="0" w:color="auto"/>
            </w:tcBorders>
          </w:tcPr>
          <w:p w14:paraId="5EF1BCEA" w14:textId="77777777" w:rsidR="00865C8A" w:rsidRPr="00F65705" w:rsidRDefault="00865C8A" w:rsidP="00DC62CD">
            <w:pPr>
              <w:pStyle w:val="TableParagraph"/>
              <w:rPr>
                <w:rFonts w:eastAsia="+mn-ea" w:cstheme="minorHAnsi"/>
              </w:rPr>
            </w:pPr>
            <w:r w:rsidRPr="00F65705">
              <w:rPr>
                <w:rFonts w:ascii="Calibri" w:eastAsia="Calibri" w:hAnsi="Calibri"/>
              </w:rPr>
              <w:t>Independent reviews are available for applicants where the PBAC has declined to recommend the listing of a new drug on the PBS or in certain circumstances where PBAC has not recommended the listing of an additional indication of an already listed drug.</w:t>
            </w:r>
          </w:p>
        </w:tc>
      </w:tr>
    </w:tbl>
    <w:p w14:paraId="60658EF1" w14:textId="77777777" w:rsidR="00865C8A" w:rsidRPr="00F65705" w:rsidRDefault="00865C8A" w:rsidP="00865C8A">
      <w:pPr>
        <w:keepNext/>
        <w:spacing w:before="480"/>
        <w:outlineLvl w:val="2"/>
        <w:rPr>
          <w:rFonts w:ascii="Calibri" w:hAnsi="Calibri" w:cs="Calibri"/>
          <w:b/>
          <w:bCs/>
          <w:iCs/>
          <w:sz w:val="22"/>
          <w:szCs w:val="22"/>
          <w:u w:val="single"/>
        </w:rPr>
      </w:pPr>
      <w:r w:rsidRPr="00F65705">
        <w:rPr>
          <w:rFonts w:ascii="Calibri" w:hAnsi="Calibri" w:cs="Calibri"/>
          <w:b/>
          <w:bCs/>
          <w:iCs/>
          <w:sz w:val="22"/>
          <w:szCs w:val="22"/>
          <w:u w:val="single"/>
        </w:rPr>
        <w:t>3.1.4 Pricing Services including Notice of Intent for Pricing</w:t>
      </w:r>
    </w:p>
    <w:p w14:paraId="33299BA1" w14:textId="77777777" w:rsidR="00865C8A" w:rsidRPr="00F65705" w:rsidRDefault="00865C8A" w:rsidP="00865C8A">
      <w:pPr>
        <w:pStyle w:val="Pa12"/>
        <w:spacing w:before="120" w:after="120" w:line="240" w:lineRule="auto"/>
        <w:rPr>
          <w:rFonts w:asciiTheme="minorHAnsi" w:hAnsiTheme="minorHAnsi" w:cs="Times New Roman"/>
          <w:sz w:val="22"/>
          <w:szCs w:val="22"/>
          <w:lang w:val="en-AU"/>
        </w:rPr>
      </w:pPr>
      <w:r w:rsidRPr="00F65705">
        <w:rPr>
          <w:rFonts w:asciiTheme="minorHAnsi" w:hAnsiTheme="minorHAnsi" w:cstheme="minorHAnsi"/>
          <w:sz w:val="22"/>
          <w:szCs w:val="22"/>
        </w:rPr>
        <w:t>Pricing services include existing cost recovered activities that are a mandatory part of the PBS listing</w:t>
      </w:r>
      <w:r w:rsidRPr="00F65705">
        <w:rPr>
          <w:rFonts w:asciiTheme="minorHAnsi" w:hAnsiTheme="minorHAnsi" w:cstheme="minorHAnsi"/>
          <w:sz w:val="22"/>
          <w:szCs w:val="22"/>
          <w:lang w:val="en-AU"/>
        </w:rPr>
        <w:t xml:space="preserve"> process. A fee</w:t>
      </w:r>
      <w:r w:rsidRPr="00F65705">
        <w:rPr>
          <w:rFonts w:asciiTheme="minorHAnsi" w:hAnsiTheme="minorHAnsi" w:cs="Times New Roman"/>
          <w:sz w:val="22"/>
          <w:szCs w:val="22"/>
          <w:lang w:val="en-AU"/>
        </w:rPr>
        <w:t xml:space="preserve"> waiver or fee exemption may apply for eligible applications – refer to the Cost Recovery Administrative Guidelines and/or Part 7 of the Regulations.</w:t>
      </w:r>
    </w:p>
    <w:p w14:paraId="5E442E6D" w14:textId="77777777" w:rsidR="00865C8A" w:rsidRPr="00F65705" w:rsidRDefault="00865C8A" w:rsidP="00865C8A">
      <w:pPr>
        <w:pStyle w:val="Pa12"/>
        <w:spacing w:after="120"/>
        <w:rPr>
          <w:rFonts w:asciiTheme="minorHAnsi" w:hAnsiTheme="minorHAnsi" w:cs="Times New Roman"/>
          <w:sz w:val="22"/>
          <w:szCs w:val="22"/>
          <w:lang w:val="en-AU"/>
        </w:rPr>
      </w:pPr>
      <w:r w:rsidRPr="00F65705">
        <w:rPr>
          <w:rFonts w:asciiTheme="minorHAnsi" w:hAnsiTheme="minorHAnsi" w:cs="Times New Roman"/>
          <w:sz w:val="22"/>
          <w:szCs w:val="22"/>
          <w:lang w:val="en-AU"/>
        </w:rPr>
        <w:t xml:space="preserve">A Notice of Intent for Pricing must be submitted for all pricing applications. The Notice of Intent for Pricing allows time for the Department to prepare and resource all incoming identified pricing applications to support efficiency and provide certainty. It also assists with monitoring and data collection. </w:t>
      </w:r>
    </w:p>
    <w:p w14:paraId="78B5FB9D" w14:textId="77777777" w:rsidR="00865C8A" w:rsidRPr="00F65705" w:rsidRDefault="00865C8A" w:rsidP="00865C8A">
      <w:pPr>
        <w:pStyle w:val="Pa12"/>
        <w:spacing w:after="120"/>
        <w:rPr>
          <w:rFonts w:asciiTheme="minorHAnsi" w:hAnsiTheme="minorHAnsi" w:cs="Times New Roman"/>
          <w:sz w:val="22"/>
          <w:szCs w:val="22"/>
          <w:lang w:val="en-AU"/>
        </w:rPr>
      </w:pPr>
      <w:r w:rsidRPr="00F65705">
        <w:rPr>
          <w:rFonts w:asciiTheme="minorHAnsi" w:hAnsiTheme="minorHAnsi" w:cs="Times New Roman"/>
          <w:sz w:val="22"/>
          <w:szCs w:val="22"/>
          <w:lang w:val="en-AU"/>
        </w:rPr>
        <w:t xml:space="preserve">Following a positive recommendation from PBAC, applicants can elect to proceed to pricing services to reach a listing arrangement for the PBS. For information on NIP listing processes refer to the Department’s website. </w:t>
      </w:r>
      <w:r w:rsidRPr="00F65705">
        <w:rPr>
          <w:rFonts w:asciiTheme="minorHAnsi" w:hAnsiTheme="minorHAnsi"/>
          <w:sz w:val="22"/>
          <w:szCs w:val="22"/>
        </w:rPr>
        <w:t>PBS Pricing Services are outlined below.</w:t>
      </w:r>
    </w:p>
    <w:p w14:paraId="7882A513" w14:textId="77777777" w:rsidR="00865C8A" w:rsidRPr="00F65705" w:rsidRDefault="00865C8A" w:rsidP="00865C8A">
      <w:pPr>
        <w:spacing w:after="160" w:line="259" w:lineRule="auto"/>
        <w:rPr>
          <w:rFonts w:asciiTheme="minorHAnsi" w:hAnsiTheme="minorHAnsi" w:cstheme="minorHAnsi"/>
          <w:b/>
          <w:bCs/>
          <w:sz w:val="22"/>
          <w:szCs w:val="22"/>
        </w:rPr>
      </w:pPr>
      <w:r w:rsidRPr="00F65705">
        <w:rPr>
          <w:rFonts w:asciiTheme="minorHAnsi" w:hAnsiTheme="minorHAnsi" w:cstheme="minorHAnsi"/>
          <w:b/>
          <w:bCs/>
          <w:sz w:val="22"/>
          <w:szCs w:val="22"/>
        </w:rPr>
        <w:br w:type="page"/>
      </w:r>
    </w:p>
    <w:p w14:paraId="4703D199" w14:textId="77777777" w:rsidR="00865C8A" w:rsidRPr="00F65705" w:rsidRDefault="00865C8A" w:rsidP="00865C8A">
      <w:pPr>
        <w:spacing w:before="120" w:after="120"/>
        <w:jc w:val="both"/>
        <w:rPr>
          <w:rFonts w:asciiTheme="minorHAnsi" w:hAnsiTheme="minorHAnsi" w:cstheme="minorHAnsi"/>
          <w:b/>
          <w:bCs/>
          <w:sz w:val="22"/>
          <w:szCs w:val="22"/>
        </w:rPr>
      </w:pPr>
      <w:r w:rsidRPr="00F65705">
        <w:rPr>
          <w:rFonts w:asciiTheme="minorHAnsi" w:hAnsiTheme="minorHAnsi" w:cstheme="minorHAnsi"/>
          <w:b/>
          <w:bCs/>
          <w:sz w:val="22"/>
          <w:szCs w:val="22"/>
        </w:rPr>
        <w:lastRenderedPageBreak/>
        <w:t xml:space="preserve">Table 4 - PBS pricing services activity description </w:t>
      </w:r>
    </w:p>
    <w:tbl>
      <w:tblPr>
        <w:tblStyle w:val="GridTable4"/>
        <w:tblW w:w="5000" w:type="pct"/>
        <w:jc w:val="center"/>
        <w:tblLook w:val="0620" w:firstRow="1" w:lastRow="0" w:firstColumn="0" w:lastColumn="0" w:noHBand="1" w:noVBand="1"/>
        <w:tblCaption w:val="Table 4 - PBS Positive Recommendations activity description"/>
        <w:tblDescription w:val="This table provides a description of notice of intent, and listing pathways - Pathway A (facilitated), Pathway B (new deed listings), Pathway C (existing deed listings), Pathway D (no deed) and secretariat listings (existing fees)."/>
      </w:tblPr>
      <w:tblGrid>
        <w:gridCol w:w="2372"/>
        <w:gridCol w:w="7256"/>
      </w:tblGrid>
      <w:tr w:rsidR="00F65705" w:rsidRPr="00F65705" w14:paraId="3F7C0472" w14:textId="77777777" w:rsidTr="00DC62CD">
        <w:trPr>
          <w:cnfStyle w:val="100000000000" w:firstRow="1" w:lastRow="0" w:firstColumn="0" w:lastColumn="0" w:oddVBand="0" w:evenVBand="0" w:oddHBand="0" w:evenHBand="0" w:firstRowFirstColumn="0" w:firstRowLastColumn="0" w:lastRowFirstColumn="0" w:lastRowLastColumn="0"/>
          <w:trHeight w:val="315"/>
          <w:tblHeader/>
          <w:jc w:val="center"/>
        </w:trPr>
        <w:tc>
          <w:tcPr>
            <w:tcW w:w="1232" w:type="pct"/>
            <w:hideMark/>
          </w:tcPr>
          <w:p w14:paraId="788CB29F" w14:textId="77777777" w:rsidR="00865C8A" w:rsidRPr="00F65705" w:rsidRDefault="00865C8A" w:rsidP="00DC62CD">
            <w:pPr>
              <w:pStyle w:val="TableParagraph"/>
              <w:rPr>
                <w:color w:val="auto"/>
              </w:rPr>
            </w:pPr>
            <w:r w:rsidRPr="00F65705">
              <w:rPr>
                <w:color w:val="auto"/>
              </w:rPr>
              <w:t>Fee Category</w:t>
            </w:r>
          </w:p>
        </w:tc>
        <w:tc>
          <w:tcPr>
            <w:tcW w:w="3768" w:type="pct"/>
            <w:hideMark/>
          </w:tcPr>
          <w:p w14:paraId="48AD6803" w14:textId="77777777" w:rsidR="00865C8A" w:rsidRPr="00F65705" w:rsidRDefault="00865C8A" w:rsidP="00DC62CD">
            <w:pPr>
              <w:pStyle w:val="TableParagraph"/>
              <w:rPr>
                <w:color w:val="auto"/>
              </w:rPr>
            </w:pPr>
            <w:r w:rsidRPr="00F65705">
              <w:rPr>
                <w:color w:val="auto"/>
              </w:rPr>
              <w:t>Description</w:t>
            </w:r>
          </w:p>
        </w:tc>
      </w:tr>
      <w:tr w:rsidR="00F65705" w:rsidRPr="00F65705" w14:paraId="71C35181" w14:textId="77777777" w:rsidTr="00DC62CD">
        <w:trPr>
          <w:trHeight w:val="630"/>
          <w:jc w:val="center"/>
        </w:trPr>
        <w:tc>
          <w:tcPr>
            <w:tcW w:w="1232" w:type="pct"/>
            <w:hideMark/>
          </w:tcPr>
          <w:p w14:paraId="13C35C96" w14:textId="77777777" w:rsidR="00865C8A" w:rsidRPr="00F65705" w:rsidRDefault="00865C8A" w:rsidP="00DC62CD">
            <w:pPr>
              <w:pStyle w:val="TableParagraph"/>
            </w:pPr>
            <w:r w:rsidRPr="00F65705">
              <w:t xml:space="preserve">Notice of Intent for Pricing </w:t>
            </w:r>
          </w:p>
          <w:p w14:paraId="48C3B1CB" w14:textId="77777777" w:rsidR="00865C8A" w:rsidRPr="00F65705" w:rsidRDefault="00865C8A" w:rsidP="00DC62CD">
            <w:pPr>
              <w:pStyle w:val="TableParagraph"/>
            </w:pPr>
          </w:p>
        </w:tc>
        <w:tc>
          <w:tcPr>
            <w:tcW w:w="3768" w:type="pct"/>
            <w:hideMark/>
          </w:tcPr>
          <w:p w14:paraId="1688A7A5" w14:textId="77777777" w:rsidR="00865C8A" w:rsidRPr="00F65705" w:rsidRDefault="00865C8A" w:rsidP="00DC62CD">
            <w:pPr>
              <w:pStyle w:val="TableParagraph"/>
            </w:pPr>
            <w:r w:rsidRPr="00F65705">
              <w:t xml:space="preserve">Notice of Intent for Pricing includes whether a sponsor intends to submit a pricing offer and by when; not submit a pricing offer; or return to the PBAC for re-consideration. </w:t>
            </w:r>
          </w:p>
          <w:p w14:paraId="139411D4" w14:textId="77777777" w:rsidR="00865C8A" w:rsidRPr="00F65705" w:rsidRDefault="00865C8A" w:rsidP="00DC62CD">
            <w:pPr>
              <w:pStyle w:val="TableParagraph"/>
              <w:rPr>
                <w:rFonts w:eastAsia="Calibri"/>
              </w:rPr>
            </w:pPr>
            <w:r w:rsidRPr="00F65705">
              <w:t>Where an applicant intends to submit a pricing application, t</w:t>
            </w:r>
            <w:r w:rsidRPr="00F65705">
              <w:rPr>
                <w:rFonts w:eastAsia="Calibri"/>
              </w:rPr>
              <w:t xml:space="preserve">he Notice of Intent must include the pricing pathway which reflects the listing arrangements sought. The Notice of Intent fee is a non-refundable deposit that is invoiced together with the fee for pricing services. </w:t>
            </w:r>
          </w:p>
          <w:p w14:paraId="327C9DED" w14:textId="77777777" w:rsidR="00865C8A" w:rsidRPr="00F65705" w:rsidRDefault="00865C8A" w:rsidP="00DC62CD">
            <w:pPr>
              <w:pStyle w:val="TableParagraph"/>
              <w:rPr>
                <w:rFonts w:eastAsia="Calibri"/>
              </w:rPr>
            </w:pPr>
            <w:r w:rsidRPr="00F65705">
              <w:rPr>
                <w:rFonts w:eastAsia="Calibri"/>
              </w:rPr>
              <w:t xml:space="preserve">No fee will be charged where the Notice of Intent Pricing Form reflects a ‘No’ response. </w:t>
            </w:r>
          </w:p>
        </w:tc>
      </w:tr>
      <w:tr w:rsidR="00F65705" w:rsidRPr="00F65705" w14:paraId="0D982CFA" w14:textId="77777777" w:rsidTr="00DC62CD">
        <w:trPr>
          <w:trHeight w:val="376"/>
          <w:jc w:val="center"/>
        </w:trPr>
        <w:tc>
          <w:tcPr>
            <w:tcW w:w="1232" w:type="pct"/>
            <w:hideMark/>
          </w:tcPr>
          <w:p w14:paraId="6D1ABBD8" w14:textId="77777777" w:rsidR="00865C8A" w:rsidRPr="00F65705" w:rsidRDefault="00865C8A" w:rsidP="00DC62CD">
            <w:pPr>
              <w:pStyle w:val="TableParagraph"/>
            </w:pPr>
            <w:r w:rsidRPr="00F65705">
              <w:t xml:space="preserve">Pricing Pathway A </w:t>
            </w:r>
            <w:r w:rsidRPr="00F65705">
              <w:rPr>
                <w:i/>
              </w:rPr>
              <w:t>(facilitated)</w:t>
            </w:r>
            <w:r w:rsidRPr="00F65705">
              <w:t xml:space="preserve"> </w:t>
            </w:r>
          </w:p>
        </w:tc>
        <w:tc>
          <w:tcPr>
            <w:tcW w:w="3768" w:type="pct"/>
            <w:hideMark/>
          </w:tcPr>
          <w:p w14:paraId="35A54295" w14:textId="77777777" w:rsidR="00865C8A" w:rsidRPr="00F65705" w:rsidRDefault="00865C8A" w:rsidP="00DC62CD">
            <w:pPr>
              <w:pStyle w:val="TableParagraph"/>
            </w:pPr>
            <w:r w:rsidRPr="00F65705">
              <w:t xml:space="preserve">This pathway only applies where PBAC has nominated the pathway based on the criteria in section 42 of the Regulations and the applicant accepts the nomination via the Notice of Intent for Pricing form. </w:t>
            </w:r>
          </w:p>
          <w:p w14:paraId="1FF82460" w14:textId="77777777" w:rsidR="00865C8A" w:rsidRPr="00F65705" w:rsidRDefault="00865C8A" w:rsidP="00DC62CD">
            <w:pPr>
              <w:pStyle w:val="TableParagraph"/>
            </w:pPr>
            <w:r w:rsidRPr="00F65705">
              <w:t>Activities include allocation of a departmental case manager, negotiation and</w:t>
            </w:r>
            <w:r w:rsidRPr="00F65705">
              <w:rPr>
                <w:lang w:val="en-AU"/>
              </w:rPr>
              <w:t xml:space="preserve"> finalisation</w:t>
            </w:r>
            <w:r w:rsidRPr="00F65705">
              <w:t xml:space="preserve"> of PBS listing arrangements and rebate management services.</w:t>
            </w:r>
          </w:p>
        </w:tc>
      </w:tr>
      <w:tr w:rsidR="00F65705" w:rsidRPr="00F65705" w14:paraId="42D68A17" w14:textId="77777777" w:rsidTr="00DC62CD">
        <w:trPr>
          <w:trHeight w:val="518"/>
          <w:jc w:val="center"/>
        </w:trPr>
        <w:tc>
          <w:tcPr>
            <w:tcW w:w="1232" w:type="pct"/>
            <w:hideMark/>
          </w:tcPr>
          <w:p w14:paraId="22022BD8" w14:textId="77777777" w:rsidR="00865C8A" w:rsidRPr="00F65705" w:rsidRDefault="00865C8A" w:rsidP="00DC62CD">
            <w:pPr>
              <w:pStyle w:val="TableParagraph"/>
            </w:pPr>
            <w:r w:rsidRPr="00F65705">
              <w:t xml:space="preserve">Pricing Pathway B (New deed) </w:t>
            </w:r>
          </w:p>
        </w:tc>
        <w:tc>
          <w:tcPr>
            <w:tcW w:w="3768" w:type="pct"/>
            <w:hideMark/>
          </w:tcPr>
          <w:p w14:paraId="4858B9B6" w14:textId="77777777" w:rsidR="00865C8A" w:rsidRPr="00F65705" w:rsidRDefault="00865C8A" w:rsidP="00DC62CD">
            <w:pPr>
              <w:pStyle w:val="TableParagraph"/>
            </w:pPr>
            <w:r w:rsidRPr="00F65705">
              <w:t xml:space="preserve">This pathway </w:t>
            </w:r>
            <w:r w:rsidRPr="00F65705">
              <w:rPr>
                <w:rFonts w:cstheme="minorHAnsi"/>
              </w:rPr>
              <w:t>applies for submissions which require negotiation and</w:t>
            </w:r>
            <w:r w:rsidRPr="00F65705">
              <w:rPr>
                <w:rFonts w:cstheme="minorHAnsi"/>
                <w:lang w:val="en-AU"/>
              </w:rPr>
              <w:t xml:space="preserve"> </w:t>
            </w:r>
            <w:r w:rsidRPr="00F65705">
              <w:rPr>
                <w:lang w:val="en-AU"/>
              </w:rPr>
              <w:t>finalisation</w:t>
            </w:r>
            <w:r w:rsidRPr="00F65705">
              <w:t xml:space="preserve"> of a new deed of agreement where there are no similar arrangements in place. This could include an assessment of proposed risk-sharing, managed entry and/or special pricing arrangements. </w:t>
            </w:r>
          </w:p>
          <w:p w14:paraId="0ED95675" w14:textId="77777777" w:rsidR="00865C8A" w:rsidRPr="00F65705" w:rsidRDefault="00865C8A" w:rsidP="00DC62CD">
            <w:pPr>
              <w:pStyle w:val="TableParagraph"/>
              <w:rPr>
                <w:rFonts w:cstheme="minorHAnsi"/>
              </w:rPr>
            </w:pPr>
            <w:r w:rsidRPr="00F65705">
              <w:t>Activities include negotiation and</w:t>
            </w:r>
            <w:r w:rsidRPr="00F65705">
              <w:rPr>
                <w:lang w:val="en-AU"/>
              </w:rPr>
              <w:t xml:space="preserve"> finalisation</w:t>
            </w:r>
            <w:r w:rsidRPr="00F65705">
              <w:t xml:space="preserve"> of PBS listing arrangements and rebate management services.</w:t>
            </w:r>
            <w:r w:rsidRPr="00F65705">
              <w:rPr>
                <w:rFonts w:cstheme="minorHAnsi"/>
              </w:rPr>
              <w:t xml:space="preserve"> </w:t>
            </w:r>
          </w:p>
        </w:tc>
      </w:tr>
      <w:tr w:rsidR="00F65705" w:rsidRPr="00F65705" w14:paraId="5276C1F3" w14:textId="77777777" w:rsidTr="00DC62CD">
        <w:trPr>
          <w:trHeight w:val="376"/>
          <w:jc w:val="center"/>
        </w:trPr>
        <w:tc>
          <w:tcPr>
            <w:tcW w:w="1232" w:type="pct"/>
            <w:hideMark/>
          </w:tcPr>
          <w:p w14:paraId="3B7C680D" w14:textId="77777777" w:rsidR="00865C8A" w:rsidRPr="00F65705" w:rsidRDefault="00865C8A" w:rsidP="00DC62CD">
            <w:pPr>
              <w:pStyle w:val="TableParagraph"/>
            </w:pPr>
            <w:r w:rsidRPr="00F65705">
              <w:t>Pricing Pathway C (Existing deed)</w:t>
            </w:r>
          </w:p>
        </w:tc>
        <w:tc>
          <w:tcPr>
            <w:tcW w:w="3768" w:type="pct"/>
            <w:hideMark/>
          </w:tcPr>
          <w:p w14:paraId="2EB09071" w14:textId="77777777" w:rsidR="00865C8A" w:rsidRPr="00F65705" w:rsidRDefault="00865C8A" w:rsidP="00DC62CD">
            <w:pPr>
              <w:pStyle w:val="TableParagraph"/>
            </w:pPr>
            <w:r w:rsidRPr="00F65705">
              <w:t xml:space="preserve">This pathway applies </w:t>
            </w:r>
            <w:r w:rsidRPr="00F65705">
              <w:rPr>
                <w:rFonts w:cstheme="minorHAnsi"/>
              </w:rPr>
              <w:t xml:space="preserve">to submissions which require third-party responsible person notification of changes to an existing deed of agreement, and/or </w:t>
            </w:r>
            <w:r w:rsidRPr="00F65705">
              <w:t xml:space="preserve">where an applicant has received a positive PBAC recommendation to list within the scope of existing PBS arrangements, whether these relate to the new listing or to another existing listing. </w:t>
            </w:r>
          </w:p>
          <w:p w14:paraId="46A21119" w14:textId="77777777" w:rsidR="00865C8A" w:rsidRPr="00F65705" w:rsidRDefault="00865C8A" w:rsidP="00DC62CD">
            <w:pPr>
              <w:pStyle w:val="TableParagraph"/>
            </w:pPr>
            <w:r w:rsidRPr="00F65705">
              <w:t>Activities include negotiation</w:t>
            </w:r>
            <w:r w:rsidRPr="00F65705">
              <w:rPr>
                <w:rFonts w:cstheme="minorHAnsi"/>
              </w:rPr>
              <w:t xml:space="preserve"> and </w:t>
            </w:r>
            <w:proofErr w:type="spellStart"/>
            <w:r w:rsidRPr="00F65705">
              <w:rPr>
                <w:rFonts w:cstheme="minorHAnsi"/>
              </w:rPr>
              <w:t>finalisation</w:t>
            </w:r>
            <w:proofErr w:type="spellEnd"/>
            <w:r w:rsidRPr="00F65705">
              <w:rPr>
                <w:rFonts w:cstheme="minorHAnsi"/>
              </w:rPr>
              <w:t xml:space="preserve"> of PBS listing arrangements and rebate management services. </w:t>
            </w:r>
          </w:p>
        </w:tc>
      </w:tr>
      <w:tr w:rsidR="00F65705" w:rsidRPr="00F65705" w14:paraId="312141D0" w14:textId="77777777" w:rsidTr="00DC62CD">
        <w:trPr>
          <w:trHeight w:val="548"/>
          <w:jc w:val="center"/>
        </w:trPr>
        <w:tc>
          <w:tcPr>
            <w:tcW w:w="1232" w:type="pct"/>
            <w:hideMark/>
          </w:tcPr>
          <w:p w14:paraId="30FB6743" w14:textId="77777777" w:rsidR="00865C8A" w:rsidRPr="00F65705" w:rsidRDefault="00865C8A" w:rsidP="00DC62CD">
            <w:pPr>
              <w:pStyle w:val="TableParagraph"/>
            </w:pPr>
            <w:r w:rsidRPr="00F65705">
              <w:t>Pricing Pathway D (Standard listing)</w:t>
            </w:r>
          </w:p>
        </w:tc>
        <w:tc>
          <w:tcPr>
            <w:tcW w:w="3768" w:type="pct"/>
            <w:hideMark/>
          </w:tcPr>
          <w:p w14:paraId="37B542F7" w14:textId="77777777" w:rsidR="00865C8A" w:rsidRPr="00F65705" w:rsidRDefault="00865C8A" w:rsidP="00DC62CD">
            <w:pPr>
              <w:pStyle w:val="TableParagraph"/>
            </w:pPr>
            <w:r w:rsidRPr="00F65705">
              <w:t xml:space="preserve">This pathway applies to submissions that do not involve negotiation of a new or existing deed of agreement. </w:t>
            </w:r>
          </w:p>
          <w:p w14:paraId="3FD6DE77" w14:textId="77777777" w:rsidR="00865C8A" w:rsidRPr="00F65705" w:rsidRDefault="00865C8A" w:rsidP="00DC62CD">
            <w:pPr>
              <w:pStyle w:val="TableParagraph"/>
            </w:pPr>
            <w:r w:rsidRPr="00F65705">
              <w:t xml:space="preserve">Activities include </w:t>
            </w:r>
            <w:r w:rsidRPr="00F65705">
              <w:rPr>
                <w:lang w:val="en-AU"/>
              </w:rPr>
              <w:t>finalisation</w:t>
            </w:r>
            <w:r w:rsidRPr="00F65705">
              <w:t xml:space="preserve"> of PBS listing arrangements</w:t>
            </w:r>
          </w:p>
        </w:tc>
      </w:tr>
      <w:tr w:rsidR="00F65705" w:rsidRPr="00F65705" w14:paraId="7C8370D6" w14:textId="77777777" w:rsidTr="00DC62CD">
        <w:trPr>
          <w:trHeight w:val="630"/>
          <w:jc w:val="center"/>
        </w:trPr>
        <w:tc>
          <w:tcPr>
            <w:tcW w:w="1232" w:type="pct"/>
            <w:hideMark/>
          </w:tcPr>
          <w:p w14:paraId="63E6A672" w14:textId="77777777" w:rsidR="00865C8A" w:rsidRPr="00F65705" w:rsidRDefault="00865C8A" w:rsidP="00DC62CD">
            <w:pPr>
              <w:pStyle w:val="TableParagraph"/>
            </w:pPr>
            <w:r w:rsidRPr="00F65705">
              <w:t>Pricing Secretariat</w:t>
            </w:r>
          </w:p>
        </w:tc>
        <w:tc>
          <w:tcPr>
            <w:tcW w:w="3768" w:type="pct"/>
            <w:hideMark/>
          </w:tcPr>
          <w:p w14:paraId="228C541C" w14:textId="77777777" w:rsidR="00865C8A" w:rsidRPr="00F65705" w:rsidRDefault="00865C8A" w:rsidP="00DC62CD">
            <w:pPr>
              <w:pStyle w:val="NormalWeb"/>
              <w:rPr>
                <w:rFonts w:asciiTheme="minorHAnsi" w:hAnsiTheme="minorHAnsi"/>
                <w:sz w:val="22"/>
                <w:szCs w:val="22"/>
              </w:rPr>
            </w:pPr>
            <w:r w:rsidRPr="00F65705">
              <w:rPr>
                <w:rFonts w:asciiTheme="minorHAnsi" w:hAnsiTheme="minorHAnsi"/>
                <w:sz w:val="22"/>
                <w:szCs w:val="22"/>
              </w:rPr>
              <w:t>An application is in the Pricing Secretariat category if it is not in the Pricing Pathway A, B, C, or D category. This category is intended for the simplest of applications</w:t>
            </w:r>
            <w:r w:rsidRPr="00F65705">
              <w:rPr>
                <w:rFonts w:asciiTheme="minorHAnsi" w:hAnsiTheme="minorHAnsi" w:cstheme="minorHAnsi"/>
                <w:sz w:val="22"/>
                <w:szCs w:val="22"/>
              </w:rPr>
              <w:t>. The pathway applies to changes to listings of existing medicines which do not require a new price.</w:t>
            </w:r>
            <w:r w:rsidRPr="00F65705">
              <w:rPr>
                <w:rFonts w:asciiTheme="minorHAnsi" w:hAnsiTheme="minorHAnsi"/>
                <w:sz w:val="22"/>
                <w:szCs w:val="22"/>
              </w:rPr>
              <w:t xml:space="preserve"> </w:t>
            </w:r>
          </w:p>
        </w:tc>
      </w:tr>
      <w:tr w:rsidR="00F65705" w:rsidRPr="00F65705" w14:paraId="17BCF06E" w14:textId="77777777" w:rsidTr="00DC62CD">
        <w:trPr>
          <w:trHeight w:val="630"/>
          <w:jc w:val="center"/>
        </w:trPr>
        <w:tc>
          <w:tcPr>
            <w:tcW w:w="1232" w:type="pct"/>
          </w:tcPr>
          <w:p w14:paraId="598CCA8F" w14:textId="77777777" w:rsidR="00865C8A" w:rsidRPr="00F65705" w:rsidRDefault="00865C8A" w:rsidP="00DC62CD">
            <w:pPr>
              <w:pStyle w:val="TableParagraph"/>
            </w:pPr>
            <w:r w:rsidRPr="00F65705">
              <w:t>Rebate management services</w:t>
            </w:r>
          </w:p>
        </w:tc>
        <w:tc>
          <w:tcPr>
            <w:tcW w:w="3768" w:type="pct"/>
          </w:tcPr>
          <w:p w14:paraId="0943C3DE" w14:textId="77777777" w:rsidR="00865C8A" w:rsidRPr="00F65705" w:rsidRDefault="00865C8A" w:rsidP="00DC62CD">
            <w:pPr>
              <w:rPr>
                <w:rFonts w:asciiTheme="minorHAnsi" w:hAnsiTheme="minorHAnsi" w:cstheme="minorHAnsi"/>
                <w:sz w:val="22"/>
                <w:szCs w:val="22"/>
              </w:rPr>
            </w:pPr>
            <w:r w:rsidRPr="00F65705">
              <w:rPr>
                <w:rFonts w:asciiTheme="minorHAnsi" w:hAnsiTheme="minorHAnsi" w:cstheme="minorHAnsi"/>
                <w:sz w:val="22"/>
                <w:szCs w:val="22"/>
              </w:rPr>
              <w:t xml:space="preserve">Includes administration of the terms and conditions of the deed of agreement to enable the PBS listing to continue and includes the regular processing of the PBS expenditure rebates payable to the Commonwealth that enable the PBS listing to continue throughout the (five year) term of the deed. </w:t>
            </w:r>
          </w:p>
          <w:p w14:paraId="07BDCF0E" w14:textId="77777777" w:rsidR="00865C8A" w:rsidRPr="00F65705" w:rsidRDefault="00865C8A" w:rsidP="00DC62CD">
            <w:pPr>
              <w:rPr>
                <w:rFonts w:asciiTheme="minorHAnsi" w:hAnsiTheme="minorHAnsi" w:cstheme="minorHAnsi"/>
                <w:sz w:val="22"/>
                <w:szCs w:val="22"/>
              </w:rPr>
            </w:pPr>
            <w:r w:rsidRPr="00F65705">
              <w:rPr>
                <w:rFonts w:asciiTheme="minorHAnsi" w:hAnsiTheme="minorHAnsi" w:cstheme="minorHAnsi"/>
                <w:sz w:val="22"/>
                <w:szCs w:val="22"/>
              </w:rPr>
              <w:t xml:space="preserve">The rebate management fee is charged upfront and is included in the Pricing Pathway A, B and C fees </w:t>
            </w:r>
            <w:proofErr w:type="gramStart"/>
            <w:r w:rsidRPr="00F65705">
              <w:rPr>
                <w:rFonts w:asciiTheme="minorHAnsi" w:hAnsiTheme="minorHAnsi" w:cstheme="minorHAnsi"/>
                <w:sz w:val="22"/>
                <w:szCs w:val="22"/>
              </w:rPr>
              <w:t>and also</w:t>
            </w:r>
            <w:proofErr w:type="gramEnd"/>
            <w:r w:rsidRPr="00F65705">
              <w:rPr>
                <w:rFonts w:asciiTheme="minorHAnsi" w:hAnsiTheme="minorHAnsi" w:cstheme="minorHAnsi"/>
                <w:sz w:val="22"/>
                <w:szCs w:val="22"/>
              </w:rPr>
              <w:t xml:space="preserve"> when a deed is renewed. </w:t>
            </w:r>
          </w:p>
        </w:tc>
      </w:tr>
    </w:tbl>
    <w:p w14:paraId="4660631C" w14:textId="77777777" w:rsidR="00865C8A" w:rsidRPr="00F65705" w:rsidRDefault="00865C8A" w:rsidP="00865C8A">
      <w:pPr>
        <w:spacing w:after="160" w:line="259" w:lineRule="auto"/>
        <w:rPr>
          <w:rFonts w:ascii="Calibri" w:hAnsi="Calibri" w:cs="Calibri"/>
          <w:b/>
          <w:bCs/>
          <w:iCs/>
          <w:sz w:val="22"/>
          <w:szCs w:val="22"/>
          <w:u w:val="single"/>
        </w:rPr>
      </w:pPr>
    </w:p>
    <w:p w14:paraId="7AC6F705" w14:textId="77777777" w:rsidR="00865C8A" w:rsidRPr="00F65705" w:rsidRDefault="00865C8A" w:rsidP="00865C8A">
      <w:pPr>
        <w:spacing w:after="160" w:line="259" w:lineRule="auto"/>
        <w:rPr>
          <w:rFonts w:ascii="Calibri" w:hAnsi="Calibri" w:cs="Calibri"/>
          <w:b/>
          <w:bCs/>
          <w:iCs/>
          <w:sz w:val="22"/>
          <w:szCs w:val="22"/>
          <w:u w:val="single"/>
        </w:rPr>
      </w:pPr>
      <w:r w:rsidRPr="00F65705">
        <w:rPr>
          <w:rFonts w:ascii="Calibri" w:hAnsi="Calibri" w:cs="Calibri"/>
          <w:b/>
          <w:bCs/>
          <w:iCs/>
          <w:sz w:val="22"/>
          <w:szCs w:val="22"/>
          <w:u w:val="single"/>
        </w:rPr>
        <w:br w:type="page"/>
      </w:r>
    </w:p>
    <w:p w14:paraId="3DFF7074" w14:textId="77777777" w:rsidR="00865C8A" w:rsidRPr="00F65705" w:rsidRDefault="00865C8A" w:rsidP="00865C8A">
      <w:pPr>
        <w:spacing w:after="160" w:line="259" w:lineRule="auto"/>
        <w:rPr>
          <w:rFonts w:ascii="Calibri" w:hAnsi="Calibri" w:cs="Calibri"/>
          <w:b/>
          <w:bCs/>
          <w:iCs/>
          <w:sz w:val="22"/>
          <w:szCs w:val="22"/>
          <w:u w:val="single"/>
        </w:rPr>
      </w:pPr>
      <w:r w:rsidRPr="00F65705">
        <w:rPr>
          <w:rFonts w:ascii="Calibri" w:hAnsi="Calibri" w:cs="Calibri"/>
          <w:b/>
          <w:bCs/>
          <w:iCs/>
          <w:sz w:val="22"/>
          <w:szCs w:val="22"/>
          <w:u w:val="single"/>
        </w:rPr>
        <w:lastRenderedPageBreak/>
        <w:t>3.1.5 PBS List Management Services</w:t>
      </w:r>
    </w:p>
    <w:p w14:paraId="0B89F2E0" w14:textId="77777777" w:rsidR="00865C8A" w:rsidRPr="00F65705" w:rsidRDefault="00865C8A" w:rsidP="00865C8A">
      <w:pPr>
        <w:spacing w:before="120"/>
        <w:rPr>
          <w:rFonts w:asciiTheme="minorHAnsi" w:hAnsiTheme="minorHAnsi" w:cstheme="minorHAnsi"/>
          <w:sz w:val="22"/>
          <w:szCs w:val="22"/>
        </w:rPr>
      </w:pPr>
      <w:r w:rsidRPr="00F65705">
        <w:rPr>
          <w:rFonts w:asciiTheme="minorHAnsi" w:hAnsiTheme="minorHAnsi" w:cstheme="minorHAnsi"/>
          <w:sz w:val="22"/>
          <w:szCs w:val="22"/>
        </w:rPr>
        <w:t>The PBS list management activities include applicant driven services to manage the PBS listing. Price increase requests, brand premium requests and Ministerial discretion requests are</w:t>
      </w:r>
      <w:r w:rsidRPr="00F65705">
        <w:rPr>
          <w:rFonts w:asciiTheme="minorHAnsi" w:hAnsiTheme="minorHAnsi"/>
          <w:sz w:val="22"/>
          <w:szCs w:val="22"/>
          <w:lang w:eastAsia="en-AU"/>
        </w:rPr>
        <w:t xml:space="preserve"> invoiced and </w:t>
      </w:r>
      <w:r w:rsidRPr="00F65705">
        <w:rPr>
          <w:rFonts w:asciiTheme="minorHAnsi" w:hAnsiTheme="minorHAnsi" w:cstheme="minorHAnsi"/>
          <w:sz w:val="22"/>
          <w:szCs w:val="22"/>
          <w:lang w:eastAsia="en-AU"/>
        </w:rPr>
        <w:t xml:space="preserve">charged </w:t>
      </w:r>
      <w:r w:rsidRPr="00F65705">
        <w:rPr>
          <w:rFonts w:asciiTheme="minorHAnsi" w:hAnsiTheme="minorHAnsi" w:cstheme="minorHAnsi"/>
          <w:sz w:val="22"/>
          <w:szCs w:val="22"/>
        </w:rPr>
        <w:t xml:space="preserve">per brand of legal pharmaceutical item, which is made up of the drug, form and manner of administration. </w:t>
      </w:r>
    </w:p>
    <w:p w14:paraId="463741F5" w14:textId="77777777" w:rsidR="00865C8A" w:rsidRPr="00F65705" w:rsidRDefault="00865C8A" w:rsidP="00865C8A">
      <w:pPr>
        <w:spacing w:before="120"/>
        <w:rPr>
          <w:rFonts w:asciiTheme="minorHAnsi" w:hAnsiTheme="minorHAnsi" w:cstheme="minorHAnsi"/>
          <w:sz w:val="22"/>
          <w:szCs w:val="22"/>
        </w:rPr>
      </w:pPr>
      <w:r w:rsidRPr="00F65705">
        <w:rPr>
          <w:rFonts w:asciiTheme="minorHAnsi" w:hAnsiTheme="minorHAnsi" w:cstheme="minorHAnsi"/>
          <w:sz w:val="22"/>
          <w:szCs w:val="22"/>
        </w:rPr>
        <w:t xml:space="preserve">Under the Regulations, a separate fee applies to each list management application, including in instances where multiple applications are made in a single request relating to the same drug and for the same therapy (e.g. for two different strengths). This reflects the work effort associated with these application types as these applications are assessed by the Department per pharmaceutical item. </w:t>
      </w:r>
    </w:p>
    <w:p w14:paraId="50EA31E3" w14:textId="77777777" w:rsidR="00865C8A" w:rsidRPr="00F65705" w:rsidRDefault="00865C8A" w:rsidP="00865C8A">
      <w:pPr>
        <w:pStyle w:val="Pa12"/>
        <w:spacing w:before="120" w:after="120"/>
        <w:rPr>
          <w:rFonts w:asciiTheme="minorHAnsi" w:hAnsiTheme="minorHAnsi" w:cstheme="minorHAnsi"/>
          <w:b/>
          <w:bCs/>
          <w:sz w:val="22"/>
          <w:szCs w:val="22"/>
        </w:rPr>
      </w:pPr>
      <w:r w:rsidRPr="00F65705">
        <w:rPr>
          <w:rFonts w:asciiTheme="minorHAnsi" w:hAnsiTheme="minorHAnsi" w:cs="Times New Roman"/>
          <w:sz w:val="22"/>
          <w:szCs w:val="22"/>
          <w:lang w:val="en-AU"/>
        </w:rPr>
        <w:t>PBS list management services are outlined below.</w:t>
      </w:r>
    </w:p>
    <w:p w14:paraId="4388C228" w14:textId="77777777" w:rsidR="00865C8A" w:rsidRPr="00F65705" w:rsidRDefault="00865C8A" w:rsidP="00865C8A">
      <w:pPr>
        <w:spacing w:after="120"/>
        <w:jc w:val="both"/>
        <w:rPr>
          <w:rFonts w:asciiTheme="minorHAnsi" w:hAnsiTheme="minorHAnsi" w:cstheme="minorHAnsi"/>
          <w:b/>
          <w:bCs/>
          <w:sz w:val="22"/>
          <w:szCs w:val="22"/>
        </w:rPr>
      </w:pPr>
      <w:r w:rsidRPr="00F65705">
        <w:rPr>
          <w:rFonts w:asciiTheme="minorHAnsi" w:hAnsiTheme="minorHAnsi" w:cstheme="minorHAnsi"/>
          <w:b/>
          <w:bCs/>
          <w:sz w:val="22"/>
          <w:szCs w:val="22"/>
        </w:rPr>
        <w:t xml:space="preserve">Table 5 - PBS List Management requested activities </w:t>
      </w:r>
      <w:proofErr w:type="gramStart"/>
      <w:r w:rsidRPr="00F65705">
        <w:rPr>
          <w:rFonts w:asciiTheme="minorHAnsi" w:hAnsiTheme="minorHAnsi" w:cstheme="minorHAnsi"/>
          <w:b/>
          <w:bCs/>
          <w:sz w:val="22"/>
          <w:szCs w:val="22"/>
        </w:rPr>
        <w:t>description</w:t>
      </w:r>
      <w:proofErr w:type="gramEnd"/>
      <w:r w:rsidRPr="00F65705">
        <w:rPr>
          <w:rFonts w:asciiTheme="minorHAnsi" w:hAnsiTheme="minorHAnsi" w:cstheme="minorHAnsi"/>
          <w:b/>
          <w:bCs/>
          <w:sz w:val="22"/>
          <w:szCs w:val="22"/>
        </w:rPr>
        <w:t xml:space="preserve"> </w:t>
      </w:r>
    </w:p>
    <w:tbl>
      <w:tblPr>
        <w:tblStyle w:val="GridTable4"/>
        <w:tblW w:w="5000" w:type="pct"/>
        <w:jc w:val="center"/>
        <w:tblLook w:val="0620" w:firstRow="1" w:lastRow="0" w:firstColumn="0" w:lastColumn="0" w:noHBand="1" w:noVBand="1"/>
        <w:tblCaption w:val="Table 5 - PBS List-management requested activities description"/>
        <w:tblDescription w:val="This table provides a description of list management activities including price increase requests and ministerial discretion requests (existing fees) and new deed renewal requests and deed variation requests (new fees)."/>
      </w:tblPr>
      <w:tblGrid>
        <w:gridCol w:w="2372"/>
        <w:gridCol w:w="7256"/>
      </w:tblGrid>
      <w:tr w:rsidR="00F65705" w:rsidRPr="00F65705" w14:paraId="34E3121E" w14:textId="77777777" w:rsidTr="00DC62CD">
        <w:trPr>
          <w:cnfStyle w:val="100000000000" w:firstRow="1" w:lastRow="0" w:firstColumn="0" w:lastColumn="0" w:oddVBand="0" w:evenVBand="0" w:oddHBand="0" w:evenHBand="0" w:firstRowFirstColumn="0" w:firstRowLastColumn="0" w:lastRowFirstColumn="0" w:lastRowLastColumn="0"/>
          <w:trHeight w:val="315"/>
          <w:tblHeader/>
          <w:jc w:val="center"/>
        </w:trPr>
        <w:tc>
          <w:tcPr>
            <w:tcW w:w="1232" w:type="pct"/>
            <w:hideMark/>
          </w:tcPr>
          <w:p w14:paraId="708D5990" w14:textId="77777777" w:rsidR="00865C8A" w:rsidRPr="00F65705" w:rsidRDefault="00865C8A" w:rsidP="00DC62CD">
            <w:pPr>
              <w:pStyle w:val="TableParagraph"/>
              <w:rPr>
                <w:color w:val="auto"/>
              </w:rPr>
            </w:pPr>
            <w:r w:rsidRPr="00F65705">
              <w:rPr>
                <w:color w:val="auto"/>
              </w:rPr>
              <w:t>Fee Category</w:t>
            </w:r>
          </w:p>
        </w:tc>
        <w:tc>
          <w:tcPr>
            <w:tcW w:w="3768" w:type="pct"/>
            <w:hideMark/>
          </w:tcPr>
          <w:p w14:paraId="79B1CBC4" w14:textId="77777777" w:rsidR="00865C8A" w:rsidRPr="00F65705" w:rsidRDefault="00865C8A" w:rsidP="00DC62CD">
            <w:pPr>
              <w:pStyle w:val="TableParagraph"/>
              <w:rPr>
                <w:color w:val="auto"/>
              </w:rPr>
            </w:pPr>
            <w:r w:rsidRPr="00F65705">
              <w:rPr>
                <w:color w:val="auto"/>
              </w:rPr>
              <w:t>Description</w:t>
            </w:r>
          </w:p>
        </w:tc>
      </w:tr>
      <w:tr w:rsidR="00F65705" w:rsidRPr="00F65705" w14:paraId="0F791C46" w14:textId="77777777" w:rsidTr="00DC62CD">
        <w:trPr>
          <w:trHeight w:val="630"/>
          <w:jc w:val="center"/>
        </w:trPr>
        <w:tc>
          <w:tcPr>
            <w:tcW w:w="1232" w:type="pct"/>
            <w:hideMark/>
          </w:tcPr>
          <w:p w14:paraId="063AE2BE" w14:textId="77777777" w:rsidR="00865C8A" w:rsidRPr="00F65705" w:rsidRDefault="00865C8A" w:rsidP="00DC62CD">
            <w:pPr>
              <w:pStyle w:val="TableParagraph"/>
            </w:pPr>
            <w:r w:rsidRPr="00F65705">
              <w:t>Price increase request (including brand premiums)</w:t>
            </w:r>
          </w:p>
        </w:tc>
        <w:tc>
          <w:tcPr>
            <w:tcW w:w="3768" w:type="pct"/>
            <w:hideMark/>
          </w:tcPr>
          <w:p w14:paraId="1C193E56" w14:textId="77777777" w:rsidR="00865C8A" w:rsidRPr="00F65705" w:rsidRDefault="00865C8A" w:rsidP="00DC62CD">
            <w:pPr>
              <w:pStyle w:val="TableParagraph"/>
            </w:pPr>
            <w:r w:rsidRPr="00F65705">
              <w:t>Applicants may seek the Minister (or delegate) to consider a request a price increase for a particular product listed on the PBS.</w:t>
            </w:r>
          </w:p>
        </w:tc>
      </w:tr>
      <w:tr w:rsidR="00F65705" w:rsidRPr="00F65705" w14:paraId="79D8A9F9" w14:textId="77777777" w:rsidTr="00DC62CD">
        <w:trPr>
          <w:trHeight w:val="630"/>
          <w:jc w:val="center"/>
        </w:trPr>
        <w:tc>
          <w:tcPr>
            <w:tcW w:w="1232" w:type="pct"/>
            <w:hideMark/>
          </w:tcPr>
          <w:p w14:paraId="343E514B" w14:textId="77777777" w:rsidR="00865C8A" w:rsidRPr="00F65705" w:rsidRDefault="00865C8A" w:rsidP="00DC62CD">
            <w:pPr>
              <w:pStyle w:val="TableParagraph"/>
            </w:pPr>
            <w:r w:rsidRPr="00F65705">
              <w:t>Ministerial discretion request</w:t>
            </w:r>
          </w:p>
        </w:tc>
        <w:tc>
          <w:tcPr>
            <w:tcW w:w="3768" w:type="pct"/>
            <w:hideMark/>
          </w:tcPr>
          <w:p w14:paraId="55C175FF" w14:textId="77777777" w:rsidR="00865C8A" w:rsidRPr="00F65705" w:rsidRDefault="00865C8A" w:rsidP="00DC62CD">
            <w:pPr>
              <w:pStyle w:val="TableParagraph"/>
            </w:pPr>
            <w:r w:rsidRPr="00F65705">
              <w:t>Applicants may seek the Minister (or delegate) consider the statutory price reduction or cumulative effects of other price reductions are not to apply.</w:t>
            </w:r>
          </w:p>
        </w:tc>
      </w:tr>
      <w:tr w:rsidR="00F65705" w:rsidRPr="00F65705" w14:paraId="3F1AB529" w14:textId="77777777" w:rsidTr="00DC62CD">
        <w:trPr>
          <w:trHeight w:val="630"/>
          <w:jc w:val="center"/>
        </w:trPr>
        <w:tc>
          <w:tcPr>
            <w:tcW w:w="1232" w:type="pct"/>
          </w:tcPr>
          <w:p w14:paraId="07FDBCB5" w14:textId="77777777" w:rsidR="00865C8A" w:rsidRPr="00F65705" w:rsidRDefault="00865C8A" w:rsidP="00DC62CD">
            <w:pPr>
              <w:pStyle w:val="TableParagraph"/>
            </w:pPr>
            <w:r w:rsidRPr="00F65705">
              <w:t>Deed renewal request</w:t>
            </w:r>
          </w:p>
        </w:tc>
        <w:tc>
          <w:tcPr>
            <w:tcW w:w="3768" w:type="pct"/>
          </w:tcPr>
          <w:p w14:paraId="2C3D19FC" w14:textId="77777777" w:rsidR="00865C8A" w:rsidRPr="00F65705" w:rsidRDefault="00865C8A" w:rsidP="00DC62CD">
            <w:pPr>
              <w:pStyle w:val="Paragraphtext"/>
              <w:spacing w:before="0" w:after="0"/>
              <w:rPr>
                <w:rFonts w:asciiTheme="minorHAnsi" w:hAnsiTheme="minorHAnsi" w:cstheme="minorHAnsi"/>
                <w:color w:val="auto"/>
                <w:sz w:val="22"/>
                <w:szCs w:val="22"/>
              </w:rPr>
            </w:pPr>
            <w:r w:rsidRPr="00F65705">
              <w:rPr>
                <w:rFonts w:asciiTheme="minorHAnsi" w:hAnsiTheme="minorHAnsi" w:cstheme="minorHAnsi"/>
                <w:color w:val="auto"/>
                <w:sz w:val="22"/>
                <w:szCs w:val="22"/>
              </w:rPr>
              <w:t xml:space="preserve">Applicants may seek to renew a deed agreement at the cessation of the existing </w:t>
            </w:r>
            <w:proofErr w:type="gramStart"/>
            <w:r w:rsidRPr="00F65705">
              <w:rPr>
                <w:rFonts w:asciiTheme="minorHAnsi" w:hAnsiTheme="minorHAnsi" w:cstheme="minorHAnsi"/>
                <w:color w:val="auto"/>
                <w:sz w:val="22"/>
                <w:szCs w:val="22"/>
              </w:rPr>
              <w:t>five year</w:t>
            </w:r>
            <w:proofErr w:type="gramEnd"/>
            <w:r w:rsidRPr="00F65705">
              <w:rPr>
                <w:rFonts w:asciiTheme="minorHAnsi" w:hAnsiTheme="minorHAnsi" w:cstheme="minorHAnsi"/>
                <w:color w:val="auto"/>
                <w:sz w:val="22"/>
                <w:szCs w:val="22"/>
              </w:rPr>
              <w:t xml:space="preserve"> deed term. </w:t>
            </w:r>
            <w:r w:rsidRPr="00F65705">
              <w:rPr>
                <w:rFonts w:asciiTheme="minorHAnsi" w:hAnsiTheme="minorHAnsi" w:cstheme="minorHAnsi"/>
                <w:color w:val="auto"/>
                <w:sz w:val="22"/>
              </w:rPr>
              <w:t>Activities include re-</w:t>
            </w:r>
            <w:r w:rsidRPr="00F65705">
              <w:rPr>
                <w:rFonts w:asciiTheme="minorHAnsi" w:hAnsiTheme="minorHAnsi" w:cstheme="minorHAnsi"/>
                <w:color w:val="auto"/>
                <w:sz w:val="22"/>
                <w:szCs w:val="22"/>
              </w:rPr>
              <w:t xml:space="preserve">negotiation and on what terms the existing deed should be renewed under s85E of the </w:t>
            </w:r>
            <w:r w:rsidRPr="00F65705">
              <w:rPr>
                <w:rFonts w:asciiTheme="minorHAnsi" w:hAnsiTheme="minorHAnsi" w:cstheme="minorHAnsi"/>
                <w:i/>
                <w:color w:val="auto"/>
                <w:sz w:val="22"/>
                <w:szCs w:val="22"/>
              </w:rPr>
              <w:t xml:space="preserve">National Health Act 1953 </w:t>
            </w:r>
            <w:r w:rsidRPr="00F65705">
              <w:rPr>
                <w:rFonts w:asciiTheme="minorHAnsi" w:hAnsiTheme="minorHAnsi" w:cstheme="minorHAnsi"/>
                <w:color w:val="auto"/>
                <w:sz w:val="22"/>
                <w:szCs w:val="22"/>
              </w:rPr>
              <w:t>and rebate management services.</w:t>
            </w:r>
          </w:p>
        </w:tc>
      </w:tr>
      <w:tr w:rsidR="00F65705" w:rsidRPr="00F65705" w14:paraId="12B0A730" w14:textId="77777777" w:rsidTr="00DC62CD">
        <w:trPr>
          <w:trHeight w:val="630"/>
          <w:jc w:val="center"/>
        </w:trPr>
        <w:tc>
          <w:tcPr>
            <w:tcW w:w="1232" w:type="pct"/>
          </w:tcPr>
          <w:p w14:paraId="7EA4ACD9" w14:textId="77777777" w:rsidR="00865C8A" w:rsidRPr="00F65705" w:rsidRDefault="00865C8A" w:rsidP="00DC62CD">
            <w:pPr>
              <w:pStyle w:val="TableParagraph"/>
            </w:pPr>
            <w:r w:rsidRPr="00F65705">
              <w:t xml:space="preserve">Deed variation request </w:t>
            </w:r>
          </w:p>
        </w:tc>
        <w:tc>
          <w:tcPr>
            <w:tcW w:w="3768" w:type="pct"/>
          </w:tcPr>
          <w:p w14:paraId="0E880190" w14:textId="77777777" w:rsidR="00865C8A" w:rsidRPr="00F65705" w:rsidRDefault="00865C8A" w:rsidP="00DC62CD">
            <w:pPr>
              <w:pStyle w:val="Paragraphtext"/>
              <w:spacing w:before="0" w:after="0"/>
              <w:rPr>
                <w:rFonts w:asciiTheme="minorHAnsi" w:hAnsiTheme="minorHAnsi" w:cstheme="minorHAnsi"/>
                <w:color w:val="auto"/>
                <w:sz w:val="22"/>
              </w:rPr>
            </w:pPr>
            <w:r w:rsidRPr="00F65705">
              <w:rPr>
                <w:rFonts w:asciiTheme="minorHAnsi" w:hAnsiTheme="minorHAnsi" w:cstheme="minorHAnsi"/>
                <w:color w:val="auto"/>
                <w:sz w:val="22"/>
              </w:rPr>
              <w:t xml:space="preserve">Applicants may seek to vary the terms of an existing deed (within the current deed term). Activities include </w:t>
            </w:r>
            <w:r w:rsidRPr="00F65705">
              <w:rPr>
                <w:rFonts w:asciiTheme="minorHAnsi" w:hAnsiTheme="minorHAnsi" w:cstheme="minorHAnsi"/>
                <w:color w:val="auto"/>
                <w:sz w:val="22"/>
                <w:szCs w:val="22"/>
              </w:rPr>
              <w:t xml:space="preserve">negotiation of the terms the existing deed should be varied under s85E of the </w:t>
            </w:r>
            <w:r w:rsidRPr="00F65705">
              <w:rPr>
                <w:rFonts w:asciiTheme="minorHAnsi" w:hAnsiTheme="minorHAnsi" w:cstheme="minorHAnsi"/>
                <w:i/>
                <w:color w:val="auto"/>
                <w:sz w:val="22"/>
                <w:szCs w:val="22"/>
              </w:rPr>
              <w:t>National Health Act 1953.</w:t>
            </w:r>
          </w:p>
        </w:tc>
      </w:tr>
      <w:tr w:rsidR="00F65705" w:rsidRPr="00F65705" w14:paraId="68664A08" w14:textId="77777777" w:rsidTr="00DC62CD">
        <w:trPr>
          <w:trHeight w:val="630"/>
          <w:jc w:val="center"/>
        </w:trPr>
        <w:tc>
          <w:tcPr>
            <w:tcW w:w="1232" w:type="pct"/>
          </w:tcPr>
          <w:p w14:paraId="1E0AA6EB" w14:textId="77777777" w:rsidR="00865C8A" w:rsidRPr="00F65705" w:rsidRDefault="00865C8A" w:rsidP="00DC62CD">
            <w:pPr>
              <w:pStyle w:val="TableParagraph"/>
            </w:pPr>
            <w:r w:rsidRPr="00F65705">
              <w:t>Ministerial determination request (Stockholding request)</w:t>
            </w:r>
          </w:p>
        </w:tc>
        <w:tc>
          <w:tcPr>
            <w:tcW w:w="3768" w:type="pct"/>
          </w:tcPr>
          <w:p w14:paraId="19B24DFB" w14:textId="77777777" w:rsidR="00865C8A" w:rsidRPr="00F65705" w:rsidRDefault="00865C8A" w:rsidP="00DC62CD">
            <w:pPr>
              <w:pStyle w:val="Paragraphtext"/>
              <w:spacing w:before="0" w:after="0"/>
              <w:rPr>
                <w:rFonts w:asciiTheme="minorHAnsi" w:hAnsiTheme="minorHAnsi" w:cstheme="minorHAnsi"/>
                <w:color w:val="auto"/>
                <w:sz w:val="22"/>
              </w:rPr>
            </w:pPr>
            <w:r w:rsidRPr="00F65705">
              <w:rPr>
                <w:rFonts w:asciiTheme="minorHAnsi" w:hAnsiTheme="minorHAnsi" w:cstheme="minorHAnsi"/>
                <w:color w:val="auto"/>
                <w:sz w:val="22"/>
                <w:szCs w:val="22"/>
              </w:rPr>
              <w:t>Applicants may request a determination of the Minister (or a delegate) to alter stockholding arrangements to remain compliant with their legal obligations to supply a minimum quantity of certain PBS-listed medicines within Australia.</w:t>
            </w:r>
          </w:p>
        </w:tc>
      </w:tr>
    </w:tbl>
    <w:p w14:paraId="3733096C" w14:textId="77777777" w:rsidR="00865C8A" w:rsidRPr="00F65705" w:rsidRDefault="00865C8A" w:rsidP="00865C8A">
      <w:pPr>
        <w:spacing w:before="600" w:after="120"/>
        <w:rPr>
          <w:rFonts w:asciiTheme="minorHAnsi" w:hAnsiTheme="minorHAnsi" w:cstheme="minorHAnsi"/>
          <w:sz w:val="22"/>
          <w:szCs w:val="22"/>
        </w:rPr>
      </w:pPr>
      <w:r w:rsidRPr="00F65705">
        <w:rPr>
          <w:rFonts w:asciiTheme="minorHAnsi" w:hAnsiTheme="minorHAnsi"/>
          <w:sz w:val="28"/>
          <w:szCs w:val="28"/>
        </w:rPr>
        <w:t>3.2</w:t>
      </w:r>
      <w:r w:rsidRPr="00F65705">
        <w:rPr>
          <w:rFonts w:asciiTheme="minorHAnsi" w:hAnsiTheme="minorHAnsi"/>
          <w:sz w:val="28"/>
          <w:szCs w:val="28"/>
        </w:rPr>
        <w:tab/>
        <w:t>Costs of the regulatory charging activity</w:t>
      </w:r>
    </w:p>
    <w:p w14:paraId="3BFD3905" w14:textId="77777777" w:rsidR="00865C8A" w:rsidRPr="00F65705" w:rsidRDefault="00865C8A" w:rsidP="00865C8A">
      <w:pPr>
        <w:spacing w:before="120" w:after="120"/>
        <w:rPr>
          <w:rFonts w:asciiTheme="minorHAnsi" w:hAnsiTheme="minorHAnsi" w:cstheme="minorHAnsi"/>
          <w:sz w:val="22"/>
          <w:szCs w:val="22"/>
        </w:rPr>
      </w:pPr>
      <w:r w:rsidRPr="00F65705">
        <w:rPr>
          <w:rFonts w:asciiTheme="minorHAnsi" w:hAnsiTheme="minorHAnsi" w:cstheme="minorHAnsi"/>
          <w:sz w:val="22"/>
          <w:szCs w:val="22"/>
        </w:rPr>
        <w:t xml:space="preserve">For the 2023-24 financial year, the total regulatory effort required by the Department to deliver </w:t>
      </w:r>
      <w:r w:rsidRPr="00F65705">
        <w:rPr>
          <w:rFonts w:asciiTheme="minorHAnsi" w:eastAsia="SimSun" w:hAnsiTheme="minorHAnsi"/>
          <w:sz w:val="22"/>
        </w:rPr>
        <w:t>services related to PBS and NIP</w:t>
      </w:r>
      <w:r w:rsidRPr="00F65705" w:rsidDel="00F553F5">
        <w:rPr>
          <w:rFonts w:asciiTheme="minorHAnsi" w:hAnsiTheme="minorHAnsi" w:cstheme="minorHAnsi"/>
          <w:sz w:val="22"/>
          <w:szCs w:val="22"/>
        </w:rPr>
        <w:t xml:space="preserve"> </w:t>
      </w:r>
      <w:r w:rsidRPr="00F65705">
        <w:rPr>
          <w:rFonts w:asciiTheme="minorHAnsi" w:hAnsiTheme="minorHAnsi" w:cstheme="minorHAnsi"/>
          <w:sz w:val="22"/>
          <w:szCs w:val="22"/>
        </w:rPr>
        <w:t xml:space="preserve">listing activities is estimated to be $39.70 million. </w:t>
      </w:r>
    </w:p>
    <w:p w14:paraId="7C8144E9" w14:textId="77777777" w:rsidR="00865C8A" w:rsidRPr="00F65705" w:rsidRDefault="00865C8A" w:rsidP="00865C8A">
      <w:pPr>
        <w:spacing w:before="120" w:after="120"/>
        <w:rPr>
          <w:rFonts w:asciiTheme="minorHAnsi" w:hAnsiTheme="minorHAnsi" w:cstheme="minorHAnsi"/>
          <w:sz w:val="22"/>
          <w:szCs w:val="22"/>
        </w:rPr>
      </w:pPr>
      <w:r w:rsidRPr="00F65705">
        <w:rPr>
          <w:rFonts w:asciiTheme="minorHAnsi" w:hAnsiTheme="minorHAnsi" w:cstheme="minorHAnsi"/>
          <w:sz w:val="22"/>
          <w:szCs w:val="22"/>
        </w:rPr>
        <w:t xml:space="preserve">The current cost recovery regulations provide waivers and exemptions for sponsors if their submissions satisfy the criteria. Fee waivers and fee exemptions are available across all charging categories, </w:t>
      </w:r>
      <w:proofErr w:type="gramStart"/>
      <w:r w:rsidRPr="00F65705">
        <w:rPr>
          <w:rFonts w:asciiTheme="minorHAnsi" w:hAnsiTheme="minorHAnsi" w:cstheme="minorHAnsi"/>
          <w:sz w:val="22"/>
          <w:szCs w:val="22"/>
        </w:rPr>
        <w:t>with the exception of</w:t>
      </w:r>
      <w:proofErr w:type="gramEnd"/>
      <w:r w:rsidRPr="00F65705">
        <w:rPr>
          <w:rFonts w:asciiTheme="minorHAnsi" w:hAnsiTheme="minorHAnsi" w:cstheme="minorHAnsi"/>
          <w:sz w:val="22"/>
          <w:szCs w:val="22"/>
        </w:rPr>
        <w:t xml:space="preserve"> pre-submission meetings. The estimated cost for waivers and exemptions granted is $2.61 million. In addition, PBS list regulatory activities (see Section 2.1), estimated to cost $5.42 million, are not cost recovered</w:t>
      </w:r>
      <w:r w:rsidRPr="00F65705">
        <w:rPr>
          <w:rFonts w:asciiTheme="minorHAnsi" w:hAnsiTheme="minorHAnsi"/>
          <w:sz w:val="22"/>
        </w:rPr>
        <w:t xml:space="preserve">. </w:t>
      </w:r>
    </w:p>
    <w:p w14:paraId="063DA585" w14:textId="77777777" w:rsidR="00865C8A" w:rsidRPr="00F65705" w:rsidRDefault="00865C8A" w:rsidP="00865C8A">
      <w:pPr>
        <w:autoSpaceDE w:val="0"/>
        <w:autoSpaceDN w:val="0"/>
        <w:adjustRightInd w:val="0"/>
        <w:rPr>
          <w:rFonts w:asciiTheme="minorHAnsi" w:eastAsiaTheme="minorHAnsi" w:hAnsiTheme="minorHAnsi" w:cstheme="minorHAnsi"/>
          <w:sz w:val="22"/>
          <w:szCs w:val="22"/>
        </w:rPr>
      </w:pPr>
    </w:p>
    <w:tbl>
      <w:tblPr>
        <w:tblW w:w="5000" w:type="pct"/>
        <w:tblLook w:val="04A0" w:firstRow="1" w:lastRow="0" w:firstColumn="1" w:lastColumn="0" w:noHBand="0" w:noVBand="1"/>
        <w:tblCaption w:val="Table 6 - PBS cost recovery activity and cost summary for 1 Jan to 30 Jun 2021"/>
        <w:tblDescription w:val="This table outlines the high-level cost recovery activity costs."/>
      </w:tblPr>
      <w:tblGrid>
        <w:gridCol w:w="6430"/>
        <w:gridCol w:w="3198"/>
      </w:tblGrid>
      <w:tr w:rsidR="00F65705" w:rsidRPr="00F65705" w14:paraId="57DDBFE2" w14:textId="77777777" w:rsidTr="00DC62CD">
        <w:trPr>
          <w:trHeight w:val="348"/>
        </w:trPr>
        <w:tc>
          <w:tcPr>
            <w:tcW w:w="3339" w:type="pct"/>
            <w:tcBorders>
              <w:top w:val="single" w:sz="4" w:space="0" w:color="808080"/>
              <w:left w:val="single" w:sz="4" w:space="0" w:color="808080"/>
              <w:bottom w:val="single" w:sz="4" w:space="0" w:color="808080"/>
              <w:right w:val="nil"/>
            </w:tcBorders>
            <w:shd w:val="clear" w:color="auto" w:fill="000000" w:themeFill="text1"/>
            <w:vAlign w:val="center"/>
          </w:tcPr>
          <w:p w14:paraId="060390FF" w14:textId="77777777" w:rsidR="00865C8A" w:rsidRPr="00F65705" w:rsidRDefault="00865C8A" w:rsidP="00DC62CD">
            <w:pPr>
              <w:pStyle w:val="TableParagraph"/>
              <w:jc w:val="center"/>
              <w:rPr>
                <w:rFonts w:cstheme="minorHAnsi"/>
                <w:b/>
                <w:bCs/>
                <w:sz w:val="20"/>
                <w:szCs w:val="20"/>
              </w:rPr>
            </w:pPr>
            <w:r w:rsidRPr="00F65705">
              <w:rPr>
                <w:rFonts w:cstheme="minorHAnsi"/>
                <w:b/>
              </w:rPr>
              <w:t xml:space="preserve">Table 6 - </w:t>
            </w:r>
            <w:r w:rsidRPr="00F65705">
              <w:rPr>
                <w:rFonts w:cstheme="minorHAnsi"/>
                <w:b/>
                <w:bCs/>
              </w:rPr>
              <w:t xml:space="preserve">PBS cost recovery activity and cost </w:t>
            </w:r>
            <w:r w:rsidRPr="00F65705">
              <w:rPr>
                <w:b/>
              </w:rPr>
              <w:t>summary</w:t>
            </w:r>
            <w:r w:rsidRPr="00F65705">
              <w:rPr>
                <w:rFonts w:cstheme="minorHAnsi"/>
                <w:b/>
              </w:rPr>
              <w:t xml:space="preserve"> for 2023-24</w:t>
            </w:r>
            <w:r w:rsidRPr="00F65705" w:rsidDel="000C02F3">
              <w:rPr>
                <w:rFonts w:cstheme="minorHAnsi"/>
                <w:b/>
              </w:rPr>
              <w:t xml:space="preserve"> </w:t>
            </w:r>
          </w:p>
        </w:tc>
        <w:tc>
          <w:tcPr>
            <w:tcW w:w="1661" w:type="pct"/>
            <w:tcBorders>
              <w:top w:val="single" w:sz="4" w:space="0" w:color="808080"/>
              <w:left w:val="single" w:sz="4" w:space="0" w:color="808080"/>
              <w:bottom w:val="single" w:sz="4" w:space="0" w:color="808080"/>
              <w:right w:val="single" w:sz="4" w:space="0" w:color="808080"/>
            </w:tcBorders>
            <w:shd w:val="clear" w:color="auto" w:fill="000000" w:themeFill="text1"/>
            <w:vAlign w:val="center"/>
          </w:tcPr>
          <w:p w14:paraId="51DE4A85" w14:textId="77777777" w:rsidR="00865C8A" w:rsidRPr="00F65705" w:rsidRDefault="00865C8A" w:rsidP="00DC62CD">
            <w:pPr>
              <w:pStyle w:val="TableParagraph"/>
              <w:jc w:val="center"/>
              <w:rPr>
                <w:rFonts w:cstheme="minorHAnsi"/>
                <w:b/>
                <w:bCs/>
                <w:sz w:val="20"/>
                <w:szCs w:val="20"/>
              </w:rPr>
            </w:pPr>
            <w:r w:rsidRPr="00F65705">
              <w:rPr>
                <w:rFonts w:cstheme="minorHAnsi"/>
                <w:b/>
                <w:bCs/>
                <w:sz w:val="20"/>
                <w:szCs w:val="20"/>
              </w:rPr>
              <w:t>Estimated Cost for 1 July 2023 – 30 June 2024 ($ million)</w:t>
            </w:r>
          </w:p>
        </w:tc>
      </w:tr>
      <w:tr w:rsidR="00F65705" w:rsidRPr="00F65705" w14:paraId="15DBA943" w14:textId="77777777" w:rsidTr="00DC62CD">
        <w:trPr>
          <w:trHeight w:val="324"/>
        </w:trPr>
        <w:tc>
          <w:tcPr>
            <w:tcW w:w="3339" w:type="pct"/>
            <w:tcBorders>
              <w:top w:val="nil"/>
              <w:left w:val="single" w:sz="4" w:space="0" w:color="808080"/>
              <w:bottom w:val="dotted" w:sz="4" w:space="0" w:color="808080"/>
              <w:right w:val="single" w:sz="4" w:space="0" w:color="808080"/>
            </w:tcBorders>
            <w:noWrap/>
            <w:vAlign w:val="center"/>
          </w:tcPr>
          <w:p w14:paraId="71172CB2" w14:textId="77777777" w:rsidR="00865C8A" w:rsidRPr="00F65705" w:rsidRDefault="00865C8A" w:rsidP="00DC62CD">
            <w:pPr>
              <w:pStyle w:val="TableParagraph"/>
              <w:rPr>
                <w:rFonts w:cstheme="minorHAnsi"/>
                <w:bCs/>
                <w:sz w:val="20"/>
                <w:szCs w:val="20"/>
              </w:rPr>
            </w:pPr>
            <w:r w:rsidRPr="00F65705">
              <w:rPr>
                <w:rFonts w:cstheme="minorHAnsi"/>
                <w:bCs/>
                <w:sz w:val="20"/>
                <w:szCs w:val="20"/>
              </w:rPr>
              <w:t>ATAGI Pre-submission Evaluation</w:t>
            </w:r>
          </w:p>
        </w:tc>
        <w:tc>
          <w:tcPr>
            <w:tcW w:w="1661" w:type="pct"/>
            <w:tcBorders>
              <w:top w:val="nil"/>
              <w:left w:val="single" w:sz="4" w:space="0" w:color="808080"/>
              <w:bottom w:val="dotted" w:sz="4" w:space="0" w:color="808080"/>
              <w:right w:val="single" w:sz="4" w:space="0" w:color="808080"/>
            </w:tcBorders>
            <w:noWrap/>
          </w:tcPr>
          <w:p w14:paraId="211AA293" w14:textId="77777777" w:rsidR="00865C8A" w:rsidRPr="00F65705" w:rsidRDefault="00865C8A" w:rsidP="00DC62CD">
            <w:pPr>
              <w:pStyle w:val="TableParagraph"/>
              <w:contextualSpacing/>
              <w:rPr>
                <w:rFonts w:cstheme="minorHAnsi"/>
                <w:bCs/>
                <w:sz w:val="20"/>
                <w:szCs w:val="20"/>
              </w:rPr>
            </w:pPr>
            <w:r w:rsidRPr="00F65705">
              <w:t xml:space="preserve"> $0.99 </w:t>
            </w:r>
          </w:p>
        </w:tc>
      </w:tr>
      <w:tr w:rsidR="00F65705" w:rsidRPr="00F65705" w14:paraId="124F2326" w14:textId="77777777" w:rsidTr="00DC62CD">
        <w:trPr>
          <w:trHeight w:val="324"/>
        </w:trPr>
        <w:tc>
          <w:tcPr>
            <w:tcW w:w="3339" w:type="pct"/>
            <w:tcBorders>
              <w:top w:val="nil"/>
              <w:left w:val="single" w:sz="4" w:space="0" w:color="808080"/>
              <w:bottom w:val="dotted" w:sz="4" w:space="0" w:color="808080"/>
              <w:right w:val="single" w:sz="4" w:space="0" w:color="808080"/>
            </w:tcBorders>
            <w:noWrap/>
            <w:vAlign w:val="center"/>
          </w:tcPr>
          <w:p w14:paraId="26F92A3C" w14:textId="77777777" w:rsidR="00865C8A" w:rsidRPr="00F65705" w:rsidRDefault="00865C8A" w:rsidP="00DC62CD">
            <w:pPr>
              <w:pStyle w:val="TableParagraph"/>
              <w:rPr>
                <w:rFonts w:cstheme="minorHAnsi"/>
                <w:bCs/>
                <w:sz w:val="20"/>
                <w:szCs w:val="20"/>
              </w:rPr>
            </w:pPr>
            <w:r w:rsidRPr="00F65705">
              <w:rPr>
                <w:rFonts w:cstheme="minorHAnsi"/>
                <w:bCs/>
                <w:sz w:val="20"/>
                <w:szCs w:val="20"/>
              </w:rPr>
              <w:t>Pre-submission Meetings</w:t>
            </w:r>
          </w:p>
        </w:tc>
        <w:tc>
          <w:tcPr>
            <w:tcW w:w="1661" w:type="pct"/>
            <w:tcBorders>
              <w:top w:val="nil"/>
              <w:left w:val="single" w:sz="4" w:space="0" w:color="808080"/>
              <w:bottom w:val="dotted" w:sz="4" w:space="0" w:color="808080"/>
              <w:right w:val="single" w:sz="4" w:space="0" w:color="808080"/>
            </w:tcBorders>
            <w:noWrap/>
          </w:tcPr>
          <w:p w14:paraId="3FD610CB" w14:textId="77777777" w:rsidR="00865C8A" w:rsidRPr="00F65705" w:rsidRDefault="00865C8A" w:rsidP="00DC62CD">
            <w:pPr>
              <w:pStyle w:val="TableParagraph"/>
              <w:contextualSpacing/>
              <w:rPr>
                <w:rFonts w:cstheme="minorHAnsi"/>
                <w:bCs/>
                <w:sz w:val="20"/>
                <w:szCs w:val="20"/>
              </w:rPr>
            </w:pPr>
            <w:r w:rsidRPr="00F65705">
              <w:t xml:space="preserve"> $1.14 </w:t>
            </w:r>
          </w:p>
        </w:tc>
      </w:tr>
      <w:tr w:rsidR="00F65705" w:rsidRPr="00F65705" w14:paraId="222C8C3C" w14:textId="77777777" w:rsidTr="00DC62CD">
        <w:trPr>
          <w:trHeight w:val="324"/>
        </w:trPr>
        <w:tc>
          <w:tcPr>
            <w:tcW w:w="3339" w:type="pct"/>
            <w:tcBorders>
              <w:top w:val="nil"/>
              <w:left w:val="single" w:sz="4" w:space="0" w:color="808080"/>
              <w:bottom w:val="dotted" w:sz="4" w:space="0" w:color="808080"/>
              <w:right w:val="single" w:sz="4" w:space="0" w:color="808080"/>
            </w:tcBorders>
            <w:noWrap/>
            <w:vAlign w:val="center"/>
          </w:tcPr>
          <w:p w14:paraId="010435C3" w14:textId="77777777" w:rsidR="00865C8A" w:rsidRPr="00F65705" w:rsidRDefault="00865C8A" w:rsidP="00DC62CD">
            <w:pPr>
              <w:pStyle w:val="TableParagraph"/>
              <w:rPr>
                <w:rFonts w:cstheme="minorHAnsi"/>
                <w:bCs/>
                <w:sz w:val="20"/>
                <w:szCs w:val="20"/>
              </w:rPr>
            </w:pPr>
            <w:r w:rsidRPr="00F65705">
              <w:rPr>
                <w:rFonts w:cstheme="minorHAnsi"/>
                <w:bCs/>
                <w:sz w:val="20"/>
                <w:szCs w:val="20"/>
              </w:rPr>
              <w:t>Notice of Intent</w:t>
            </w:r>
          </w:p>
        </w:tc>
        <w:tc>
          <w:tcPr>
            <w:tcW w:w="1661" w:type="pct"/>
            <w:tcBorders>
              <w:top w:val="nil"/>
              <w:left w:val="single" w:sz="4" w:space="0" w:color="808080"/>
              <w:bottom w:val="dotted" w:sz="4" w:space="0" w:color="808080"/>
              <w:right w:val="single" w:sz="4" w:space="0" w:color="808080"/>
            </w:tcBorders>
            <w:noWrap/>
          </w:tcPr>
          <w:p w14:paraId="198F1BDC" w14:textId="77777777" w:rsidR="00865C8A" w:rsidRPr="00F65705" w:rsidRDefault="00865C8A" w:rsidP="00DC62CD">
            <w:pPr>
              <w:pStyle w:val="TableParagraph"/>
              <w:contextualSpacing/>
              <w:rPr>
                <w:rFonts w:cstheme="minorHAnsi"/>
                <w:bCs/>
                <w:sz w:val="20"/>
                <w:szCs w:val="20"/>
              </w:rPr>
            </w:pPr>
            <w:r w:rsidRPr="00F65705">
              <w:t xml:space="preserve"> $0.13 </w:t>
            </w:r>
          </w:p>
        </w:tc>
      </w:tr>
      <w:tr w:rsidR="00F65705" w:rsidRPr="00F65705" w14:paraId="1AE85E12" w14:textId="77777777" w:rsidTr="00DC62CD">
        <w:trPr>
          <w:trHeight w:val="324"/>
        </w:trPr>
        <w:tc>
          <w:tcPr>
            <w:tcW w:w="3339" w:type="pct"/>
            <w:tcBorders>
              <w:top w:val="nil"/>
              <w:left w:val="single" w:sz="4" w:space="0" w:color="808080"/>
              <w:bottom w:val="dotted" w:sz="4" w:space="0" w:color="808080"/>
              <w:right w:val="single" w:sz="4" w:space="0" w:color="808080"/>
            </w:tcBorders>
            <w:noWrap/>
            <w:vAlign w:val="center"/>
          </w:tcPr>
          <w:p w14:paraId="220C9973" w14:textId="77777777" w:rsidR="00865C8A" w:rsidRPr="00F65705" w:rsidRDefault="00865C8A" w:rsidP="00DC62CD">
            <w:pPr>
              <w:pStyle w:val="TableParagraph"/>
              <w:rPr>
                <w:rFonts w:cstheme="minorHAnsi"/>
                <w:bCs/>
                <w:sz w:val="20"/>
                <w:szCs w:val="20"/>
              </w:rPr>
            </w:pPr>
            <w:r w:rsidRPr="00F65705">
              <w:rPr>
                <w:rFonts w:cstheme="minorHAnsi"/>
                <w:bCs/>
                <w:sz w:val="20"/>
                <w:szCs w:val="20"/>
              </w:rPr>
              <w:t>PBAC Submission Evaluation</w:t>
            </w:r>
          </w:p>
        </w:tc>
        <w:tc>
          <w:tcPr>
            <w:tcW w:w="1661" w:type="pct"/>
            <w:tcBorders>
              <w:top w:val="nil"/>
              <w:left w:val="single" w:sz="4" w:space="0" w:color="808080"/>
              <w:bottom w:val="dotted" w:sz="4" w:space="0" w:color="808080"/>
              <w:right w:val="single" w:sz="4" w:space="0" w:color="808080"/>
            </w:tcBorders>
            <w:noWrap/>
          </w:tcPr>
          <w:p w14:paraId="5867A316" w14:textId="77777777" w:rsidR="00865C8A" w:rsidRPr="00F65705" w:rsidRDefault="00865C8A" w:rsidP="00DC62CD">
            <w:pPr>
              <w:pStyle w:val="TableParagraph"/>
              <w:contextualSpacing/>
              <w:rPr>
                <w:rFonts w:cstheme="minorHAnsi"/>
                <w:bCs/>
                <w:sz w:val="20"/>
                <w:szCs w:val="20"/>
              </w:rPr>
            </w:pPr>
            <w:r w:rsidRPr="00F65705">
              <w:t xml:space="preserve"> $24.83 </w:t>
            </w:r>
          </w:p>
        </w:tc>
      </w:tr>
      <w:tr w:rsidR="00F65705" w:rsidRPr="00F65705" w14:paraId="24146A2A" w14:textId="77777777" w:rsidTr="00DC62CD">
        <w:trPr>
          <w:trHeight w:val="324"/>
        </w:trPr>
        <w:tc>
          <w:tcPr>
            <w:tcW w:w="3339" w:type="pct"/>
            <w:tcBorders>
              <w:top w:val="nil"/>
              <w:left w:val="single" w:sz="4" w:space="0" w:color="808080"/>
              <w:bottom w:val="dotted" w:sz="4" w:space="0" w:color="808080"/>
              <w:right w:val="single" w:sz="4" w:space="0" w:color="808080"/>
            </w:tcBorders>
            <w:noWrap/>
            <w:vAlign w:val="center"/>
          </w:tcPr>
          <w:p w14:paraId="5F6D96E1" w14:textId="77777777" w:rsidR="00865C8A" w:rsidRPr="00F65705" w:rsidRDefault="00865C8A" w:rsidP="00DC62CD">
            <w:pPr>
              <w:pStyle w:val="TableParagraph"/>
              <w:rPr>
                <w:rFonts w:cstheme="minorHAnsi"/>
                <w:bCs/>
                <w:sz w:val="20"/>
                <w:szCs w:val="20"/>
              </w:rPr>
            </w:pPr>
            <w:r w:rsidRPr="00F65705">
              <w:rPr>
                <w:rFonts w:cstheme="minorHAnsi"/>
                <w:bCs/>
                <w:sz w:val="20"/>
                <w:szCs w:val="20"/>
              </w:rPr>
              <w:t>PBS Pricing Services</w:t>
            </w:r>
          </w:p>
        </w:tc>
        <w:tc>
          <w:tcPr>
            <w:tcW w:w="1661" w:type="pct"/>
            <w:tcBorders>
              <w:top w:val="nil"/>
              <w:left w:val="single" w:sz="4" w:space="0" w:color="808080"/>
              <w:bottom w:val="dotted" w:sz="4" w:space="0" w:color="808080"/>
              <w:right w:val="single" w:sz="4" w:space="0" w:color="808080"/>
            </w:tcBorders>
            <w:noWrap/>
          </w:tcPr>
          <w:p w14:paraId="0A421460" w14:textId="77777777" w:rsidR="00865C8A" w:rsidRPr="00F65705" w:rsidRDefault="00865C8A" w:rsidP="00DC62CD">
            <w:pPr>
              <w:pStyle w:val="TableParagraph"/>
              <w:contextualSpacing/>
              <w:rPr>
                <w:rFonts w:cstheme="minorHAnsi"/>
                <w:bCs/>
                <w:sz w:val="20"/>
                <w:szCs w:val="20"/>
              </w:rPr>
            </w:pPr>
            <w:r w:rsidRPr="00F65705">
              <w:t xml:space="preserve"> $4.03 </w:t>
            </w:r>
          </w:p>
        </w:tc>
      </w:tr>
      <w:tr w:rsidR="00F65705" w:rsidRPr="00F65705" w14:paraId="593D6A24" w14:textId="77777777" w:rsidTr="00DC62CD">
        <w:trPr>
          <w:trHeight w:val="324"/>
        </w:trPr>
        <w:tc>
          <w:tcPr>
            <w:tcW w:w="3339" w:type="pct"/>
            <w:tcBorders>
              <w:top w:val="nil"/>
              <w:left w:val="single" w:sz="4" w:space="0" w:color="808080"/>
              <w:bottom w:val="dotted" w:sz="4" w:space="0" w:color="808080"/>
              <w:right w:val="single" w:sz="4" w:space="0" w:color="808080"/>
            </w:tcBorders>
            <w:noWrap/>
            <w:vAlign w:val="center"/>
          </w:tcPr>
          <w:p w14:paraId="3E398514" w14:textId="77777777" w:rsidR="00865C8A" w:rsidRPr="00F65705" w:rsidRDefault="00865C8A" w:rsidP="00DC62CD">
            <w:pPr>
              <w:pStyle w:val="TableParagraph"/>
              <w:rPr>
                <w:rFonts w:cstheme="minorHAnsi"/>
                <w:bCs/>
                <w:sz w:val="20"/>
                <w:szCs w:val="20"/>
              </w:rPr>
            </w:pPr>
            <w:r w:rsidRPr="00F65705">
              <w:rPr>
                <w:rFonts w:cstheme="minorHAnsi"/>
                <w:bCs/>
                <w:sz w:val="20"/>
                <w:szCs w:val="20"/>
              </w:rPr>
              <w:t>PBS List Management Services</w:t>
            </w:r>
          </w:p>
        </w:tc>
        <w:tc>
          <w:tcPr>
            <w:tcW w:w="1661" w:type="pct"/>
            <w:tcBorders>
              <w:top w:val="nil"/>
              <w:left w:val="single" w:sz="4" w:space="0" w:color="808080"/>
              <w:bottom w:val="dotted" w:sz="4" w:space="0" w:color="808080"/>
              <w:right w:val="single" w:sz="4" w:space="0" w:color="808080"/>
            </w:tcBorders>
            <w:noWrap/>
          </w:tcPr>
          <w:p w14:paraId="3FB33678" w14:textId="77777777" w:rsidR="00865C8A" w:rsidRPr="00F65705" w:rsidRDefault="00865C8A" w:rsidP="00DC62CD">
            <w:pPr>
              <w:pStyle w:val="TableParagraph"/>
              <w:contextualSpacing/>
              <w:rPr>
                <w:rFonts w:cstheme="minorHAnsi"/>
                <w:bCs/>
                <w:sz w:val="20"/>
                <w:szCs w:val="20"/>
              </w:rPr>
            </w:pPr>
            <w:r w:rsidRPr="00F65705">
              <w:t xml:space="preserve"> $3.17 </w:t>
            </w:r>
          </w:p>
        </w:tc>
      </w:tr>
      <w:tr w:rsidR="00F65705" w:rsidRPr="00F65705" w14:paraId="56155BA0" w14:textId="77777777" w:rsidTr="00DC62CD">
        <w:trPr>
          <w:trHeight w:val="324"/>
        </w:trPr>
        <w:tc>
          <w:tcPr>
            <w:tcW w:w="3339" w:type="pct"/>
            <w:tcBorders>
              <w:top w:val="nil"/>
              <w:left w:val="single" w:sz="4" w:space="0" w:color="808080"/>
              <w:bottom w:val="single" w:sz="4" w:space="0" w:color="808080"/>
              <w:right w:val="single" w:sz="4" w:space="0" w:color="808080"/>
            </w:tcBorders>
            <w:noWrap/>
            <w:vAlign w:val="center"/>
          </w:tcPr>
          <w:p w14:paraId="241DCB09" w14:textId="77777777" w:rsidR="00865C8A" w:rsidRPr="00F65705" w:rsidRDefault="00865C8A" w:rsidP="00DC62CD">
            <w:pPr>
              <w:pStyle w:val="TableParagraph"/>
              <w:rPr>
                <w:rFonts w:cstheme="minorHAnsi"/>
                <w:bCs/>
                <w:sz w:val="20"/>
                <w:szCs w:val="20"/>
              </w:rPr>
            </w:pPr>
            <w:r w:rsidRPr="00F65705">
              <w:rPr>
                <w:rFonts w:cstheme="minorHAnsi"/>
                <w:bCs/>
                <w:sz w:val="20"/>
                <w:szCs w:val="20"/>
              </w:rPr>
              <w:t>PBS List Regulatory Activities</w:t>
            </w:r>
          </w:p>
        </w:tc>
        <w:tc>
          <w:tcPr>
            <w:tcW w:w="1661" w:type="pct"/>
            <w:tcBorders>
              <w:top w:val="nil"/>
              <w:left w:val="single" w:sz="4" w:space="0" w:color="808080"/>
              <w:bottom w:val="single" w:sz="4" w:space="0" w:color="808080"/>
              <w:right w:val="single" w:sz="4" w:space="0" w:color="808080"/>
            </w:tcBorders>
            <w:noWrap/>
          </w:tcPr>
          <w:p w14:paraId="2602D796" w14:textId="77777777" w:rsidR="00865C8A" w:rsidRPr="00F65705" w:rsidRDefault="00865C8A" w:rsidP="00DC62CD">
            <w:pPr>
              <w:pStyle w:val="TableParagraph"/>
              <w:contextualSpacing/>
              <w:rPr>
                <w:rFonts w:cstheme="minorHAnsi"/>
                <w:bCs/>
                <w:sz w:val="20"/>
                <w:szCs w:val="20"/>
              </w:rPr>
            </w:pPr>
            <w:r w:rsidRPr="00F65705">
              <w:t xml:space="preserve"> $5.42 </w:t>
            </w:r>
          </w:p>
        </w:tc>
      </w:tr>
      <w:tr w:rsidR="00F65705" w:rsidRPr="00F65705" w14:paraId="1F3B6AEF" w14:textId="77777777" w:rsidTr="00DC62CD">
        <w:trPr>
          <w:trHeight w:val="352"/>
        </w:trPr>
        <w:tc>
          <w:tcPr>
            <w:tcW w:w="3339" w:type="pct"/>
            <w:tcBorders>
              <w:top w:val="nil"/>
              <w:left w:val="single" w:sz="4" w:space="0" w:color="808080"/>
              <w:bottom w:val="single" w:sz="4" w:space="0" w:color="808080"/>
              <w:right w:val="single" w:sz="4" w:space="0" w:color="808080"/>
            </w:tcBorders>
            <w:shd w:val="clear" w:color="auto" w:fill="000000" w:themeFill="text1"/>
            <w:noWrap/>
            <w:vAlign w:val="center"/>
          </w:tcPr>
          <w:p w14:paraId="0C68E391" w14:textId="77777777" w:rsidR="00865C8A" w:rsidRPr="00F65705" w:rsidRDefault="00865C8A" w:rsidP="00DC62CD">
            <w:pPr>
              <w:pStyle w:val="TableParagraph"/>
              <w:rPr>
                <w:rFonts w:cstheme="minorHAnsi"/>
                <w:b/>
                <w:bCs/>
                <w:sz w:val="20"/>
                <w:szCs w:val="20"/>
              </w:rPr>
            </w:pPr>
            <w:r w:rsidRPr="00F65705">
              <w:rPr>
                <w:rFonts w:cstheme="minorHAnsi"/>
                <w:b/>
                <w:bCs/>
                <w:sz w:val="20"/>
                <w:szCs w:val="20"/>
              </w:rPr>
              <w:t>Total</w:t>
            </w:r>
          </w:p>
        </w:tc>
        <w:tc>
          <w:tcPr>
            <w:tcW w:w="1661" w:type="pct"/>
            <w:tcBorders>
              <w:top w:val="nil"/>
              <w:left w:val="single" w:sz="4" w:space="0" w:color="808080"/>
              <w:bottom w:val="single" w:sz="4" w:space="0" w:color="808080"/>
              <w:right w:val="single" w:sz="4" w:space="0" w:color="808080"/>
            </w:tcBorders>
            <w:shd w:val="clear" w:color="auto" w:fill="000000" w:themeFill="text1"/>
            <w:noWrap/>
          </w:tcPr>
          <w:p w14:paraId="2EEEEE5E" w14:textId="77777777" w:rsidR="00865C8A" w:rsidRPr="00F65705" w:rsidRDefault="00865C8A" w:rsidP="00DC62CD">
            <w:pPr>
              <w:pStyle w:val="TableParagraph"/>
              <w:contextualSpacing/>
              <w:rPr>
                <w:rFonts w:cstheme="minorHAnsi"/>
                <w:b/>
                <w:bCs/>
                <w:sz w:val="20"/>
                <w:szCs w:val="20"/>
              </w:rPr>
            </w:pPr>
            <w:r w:rsidRPr="00F65705">
              <w:t xml:space="preserve"> $39.70 million</w:t>
            </w:r>
          </w:p>
        </w:tc>
      </w:tr>
    </w:tbl>
    <w:p w14:paraId="4582240C" w14:textId="77777777" w:rsidR="00865C8A" w:rsidRPr="00F65705" w:rsidRDefault="00865C8A" w:rsidP="00865C8A">
      <w:pPr>
        <w:autoSpaceDE w:val="0"/>
        <w:autoSpaceDN w:val="0"/>
        <w:adjustRightInd w:val="0"/>
        <w:spacing w:before="360" w:after="120"/>
        <w:rPr>
          <w:rFonts w:asciiTheme="minorHAnsi" w:hAnsiTheme="minorHAnsi" w:cstheme="minorHAnsi"/>
          <w:b/>
          <w:sz w:val="22"/>
          <w:szCs w:val="22"/>
        </w:rPr>
      </w:pPr>
      <w:r w:rsidRPr="00F65705">
        <w:rPr>
          <w:rFonts w:asciiTheme="minorHAnsi" w:hAnsiTheme="minorHAnsi" w:cstheme="minorHAnsi"/>
          <w:sz w:val="22"/>
          <w:szCs w:val="22"/>
        </w:rPr>
        <w:lastRenderedPageBreak/>
        <w:t>Table 7 details the cost recovery fees and revenue estimates for 2023-24. The estimated volumes exclude waivers and exemptions. With consideration to revenue forgone due to waivers and exemptions, the total revenue is estimated to be $32.06 million.</w:t>
      </w:r>
    </w:p>
    <w:p w14:paraId="2CADB64E" w14:textId="77777777" w:rsidR="00865C8A" w:rsidRPr="00F65705" w:rsidRDefault="00865C8A" w:rsidP="00865C8A">
      <w:pPr>
        <w:autoSpaceDE w:val="0"/>
        <w:autoSpaceDN w:val="0"/>
        <w:adjustRightInd w:val="0"/>
        <w:spacing w:before="120" w:after="120"/>
        <w:rPr>
          <w:rFonts w:asciiTheme="minorHAnsi" w:hAnsiTheme="minorHAnsi" w:cstheme="minorHAnsi"/>
          <w:sz w:val="22"/>
          <w:szCs w:val="22"/>
        </w:rPr>
      </w:pPr>
      <w:r w:rsidRPr="00F65705">
        <w:rPr>
          <w:rFonts w:asciiTheme="minorHAnsi" w:hAnsiTheme="minorHAnsi" w:cstheme="minorHAnsi"/>
          <w:sz w:val="22"/>
          <w:szCs w:val="22"/>
        </w:rPr>
        <w:t xml:space="preserve">The Independent Review fee is included in this table based on the charging approach used for the Category 2 evaluation fee. As there have been no independent review applications submitted over the past five years, there is no revenue estimated for this category. </w:t>
      </w:r>
    </w:p>
    <w:p w14:paraId="1F378EED" w14:textId="77777777" w:rsidR="00865C8A" w:rsidRPr="00F65705" w:rsidRDefault="00865C8A" w:rsidP="00865C8A">
      <w:pPr>
        <w:spacing w:before="360" w:after="160"/>
        <w:rPr>
          <w:rFonts w:ascii="Calibri" w:hAnsi="Calibri" w:cs="Calibri"/>
          <w:b/>
          <w:bCs/>
          <w:iCs/>
          <w:sz w:val="22"/>
          <w:szCs w:val="22"/>
          <w:u w:val="single"/>
        </w:rPr>
      </w:pPr>
      <w:r w:rsidRPr="00F65705">
        <w:rPr>
          <w:rFonts w:ascii="Calibri" w:hAnsi="Calibri" w:cs="Calibri"/>
          <w:b/>
          <w:bCs/>
          <w:iCs/>
          <w:sz w:val="22"/>
          <w:szCs w:val="22"/>
          <w:u w:val="single"/>
        </w:rPr>
        <w:t>3.2.1 Outcome of annual review of cost recovery arrangements for 1 July 2023</w:t>
      </w:r>
    </w:p>
    <w:p w14:paraId="3172E39B" w14:textId="44651AD3" w:rsidR="00865C8A" w:rsidRPr="00F65705" w:rsidRDefault="00865C8A" w:rsidP="00865C8A">
      <w:pPr>
        <w:spacing w:after="160"/>
        <w:rPr>
          <w:rFonts w:asciiTheme="minorHAnsi" w:hAnsiTheme="minorHAnsi" w:cstheme="minorHAnsi"/>
          <w:sz w:val="22"/>
          <w:szCs w:val="22"/>
        </w:rPr>
      </w:pPr>
      <w:bookmarkStart w:id="2" w:name="_Hlk105757696"/>
      <w:r w:rsidRPr="00F65705">
        <w:rPr>
          <w:rFonts w:asciiTheme="minorHAnsi" w:hAnsiTheme="minorHAnsi" w:cstheme="minorHAnsi"/>
          <w:sz w:val="22"/>
          <w:szCs w:val="22"/>
        </w:rPr>
        <w:t xml:space="preserve">Prior to the commencement of each financial year the Department conducts a review of PBS/NIP listing and management fees. The </w:t>
      </w:r>
      <w:proofErr w:type="gramStart"/>
      <w:r w:rsidRPr="00F65705">
        <w:rPr>
          <w:rFonts w:asciiTheme="minorHAnsi" w:hAnsiTheme="minorHAnsi" w:cstheme="minorHAnsi"/>
          <w:sz w:val="22"/>
          <w:szCs w:val="22"/>
        </w:rPr>
        <w:t>activity based</w:t>
      </w:r>
      <w:proofErr w:type="gramEnd"/>
      <w:r w:rsidRPr="00F65705">
        <w:rPr>
          <w:rFonts w:asciiTheme="minorHAnsi" w:hAnsiTheme="minorHAnsi" w:cstheme="minorHAnsi"/>
          <w:sz w:val="22"/>
          <w:szCs w:val="22"/>
        </w:rPr>
        <w:t xml:space="preserve"> costing methodology previously agreed by Government remains the basis for charging. Indexation is applied to all fees to reflect the current efficient costs of delivering the services. This approach is consistent with other cost recovery arrangements across the Department</w:t>
      </w:r>
      <w:r w:rsidR="00805008" w:rsidRPr="00F65705">
        <w:rPr>
          <w:rFonts w:asciiTheme="minorHAnsi" w:hAnsiTheme="minorHAnsi" w:cstheme="minorHAnsi"/>
          <w:sz w:val="22"/>
          <w:szCs w:val="22"/>
        </w:rPr>
        <w:t>.</w:t>
      </w:r>
      <w:r w:rsidRPr="00F65705">
        <w:rPr>
          <w:rFonts w:asciiTheme="minorHAnsi" w:hAnsiTheme="minorHAnsi" w:cstheme="minorHAnsi"/>
          <w:sz w:val="22"/>
          <w:szCs w:val="22"/>
        </w:rPr>
        <w:t xml:space="preserve"> Previously, the annual review for the 2022-23 financial year resulted in a decrease in fees ranging from 0.7 to 5.9%.</w:t>
      </w:r>
    </w:p>
    <w:p w14:paraId="1F926C0E" w14:textId="65AAD38F" w:rsidR="00865C8A" w:rsidRPr="00F65705" w:rsidRDefault="00865C8A" w:rsidP="00865C8A">
      <w:pPr>
        <w:spacing w:after="160"/>
        <w:rPr>
          <w:rFonts w:asciiTheme="minorHAnsi" w:hAnsiTheme="minorHAnsi" w:cstheme="minorHAnsi"/>
          <w:sz w:val="22"/>
          <w:szCs w:val="22"/>
        </w:rPr>
      </w:pPr>
      <w:bookmarkStart w:id="3" w:name="_Hlk105756631"/>
      <w:bookmarkEnd w:id="2"/>
      <w:r w:rsidRPr="00F65705">
        <w:rPr>
          <w:rFonts w:asciiTheme="minorHAnsi" w:hAnsiTheme="minorHAnsi" w:cstheme="minorHAnsi"/>
          <w:sz w:val="22"/>
          <w:szCs w:val="22"/>
        </w:rPr>
        <w:t xml:space="preserve">The annual review for the 2023-24 financial year has resulted in an increase to fees. On average, fees </w:t>
      </w:r>
      <w:r w:rsidR="00805008" w:rsidRPr="00F65705">
        <w:rPr>
          <w:rFonts w:asciiTheme="minorHAnsi" w:hAnsiTheme="minorHAnsi" w:cstheme="minorHAnsi"/>
          <w:sz w:val="22"/>
          <w:szCs w:val="22"/>
        </w:rPr>
        <w:t xml:space="preserve">have </w:t>
      </w:r>
      <w:r w:rsidRPr="00F65705">
        <w:rPr>
          <w:rFonts w:asciiTheme="minorHAnsi" w:hAnsiTheme="minorHAnsi" w:cstheme="minorHAnsi"/>
          <w:sz w:val="22"/>
          <w:szCs w:val="22"/>
        </w:rPr>
        <w:t xml:space="preserve">increased by 6.22% (ranging from 2.05% to 19.42%) compared to fees charged in the 2022-23 financial year. There are </w:t>
      </w:r>
      <w:proofErr w:type="gramStart"/>
      <w:r w:rsidRPr="00F65705">
        <w:rPr>
          <w:rFonts w:asciiTheme="minorHAnsi" w:hAnsiTheme="minorHAnsi" w:cstheme="minorHAnsi"/>
          <w:sz w:val="22"/>
          <w:szCs w:val="22"/>
        </w:rPr>
        <w:t>a number of</w:t>
      </w:r>
      <w:proofErr w:type="gramEnd"/>
      <w:r w:rsidRPr="00F65705">
        <w:rPr>
          <w:rFonts w:asciiTheme="minorHAnsi" w:hAnsiTheme="minorHAnsi" w:cstheme="minorHAnsi"/>
          <w:sz w:val="22"/>
          <w:szCs w:val="22"/>
        </w:rPr>
        <w:t xml:space="preserve"> drivers impacting these fee changes including: </w:t>
      </w:r>
    </w:p>
    <w:p w14:paraId="4F481825" w14:textId="75C2F5E1" w:rsidR="00865C8A" w:rsidRPr="00F65705" w:rsidRDefault="00865C8A" w:rsidP="00865C8A">
      <w:pPr>
        <w:pStyle w:val="ListParagraph"/>
        <w:numPr>
          <w:ilvl w:val="1"/>
          <w:numId w:val="28"/>
        </w:numPr>
        <w:contextualSpacing w:val="0"/>
        <w:rPr>
          <w:rFonts w:asciiTheme="minorHAnsi" w:hAnsiTheme="minorHAnsi" w:cstheme="minorHAnsi"/>
          <w:sz w:val="22"/>
          <w:szCs w:val="22"/>
        </w:rPr>
      </w:pPr>
      <w:r w:rsidRPr="00F65705">
        <w:rPr>
          <w:rFonts w:asciiTheme="minorHAnsi" w:hAnsiTheme="minorHAnsi" w:cstheme="minorHAnsi"/>
          <w:sz w:val="22"/>
          <w:szCs w:val="22"/>
        </w:rPr>
        <w:t xml:space="preserve">Staff salary rates have increased by an average of </w:t>
      </w:r>
      <w:proofErr w:type="gramStart"/>
      <w:r w:rsidRPr="00F65705">
        <w:rPr>
          <w:rFonts w:asciiTheme="minorHAnsi" w:hAnsiTheme="minorHAnsi" w:cstheme="minorHAnsi"/>
          <w:sz w:val="22"/>
          <w:szCs w:val="22"/>
        </w:rPr>
        <w:t>5.1%;</w:t>
      </w:r>
      <w:proofErr w:type="gramEnd"/>
      <w:r w:rsidRPr="00F65705">
        <w:rPr>
          <w:rFonts w:asciiTheme="minorHAnsi" w:hAnsiTheme="minorHAnsi" w:cstheme="minorHAnsi"/>
          <w:sz w:val="22"/>
          <w:szCs w:val="22"/>
        </w:rPr>
        <w:t xml:space="preserve"> </w:t>
      </w:r>
    </w:p>
    <w:p w14:paraId="1BD33316" w14:textId="535FA1C9" w:rsidR="00865C8A" w:rsidRPr="00F65705" w:rsidRDefault="00865C8A" w:rsidP="00865C8A">
      <w:pPr>
        <w:pStyle w:val="ListParagraph"/>
        <w:numPr>
          <w:ilvl w:val="1"/>
          <w:numId w:val="28"/>
        </w:numPr>
        <w:contextualSpacing w:val="0"/>
        <w:rPr>
          <w:rFonts w:asciiTheme="minorHAnsi" w:hAnsiTheme="minorHAnsi" w:cstheme="minorHAnsi"/>
          <w:sz w:val="22"/>
          <w:szCs w:val="22"/>
        </w:rPr>
      </w:pPr>
      <w:r w:rsidRPr="00F65705">
        <w:rPr>
          <w:rFonts w:asciiTheme="minorHAnsi" w:hAnsiTheme="minorHAnsi" w:cstheme="minorHAnsi"/>
          <w:sz w:val="22"/>
          <w:szCs w:val="22"/>
        </w:rPr>
        <w:t xml:space="preserve">Supplier and IT costs have increased by </w:t>
      </w:r>
      <w:proofErr w:type="gramStart"/>
      <w:r w:rsidRPr="00F65705">
        <w:rPr>
          <w:rFonts w:asciiTheme="minorHAnsi" w:hAnsiTheme="minorHAnsi" w:cstheme="minorHAnsi"/>
          <w:sz w:val="22"/>
          <w:szCs w:val="22"/>
        </w:rPr>
        <w:t>2.2%;</w:t>
      </w:r>
      <w:proofErr w:type="gramEnd"/>
      <w:r w:rsidRPr="00F65705">
        <w:rPr>
          <w:rFonts w:asciiTheme="minorHAnsi" w:hAnsiTheme="minorHAnsi" w:cstheme="minorHAnsi"/>
          <w:sz w:val="22"/>
          <w:szCs w:val="22"/>
        </w:rPr>
        <w:t xml:space="preserve"> </w:t>
      </w:r>
    </w:p>
    <w:p w14:paraId="105B9F33" w14:textId="77777777" w:rsidR="00865C8A" w:rsidRPr="00F65705" w:rsidRDefault="00865C8A" w:rsidP="00865C8A">
      <w:pPr>
        <w:pStyle w:val="ListParagraph"/>
        <w:numPr>
          <w:ilvl w:val="1"/>
          <w:numId w:val="28"/>
        </w:numPr>
        <w:contextualSpacing w:val="0"/>
        <w:rPr>
          <w:rFonts w:asciiTheme="minorHAnsi" w:hAnsiTheme="minorHAnsi" w:cstheme="minorHAnsi"/>
          <w:sz w:val="22"/>
          <w:szCs w:val="22"/>
        </w:rPr>
      </w:pPr>
      <w:r w:rsidRPr="00F65705">
        <w:rPr>
          <w:rFonts w:asciiTheme="minorHAnsi" w:hAnsiTheme="minorHAnsi" w:cstheme="minorHAnsi"/>
          <w:sz w:val="22"/>
          <w:szCs w:val="22"/>
        </w:rPr>
        <w:t xml:space="preserve">Overhead costs have increased by 6.1%; and </w:t>
      </w:r>
    </w:p>
    <w:p w14:paraId="25F71097" w14:textId="40DA4A9B" w:rsidR="00865C8A" w:rsidRPr="00F65705" w:rsidRDefault="00865C8A" w:rsidP="00865C8A">
      <w:pPr>
        <w:pStyle w:val="ListParagraph"/>
        <w:numPr>
          <w:ilvl w:val="1"/>
          <w:numId w:val="28"/>
        </w:numPr>
        <w:contextualSpacing w:val="0"/>
        <w:rPr>
          <w:rFonts w:asciiTheme="minorHAnsi" w:hAnsiTheme="minorHAnsi" w:cstheme="minorHAnsi"/>
          <w:sz w:val="22"/>
          <w:szCs w:val="22"/>
        </w:rPr>
      </w:pPr>
      <w:r w:rsidRPr="00F65705">
        <w:rPr>
          <w:rFonts w:asciiTheme="minorHAnsi" w:hAnsiTheme="minorHAnsi" w:cstheme="minorHAnsi"/>
          <w:sz w:val="22"/>
          <w:szCs w:val="22"/>
        </w:rPr>
        <w:t xml:space="preserve">Depreciation costs, primarily relating to the ongoing build of the </w:t>
      </w:r>
      <w:proofErr w:type="gramStart"/>
      <w:r w:rsidRPr="00F65705">
        <w:rPr>
          <w:rFonts w:asciiTheme="minorHAnsi" w:hAnsiTheme="minorHAnsi" w:cstheme="minorHAnsi"/>
          <w:sz w:val="22"/>
          <w:szCs w:val="22"/>
        </w:rPr>
        <w:t>Health</w:t>
      </w:r>
      <w:proofErr w:type="gramEnd"/>
      <w:r w:rsidRPr="00F65705">
        <w:rPr>
          <w:rFonts w:asciiTheme="minorHAnsi" w:hAnsiTheme="minorHAnsi" w:cstheme="minorHAnsi"/>
          <w:sz w:val="22"/>
          <w:szCs w:val="22"/>
        </w:rPr>
        <w:t xml:space="preserve"> Products Portal (HPP), have increased by 9.8%.</w:t>
      </w:r>
    </w:p>
    <w:p w14:paraId="12443904" w14:textId="77777777" w:rsidR="00865C8A" w:rsidRPr="00F65705" w:rsidRDefault="00865C8A" w:rsidP="00865C8A">
      <w:pPr>
        <w:rPr>
          <w:rFonts w:asciiTheme="minorHAnsi" w:hAnsiTheme="minorHAnsi" w:cstheme="minorHAnsi"/>
          <w:sz w:val="22"/>
          <w:szCs w:val="22"/>
        </w:rPr>
      </w:pPr>
    </w:p>
    <w:p w14:paraId="5E4BFEDB" w14:textId="16CE8F56" w:rsidR="00865C8A" w:rsidRPr="00F65705" w:rsidRDefault="00865C8A" w:rsidP="00865C8A">
      <w:pPr>
        <w:rPr>
          <w:rFonts w:asciiTheme="minorHAnsi" w:hAnsiTheme="minorHAnsi" w:cstheme="minorHAnsi"/>
          <w:sz w:val="22"/>
          <w:szCs w:val="22"/>
        </w:rPr>
      </w:pPr>
      <w:r w:rsidRPr="00F65705">
        <w:rPr>
          <w:rFonts w:asciiTheme="minorHAnsi" w:hAnsiTheme="minorHAnsi" w:cstheme="minorHAnsi"/>
          <w:sz w:val="22"/>
          <w:szCs w:val="22"/>
        </w:rPr>
        <w:t>Costs relating to the evaluation of complex PBAC submissions by external health technology assessment groups have</w:t>
      </w:r>
      <w:r w:rsidR="008E75BE" w:rsidRPr="00F65705">
        <w:rPr>
          <w:rFonts w:asciiTheme="minorHAnsi" w:hAnsiTheme="minorHAnsi" w:cstheme="minorHAnsi"/>
          <w:sz w:val="22"/>
          <w:szCs w:val="22"/>
        </w:rPr>
        <w:t xml:space="preserve"> also</w:t>
      </w:r>
      <w:r w:rsidRPr="00F65705">
        <w:rPr>
          <w:rFonts w:asciiTheme="minorHAnsi" w:hAnsiTheme="minorHAnsi" w:cstheme="minorHAnsi"/>
          <w:sz w:val="22"/>
          <w:szCs w:val="22"/>
        </w:rPr>
        <w:t xml:space="preserve"> increased </w:t>
      </w:r>
      <w:proofErr w:type="gramStart"/>
      <w:r w:rsidRPr="00F65705">
        <w:rPr>
          <w:rFonts w:asciiTheme="minorHAnsi" w:hAnsiTheme="minorHAnsi" w:cstheme="minorHAnsi"/>
          <w:sz w:val="22"/>
          <w:szCs w:val="22"/>
        </w:rPr>
        <w:t>as a result of</w:t>
      </w:r>
      <w:proofErr w:type="gramEnd"/>
      <w:r w:rsidRPr="00F65705">
        <w:rPr>
          <w:rFonts w:asciiTheme="minorHAnsi" w:hAnsiTheme="minorHAnsi" w:cstheme="minorHAnsi"/>
          <w:sz w:val="22"/>
          <w:szCs w:val="22"/>
        </w:rPr>
        <w:t xml:space="preserve"> increasing complexity of evaluations. Consequently, the </w:t>
      </w:r>
      <w:r w:rsidR="008E75BE" w:rsidRPr="00F65705">
        <w:rPr>
          <w:rFonts w:asciiTheme="minorHAnsi" w:hAnsiTheme="minorHAnsi" w:cstheme="minorHAnsi"/>
          <w:sz w:val="22"/>
          <w:szCs w:val="22"/>
        </w:rPr>
        <w:t xml:space="preserve">Government </w:t>
      </w:r>
      <w:r w:rsidRPr="00F65705">
        <w:rPr>
          <w:rFonts w:asciiTheme="minorHAnsi" w:hAnsiTheme="minorHAnsi" w:cstheme="minorHAnsi"/>
          <w:sz w:val="22"/>
          <w:szCs w:val="22"/>
        </w:rPr>
        <w:t xml:space="preserve">has provided additional funding to ensure that complex PBAC submissions can continue to be appropriately evaluated by the Department. This is reflected in a 13.1% increase to supplier costs associated with categories 1, 2, Standard Re-entry and Facilitated Resolution submissions. </w:t>
      </w:r>
    </w:p>
    <w:p w14:paraId="247CFE70" w14:textId="77777777" w:rsidR="00865C8A" w:rsidRPr="00F65705" w:rsidRDefault="00865C8A" w:rsidP="00865C8A">
      <w:pPr>
        <w:rPr>
          <w:rFonts w:asciiTheme="minorHAnsi" w:hAnsiTheme="minorHAnsi" w:cstheme="minorHAnsi"/>
          <w:sz w:val="22"/>
          <w:szCs w:val="22"/>
        </w:rPr>
      </w:pPr>
    </w:p>
    <w:p w14:paraId="6A39D139" w14:textId="3309ABF7" w:rsidR="00865C8A" w:rsidRPr="00F65705" w:rsidRDefault="00865C8A" w:rsidP="00865C8A">
      <w:pPr>
        <w:rPr>
          <w:rFonts w:asciiTheme="minorHAnsi" w:hAnsiTheme="minorHAnsi" w:cstheme="minorHAnsi"/>
          <w:sz w:val="22"/>
          <w:szCs w:val="22"/>
        </w:rPr>
      </w:pPr>
      <w:r w:rsidRPr="00F65705">
        <w:rPr>
          <w:rFonts w:asciiTheme="minorHAnsi" w:hAnsiTheme="minorHAnsi" w:cstheme="minorHAnsi"/>
          <w:sz w:val="22"/>
          <w:szCs w:val="22"/>
        </w:rPr>
        <w:t>Similarly, the costs related to the evaluation of ATAGI submissions by external health technology assessment groups have increased.</w:t>
      </w:r>
      <w:r w:rsidR="002B1E41" w:rsidRPr="00F65705">
        <w:rPr>
          <w:rFonts w:asciiTheme="minorHAnsi" w:hAnsiTheme="minorHAnsi" w:cstheme="minorHAnsi"/>
          <w:sz w:val="22"/>
          <w:szCs w:val="22"/>
        </w:rPr>
        <w:t xml:space="preserve"> </w:t>
      </w:r>
      <w:r w:rsidR="00023DDB" w:rsidRPr="00F65705">
        <w:rPr>
          <w:rFonts w:asciiTheme="minorHAnsi" w:hAnsiTheme="minorHAnsi" w:cstheme="minorHAnsi"/>
          <w:sz w:val="22"/>
          <w:szCs w:val="22"/>
        </w:rPr>
        <w:t>N</w:t>
      </w:r>
      <w:r w:rsidR="002B1E41" w:rsidRPr="00F65705">
        <w:rPr>
          <w:rFonts w:asciiTheme="minorHAnsi" w:hAnsiTheme="minorHAnsi" w:cstheme="minorHAnsi"/>
          <w:sz w:val="22"/>
          <w:szCs w:val="22"/>
        </w:rPr>
        <w:t xml:space="preserve">ew panel arrangements for </w:t>
      </w:r>
      <w:r w:rsidR="00FD25BA" w:rsidRPr="00F65705">
        <w:rPr>
          <w:rFonts w:asciiTheme="minorHAnsi" w:hAnsiTheme="minorHAnsi" w:cstheme="minorHAnsi"/>
          <w:sz w:val="22"/>
          <w:szCs w:val="22"/>
        </w:rPr>
        <w:t>‘</w:t>
      </w:r>
      <w:r w:rsidR="002B1E41" w:rsidRPr="00F65705">
        <w:rPr>
          <w:rFonts w:asciiTheme="minorHAnsi" w:hAnsiTheme="minorHAnsi" w:cstheme="minorHAnsi"/>
          <w:sz w:val="22"/>
          <w:szCs w:val="22"/>
        </w:rPr>
        <w:t>Health Technology Assessment and Support Services</w:t>
      </w:r>
      <w:r w:rsidR="00FD25BA" w:rsidRPr="00F65705">
        <w:rPr>
          <w:rFonts w:asciiTheme="minorHAnsi" w:hAnsiTheme="minorHAnsi" w:cstheme="minorHAnsi"/>
          <w:sz w:val="22"/>
          <w:szCs w:val="22"/>
        </w:rPr>
        <w:t>’</w:t>
      </w:r>
      <w:r w:rsidR="002B1E41" w:rsidRPr="00F65705">
        <w:rPr>
          <w:rFonts w:asciiTheme="minorHAnsi" w:hAnsiTheme="minorHAnsi" w:cstheme="minorHAnsi"/>
          <w:sz w:val="22"/>
          <w:szCs w:val="22"/>
        </w:rPr>
        <w:t xml:space="preserve"> were finalised in April 2023</w:t>
      </w:r>
      <w:r w:rsidR="00220F10" w:rsidRPr="00F65705">
        <w:rPr>
          <w:rFonts w:asciiTheme="minorHAnsi" w:hAnsiTheme="minorHAnsi" w:cstheme="minorHAnsi"/>
          <w:sz w:val="22"/>
          <w:szCs w:val="22"/>
        </w:rPr>
        <w:t>. A</w:t>
      </w:r>
      <w:r w:rsidR="00023DDB" w:rsidRPr="00F65705">
        <w:rPr>
          <w:rFonts w:asciiTheme="minorHAnsi" w:hAnsiTheme="minorHAnsi" w:cstheme="minorHAnsi"/>
          <w:sz w:val="22"/>
          <w:szCs w:val="22"/>
        </w:rPr>
        <w:t>s a result of these new panel arrangements,</w:t>
      </w:r>
      <w:r w:rsidR="001D7AD3" w:rsidRPr="00F65705">
        <w:rPr>
          <w:rFonts w:asciiTheme="minorHAnsi" w:hAnsiTheme="minorHAnsi" w:cstheme="minorHAnsi"/>
          <w:sz w:val="22"/>
          <w:szCs w:val="22"/>
        </w:rPr>
        <w:t xml:space="preserve"> </w:t>
      </w:r>
      <w:r w:rsidRPr="00F65705">
        <w:rPr>
          <w:rFonts w:asciiTheme="minorHAnsi" w:hAnsiTheme="minorHAnsi" w:cstheme="minorHAnsi"/>
          <w:sz w:val="22"/>
          <w:szCs w:val="22"/>
        </w:rPr>
        <w:t xml:space="preserve"> supplier costs for both complex and simple applications have increased by an average of 23.2%. This is the first time these </w:t>
      </w:r>
      <w:r w:rsidR="008E75BE" w:rsidRPr="00F65705">
        <w:rPr>
          <w:rFonts w:asciiTheme="minorHAnsi" w:hAnsiTheme="minorHAnsi" w:cstheme="minorHAnsi"/>
          <w:sz w:val="22"/>
          <w:szCs w:val="22"/>
        </w:rPr>
        <w:t xml:space="preserve">evaluation </w:t>
      </w:r>
      <w:r w:rsidRPr="00F65705">
        <w:rPr>
          <w:rFonts w:asciiTheme="minorHAnsi" w:hAnsiTheme="minorHAnsi" w:cstheme="minorHAnsi"/>
          <w:sz w:val="22"/>
          <w:szCs w:val="22"/>
        </w:rPr>
        <w:t>costs have increase</w:t>
      </w:r>
      <w:r w:rsidR="00FD25BA" w:rsidRPr="00F65705">
        <w:rPr>
          <w:rFonts w:asciiTheme="minorHAnsi" w:hAnsiTheme="minorHAnsi" w:cstheme="minorHAnsi"/>
          <w:sz w:val="22"/>
          <w:szCs w:val="22"/>
        </w:rPr>
        <w:t>d</w:t>
      </w:r>
      <w:r w:rsidRPr="00F65705">
        <w:rPr>
          <w:rFonts w:asciiTheme="minorHAnsi" w:hAnsiTheme="minorHAnsi" w:cstheme="minorHAnsi"/>
          <w:sz w:val="22"/>
          <w:szCs w:val="22"/>
        </w:rPr>
        <w:t xml:space="preserve"> since the commencement of cost recovery arrangements for ATAGI applications on 1 July 2019. </w:t>
      </w:r>
    </w:p>
    <w:p w14:paraId="471C5CEF" w14:textId="77777777" w:rsidR="00865C8A" w:rsidRPr="00F65705" w:rsidRDefault="00865C8A" w:rsidP="00865C8A">
      <w:pPr>
        <w:rPr>
          <w:rFonts w:asciiTheme="minorHAnsi" w:hAnsiTheme="minorHAnsi" w:cstheme="minorHAnsi"/>
          <w:sz w:val="22"/>
          <w:szCs w:val="22"/>
        </w:rPr>
      </w:pPr>
    </w:p>
    <w:p w14:paraId="262625E0" w14:textId="77777777" w:rsidR="00865C8A" w:rsidRPr="00F65705" w:rsidRDefault="00865C8A" w:rsidP="00865C8A">
      <w:pPr>
        <w:rPr>
          <w:rFonts w:asciiTheme="minorHAnsi" w:hAnsiTheme="minorHAnsi" w:cstheme="minorHAnsi"/>
          <w:sz w:val="22"/>
          <w:szCs w:val="22"/>
        </w:rPr>
      </w:pPr>
      <w:r w:rsidRPr="00F65705">
        <w:rPr>
          <w:rFonts w:asciiTheme="minorHAnsi" w:hAnsiTheme="minorHAnsi" w:cstheme="minorHAnsi"/>
          <w:sz w:val="22"/>
          <w:szCs w:val="22"/>
        </w:rPr>
        <w:t>Further information regarding these costs and how they impact cost recovery fees is available in section 3.2.3 (page 15) and table 8 (page 16).</w:t>
      </w:r>
    </w:p>
    <w:p w14:paraId="2087CF2E" w14:textId="77777777" w:rsidR="00865C8A" w:rsidRPr="00F65705" w:rsidRDefault="00865C8A" w:rsidP="00865C8A">
      <w:pPr>
        <w:rPr>
          <w:rFonts w:asciiTheme="minorHAnsi" w:hAnsiTheme="minorHAnsi" w:cstheme="minorHAnsi"/>
          <w:sz w:val="22"/>
          <w:szCs w:val="22"/>
        </w:rPr>
      </w:pPr>
    </w:p>
    <w:p w14:paraId="1523D228" w14:textId="77777777" w:rsidR="00865C8A" w:rsidRPr="00F65705" w:rsidRDefault="00865C8A" w:rsidP="00865C8A">
      <w:pPr>
        <w:rPr>
          <w:rFonts w:asciiTheme="minorHAnsi" w:hAnsiTheme="minorHAnsi" w:cstheme="minorHAnsi"/>
          <w:sz w:val="22"/>
          <w:szCs w:val="22"/>
        </w:rPr>
      </w:pPr>
      <w:r w:rsidRPr="00F65705">
        <w:rPr>
          <w:rFonts w:asciiTheme="minorHAnsi" w:hAnsiTheme="minorHAnsi" w:cstheme="minorHAnsi"/>
          <w:sz w:val="22"/>
          <w:szCs w:val="22"/>
        </w:rPr>
        <w:t xml:space="preserve">Additionally, the Department is currently undertaking a ‘time and motion study’, reviewing the level of Departmental staff effort involved in the administration of PBAC submissions. It is anticipated that the results of the study will identify efficiencies throughout the PBAC submission process. Any efficiencies found will be reflected in amended fees charged in the 2024-25 financial year. This study commenced following an independent review of the activity-based costing model, discussed below. </w:t>
      </w:r>
    </w:p>
    <w:bookmarkEnd w:id="3"/>
    <w:p w14:paraId="1A421616" w14:textId="77777777" w:rsidR="00865C8A" w:rsidRPr="00F65705" w:rsidRDefault="00865C8A" w:rsidP="00865C8A">
      <w:pPr>
        <w:spacing w:before="360" w:after="120"/>
        <w:rPr>
          <w:rFonts w:ascii="Calibri" w:hAnsi="Calibri" w:cs="Calibri"/>
          <w:b/>
          <w:bCs/>
          <w:iCs/>
          <w:sz w:val="22"/>
          <w:szCs w:val="22"/>
          <w:u w:val="single"/>
        </w:rPr>
      </w:pPr>
      <w:r w:rsidRPr="00F65705">
        <w:rPr>
          <w:rFonts w:ascii="Calibri" w:hAnsi="Calibri" w:cs="Calibri"/>
          <w:b/>
          <w:bCs/>
          <w:iCs/>
          <w:sz w:val="22"/>
          <w:szCs w:val="22"/>
          <w:u w:val="single"/>
        </w:rPr>
        <w:t xml:space="preserve">3.2.2 Independent Review of the </w:t>
      </w:r>
      <w:proofErr w:type="gramStart"/>
      <w:r w:rsidRPr="00F65705">
        <w:rPr>
          <w:rFonts w:ascii="Calibri" w:hAnsi="Calibri" w:cs="Calibri"/>
          <w:b/>
          <w:bCs/>
          <w:iCs/>
          <w:sz w:val="22"/>
          <w:szCs w:val="22"/>
          <w:u w:val="single"/>
        </w:rPr>
        <w:t>activity based</w:t>
      </w:r>
      <w:proofErr w:type="gramEnd"/>
      <w:r w:rsidRPr="00F65705">
        <w:rPr>
          <w:rFonts w:ascii="Calibri" w:hAnsi="Calibri" w:cs="Calibri"/>
          <w:b/>
          <w:bCs/>
          <w:iCs/>
          <w:sz w:val="22"/>
          <w:szCs w:val="22"/>
          <w:u w:val="single"/>
        </w:rPr>
        <w:t xml:space="preserve"> costing model</w:t>
      </w:r>
    </w:p>
    <w:p w14:paraId="7455FD64" w14:textId="77777777" w:rsidR="00865C8A" w:rsidRPr="00F65705" w:rsidRDefault="00865C8A" w:rsidP="00865C8A">
      <w:pPr>
        <w:spacing w:after="160"/>
        <w:rPr>
          <w:rFonts w:asciiTheme="minorHAnsi" w:hAnsiTheme="minorHAnsi" w:cstheme="minorHAnsi"/>
          <w:sz w:val="22"/>
          <w:szCs w:val="22"/>
        </w:rPr>
      </w:pPr>
      <w:r w:rsidRPr="00F65705">
        <w:rPr>
          <w:rFonts w:asciiTheme="minorHAnsi" w:hAnsiTheme="minorHAnsi" w:cstheme="minorHAnsi"/>
          <w:sz w:val="22"/>
          <w:szCs w:val="22"/>
        </w:rPr>
        <w:t xml:space="preserve">An independent review of the </w:t>
      </w:r>
      <w:proofErr w:type="gramStart"/>
      <w:r w:rsidRPr="00F65705">
        <w:rPr>
          <w:rFonts w:asciiTheme="minorHAnsi" w:hAnsiTheme="minorHAnsi" w:cstheme="minorHAnsi"/>
          <w:sz w:val="22"/>
          <w:szCs w:val="22"/>
        </w:rPr>
        <w:t>activity based</w:t>
      </w:r>
      <w:proofErr w:type="gramEnd"/>
      <w:r w:rsidRPr="00F65705">
        <w:rPr>
          <w:rFonts w:asciiTheme="minorHAnsi" w:hAnsiTheme="minorHAnsi" w:cstheme="minorHAnsi"/>
          <w:sz w:val="22"/>
          <w:szCs w:val="22"/>
        </w:rPr>
        <w:t xml:space="preserve"> costing model for PBS listing and management fees was completed on 30 June 2022. The review made four primary recommendations:</w:t>
      </w:r>
    </w:p>
    <w:p w14:paraId="21E6D666" w14:textId="77777777" w:rsidR="00865C8A" w:rsidRPr="00F65705" w:rsidRDefault="00865C8A" w:rsidP="00865C8A">
      <w:pPr>
        <w:pStyle w:val="ListParagraph"/>
        <w:numPr>
          <w:ilvl w:val="0"/>
          <w:numId w:val="25"/>
        </w:numPr>
        <w:spacing w:after="160"/>
        <w:rPr>
          <w:rFonts w:asciiTheme="minorHAnsi" w:hAnsiTheme="minorHAnsi" w:cstheme="minorHAnsi"/>
          <w:sz w:val="22"/>
          <w:szCs w:val="22"/>
        </w:rPr>
      </w:pPr>
      <w:r w:rsidRPr="00F65705">
        <w:rPr>
          <w:rFonts w:asciiTheme="minorHAnsi" w:hAnsiTheme="minorHAnsi" w:cstheme="minorHAnsi"/>
          <w:sz w:val="22"/>
          <w:szCs w:val="22"/>
        </w:rPr>
        <w:t>Confirm that the PBAC cost model will be reviewed and updated (as necessary) as proposed in 2022-23, including cost model documentation and supporting documentation (i.e., user guides</w:t>
      </w:r>
      <w:proofErr w:type="gramStart"/>
      <w:r w:rsidRPr="00F65705">
        <w:rPr>
          <w:rFonts w:asciiTheme="minorHAnsi" w:hAnsiTheme="minorHAnsi" w:cstheme="minorHAnsi"/>
          <w:sz w:val="22"/>
          <w:szCs w:val="22"/>
        </w:rPr>
        <w:t>);</w:t>
      </w:r>
      <w:proofErr w:type="gramEnd"/>
    </w:p>
    <w:p w14:paraId="2FBBBE47" w14:textId="77777777" w:rsidR="00865C8A" w:rsidRPr="00F65705" w:rsidRDefault="00865C8A" w:rsidP="00865C8A">
      <w:pPr>
        <w:pStyle w:val="ListParagraph"/>
        <w:numPr>
          <w:ilvl w:val="0"/>
          <w:numId w:val="25"/>
        </w:numPr>
        <w:spacing w:after="160"/>
        <w:rPr>
          <w:rFonts w:asciiTheme="minorHAnsi" w:hAnsiTheme="minorHAnsi" w:cstheme="minorHAnsi"/>
          <w:sz w:val="22"/>
          <w:szCs w:val="22"/>
        </w:rPr>
      </w:pPr>
      <w:r w:rsidRPr="00F65705">
        <w:rPr>
          <w:rFonts w:asciiTheme="minorHAnsi" w:hAnsiTheme="minorHAnsi" w:cstheme="minorHAnsi"/>
          <w:sz w:val="22"/>
          <w:szCs w:val="22"/>
        </w:rPr>
        <w:lastRenderedPageBreak/>
        <w:t xml:space="preserve">Ensure that mechanisms are in place so that where prices are set using an indexation mechanism, that they are also reflective of minimum efficient </w:t>
      </w:r>
      <w:proofErr w:type="gramStart"/>
      <w:r w:rsidRPr="00F65705">
        <w:rPr>
          <w:rFonts w:asciiTheme="minorHAnsi" w:hAnsiTheme="minorHAnsi" w:cstheme="minorHAnsi"/>
          <w:sz w:val="22"/>
          <w:szCs w:val="22"/>
        </w:rPr>
        <w:t>costs;</w:t>
      </w:r>
      <w:proofErr w:type="gramEnd"/>
    </w:p>
    <w:p w14:paraId="507F7E9C" w14:textId="77777777" w:rsidR="00865C8A" w:rsidRPr="00F65705" w:rsidRDefault="00865C8A" w:rsidP="00865C8A">
      <w:pPr>
        <w:pStyle w:val="ListParagraph"/>
        <w:numPr>
          <w:ilvl w:val="0"/>
          <w:numId w:val="25"/>
        </w:numPr>
        <w:spacing w:after="160"/>
        <w:rPr>
          <w:rFonts w:asciiTheme="minorHAnsi" w:hAnsiTheme="minorHAnsi" w:cstheme="minorHAnsi"/>
          <w:sz w:val="22"/>
          <w:szCs w:val="22"/>
        </w:rPr>
      </w:pPr>
      <w:r w:rsidRPr="00F65705">
        <w:rPr>
          <w:rFonts w:asciiTheme="minorHAnsi" w:hAnsiTheme="minorHAnsi" w:cstheme="minorHAnsi"/>
          <w:sz w:val="22"/>
          <w:szCs w:val="22"/>
        </w:rPr>
        <w:t>Commit, publicly, to undertake a full cost model refresh during the 2022-23 financial year, with outcomes to be reflected in fee updates when completed, except where legislative or policy issues are identified, and further Government consideration may be required; and</w:t>
      </w:r>
    </w:p>
    <w:p w14:paraId="46291830" w14:textId="77777777" w:rsidR="00865C8A" w:rsidRPr="00F65705" w:rsidRDefault="00865C8A" w:rsidP="00865C8A">
      <w:pPr>
        <w:pStyle w:val="ListParagraph"/>
        <w:numPr>
          <w:ilvl w:val="0"/>
          <w:numId w:val="25"/>
        </w:numPr>
        <w:spacing w:after="160"/>
        <w:rPr>
          <w:rFonts w:asciiTheme="minorHAnsi" w:hAnsiTheme="minorHAnsi" w:cstheme="minorHAnsi"/>
          <w:sz w:val="22"/>
          <w:szCs w:val="22"/>
        </w:rPr>
      </w:pPr>
      <w:r w:rsidRPr="00F65705">
        <w:rPr>
          <w:rFonts w:asciiTheme="minorHAnsi" w:hAnsiTheme="minorHAnsi" w:cstheme="minorHAnsi"/>
          <w:sz w:val="22"/>
          <w:szCs w:val="22"/>
        </w:rPr>
        <w:t>Consider whether the PBS CRIS adequately documents the stakeholder engagement strategy including a summary of the latest engagement round – who was consulted and when, what their views were, and whether/how these views have been considered. Better practice would also identify planned consultation processes and mechanisms to be used to seek stakeholder feedback.</w:t>
      </w:r>
    </w:p>
    <w:p w14:paraId="3191CA65" w14:textId="1A9911BE" w:rsidR="00865C8A" w:rsidRPr="00F65705" w:rsidRDefault="00865C8A" w:rsidP="00865C8A">
      <w:pPr>
        <w:spacing w:after="160"/>
        <w:rPr>
          <w:rFonts w:asciiTheme="minorHAnsi" w:hAnsiTheme="minorHAnsi" w:cstheme="minorHAnsi"/>
          <w:sz w:val="22"/>
          <w:szCs w:val="22"/>
        </w:rPr>
      </w:pPr>
      <w:r w:rsidRPr="00F65705">
        <w:rPr>
          <w:rFonts w:asciiTheme="minorHAnsi" w:hAnsiTheme="minorHAnsi" w:cstheme="minorHAnsi"/>
          <w:sz w:val="22"/>
          <w:szCs w:val="22"/>
        </w:rPr>
        <w:t xml:space="preserve">These four recommendations </w:t>
      </w:r>
      <w:r w:rsidR="008E75BE" w:rsidRPr="00F65705">
        <w:rPr>
          <w:rFonts w:asciiTheme="minorHAnsi" w:hAnsiTheme="minorHAnsi" w:cstheme="minorHAnsi"/>
          <w:sz w:val="22"/>
          <w:szCs w:val="22"/>
        </w:rPr>
        <w:t xml:space="preserve">have </w:t>
      </w:r>
      <w:r w:rsidRPr="00F65705">
        <w:rPr>
          <w:rFonts w:asciiTheme="minorHAnsi" w:hAnsiTheme="minorHAnsi" w:cstheme="minorHAnsi"/>
          <w:sz w:val="22"/>
          <w:szCs w:val="22"/>
        </w:rPr>
        <w:t>inform</w:t>
      </w:r>
      <w:r w:rsidR="008E75BE" w:rsidRPr="00F65705">
        <w:rPr>
          <w:rFonts w:asciiTheme="minorHAnsi" w:hAnsiTheme="minorHAnsi" w:cstheme="minorHAnsi"/>
          <w:sz w:val="22"/>
          <w:szCs w:val="22"/>
        </w:rPr>
        <w:t>ed</w:t>
      </w:r>
      <w:r w:rsidRPr="00F65705">
        <w:rPr>
          <w:rFonts w:asciiTheme="minorHAnsi" w:hAnsiTheme="minorHAnsi" w:cstheme="minorHAnsi"/>
          <w:sz w:val="22"/>
          <w:szCs w:val="22"/>
        </w:rPr>
        <w:t xml:space="preserve"> the Portfolio Charging Review (PCR) undertaken by the Department, in conjunction with the Department of Finance, in 2022. Outcomes from the PCR will be reported in the 2023-24 </w:t>
      </w:r>
      <w:r w:rsidR="008E75BE" w:rsidRPr="00F65705">
        <w:rPr>
          <w:rFonts w:asciiTheme="minorHAnsi" w:hAnsiTheme="minorHAnsi" w:cstheme="minorHAnsi"/>
          <w:sz w:val="22"/>
          <w:szCs w:val="22"/>
        </w:rPr>
        <w:t>financial year</w:t>
      </w:r>
      <w:r w:rsidRPr="00F65705">
        <w:rPr>
          <w:rFonts w:asciiTheme="minorHAnsi" w:hAnsiTheme="minorHAnsi" w:cstheme="minorHAnsi"/>
          <w:sz w:val="22"/>
          <w:szCs w:val="22"/>
        </w:rPr>
        <w:t xml:space="preserve">. </w:t>
      </w:r>
    </w:p>
    <w:p w14:paraId="410E602E" w14:textId="77777777" w:rsidR="00865C8A" w:rsidRPr="00F65705" w:rsidRDefault="00865C8A" w:rsidP="00865C8A">
      <w:pPr>
        <w:spacing w:before="360" w:after="120"/>
        <w:rPr>
          <w:rFonts w:ascii="Calibri" w:hAnsi="Calibri" w:cs="Calibri"/>
          <w:b/>
          <w:bCs/>
          <w:iCs/>
          <w:sz w:val="22"/>
          <w:szCs w:val="22"/>
          <w:u w:val="single"/>
        </w:rPr>
      </w:pPr>
      <w:r w:rsidRPr="00F65705">
        <w:rPr>
          <w:rFonts w:ascii="Calibri" w:hAnsi="Calibri" w:cs="Calibri"/>
          <w:b/>
          <w:bCs/>
          <w:iCs/>
          <w:sz w:val="22"/>
          <w:szCs w:val="22"/>
          <w:u w:val="single"/>
        </w:rPr>
        <w:t xml:space="preserve">3.2.3 Fees and costs from the activity-based costing model </w:t>
      </w:r>
    </w:p>
    <w:p w14:paraId="5F8C963B" w14:textId="77777777" w:rsidR="00865C8A" w:rsidRPr="00F65705" w:rsidRDefault="00865C8A" w:rsidP="00865C8A">
      <w:pPr>
        <w:jc w:val="both"/>
        <w:rPr>
          <w:rStyle w:val="Strong"/>
          <w:rFonts w:asciiTheme="minorHAnsi" w:eastAsia="Arial" w:hAnsiTheme="minorHAnsi" w:cstheme="minorHAnsi"/>
          <w:b w:val="0"/>
          <w:sz w:val="22"/>
          <w:szCs w:val="22"/>
        </w:rPr>
      </w:pPr>
      <w:r w:rsidRPr="00F65705">
        <w:rPr>
          <w:rStyle w:val="Strong"/>
          <w:rFonts w:asciiTheme="minorHAnsi" w:eastAsia="Arial" w:hAnsiTheme="minorHAnsi" w:cstheme="minorHAnsi"/>
          <w:b w:val="0"/>
          <w:sz w:val="22"/>
          <w:szCs w:val="22"/>
        </w:rPr>
        <w:t>In line with the CRGs, the activity-based costing model includes the following costs</w:t>
      </w:r>
      <w:r w:rsidRPr="00F65705">
        <w:rPr>
          <w:rStyle w:val="FootnoteReference"/>
          <w:rFonts w:eastAsia="Arial" w:cstheme="minorHAnsi"/>
          <w:bCs/>
          <w:color w:val="auto"/>
          <w:sz w:val="22"/>
          <w:szCs w:val="22"/>
        </w:rPr>
        <w:footnoteReference w:id="2"/>
      </w:r>
      <w:r w:rsidRPr="00F65705">
        <w:rPr>
          <w:rStyle w:val="Strong"/>
          <w:rFonts w:asciiTheme="minorHAnsi" w:eastAsia="Arial" w:hAnsiTheme="minorHAnsi" w:cstheme="minorHAnsi"/>
          <w:b w:val="0"/>
          <w:sz w:val="22"/>
          <w:szCs w:val="22"/>
        </w:rPr>
        <w:t>:</w:t>
      </w:r>
    </w:p>
    <w:p w14:paraId="2F6C4740" w14:textId="77777777" w:rsidR="00865C8A" w:rsidRPr="00F65705" w:rsidRDefault="00865C8A" w:rsidP="00865C8A">
      <w:pPr>
        <w:spacing w:before="120"/>
        <w:rPr>
          <w:rStyle w:val="Strong"/>
          <w:rFonts w:asciiTheme="minorHAnsi" w:eastAsia="Arial" w:hAnsiTheme="minorHAnsi" w:cstheme="minorHAnsi"/>
          <w:b w:val="0"/>
          <w:sz w:val="22"/>
          <w:szCs w:val="22"/>
        </w:rPr>
      </w:pPr>
      <w:r w:rsidRPr="00F65705">
        <w:rPr>
          <w:rStyle w:val="Strong"/>
          <w:rFonts w:asciiTheme="minorHAnsi" w:eastAsia="Arial" w:hAnsiTheme="minorHAnsi" w:cstheme="minorHAnsi"/>
          <w:sz w:val="22"/>
          <w:szCs w:val="22"/>
        </w:rPr>
        <w:t xml:space="preserve">Direct costs: </w:t>
      </w:r>
      <w:r w:rsidRPr="00F65705">
        <w:rPr>
          <w:rStyle w:val="Strong"/>
          <w:rFonts w:asciiTheme="minorHAnsi" w:eastAsia="Arial" w:hAnsiTheme="minorHAnsi" w:cstheme="minorHAnsi"/>
          <w:b w:val="0"/>
          <w:sz w:val="22"/>
          <w:szCs w:val="22"/>
        </w:rPr>
        <w:t>allocation of direct costs included in this model are staff salaries (including on-costs for superannuation and leave) for those directly involved in the activity, committee costs and supplier costs (e.g. contractors, consultants and legal).</w:t>
      </w:r>
    </w:p>
    <w:p w14:paraId="67F638B7" w14:textId="77777777" w:rsidR="00865C8A" w:rsidRPr="00F65705" w:rsidRDefault="00865C8A" w:rsidP="00865C8A">
      <w:pPr>
        <w:spacing w:before="120"/>
        <w:rPr>
          <w:rStyle w:val="Strong"/>
          <w:rFonts w:asciiTheme="minorHAnsi" w:eastAsia="Arial" w:hAnsiTheme="minorHAnsi" w:cstheme="minorHAnsi"/>
          <w:b w:val="0"/>
          <w:sz w:val="22"/>
          <w:szCs w:val="22"/>
        </w:rPr>
      </w:pPr>
      <w:r w:rsidRPr="00F65705">
        <w:rPr>
          <w:rStyle w:val="Strong"/>
          <w:rFonts w:asciiTheme="minorHAnsi" w:eastAsia="Arial" w:hAnsiTheme="minorHAnsi" w:cstheme="minorHAnsi"/>
          <w:sz w:val="22"/>
          <w:szCs w:val="22"/>
        </w:rPr>
        <w:t xml:space="preserve">Indirect costs: </w:t>
      </w:r>
      <w:r w:rsidRPr="00F65705">
        <w:rPr>
          <w:rStyle w:val="Strong"/>
          <w:rFonts w:asciiTheme="minorHAnsi" w:eastAsia="Arial" w:hAnsiTheme="minorHAnsi" w:cstheme="minorHAnsi"/>
          <w:b w:val="0"/>
          <w:sz w:val="22"/>
          <w:szCs w:val="22"/>
        </w:rPr>
        <w:t>cannot be easily linked or where tracking this outweighs the benefits. Indirect costs are allocated as overheads for staff directly involved in performing the activities using the Department of Finance’s approved costing methodology. Indirect costs include staff training and development, workers compensation premium, human resources support, organisational services, desktop ICT services and property operating expenses.</w:t>
      </w:r>
    </w:p>
    <w:p w14:paraId="6BEAB5D8" w14:textId="7D4A5EE4" w:rsidR="00865C8A" w:rsidRPr="00F65705" w:rsidRDefault="00D105EA" w:rsidP="00865C8A">
      <w:pPr>
        <w:spacing w:before="120"/>
        <w:jc w:val="both"/>
        <w:rPr>
          <w:rStyle w:val="Strong"/>
          <w:rFonts w:asciiTheme="minorHAnsi" w:eastAsia="Arial" w:hAnsiTheme="minorHAnsi" w:cstheme="minorHAnsi"/>
          <w:b w:val="0"/>
          <w:sz w:val="22"/>
          <w:szCs w:val="22"/>
        </w:rPr>
      </w:pPr>
      <w:r w:rsidRPr="00F65705">
        <w:rPr>
          <w:rStyle w:val="Strong"/>
          <w:rFonts w:asciiTheme="minorHAnsi" w:eastAsia="Arial" w:hAnsiTheme="minorHAnsi" w:cstheme="minorHAnsi"/>
          <w:sz w:val="22"/>
          <w:szCs w:val="22"/>
        </w:rPr>
        <w:t xml:space="preserve">Capital </w:t>
      </w:r>
      <w:r w:rsidR="00865C8A" w:rsidRPr="00F65705">
        <w:rPr>
          <w:rStyle w:val="Strong"/>
          <w:rFonts w:asciiTheme="minorHAnsi" w:eastAsia="Arial" w:hAnsiTheme="minorHAnsi" w:cstheme="minorHAnsi"/>
          <w:sz w:val="22"/>
          <w:szCs w:val="22"/>
        </w:rPr>
        <w:t>costs:</w:t>
      </w:r>
      <w:r w:rsidR="00865C8A" w:rsidRPr="00F65705">
        <w:rPr>
          <w:rStyle w:val="Strong"/>
          <w:rFonts w:asciiTheme="minorHAnsi" w:eastAsia="Arial" w:hAnsiTheme="minorHAnsi" w:cstheme="minorHAnsi"/>
          <w:b w:val="0"/>
          <w:sz w:val="22"/>
          <w:szCs w:val="22"/>
        </w:rPr>
        <w:t xml:space="preserve"> IT system </w:t>
      </w:r>
      <w:r w:rsidR="00FD25BA" w:rsidRPr="00F65705">
        <w:rPr>
          <w:rStyle w:val="Strong"/>
          <w:rFonts w:asciiTheme="minorHAnsi" w:eastAsia="Arial" w:hAnsiTheme="minorHAnsi" w:cstheme="minorHAnsi"/>
          <w:b w:val="0"/>
          <w:sz w:val="22"/>
          <w:szCs w:val="22"/>
        </w:rPr>
        <w:t xml:space="preserve">depreciation </w:t>
      </w:r>
      <w:r w:rsidR="00865C8A" w:rsidRPr="00F65705">
        <w:rPr>
          <w:rStyle w:val="Strong"/>
          <w:rFonts w:asciiTheme="minorHAnsi" w:eastAsia="Arial" w:hAnsiTheme="minorHAnsi" w:cstheme="minorHAnsi"/>
          <w:b w:val="0"/>
          <w:sz w:val="22"/>
          <w:szCs w:val="22"/>
        </w:rPr>
        <w:t>costs associated with the PBS/NIP listing processes.</w:t>
      </w:r>
    </w:p>
    <w:p w14:paraId="264F18DB" w14:textId="77777777" w:rsidR="00865C8A" w:rsidRPr="00F65705" w:rsidRDefault="00865C8A" w:rsidP="00865C8A">
      <w:pPr>
        <w:spacing w:before="120"/>
        <w:jc w:val="both"/>
        <w:rPr>
          <w:rStyle w:val="Strong"/>
          <w:rFonts w:asciiTheme="minorHAnsi" w:hAnsiTheme="minorHAnsi" w:cstheme="minorHAnsi"/>
          <w:b w:val="0"/>
          <w:sz w:val="22"/>
          <w:szCs w:val="22"/>
        </w:rPr>
      </w:pPr>
      <w:r w:rsidRPr="00F65705">
        <w:rPr>
          <w:rStyle w:val="Strong"/>
          <w:rFonts w:asciiTheme="minorHAnsi" w:hAnsiTheme="minorHAnsi" w:cstheme="minorHAnsi"/>
          <w:b w:val="0"/>
          <w:sz w:val="22"/>
          <w:szCs w:val="22"/>
        </w:rPr>
        <w:t>Activity based costing methodology has been applied to allocate costs to activities and outputs using volume-based cost drivers. This method enables more informed analysis of the efficiency of outputs and business processes. Costs were estimated on the following basis:</w:t>
      </w:r>
    </w:p>
    <w:p w14:paraId="437946ED" w14:textId="77777777" w:rsidR="00865C8A" w:rsidRPr="00F65705" w:rsidRDefault="00865C8A" w:rsidP="00865C8A">
      <w:pPr>
        <w:pStyle w:val="ListParagraph"/>
        <w:numPr>
          <w:ilvl w:val="0"/>
          <w:numId w:val="12"/>
        </w:numPr>
        <w:spacing w:before="120" w:after="120"/>
        <w:jc w:val="both"/>
        <w:rPr>
          <w:rStyle w:val="Strong"/>
          <w:rFonts w:asciiTheme="minorHAnsi" w:hAnsiTheme="minorHAnsi" w:cstheme="minorHAnsi"/>
          <w:b w:val="0"/>
          <w:sz w:val="22"/>
          <w:szCs w:val="22"/>
        </w:rPr>
      </w:pPr>
      <w:r w:rsidRPr="00F65705">
        <w:rPr>
          <w:rStyle w:val="Strong"/>
          <w:rFonts w:asciiTheme="minorHAnsi" w:hAnsiTheme="minorHAnsi" w:cstheme="minorHAnsi"/>
          <w:b w:val="0"/>
          <w:sz w:val="22"/>
          <w:szCs w:val="22"/>
        </w:rPr>
        <w:t xml:space="preserve">The regulatory activities to be delivered were identified in consultation with relevant </w:t>
      </w:r>
      <w:proofErr w:type="gramStart"/>
      <w:r w:rsidRPr="00F65705">
        <w:rPr>
          <w:rStyle w:val="Strong"/>
          <w:rFonts w:asciiTheme="minorHAnsi" w:hAnsiTheme="minorHAnsi" w:cstheme="minorHAnsi"/>
          <w:b w:val="0"/>
          <w:sz w:val="22"/>
          <w:szCs w:val="22"/>
        </w:rPr>
        <w:t>staff;</w:t>
      </w:r>
      <w:proofErr w:type="gramEnd"/>
    </w:p>
    <w:p w14:paraId="1EA2C2DF" w14:textId="77777777" w:rsidR="00865C8A" w:rsidRPr="00F65705" w:rsidRDefault="00865C8A" w:rsidP="00865C8A">
      <w:pPr>
        <w:pStyle w:val="ListParagraph"/>
        <w:numPr>
          <w:ilvl w:val="0"/>
          <w:numId w:val="12"/>
        </w:numPr>
        <w:spacing w:before="120" w:after="120"/>
        <w:jc w:val="both"/>
        <w:rPr>
          <w:rStyle w:val="Strong"/>
          <w:rFonts w:asciiTheme="minorHAnsi" w:hAnsiTheme="minorHAnsi" w:cstheme="minorHAnsi"/>
          <w:b w:val="0"/>
          <w:sz w:val="22"/>
          <w:szCs w:val="22"/>
        </w:rPr>
      </w:pPr>
      <w:r w:rsidRPr="00F65705">
        <w:rPr>
          <w:rStyle w:val="Strong"/>
          <w:rFonts w:asciiTheme="minorHAnsi" w:hAnsiTheme="minorHAnsi" w:cstheme="minorHAnsi"/>
          <w:b w:val="0"/>
          <w:sz w:val="22"/>
          <w:szCs w:val="22"/>
        </w:rPr>
        <w:t xml:space="preserve">PBAC costs were estimated based on the number of members and meetings, and include wages/salary of members, travel allowances, accommodation, flights and catering as </w:t>
      </w:r>
      <w:proofErr w:type="gramStart"/>
      <w:r w:rsidRPr="00F65705">
        <w:rPr>
          <w:rStyle w:val="Strong"/>
          <w:rFonts w:asciiTheme="minorHAnsi" w:hAnsiTheme="minorHAnsi" w:cstheme="minorHAnsi"/>
          <w:b w:val="0"/>
          <w:sz w:val="22"/>
          <w:szCs w:val="22"/>
        </w:rPr>
        <w:t>applicable;</w:t>
      </w:r>
      <w:proofErr w:type="gramEnd"/>
    </w:p>
    <w:p w14:paraId="651AB781" w14:textId="77777777" w:rsidR="00865C8A" w:rsidRPr="00F65705" w:rsidRDefault="00865C8A" w:rsidP="00865C8A">
      <w:pPr>
        <w:pStyle w:val="ListParagraph"/>
        <w:numPr>
          <w:ilvl w:val="0"/>
          <w:numId w:val="12"/>
        </w:numPr>
        <w:spacing w:before="120" w:after="120"/>
        <w:jc w:val="both"/>
        <w:rPr>
          <w:rStyle w:val="Strong"/>
          <w:rFonts w:asciiTheme="minorHAnsi" w:hAnsiTheme="minorHAnsi" w:cstheme="minorHAnsi"/>
          <w:b w:val="0"/>
          <w:sz w:val="22"/>
          <w:szCs w:val="22"/>
        </w:rPr>
      </w:pPr>
      <w:r w:rsidRPr="00F65705">
        <w:rPr>
          <w:rStyle w:val="Strong"/>
          <w:rFonts w:asciiTheme="minorHAnsi" w:hAnsiTheme="minorHAnsi" w:cstheme="minorHAnsi"/>
          <w:b w:val="0"/>
          <w:sz w:val="22"/>
          <w:szCs w:val="22"/>
        </w:rPr>
        <w:t xml:space="preserve">The number of submissions per year is the average number of submissions over a 3-year </w:t>
      </w:r>
      <w:proofErr w:type="gramStart"/>
      <w:r w:rsidRPr="00F65705">
        <w:rPr>
          <w:rStyle w:val="Strong"/>
          <w:rFonts w:asciiTheme="minorHAnsi" w:hAnsiTheme="minorHAnsi" w:cstheme="minorHAnsi"/>
          <w:b w:val="0"/>
          <w:sz w:val="22"/>
          <w:szCs w:val="22"/>
        </w:rPr>
        <w:t>period;</w:t>
      </w:r>
      <w:proofErr w:type="gramEnd"/>
    </w:p>
    <w:p w14:paraId="4CFECF8A" w14:textId="77777777" w:rsidR="00865C8A" w:rsidRPr="00F65705" w:rsidRDefault="00865C8A" w:rsidP="00865C8A">
      <w:pPr>
        <w:pStyle w:val="ListParagraph"/>
        <w:numPr>
          <w:ilvl w:val="0"/>
          <w:numId w:val="12"/>
        </w:numPr>
        <w:spacing w:before="120" w:after="120"/>
        <w:jc w:val="both"/>
        <w:rPr>
          <w:rStyle w:val="Strong"/>
          <w:rFonts w:asciiTheme="minorHAnsi" w:hAnsiTheme="minorHAnsi" w:cstheme="minorHAnsi"/>
          <w:b w:val="0"/>
          <w:sz w:val="22"/>
          <w:szCs w:val="22"/>
        </w:rPr>
      </w:pPr>
      <w:r w:rsidRPr="00F65705">
        <w:rPr>
          <w:rStyle w:val="Strong"/>
          <w:rFonts w:asciiTheme="minorHAnsi" w:hAnsiTheme="minorHAnsi" w:cstheme="minorHAnsi"/>
          <w:b w:val="0"/>
          <w:sz w:val="22"/>
          <w:szCs w:val="22"/>
        </w:rPr>
        <w:t>Supplier costs were based on signed contracts; and</w:t>
      </w:r>
    </w:p>
    <w:p w14:paraId="666CCEC0" w14:textId="29274BDD" w:rsidR="00865C8A" w:rsidRPr="00F65705" w:rsidRDefault="00865C8A" w:rsidP="00865C8A">
      <w:pPr>
        <w:pStyle w:val="ListParagraph"/>
        <w:numPr>
          <w:ilvl w:val="0"/>
          <w:numId w:val="12"/>
        </w:numPr>
        <w:spacing w:before="120" w:after="120"/>
        <w:jc w:val="both"/>
        <w:rPr>
          <w:rStyle w:val="Strong"/>
          <w:rFonts w:asciiTheme="minorHAnsi" w:hAnsiTheme="minorHAnsi" w:cstheme="minorHAnsi"/>
          <w:b w:val="0"/>
          <w:sz w:val="22"/>
          <w:szCs w:val="22"/>
        </w:rPr>
      </w:pPr>
      <w:r w:rsidRPr="00F65705">
        <w:rPr>
          <w:rStyle w:val="Strong"/>
          <w:rFonts w:asciiTheme="minorHAnsi" w:hAnsiTheme="minorHAnsi" w:cstheme="minorHAnsi"/>
          <w:b w:val="0"/>
          <w:sz w:val="22"/>
          <w:szCs w:val="22"/>
        </w:rPr>
        <w:t xml:space="preserve">Staff costs/overheads include salaries as </w:t>
      </w:r>
      <w:r w:rsidR="00D105EA" w:rsidRPr="00F65705">
        <w:rPr>
          <w:rStyle w:val="Strong"/>
          <w:rFonts w:asciiTheme="minorHAnsi" w:hAnsiTheme="minorHAnsi" w:cstheme="minorHAnsi"/>
          <w:b w:val="0"/>
          <w:sz w:val="22"/>
          <w:szCs w:val="22"/>
        </w:rPr>
        <w:t xml:space="preserve">advised </w:t>
      </w:r>
      <w:r w:rsidRPr="00F65705">
        <w:rPr>
          <w:rStyle w:val="Strong"/>
          <w:rFonts w:asciiTheme="minorHAnsi" w:hAnsiTheme="minorHAnsi" w:cstheme="minorHAnsi"/>
          <w:b w:val="0"/>
          <w:sz w:val="22"/>
          <w:szCs w:val="22"/>
        </w:rPr>
        <w:t>by the Department of Finance.</w:t>
      </w:r>
    </w:p>
    <w:p w14:paraId="774491FC" w14:textId="77777777" w:rsidR="00865C8A" w:rsidRPr="00F65705" w:rsidRDefault="00865C8A" w:rsidP="00865C8A">
      <w:pPr>
        <w:pStyle w:val="ListParagraph"/>
        <w:spacing w:before="120" w:after="120"/>
        <w:jc w:val="both"/>
        <w:rPr>
          <w:rStyle w:val="Strong"/>
          <w:rFonts w:asciiTheme="minorHAnsi" w:hAnsiTheme="minorHAnsi" w:cstheme="minorHAnsi"/>
          <w:b w:val="0"/>
          <w:sz w:val="22"/>
          <w:szCs w:val="22"/>
        </w:rPr>
      </w:pPr>
    </w:p>
    <w:p w14:paraId="1CA16284" w14:textId="77777777" w:rsidR="00865C8A" w:rsidRPr="00F65705" w:rsidRDefault="00865C8A" w:rsidP="00865C8A">
      <w:pPr>
        <w:autoSpaceDE w:val="0"/>
        <w:autoSpaceDN w:val="0"/>
        <w:adjustRightInd w:val="0"/>
        <w:spacing w:before="120" w:after="120"/>
        <w:rPr>
          <w:rFonts w:asciiTheme="minorHAnsi" w:hAnsiTheme="minorHAnsi" w:cstheme="minorHAnsi"/>
          <w:b/>
          <w:sz w:val="22"/>
          <w:szCs w:val="22"/>
        </w:rPr>
      </w:pPr>
      <w:r w:rsidRPr="00F65705">
        <w:rPr>
          <w:rFonts w:asciiTheme="minorHAnsi" w:hAnsiTheme="minorHAnsi" w:cstheme="minorHAnsi"/>
          <w:b/>
          <w:sz w:val="22"/>
          <w:szCs w:val="22"/>
        </w:rPr>
        <w:t xml:space="preserve">Table 7 - 2023-24 fees, effective from 1 July 2023 with estimated volumes and revenue for 2023-24 </w:t>
      </w:r>
    </w:p>
    <w:tbl>
      <w:tblPr>
        <w:tblW w:w="5000" w:type="pct"/>
        <w:tblLook w:val="04A0" w:firstRow="1" w:lastRow="0" w:firstColumn="1" w:lastColumn="0" w:noHBand="0" w:noVBand="1"/>
        <w:tblCaption w:val="Table 7 - 2020-21 fees with estimated volumes and revenue for 1 Jan to 30 Jun 2021"/>
        <w:tblDescription w:val="This table outlines the fees that will apply from 1 January 2021, together with the expected volumes and revenue."/>
      </w:tblPr>
      <w:tblGrid>
        <w:gridCol w:w="4371"/>
        <w:gridCol w:w="650"/>
        <w:gridCol w:w="1483"/>
        <w:gridCol w:w="1144"/>
        <w:gridCol w:w="1980"/>
      </w:tblGrid>
      <w:tr w:rsidR="00F65705" w:rsidRPr="00F65705" w14:paraId="25F8704C" w14:textId="77777777" w:rsidTr="00DC62CD">
        <w:trPr>
          <w:trHeight w:val="781"/>
          <w:tblHeader/>
        </w:trPr>
        <w:tc>
          <w:tcPr>
            <w:tcW w:w="2270" w:type="pct"/>
            <w:tcBorders>
              <w:top w:val="single" w:sz="4" w:space="0" w:color="auto"/>
              <w:left w:val="single" w:sz="4" w:space="0" w:color="auto"/>
              <w:bottom w:val="single" w:sz="4" w:space="0" w:color="808080"/>
              <w:right w:val="nil"/>
            </w:tcBorders>
            <w:shd w:val="clear" w:color="auto" w:fill="000000" w:themeFill="text1"/>
            <w:vAlign w:val="center"/>
            <w:hideMark/>
          </w:tcPr>
          <w:p w14:paraId="764D2011" w14:textId="77777777" w:rsidR="00865C8A" w:rsidRPr="00F65705" w:rsidRDefault="00865C8A" w:rsidP="00DC62CD">
            <w:pPr>
              <w:pStyle w:val="TableParagraph"/>
              <w:jc w:val="center"/>
              <w:rPr>
                <w:rFonts w:cstheme="minorHAnsi"/>
                <w:b/>
                <w:bCs/>
                <w:sz w:val="20"/>
                <w:szCs w:val="20"/>
              </w:rPr>
            </w:pPr>
            <w:r w:rsidRPr="00F65705">
              <w:rPr>
                <w:rFonts w:cstheme="minorHAnsi"/>
                <w:b/>
                <w:bCs/>
                <w:sz w:val="20"/>
                <w:szCs w:val="20"/>
              </w:rPr>
              <w:t>Charge</w:t>
            </w:r>
          </w:p>
        </w:tc>
        <w:tc>
          <w:tcPr>
            <w:tcW w:w="338" w:type="pct"/>
            <w:tcBorders>
              <w:top w:val="single" w:sz="4" w:space="0" w:color="auto"/>
              <w:left w:val="single" w:sz="4" w:space="0" w:color="808080"/>
              <w:bottom w:val="single" w:sz="4" w:space="0" w:color="808080"/>
              <w:right w:val="single" w:sz="4" w:space="0" w:color="808080"/>
            </w:tcBorders>
            <w:shd w:val="clear" w:color="auto" w:fill="000000" w:themeFill="text1"/>
            <w:vAlign w:val="center"/>
            <w:hideMark/>
          </w:tcPr>
          <w:p w14:paraId="07D41C46" w14:textId="77777777" w:rsidR="00865C8A" w:rsidRPr="00F65705" w:rsidRDefault="00865C8A" w:rsidP="00DC62CD">
            <w:pPr>
              <w:jc w:val="center"/>
              <w:rPr>
                <w:b/>
                <w:sz w:val="20"/>
              </w:rPr>
            </w:pPr>
            <w:r w:rsidRPr="00F65705">
              <w:rPr>
                <w:rFonts w:asciiTheme="minorHAnsi" w:hAnsiTheme="minorHAnsi" w:cstheme="minorHAnsi"/>
                <w:b/>
                <w:bCs/>
                <w:sz w:val="20"/>
                <w:szCs w:val="20"/>
              </w:rPr>
              <w:t>Type</w:t>
            </w:r>
          </w:p>
        </w:tc>
        <w:tc>
          <w:tcPr>
            <w:tcW w:w="770" w:type="pct"/>
            <w:tcBorders>
              <w:top w:val="single" w:sz="4" w:space="0" w:color="auto"/>
              <w:left w:val="nil"/>
              <w:bottom w:val="single" w:sz="4" w:space="0" w:color="808080"/>
              <w:right w:val="single" w:sz="4" w:space="0" w:color="808080"/>
            </w:tcBorders>
            <w:shd w:val="clear" w:color="auto" w:fill="000000" w:themeFill="text1"/>
            <w:vAlign w:val="center"/>
            <w:hideMark/>
          </w:tcPr>
          <w:p w14:paraId="6F4D52B6" w14:textId="77777777" w:rsidR="00865C8A" w:rsidRPr="00F65705" w:rsidRDefault="00865C8A" w:rsidP="00DC62CD">
            <w:pPr>
              <w:jc w:val="center"/>
              <w:rPr>
                <w:rFonts w:asciiTheme="minorHAnsi" w:hAnsiTheme="minorHAnsi" w:cstheme="minorHAnsi"/>
                <w:b/>
                <w:bCs/>
                <w:sz w:val="20"/>
                <w:szCs w:val="20"/>
              </w:rPr>
            </w:pPr>
            <w:r w:rsidRPr="00F65705">
              <w:rPr>
                <w:rFonts w:asciiTheme="minorHAnsi" w:hAnsiTheme="minorHAnsi" w:cstheme="minorHAnsi"/>
                <w:b/>
                <w:bCs/>
                <w:sz w:val="20"/>
                <w:szCs w:val="20"/>
              </w:rPr>
              <w:t>Fee from 1</w:t>
            </w:r>
            <w:r w:rsidRPr="00F65705">
              <w:rPr>
                <w:rFonts w:asciiTheme="minorHAnsi" w:hAnsiTheme="minorHAnsi" w:cstheme="minorHAnsi"/>
                <w:b/>
                <w:bCs/>
                <w:sz w:val="20"/>
                <w:szCs w:val="20"/>
              </w:rPr>
              <w:br/>
              <w:t>July 2023</w:t>
            </w:r>
          </w:p>
        </w:tc>
        <w:tc>
          <w:tcPr>
            <w:tcW w:w="594" w:type="pct"/>
            <w:tcBorders>
              <w:top w:val="single" w:sz="4" w:space="0" w:color="auto"/>
              <w:left w:val="nil"/>
              <w:bottom w:val="single" w:sz="4" w:space="0" w:color="808080"/>
              <w:right w:val="single" w:sz="4" w:space="0" w:color="808080"/>
            </w:tcBorders>
            <w:shd w:val="clear" w:color="auto" w:fill="000000" w:themeFill="text1"/>
            <w:vAlign w:val="center"/>
            <w:hideMark/>
          </w:tcPr>
          <w:p w14:paraId="046B138C" w14:textId="77777777" w:rsidR="00865C8A" w:rsidRPr="00F65705" w:rsidRDefault="00865C8A" w:rsidP="00DC62CD">
            <w:pPr>
              <w:jc w:val="center"/>
              <w:rPr>
                <w:b/>
                <w:sz w:val="20"/>
              </w:rPr>
            </w:pPr>
            <w:r w:rsidRPr="00F65705">
              <w:rPr>
                <w:rFonts w:asciiTheme="minorHAnsi" w:hAnsiTheme="minorHAnsi" w:cstheme="minorHAnsi"/>
                <w:b/>
                <w:bCs/>
                <w:sz w:val="20"/>
                <w:szCs w:val="20"/>
              </w:rPr>
              <w:t>Estimated Volume</w:t>
            </w:r>
          </w:p>
        </w:tc>
        <w:tc>
          <w:tcPr>
            <w:tcW w:w="1029" w:type="pct"/>
            <w:tcBorders>
              <w:top w:val="single" w:sz="4" w:space="0" w:color="auto"/>
              <w:left w:val="nil"/>
              <w:bottom w:val="single" w:sz="4" w:space="0" w:color="808080"/>
              <w:right w:val="single" w:sz="4" w:space="0" w:color="auto"/>
            </w:tcBorders>
            <w:shd w:val="clear" w:color="auto" w:fill="000000" w:themeFill="text1"/>
            <w:vAlign w:val="center"/>
            <w:hideMark/>
          </w:tcPr>
          <w:p w14:paraId="1AD9860D" w14:textId="77777777" w:rsidR="00865C8A" w:rsidRPr="00F65705" w:rsidRDefault="00865C8A" w:rsidP="00DC62CD">
            <w:pPr>
              <w:jc w:val="center"/>
              <w:rPr>
                <w:b/>
                <w:sz w:val="20"/>
              </w:rPr>
            </w:pPr>
            <w:r w:rsidRPr="00F65705">
              <w:rPr>
                <w:rFonts w:asciiTheme="minorHAnsi" w:hAnsiTheme="minorHAnsi" w:cstheme="minorHAnsi"/>
                <w:b/>
                <w:bCs/>
                <w:sz w:val="20"/>
                <w:szCs w:val="20"/>
              </w:rPr>
              <w:t>Estimated Revenue for 1 July 2023– 30 June 2024 ($m)</w:t>
            </w:r>
          </w:p>
        </w:tc>
      </w:tr>
      <w:tr w:rsidR="00F65705" w:rsidRPr="00F65705" w14:paraId="53612B26" w14:textId="77777777" w:rsidTr="00DC62CD">
        <w:trPr>
          <w:trHeight w:val="297"/>
        </w:trPr>
        <w:tc>
          <w:tcPr>
            <w:tcW w:w="2270" w:type="pct"/>
            <w:tcBorders>
              <w:top w:val="nil"/>
              <w:left w:val="single" w:sz="4" w:space="0" w:color="auto"/>
              <w:bottom w:val="single" w:sz="4" w:space="0" w:color="808080"/>
              <w:right w:val="nil"/>
            </w:tcBorders>
            <w:shd w:val="clear" w:color="auto" w:fill="E7E6E6" w:themeFill="background2"/>
            <w:vAlign w:val="center"/>
            <w:hideMark/>
          </w:tcPr>
          <w:p w14:paraId="46F8E9B4" w14:textId="77777777" w:rsidR="00865C8A" w:rsidRPr="00F65705" w:rsidRDefault="00865C8A" w:rsidP="00DC62CD">
            <w:pPr>
              <w:rPr>
                <w:b/>
                <w:sz w:val="20"/>
              </w:rPr>
            </w:pPr>
            <w:r w:rsidRPr="00F65705">
              <w:rPr>
                <w:rFonts w:asciiTheme="minorHAnsi" w:hAnsiTheme="minorHAnsi"/>
                <w:b/>
                <w:sz w:val="20"/>
              </w:rPr>
              <w:t>ATAGI Pre-submission Evaluation</w:t>
            </w:r>
          </w:p>
        </w:tc>
        <w:tc>
          <w:tcPr>
            <w:tcW w:w="338" w:type="pct"/>
            <w:tcBorders>
              <w:top w:val="nil"/>
              <w:left w:val="nil"/>
              <w:bottom w:val="single" w:sz="4" w:space="0" w:color="808080"/>
              <w:right w:val="nil"/>
            </w:tcBorders>
            <w:shd w:val="clear" w:color="auto" w:fill="E7E6E6" w:themeFill="background2"/>
            <w:vAlign w:val="center"/>
            <w:hideMark/>
          </w:tcPr>
          <w:p w14:paraId="562A6CEA" w14:textId="77777777" w:rsidR="00865C8A" w:rsidRPr="00F65705" w:rsidRDefault="00865C8A" w:rsidP="00DC62CD">
            <w:pPr>
              <w:jc w:val="center"/>
              <w:rPr>
                <w:b/>
                <w:sz w:val="20"/>
              </w:rPr>
            </w:pPr>
            <w:r w:rsidRPr="00F65705">
              <w:rPr>
                <w:rFonts w:asciiTheme="minorHAnsi" w:hAnsiTheme="minorHAnsi"/>
                <w:b/>
                <w:sz w:val="20"/>
              </w:rPr>
              <w:t> </w:t>
            </w:r>
          </w:p>
        </w:tc>
        <w:tc>
          <w:tcPr>
            <w:tcW w:w="770" w:type="pct"/>
            <w:tcBorders>
              <w:top w:val="nil"/>
              <w:left w:val="nil"/>
              <w:bottom w:val="single" w:sz="4" w:space="0" w:color="808080"/>
              <w:right w:val="nil"/>
            </w:tcBorders>
            <w:shd w:val="clear" w:color="auto" w:fill="E7E6E6" w:themeFill="background2"/>
            <w:vAlign w:val="center"/>
            <w:hideMark/>
          </w:tcPr>
          <w:p w14:paraId="34A134A2" w14:textId="77777777" w:rsidR="00865C8A" w:rsidRPr="00F65705" w:rsidRDefault="00865C8A" w:rsidP="00DC62CD">
            <w:pPr>
              <w:rPr>
                <w:b/>
                <w:sz w:val="20"/>
              </w:rPr>
            </w:pPr>
            <w:r w:rsidRPr="00F65705">
              <w:rPr>
                <w:rFonts w:asciiTheme="minorHAnsi" w:hAnsiTheme="minorHAnsi"/>
                <w:b/>
                <w:sz w:val="20"/>
              </w:rPr>
              <w:t> </w:t>
            </w:r>
          </w:p>
        </w:tc>
        <w:tc>
          <w:tcPr>
            <w:tcW w:w="594" w:type="pct"/>
            <w:tcBorders>
              <w:top w:val="single" w:sz="4" w:space="0" w:color="808080"/>
              <w:left w:val="nil"/>
              <w:bottom w:val="single" w:sz="4" w:space="0" w:color="808080"/>
              <w:right w:val="nil"/>
            </w:tcBorders>
            <w:shd w:val="clear" w:color="auto" w:fill="E7E6E6" w:themeFill="background2"/>
            <w:vAlign w:val="center"/>
            <w:hideMark/>
          </w:tcPr>
          <w:p w14:paraId="276D0CB6" w14:textId="77777777" w:rsidR="00865C8A" w:rsidRPr="00F65705" w:rsidRDefault="00865C8A" w:rsidP="00DC62CD">
            <w:pPr>
              <w:jc w:val="center"/>
              <w:rPr>
                <w:b/>
                <w:sz w:val="20"/>
              </w:rPr>
            </w:pPr>
            <w:r w:rsidRPr="00F65705">
              <w:rPr>
                <w:rFonts w:asciiTheme="minorHAnsi" w:hAnsiTheme="minorHAnsi"/>
                <w:b/>
                <w:sz w:val="20"/>
              </w:rPr>
              <w:t> </w:t>
            </w:r>
          </w:p>
        </w:tc>
        <w:tc>
          <w:tcPr>
            <w:tcW w:w="1029" w:type="pct"/>
            <w:tcBorders>
              <w:top w:val="nil"/>
              <w:left w:val="nil"/>
              <w:bottom w:val="single" w:sz="4" w:space="0" w:color="808080"/>
              <w:right w:val="single" w:sz="4" w:space="0" w:color="auto"/>
            </w:tcBorders>
            <w:shd w:val="clear" w:color="auto" w:fill="E7E6E6" w:themeFill="background2"/>
            <w:vAlign w:val="center"/>
            <w:hideMark/>
          </w:tcPr>
          <w:p w14:paraId="1D8D5E23" w14:textId="77777777" w:rsidR="00865C8A" w:rsidRPr="00F65705" w:rsidRDefault="00865C8A" w:rsidP="00DC62CD">
            <w:pPr>
              <w:rPr>
                <w:b/>
                <w:sz w:val="20"/>
              </w:rPr>
            </w:pPr>
            <w:r w:rsidRPr="00F65705">
              <w:rPr>
                <w:rFonts w:asciiTheme="minorHAnsi" w:hAnsiTheme="minorHAnsi"/>
                <w:b/>
                <w:sz w:val="20"/>
              </w:rPr>
              <w:t> </w:t>
            </w:r>
          </w:p>
        </w:tc>
      </w:tr>
      <w:tr w:rsidR="00F65705" w:rsidRPr="00F65705" w14:paraId="633385FF"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51C120C1" w14:textId="77777777" w:rsidR="00865C8A" w:rsidRPr="00F65705" w:rsidRDefault="00865C8A" w:rsidP="00DC62CD">
            <w:pPr>
              <w:ind w:firstLineChars="100" w:firstLine="200"/>
              <w:rPr>
                <w:sz w:val="20"/>
              </w:rPr>
            </w:pPr>
            <w:r w:rsidRPr="00F65705">
              <w:rPr>
                <w:rFonts w:asciiTheme="minorHAnsi" w:hAnsiTheme="minorHAnsi"/>
                <w:sz w:val="20"/>
              </w:rPr>
              <w:t>Complex Submission</w:t>
            </w:r>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79125EAE" w14:textId="77777777" w:rsidR="00865C8A" w:rsidRPr="00F65705" w:rsidRDefault="00865C8A" w:rsidP="00DC62CD">
            <w:pPr>
              <w:jc w:val="center"/>
              <w:rPr>
                <w:sz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hideMark/>
          </w:tcPr>
          <w:p w14:paraId="50C73FDB"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$212,360 </w:t>
            </w:r>
          </w:p>
        </w:tc>
        <w:tc>
          <w:tcPr>
            <w:tcW w:w="594" w:type="pct"/>
            <w:tcBorders>
              <w:top w:val="single" w:sz="4" w:space="0" w:color="808080"/>
              <w:left w:val="nil"/>
              <w:bottom w:val="dotted" w:sz="4" w:space="0" w:color="808080"/>
              <w:right w:val="single" w:sz="4" w:space="0" w:color="808080"/>
            </w:tcBorders>
            <w:shd w:val="clear" w:color="auto" w:fill="auto"/>
            <w:noWrap/>
            <w:hideMark/>
          </w:tcPr>
          <w:p w14:paraId="06E99E23" w14:textId="77777777" w:rsidR="00865C8A" w:rsidRPr="00F65705" w:rsidRDefault="00865C8A" w:rsidP="00DC62CD">
            <w:pPr>
              <w:jc w:val="center"/>
              <w:rPr>
                <w:sz w:val="20"/>
              </w:rPr>
            </w:pPr>
            <w:r w:rsidRPr="00F65705">
              <w:rPr>
                <w:rFonts w:asciiTheme="minorHAnsi" w:hAnsiTheme="minorHAnsi" w:cstheme="minorHAnsi"/>
                <w:sz w:val="20"/>
                <w:szCs w:val="20"/>
              </w:rPr>
              <w:t>3</w:t>
            </w:r>
          </w:p>
        </w:tc>
        <w:tc>
          <w:tcPr>
            <w:tcW w:w="1029" w:type="pct"/>
            <w:tcBorders>
              <w:top w:val="nil"/>
              <w:left w:val="nil"/>
              <w:bottom w:val="dotted" w:sz="4" w:space="0" w:color="808080"/>
              <w:right w:val="single" w:sz="4" w:space="0" w:color="auto"/>
            </w:tcBorders>
            <w:shd w:val="clear" w:color="auto" w:fill="auto"/>
            <w:noWrap/>
            <w:hideMark/>
          </w:tcPr>
          <w:p w14:paraId="4B645591" w14:textId="77777777" w:rsidR="00865C8A" w:rsidRPr="00F65705" w:rsidRDefault="00865C8A" w:rsidP="00DC62CD">
            <w:pPr>
              <w:rPr>
                <w:sz w:val="20"/>
              </w:rPr>
            </w:pPr>
            <w:r w:rsidRPr="00F65705">
              <w:rPr>
                <w:rFonts w:asciiTheme="minorHAnsi" w:hAnsiTheme="minorHAnsi"/>
                <w:sz w:val="20"/>
              </w:rPr>
              <w:t>$</w:t>
            </w:r>
            <w:r w:rsidRPr="00F65705">
              <w:rPr>
                <w:rFonts w:asciiTheme="minorHAnsi" w:hAnsiTheme="minorHAnsi" w:cstheme="minorHAnsi"/>
                <w:sz w:val="20"/>
                <w:szCs w:val="20"/>
              </w:rPr>
              <w:t>0.64</w:t>
            </w:r>
          </w:p>
        </w:tc>
      </w:tr>
      <w:tr w:rsidR="00F65705" w:rsidRPr="00F65705" w14:paraId="2EBDE41E" w14:textId="77777777" w:rsidTr="00DC62CD">
        <w:trPr>
          <w:trHeight w:val="250"/>
        </w:trPr>
        <w:tc>
          <w:tcPr>
            <w:tcW w:w="2270" w:type="pct"/>
            <w:tcBorders>
              <w:top w:val="nil"/>
              <w:left w:val="single" w:sz="4" w:space="0" w:color="auto"/>
              <w:bottom w:val="single" w:sz="4" w:space="0" w:color="808080"/>
              <w:right w:val="nil"/>
            </w:tcBorders>
            <w:shd w:val="clear" w:color="auto" w:fill="auto"/>
            <w:noWrap/>
            <w:vAlign w:val="bottom"/>
            <w:hideMark/>
          </w:tcPr>
          <w:p w14:paraId="4AA87E2C" w14:textId="77777777" w:rsidR="00865C8A" w:rsidRPr="00F65705" w:rsidRDefault="00865C8A" w:rsidP="00DC62CD">
            <w:pPr>
              <w:ind w:firstLineChars="100" w:firstLine="200"/>
              <w:rPr>
                <w:sz w:val="20"/>
              </w:rPr>
            </w:pPr>
            <w:r w:rsidRPr="00F65705">
              <w:rPr>
                <w:rFonts w:asciiTheme="minorHAnsi" w:hAnsiTheme="minorHAnsi"/>
                <w:sz w:val="20"/>
              </w:rPr>
              <w:t>Simple Submission</w:t>
            </w:r>
          </w:p>
        </w:tc>
        <w:tc>
          <w:tcPr>
            <w:tcW w:w="338" w:type="pct"/>
            <w:tcBorders>
              <w:top w:val="nil"/>
              <w:left w:val="single" w:sz="4" w:space="0" w:color="808080"/>
              <w:bottom w:val="single" w:sz="4" w:space="0" w:color="808080"/>
              <w:right w:val="single" w:sz="4" w:space="0" w:color="808080"/>
            </w:tcBorders>
            <w:shd w:val="clear" w:color="auto" w:fill="auto"/>
            <w:noWrap/>
            <w:vAlign w:val="bottom"/>
            <w:hideMark/>
          </w:tcPr>
          <w:p w14:paraId="3CFD4576" w14:textId="77777777" w:rsidR="00865C8A" w:rsidRPr="00F65705" w:rsidRDefault="00865C8A" w:rsidP="00DC62CD">
            <w:pPr>
              <w:jc w:val="center"/>
              <w:rPr>
                <w:sz w:val="20"/>
              </w:rPr>
            </w:pPr>
            <w:r w:rsidRPr="00F65705">
              <w:rPr>
                <w:rFonts w:asciiTheme="minorHAnsi" w:hAnsiTheme="minorHAnsi" w:cstheme="minorHAnsi"/>
                <w:sz w:val="20"/>
                <w:szCs w:val="20"/>
              </w:rPr>
              <w:t>Fee</w:t>
            </w:r>
          </w:p>
        </w:tc>
        <w:tc>
          <w:tcPr>
            <w:tcW w:w="770" w:type="pct"/>
            <w:tcBorders>
              <w:top w:val="nil"/>
              <w:left w:val="nil"/>
              <w:bottom w:val="single" w:sz="4" w:space="0" w:color="808080"/>
              <w:right w:val="single" w:sz="4" w:space="0" w:color="808080"/>
            </w:tcBorders>
            <w:shd w:val="clear" w:color="auto" w:fill="auto"/>
            <w:noWrap/>
            <w:hideMark/>
          </w:tcPr>
          <w:p w14:paraId="5B5E93C9"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$116,960 </w:t>
            </w:r>
          </w:p>
        </w:tc>
        <w:tc>
          <w:tcPr>
            <w:tcW w:w="594" w:type="pct"/>
            <w:tcBorders>
              <w:top w:val="dotted" w:sz="4" w:space="0" w:color="808080"/>
              <w:left w:val="nil"/>
              <w:bottom w:val="single" w:sz="4" w:space="0" w:color="808080"/>
              <w:right w:val="single" w:sz="4" w:space="0" w:color="808080"/>
            </w:tcBorders>
            <w:shd w:val="clear" w:color="auto" w:fill="auto"/>
            <w:noWrap/>
            <w:hideMark/>
          </w:tcPr>
          <w:p w14:paraId="565870A4" w14:textId="77777777" w:rsidR="00865C8A" w:rsidRPr="00F65705" w:rsidRDefault="00865C8A" w:rsidP="00DC62CD">
            <w:pPr>
              <w:jc w:val="center"/>
              <w:rPr>
                <w:sz w:val="20"/>
              </w:rPr>
            </w:pPr>
            <w:r w:rsidRPr="00F65705">
              <w:rPr>
                <w:rFonts w:asciiTheme="minorHAnsi" w:hAnsiTheme="minorHAnsi" w:cstheme="minorHAnsi"/>
                <w:sz w:val="20"/>
                <w:szCs w:val="20"/>
              </w:rPr>
              <w:t>3</w:t>
            </w:r>
          </w:p>
        </w:tc>
        <w:tc>
          <w:tcPr>
            <w:tcW w:w="1029" w:type="pct"/>
            <w:tcBorders>
              <w:top w:val="nil"/>
              <w:left w:val="nil"/>
              <w:bottom w:val="single" w:sz="4" w:space="0" w:color="808080"/>
              <w:right w:val="single" w:sz="4" w:space="0" w:color="auto"/>
            </w:tcBorders>
            <w:shd w:val="clear" w:color="auto" w:fill="auto"/>
            <w:noWrap/>
            <w:hideMark/>
          </w:tcPr>
          <w:p w14:paraId="19E62FA1" w14:textId="77777777" w:rsidR="00865C8A" w:rsidRPr="00F65705" w:rsidRDefault="00865C8A" w:rsidP="00DC62CD">
            <w:pPr>
              <w:rPr>
                <w:sz w:val="20"/>
              </w:rPr>
            </w:pPr>
            <w:r w:rsidRPr="00F65705">
              <w:rPr>
                <w:rFonts w:asciiTheme="minorHAnsi" w:hAnsiTheme="minorHAnsi"/>
                <w:sz w:val="20"/>
              </w:rPr>
              <w:t>$</w:t>
            </w:r>
            <w:r w:rsidRPr="00F65705">
              <w:rPr>
                <w:rFonts w:asciiTheme="minorHAnsi" w:hAnsiTheme="minorHAnsi" w:cstheme="minorHAnsi"/>
                <w:sz w:val="20"/>
                <w:szCs w:val="20"/>
              </w:rPr>
              <w:t>0.35</w:t>
            </w:r>
          </w:p>
        </w:tc>
      </w:tr>
      <w:tr w:rsidR="00F65705" w:rsidRPr="00F65705" w14:paraId="18B838CC" w14:textId="77777777" w:rsidTr="00DC62CD">
        <w:trPr>
          <w:trHeight w:val="297"/>
        </w:trPr>
        <w:tc>
          <w:tcPr>
            <w:tcW w:w="2270" w:type="pct"/>
            <w:tcBorders>
              <w:top w:val="nil"/>
              <w:left w:val="single" w:sz="4" w:space="0" w:color="auto"/>
              <w:bottom w:val="single" w:sz="4" w:space="0" w:color="808080"/>
              <w:right w:val="nil"/>
            </w:tcBorders>
            <w:shd w:val="clear" w:color="auto" w:fill="E7E6E6" w:themeFill="background2"/>
            <w:vAlign w:val="center"/>
            <w:hideMark/>
          </w:tcPr>
          <w:p w14:paraId="45E52851" w14:textId="77777777" w:rsidR="00865C8A" w:rsidRPr="00F65705" w:rsidRDefault="00865C8A" w:rsidP="00DC62CD">
            <w:pPr>
              <w:ind w:firstLineChars="100" w:firstLine="201"/>
              <w:rPr>
                <w:rFonts w:asciiTheme="minorHAnsi" w:hAnsiTheme="minorHAnsi" w:cstheme="minorHAnsi"/>
                <w:b/>
                <w:bCs/>
                <w:sz w:val="20"/>
                <w:szCs w:val="20"/>
              </w:rPr>
            </w:pPr>
            <w:r w:rsidRPr="00F65705">
              <w:rPr>
                <w:rFonts w:asciiTheme="minorHAnsi" w:hAnsiTheme="minorHAnsi" w:cstheme="minorHAnsi"/>
                <w:b/>
                <w:bCs/>
                <w:sz w:val="20"/>
                <w:szCs w:val="20"/>
              </w:rPr>
              <w:t>Pre-Submission Meetings</w:t>
            </w:r>
          </w:p>
        </w:tc>
        <w:tc>
          <w:tcPr>
            <w:tcW w:w="338" w:type="pct"/>
            <w:tcBorders>
              <w:top w:val="nil"/>
              <w:left w:val="nil"/>
              <w:bottom w:val="single" w:sz="4" w:space="0" w:color="808080"/>
              <w:right w:val="nil"/>
            </w:tcBorders>
            <w:shd w:val="clear" w:color="auto" w:fill="E7E6E6" w:themeFill="background2"/>
            <w:vAlign w:val="center"/>
            <w:hideMark/>
          </w:tcPr>
          <w:p w14:paraId="034887F7" w14:textId="77777777" w:rsidR="00865C8A" w:rsidRPr="00F65705" w:rsidRDefault="00865C8A" w:rsidP="00DC62CD">
            <w:pPr>
              <w:jc w:val="center"/>
              <w:rPr>
                <w:rFonts w:asciiTheme="minorHAnsi" w:hAnsiTheme="minorHAnsi" w:cstheme="minorHAnsi"/>
                <w:b/>
                <w:bCs/>
                <w:sz w:val="20"/>
                <w:szCs w:val="20"/>
              </w:rPr>
            </w:pPr>
            <w:r w:rsidRPr="00F65705">
              <w:rPr>
                <w:rFonts w:asciiTheme="minorHAnsi" w:hAnsiTheme="minorHAnsi" w:cstheme="minorHAnsi"/>
                <w:b/>
                <w:bCs/>
                <w:sz w:val="20"/>
                <w:szCs w:val="20"/>
              </w:rPr>
              <w:t> </w:t>
            </w:r>
          </w:p>
        </w:tc>
        <w:tc>
          <w:tcPr>
            <w:tcW w:w="770" w:type="pct"/>
            <w:tcBorders>
              <w:top w:val="nil"/>
              <w:left w:val="nil"/>
              <w:bottom w:val="single" w:sz="4" w:space="0" w:color="808080"/>
              <w:right w:val="nil"/>
            </w:tcBorders>
            <w:shd w:val="clear" w:color="auto" w:fill="E7E6E6" w:themeFill="background2"/>
            <w:hideMark/>
          </w:tcPr>
          <w:p w14:paraId="1094CEB9" w14:textId="77777777" w:rsidR="00865C8A" w:rsidRPr="00F65705" w:rsidRDefault="00865C8A" w:rsidP="00DC62CD">
            <w:pPr>
              <w:rPr>
                <w:rFonts w:asciiTheme="minorHAnsi" w:hAnsiTheme="minorHAnsi" w:cstheme="minorHAnsi"/>
                <w:sz w:val="20"/>
                <w:szCs w:val="20"/>
              </w:rPr>
            </w:pPr>
          </w:p>
        </w:tc>
        <w:tc>
          <w:tcPr>
            <w:tcW w:w="594" w:type="pct"/>
            <w:tcBorders>
              <w:top w:val="single" w:sz="4" w:space="0" w:color="808080"/>
              <w:left w:val="nil"/>
              <w:bottom w:val="single" w:sz="4" w:space="0" w:color="808080"/>
              <w:right w:val="nil"/>
            </w:tcBorders>
            <w:shd w:val="clear" w:color="auto" w:fill="E7E6E6" w:themeFill="background2"/>
            <w:noWrap/>
            <w:hideMark/>
          </w:tcPr>
          <w:p w14:paraId="37CB4755" w14:textId="77777777" w:rsidR="00865C8A" w:rsidRPr="00F65705" w:rsidRDefault="00865C8A" w:rsidP="00DC62CD">
            <w:pPr>
              <w:jc w:val="center"/>
              <w:rPr>
                <w:rFonts w:asciiTheme="minorHAnsi" w:hAnsiTheme="minorHAnsi" w:cstheme="minorHAnsi"/>
                <w:b/>
                <w:bCs/>
                <w:sz w:val="20"/>
                <w:szCs w:val="20"/>
              </w:rPr>
            </w:pPr>
          </w:p>
        </w:tc>
        <w:tc>
          <w:tcPr>
            <w:tcW w:w="1029" w:type="pct"/>
            <w:tcBorders>
              <w:top w:val="nil"/>
              <w:left w:val="nil"/>
              <w:bottom w:val="single" w:sz="4" w:space="0" w:color="808080"/>
              <w:right w:val="single" w:sz="4" w:space="0" w:color="auto"/>
            </w:tcBorders>
            <w:shd w:val="clear" w:color="auto" w:fill="E7E6E6" w:themeFill="background2"/>
            <w:hideMark/>
          </w:tcPr>
          <w:p w14:paraId="0C7C543C" w14:textId="77777777" w:rsidR="00865C8A" w:rsidRPr="00F65705" w:rsidRDefault="00865C8A" w:rsidP="00DC62CD">
            <w:pPr>
              <w:rPr>
                <w:rFonts w:asciiTheme="minorHAnsi" w:hAnsiTheme="minorHAnsi" w:cstheme="minorHAnsi"/>
                <w:b/>
                <w:bCs/>
                <w:sz w:val="20"/>
                <w:szCs w:val="20"/>
              </w:rPr>
            </w:pPr>
          </w:p>
        </w:tc>
      </w:tr>
      <w:tr w:rsidR="00F65705" w:rsidRPr="00F65705" w14:paraId="4F46636A"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6E67AA05"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1st Pre-Submission Meeting</w:t>
            </w:r>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19F27FB3"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hideMark/>
          </w:tcPr>
          <w:p w14:paraId="0719AF80"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$15,440 </w:t>
            </w:r>
          </w:p>
        </w:tc>
        <w:tc>
          <w:tcPr>
            <w:tcW w:w="594" w:type="pct"/>
            <w:tcBorders>
              <w:top w:val="single" w:sz="4" w:space="0" w:color="808080"/>
              <w:left w:val="nil"/>
              <w:bottom w:val="dotted" w:sz="4" w:space="0" w:color="808080"/>
              <w:right w:val="single" w:sz="4" w:space="0" w:color="808080"/>
            </w:tcBorders>
            <w:shd w:val="clear" w:color="auto" w:fill="auto"/>
            <w:noWrap/>
            <w:hideMark/>
          </w:tcPr>
          <w:p w14:paraId="7F6E812F"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60</w:t>
            </w:r>
          </w:p>
        </w:tc>
        <w:tc>
          <w:tcPr>
            <w:tcW w:w="1029" w:type="pct"/>
            <w:tcBorders>
              <w:top w:val="nil"/>
              <w:left w:val="nil"/>
              <w:bottom w:val="dotted" w:sz="4" w:space="0" w:color="808080"/>
              <w:right w:val="single" w:sz="4" w:space="0" w:color="auto"/>
            </w:tcBorders>
            <w:shd w:val="clear" w:color="auto" w:fill="auto"/>
            <w:noWrap/>
            <w:hideMark/>
          </w:tcPr>
          <w:p w14:paraId="4D5EF769" w14:textId="63961AA6"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$0.9</w:t>
            </w:r>
            <w:r w:rsidR="00C622BE" w:rsidRPr="00F65705">
              <w:rPr>
                <w:rFonts w:asciiTheme="minorHAnsi" w:hAnsiTheme="minorHAnsi" w:cstheme="minorHAnsi"/>
                <w:sz w:val="20"/>
                <w:szCs w:val="20"/>
              </w:rPr>
              <w:t>3</w:t>
            </w:r>
          </w:p>
        </w:tc>
      </w:tr>
      <w:tr w:rsidR="00F65705" w:rsidRPr="00F65705" w14:paraId="345A56DA" w14:textId="77777777" w:rsidTr="00DC62CD">
        <w:trPr>
          <w:trHeight w:val="250"/>
        </w:trPr>
        <w:tc>
          <w:tcPr>
            <w:tcW w:w="2270" w:type="pct"/>
            <w:tcBorders>
              <w:top w:val="nil"/>
              <w:left w:val="single" w:sz="4" w:space="0" w:color="auto"/>
              <w:bottom w:val="single" w:sz="4" w:space="0" w:color="808080"/>
              <w:right w:val="nil"/>
            </w:tcBorders>
            <w:shd w:val="clear" w:color="auto" w:fill="auto"/>
            <w:noWrap/>
            <w:vAlign w:val="bottom"/>
            <w:hideMark/>
          </w:tcPr>
          <w:p w14:paraId="5A60C567"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2nd Pre-Submission Meeting</w:t>
            </w:r>
          </w:p>
        </w:tc>
        <w:tc>
          <w:tcPr>
            <w:tcW w:w="338" w:type="pct"/>
            <w:tcBorders>
              <w:top w:val="nil"/>
              <w:left w:val="single" w:sz="4" w:space="0" w:color="808080"/>
              <w:bottom w:val="single" w:sz="4" w:space="0" w:color="808080"/>
              <w:right w:val="single" w:sz="4" w:space="0" w:color="808080"/>
            </w:tcBorders>
            <w:shd w:val="clear" w:color="auto" w:fill="auto"/>
            <w:noWrap/>
            <w:vAlign w:val="bottom"/>
            <w:hideMark/>
          </w:tcPr>
          <w:p w14:paraId="4D81EFD6"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single" w:sz="4" w:space="0" w:color="808080"/>
              <w:right w:val="single" w:sz="4" w:space="0" w:color="808080"/>
            </w:tcBorders>
            <w:shd w:val="clear" w:color="auto" w:fill="auto"/>
            <w:noWrap/>
            <w:hideMark/>
          </w:tcPr>
          <w:p w14:paraId="0CDAC268"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$20,980 </w:t>
            </w:r>
          </w:p>
        </w:tc>
        <w:tc>
          <w:tcPr>
            <w:tcW w:w="594" w:type="pct"/>
            <w:tcBorders>
              <w:top w:val="dotted" w:sz="4" w:space="0" w:color="808080"/>
              <w:left w:val="nil"/>
              <w:bottom w:val="single" w:sz="4" w:space="0" w:color="808080"/>
              <w:right w:val="single" w:sz="4" w:space="0" w:color="808080"/>
            </w:tcBorders>
            <w:shd w:val="clear" w:color="auto" w:fill="auto"/>
            <w:noWrap/>
            <w:hideMark/>
          </w:tcPr>
          <w:p w14:paraId="3F60C535"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10</w:t>
            </w:r>
          </w:p>
        </w:tc>
        <w:tc>
          <w:tcPr>
            <w:tcW w:w="1029" w:type="pct"/>
            <w:tcBorders>
              <w:top w:val="nil"/>
              <w:left w:val="nil"/>
              <w:bottom w:val="single" w:sz="4" w:space="0" w:color="808080"/>
              <w:right w:val="single" w:sz="4" w:space="0" w:color="auto"/>
            </w:tcBorders>
            <w:shd w:val="clear" w:color="auto" w:fill="auto"/>
            <w:noWrap/>
            <w:hideMark/>
          </w:tcPr>
          <w:p w14:paraId="7E7A4948" w14:textId="10894972"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$0.2</w:t>
            </w:r>
            <w:r w:rsidR="00C622BE" w:rsidRPr="00F65705">
              <w:rPr>
                <w:rFonts w:asciiTheme="minorHAnsi" w:hAnsiTheme="minorHAnsi" w:cstheme="minorHAnsi"/>
                <w:sz w:val="20"/>
                <w:szCs w:val="20"/>
              </w:rPr>
              <w:t>1</w:t>
            </w:r>
          </w:p>
        </w:tc>
      </w:tr>
      <w:tr w:rsidR="00F65705" w:rsidRPr="00F65705" w14:paraId="106CDA96" w14:textId="77777777" w:rsidTr="00DC62CD">
        <w:trPr>
          <w:trHeight w:val="297"/>
        </w:trPr>
        <w:tc>
          <w:tcPr>
            <w:tcW w:w="2270" w:type="pct"/>
            <w:tcBorders>
              <w:top w:val="nil"/>
              <w:left w:val="single" w:sz="4" w:space="0" w:color="auto"/>
              <w:bottom w:val="single" w:sz="4" w:space="0" w:color="808080"/>
              <w:right w:val="nil"/>
            </w:tcBorders>
            <w:shd w:val="clear" w:color="auto" w:fill="E7E6E6" w:themeFill="background2"/>
            <w:vAlign w:val="center"/>
            <w:hideMark/>
          </w:tcPr>
          <w:p w14:paraId="08C2C13D" w14:textId="77777777" w:rsidR="00865C8A" w:rsidRPr="00F65705" w:rsidRDefault="00865C8A" w:rsidP="00DC62CD">
            <w:pPr>
              <w:ind w:firstLineChars="100" w:firstLine="201"/>
              <w:rPr>
                <w:rFonts w:asciiTheme="minorHAnsi" w:hAnsiTheme="minorHAnsi" w:cstheme="minorHAnsi"/>
                <w:b/>
                <w:bCs/>
                <w:sz w:val="20"/>
                <w:szCs w:val="20"/>
              </w:rPr>
            </w:pPr>
            <w:r w:rsidRPr="00F65705">
              <w:rPr>
                <w:rFonts w:asciiTheme="minorHAnsi" w:hAnsiTheme="minorHAnsi" w:cstheme="minorHAnsi"/>
                <w:b/>
                <w:bCs/>
                <w:sz w:val="20"/>
                <w:szCs w:val="20"/>
              </w:rPr>
              <w:t>Notice of Intent Submissions</w:t>
            </w:r>
          </w:p>
        </w:tc>
        <w:tc>
          <w:tcPr>
            <w:tcW w:w="338" w:type="pct"/>
            <w:tcBorders>
              <w:top w:val="nil"/>
              <w:left w:val="nil"/>
              <w:bottom w:val="single" w:sz="4" w:space="0" w:color="808080"/>
              <w:right w:val="nil"/>
            </w:tcBorders>
            <w:shd w:val="clear" w:color="auto" w:fill="E7E6E6" w:themeFill="background2"/>
            <w:vAlign w:val="center"/>
            <w:hideMark/>
          </w:tcPr>
          <w:p w14:paraId="327C050C" w14:textId="77777777" w:rsidR="00865C8A" w:rsidRPr="00F65705" w:rsidRDefault="00865C8A" w:rsidP="00DC62CD">
            <w:pPr>
              <w:jc w:val="center"/>
              <w:rPr>
                <w:rFonts w:asciiTheme="minorHAnsi" w:hAnsiTheme="minorHAnsi" w:cstheme="minorHAnsi"/>
                <w:b/>
                <w:bCs/>
                <w:sz w:val="20"/>
                <w:szCs w:val="20"/>
              </w:rPr>
            </w:pPr>
            <w:r w:rsidRPr="00F65705">
              <w:rPr>
                <w:rFonts w:asciiTheme="minorHAnsi" w:hAnsiTheme="minorHAnsi" w:cstheme="minorHAnsi"/>
                <w:b/>
                <w:bCs/>
                <w:sz w:val="20"/>
                <w:szCs w:val="20"/>
              </w:rPr>
              <w:t> </w:t>
            </w:r>
          </w:p>
        </w:tc>
        <w:tc>
          <w:tcPr>
            <w:tcW w:w="770" w:type="pct"/>
            <w:tcBorders>
              <w:top w:val="nil"/>
              <w:left w:val="nil"/>
              <w:bottom w:val="single" w:sz="4" w:space="0" w:color="808080"/>
              <w:right w:val="nil"/>
            </w:tcBorders>
            <w:shd w:val="clear" w:color="auto" w:fill="E7E6E6" w:themeFill="background2"/>
            <w:hideMark/>
          </w:tcPr>
          <w:p w14:paraId="5ADA6690" w14:textId="77777777" w:rsidR="00865C8A" w:rsidRPr="00F65705" w:rsidRDefault="00865C8A" w:rsidP="00DC62CD">
            <w:pPr>
              <w:rPr>
                <w:rFonts w:asciiTheme="minorHAnsi" w:hAnsiTheme="minorHAnsi" w:cstheme="minorHAnsi"/>
                <w:sz w:val="20"/>
                <w:szCs w:val="20"/>
              </w:rPr>
            </w:pPr>
          </w:p>
        </w:tc>
        <w:tc>
          <w:tcPr>
            <w:tcW w:w="594" w:type="pct"/>
            <w:tcBorders>
              <w:top w:val="single" w:sz="4" w:space="0" w:color="808080"/>
              <w:left w:val="nil"/>
              <w:bottom w:val="single" w:sz="4" w:space="0" w:color="808080"/>
              <w:right w:val="nil"/>
            </w:tcBorders>
            <w:shd w:val="clear" w:color="auto" w:fill="E7E6E6" w:themeFill="background2"/>
            <w:noWrap/>
            <w:hideMark/>
          </w:tcPr>
          <w:p w14:paraId="079D8DEA" w14:textId="77777777" w:rsidR="00865C8A" w:rsidRPr="00F65705" w:rsidRDefault="00865C8A" w:rsidP="00DC62CD">
            <w:pPr>
              <w:jc w:val="center"/>
              <w:rPr>
                <w:rFonts w:asciiTheme="minorHAnsi" w:hAnsiTheme="minorHAnsi" w:cstheme="minorHAnsi"/>
                <w:b/>
                <w:bCs/>
                <w:sz w:val="20"/>
                <w:szCs w:val="20"/>
              </w:rPr>
            </w:pPr>
          </w:p>
        </w:tc>
        <w:tc>
          <w:tcPr>
            <w:tcW w:w="1029" w:type="pct"/>
            <w:tcBorders>
              <w:top w:val="nil"/>
              <w:left w:val="nil"/>
              <w:bottom w:val="single" w:sz="4" w:space="0" w:color="808080"/>
              <w:right w:val="single" w:sz="4" w:space="0" w:color="auto"/>
            </w:tcBorders>
            <w:shd w:val="clear" w:color="auto" w:fill="E7E6E6" w:themeFill="background2"/>
            <w:hideMark/>
          </w:tcPr>
          <w:p w14:paraId="4259F731" w14:textId="77777777" w:rsidR="00865C8A" w:rsidRPr="00F65705" w:rsidRDefault="00865C8A" w:rsidP="00DC62CD">
            <w:pPr>
              <w:rPr>
                <w:rFonts w:asciiTheme="minorHAnsi" w:hAnsiTheme="minorHAnsi" w:cstheme="minorHAnsi"/>
                <w:b/>
                <w:bCs/>
                <w:sz w:val="20"/>
                <w:szCs w:val="20"/>
              </w:rPr>
            </w:pPr>
          </w:p>
        </w:tc>
      </w:tr>
      <w:tr w:rsidR="00F65705" w:rsidRPr="00F65705" w14:paraId="09667F0A" w14:textId="77777777" w:rsidTr="00DC62CD">
        <w:trPr>
          <w:trHeight w:val="250"/>
        </w:trPr>
        <w:tc>
          <w:tcPr>
            <w:tcW w:w="2270" w:type="pct"/>
            <w:tcBorders>
              <w:top w:val="nil"/>
              <w:left w:val="single" w:sz="4" w:space="0" w:color="auto"/>
              <w:bottom w:val="nil"/>
              <w:right w:val="nil"/>
            </w:tcBorders>
            <w:shd w:val="clear" w:color="auto" w:fill="auto"/>
            <w:noWrap/>
            <w:vAlign w:val="bottom"/>
            <w:hideMark/>
          </w:tcPr>
          <w:p w14:paraId="3B0A606B"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Notice of Intent</w:t>
            </w:r>
            <w:r w:rsidRPr="00F65705">
              <w:rPr>
                <w:rStyle w:val="FootnoteReference"/>
                <w:rFonts w:cstheme="minorHAnsi"/>
                <w:color w:val="auto"/>
                <w:sz w:val="18"/>
                <w:szCs w:val="18"/>
              </w:rPr>
              <w:footnoteReference w:id="3"/>
            </w:r>
          </w:p>
        </w:tc>
        <w:tc>
          <w:tcPr>
            <w:tcW w:w="338" w:type="pct"/>
            <w:tcBorders>
              <w:top w:val="nil"/>
              <w:left w:val="single" w:sz="4" w:space="0" w:color="808080"/>
              <w:bottom w:val="single" w:sz="4" w:space="0" w:color="808080"/>
              <w:right w:val="single" w:sz="4" w:space="0" w:color="808080"/>
            </w:tcBorders>
            <w:shd w:val="clear" w:color="auto" w:fill="auto"/>
            <w:noWrap/>
            <w:vAlign w:val="bottom"/>
            <w:hideMark/>
          </w:tcPr>
          <w:p w14:paraId="1821BDFE"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single" w:sz="4" w:space="0" w:color="808080"/>
              <w:right w:val="single" w:sz="4" w:space="0" w:color="808080"/>
            </w:tcBorders>
            <w:shd w:val="clear" w:color="auto" w:fill="auto"/>
            <w:noWrap/>
            <w:hideMark/>
          </w:tcPr>
          <w:p w14:paraId="618279EF"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$430 </w:t>
            </w:r>
          </w:p>
        </w:tc>
        <w:tc>
          <w:tcPr>
            <w:tcW w:w="594" w:type="pct"/>
            <w:tcBorders>
              <w:top w:val="single" w:sz="4" w:space="0" w:color="808080"/>
              <w:left w:val="nil"/>
              <w:bottom w:val="single" w:sz="4" w:space="0" w:color="808080"/>
              <w:right w:val="single" w:sz="4" w:space="0" w:color="808080"/>
            </w:tcBorders>
            <w:shd w:val="clear" w:color="auto" w:fill="auto"/>
            <w:noWrap/>
            <w:hideMark/>
          </w:tcPr>
          <w:p w14:paraId="658CBCA9"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293</w:t>
            </w:r>
          </w:p>
        </w:tc>
        <w:tc>
          <w:tcPr>
            <w:tcW w:w="1029" w:type="pct"/>
            <w:tcBorders>
              <w:top w:val="nil"/>
              <w:left w:val="nil"/>
              <w:bottom w:val="single" w:sz="4" w:space="0" w:color="808080"/>
              <w:right w:val="single" w:sz="4" w:space="0" w:color="auto"/>
            </w:tcBorders>
            <w:shd w:val="clear" w:color="auto" w:fill="auto"/>
            <w:noWrap/>
            <w:hideMark/>
          </w:tcPr>
          <w:p w14:paraId="632E7C61"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$0.13</w:t>
            </w:r>
          </w:p>
        </w:tc>
      </w:tr>
      <w:tr w:rsidR="00F65705" w:rsidRPr="00F65705" w14:paraId="5EBC0219" w14:textId="77777777" w:rsidTr="00DC62CD">
        <w:trPr>
          <w:trHeight w:val="297"/>
        </w:trPr>
        <w:tc>
          <w:tcPr>
            <w:tcW w:w="2270" w:type="pct"/>
            <w:tcBorders>
              <w:top w:val="single" w:sz="4" w:space="0" w:color="808080"/>
              <w:left w:val="single" w:sz="4" w:space="0" w:color="auto"/>
              <w:bottom w:val="single" w:sz="4" w:space="0" w:color="808080"/>
              <w:right w:val="nil"/>
            </w:tcBorders>
            <w:shd w:val="clear" w:color="auto" w:fill="E7E6E6" w:themeFill="background2"/>
            <w:vAlign w:val="center"/>
            <w:hideMark/>
          </w:tcPr>
          <w:p w14:paraId="3C246864" w14:textId="77777777" w:rsidR="00865C8A" w:rsidRPr="00F65705" w:rsidRDefault="00865C8A" w:rsidP="00DC62CD">
            <w:pPr>
              <w:ind w:firstLineChars="100" w:firstLine="201"/>
              <w:rPr>
                <w:rFonts w:asciiTheme="minorHAnsi" w:hAnsiTheme="minorHAnsi" w:cstheme="minorHAnsi"/>
                <w:b/>
                <w:bCs/>
                <w:sz w:val="20"/>
                <w:szCs w:val="20"/>
              </w:rPr>
            </w:pPr>
            <w:r w:rsidRPr="00F65705">
              <w:rPr>
                <w:rFonts w:asciiTheme="minorHAnsi" w:hAnsiTheme="minorHAnsi" w:cstheme="minorHAnsi"/>
                <w:b/>
                <w:bCs/>
                <w:sz w:val="20"/>
                <w:szCs w:val="20"/>
              </w:rPr>
              <w:lastRenderedPageBreak/>
              <w:t>Submission Services (PBAC Evaluation)</w:t>
            </w:r>
          </w:p>
        </w:tc>
        <w:tc>
          <w:tcPr>
            <w:tcW w:w="338" w:type="pct"/>
            <w:tcBorders>
              <w:top w:val="nil"/>
              <w:left w:val="nil"/>
              <w:bottom w:val="single" w:sz="4" w:space="0" w:color="808080"/>
              <w:right w:val="nil"/>
            </w:tcBorders>
            <w:shd w:val="clear" w:color="auto" w:fill="E7E6E6" w:themeFill="background2"/>
            <w:vAlign w:val="center"/>
            <w:hideMark/>
          </w:tcPr>
          <w:p w14:paraId="5BC5A249" w14:textId="77777777" w:rsidR="00865C8A" w:rsidRPr="00F65705" w:rsidRDefault="00865C8A" w:rsidP="00DC62CD">
            <w:pPr>
              <w:jc w:val="center"/>
              <w:rPr>
                <w:rFonts w:asciiTheme="minorHAnsi" w:hAnsiTheme="minorHAnsi" w:cstheme="minorHAnsi"/>
                <w:b/>
                <w:bCs/>
                <w:sz w:val="20"/>
                <w:szCs w:val="20"/>
              </w:rPr>
            </w:pPr>
            <w:r w:rsidRPr="00F65705">
              <w:rPr>
                <w:rFonts w:asciiTheme="minorHAnsi" w:hAnsiTheme="minorHAnsi" w:cstheme="minorHAnsi"/>
                <w:b/>
                <w:bCs/>
                <w:sz w:val="20"/>
                <w:szCs w:val="20"/>
              </w:rPr>
              <w:t> </w:t>
            </w:r>
          </w:p>
        </w:tc>
        <w:tc>
          <w:tcPr>
            <w:tcW w:w="770" w:type="pct"/>
            <w:tcBorders>
              <w:top w:val="nil"/>
              <w:left w:val="nil"/>
              <w:bottom w:val="single" w:sz="4" w:space="0" w:color="808080"/>
              <w:right w:val="nil"/>
            </w:tcBorders>
            <w:shd w:val="clear" w:color="auto" w:fill="E7E6E6" w:themeFill="background2"/>
            <w:hideMark/>
          </w:tcPr>
          <w:p w14:paraId="47EFC22E" w14:textId="77777777" w:rsidR="00865C8A" w:rsidRPr="00F65705" w:rsidRDefault="00865C8A" w:rsidP="00DC62CD">
            <w:pPr>
              <w:rPr>
                <w:rFonts w:asciiTheme="minorHAnsi" w:hAnsiTheme="minorHAnsi" w:cstheme="minorHAnsi"/>
                <w:sz w:val="20"/>
                <w:szCs w:val="20"/>
              </w:rPr>
            </w:pPr>
          </w:p>
        </w:tc>
        <w:tc>
          <w:tcPr>
            <w:tcW w:w="594" w:type="pct"/>
            <w:tcBorders>
              <w:top w:val="single" w:sz="4" w:space="0" w:color="808080"/>
              <w:left w:val="nil"/>
              <w:bottom w:val="single" w:sz="4" w:space="0" w:color="808080"/>
              <w:right w:val="nil"/>
            </w:tcBorders>
            <w:shd w:val="clear" w:color="auto" w:fill="E7E6E6" w:themeFill="background2"/>
            <w:noWrap/>
            <w:hideMark/>
          </w:tcPr>
          <w:p w14:paraId="53F93B9F" w14:textId="77777777" w:rsidR="00865C8A" w:rsidRPr="00F65705" w:rsidRDefault="00865C8A" w:rsidP="00DC62CD">
            <w:pPr>
              <w:jc w:val="center"/>
              <w:rPr>
                <w:rFonts w:asciiTheme="minorHAnsi" w:hAnsiTheme="minorHAnsi" w:cstheme="minorHAnsi"/>
                <w:b/>
                <w:bCs/>
                <w:sz w:val="20"/>
                <w:szCs w:val="20"/>
              </w:rPr>
            </w:pPr>
          </w:p>
        </w:tc>
        <w:tc>
          <w:tcPr>
            <w:tcW w:w="1029" w:type="pct"/>
            <w:tcBorders>
              <w:top w:val="nil"/>
              <w:left w:val="nil"/>
              <w:bottom w:val="single" w:sz="4" w:space="0" w:color="808080"/>
              <w:right w:val="single" w:sz="4" w:space="0" w:color="auto"/>
            </w:tcBorders>
            <w:shd w:val="clear" w:color="auto" w:fill="E7E6E6" w:themeFill="background2"/>
            <w:hideMark/>
          </w:tcPr>
          <w:p w14:paraId="1B712598" w14:textId="77777777" w:rsidR="00865C8A" w:rsidRPr="00F65705" w:rsidRDefault="00865C8A" w:rsidP="00DC62CD">
            <w:pPr>
              <w:rPr>
                <w:rFonts w:asciiTheme="minorHAnsi" w:hAnsiTheme="minorHAnsi" w:cstheme="minorHAnsi"/>
                <w:sz w:val="20"/>
                <w:szCs w:val="20"/>
              </w:rPr>
            </w:pPr>
          </w:p>
        </w:tc>
      </w:tr>
      <w:tr w:rsidR="00F65705" w:rsidRPr="00F65705" w14:paraId="2869DA8E"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6DA956AA" w14:textId="77777777" w:rsidR="00865C8A" w:rsidRPr="00F65705" w:rsidRDefault="00865C8A" w:rsidP="00DC62CD">
            <w:pPr>
              <w:ind w:firstLineChars="100" w:firstLine="200"/>
              <w:rPr>
                <w:rFonts w:asciiTheme="minorHAnsi" w:hAnsiTheme="minorHAnsi" w:cstheme="minorHAnsi"/>
                <w:sz w:val="20"/>
                <w:szCs w:val="20"/>
              </w:rPr>
            </w:pPr>
            <w:bookmarkStart w:id="4" w:name="_Hlk105445820"/>
            <w:r w:rsidRPr="00F65705">
              <w:rPr>
                <w:rFonts w:asciiTheme="minorHAnsi" w:hAnsiTheme="minorHAnsi" w:cstheme="minorHAnsi"/>
                <w:sz w:val="20"/>
                <w:szCs w:val="20"/>
              </w:rPr>
              <w:t>Category 1</w:t>
            </w:r>
            <w:r w:rsidRPr="00F65705">
              <w:rPr>
                <w:rStyle w:val="FootnoteReference"/>
                <w:rFonts w:cstheme="minorHAnsi"/>
                <w:color w:val="auto"/>
                <w:sz w:val="20"/>
                <w:szCs w:val="20"/>
              </w:rPr>
              <w:footnoteReference w:id="4"/>
            </w:r>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146EB2F1"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hideMark/>
          </w:tcPr>
          <w:p w14:paraId="75D392B3"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$252,110 </w:t>
            </w:r>
          </w:p>
        </w:tc>
        <w:tc>
          <w:tcPr>
            <w:tcW w:w="594" w:type="pct"/>
            <w:tcBorders>
              <w:top w:val="single" w:sz="4" w:space="0" w:color="808080"/>
              <w:left w:val="nil"/>
              <w:bottom w:val="dotted" w:sz="4" w:space="0" w:color="808080"/>
              <w:right w:val="single" w:sz="4" w:space="0" w:color="808080"/>
            </w:tcBorders>
            <w:shd w:val="clear" w:color="auto" w:fill="auto"/>
            <w:noWrap/>
            <w:hideMark/>
          </w:tcPr>
          <w:p w14:paraId="50AFE459"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15 </w:t>
            </w:r>
          </w:p>
        </w:tc>
        <w:tc>
          <w:tcPr>
            <w:tcW w:w="1029" w:type="pct"/>
            <w:tcBorders>
              <w:top w:val="nil"/>
              <w:left w:val="nil"/>
              <w:bottom w:val="dotted" w:sz="4" w:space="0" w:color="808080"/>
              <w:right w:val="single" w:sz="4" w:space="0" w:color="auto"/>
            </w:tcBorders>
            <w:shd w:val="clear" w:color="auto" w:fill="auto"/>
            <w:noWrap/>
            <w:hideMark/>
          </w:tcPr>
          <w:p w14:paraId="06D805F9" w14:textId="2D46422D"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$3.</w:t>
            </w:r>
            <w:r w:rsidR="00C622BE" w:rsidRPr="00F65705">
              <w:rPr>
                <w:rFonts w:asciiTheme="minorHAnsi" w:hAnsiTheme="minorHAnsi" w:cstheme="minorHAnsi"/>
                <w:sz w:val="20"/>
                <w:szCs w:val="20"/>
              </w:rPr>
              <w:t>78</w:t>
            </w:r>
          </w:p>
        </w:tc>
      </w:tr>
      <w:bookmarkEnd w:id="4"/>
      <w:tr w:rsidR="00F65705" w:rsidRPr="00F65705" w14:paraId="3E700EE9"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7FF23CCB"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Category 2</w:t>
            </w:r>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0B133554"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hideMark/>
          </w:tcPr>
          <w:p w14:paraId="7AF19B79"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$197,500 </w:t>
            </w:r>
          </w:p>
        </w:tc>
        <w:tc>
          <w:tcPr>
            <w:tcW w:w="594" w:type="pct"/>
            <w:tcBorders>
              <w:top w:val="dotted" w:sz="4" w:space="0" w:color="808080"/>
              <w:left w:val="nil"/>
              <w:bottom w:val="dotted" w:sz="4" w:space="0" w:color="808080"/>
              <w:right w:val="single" w:sz="4" w:space="0" w:color="808080"/>
            </w:tcBorders>
            <w:shd w:val="clear" w:color="auto" w:fill="auto"/>
            <w:noWrap/>
            <w:hideMark/>
          </w:tcPr>
          <w:p w14:paraId="21E6677F"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48 </w:t>
            </w:r>
          </w:p>
        </w:tc>
        <w:tc>
          <w:tcPr>
            <w:tcW w:w="1029" w:type="pct"/>
            <w:tcBorders>
              <w:top w:val="nil"/>
              <w:left w:val="nil"/>
              <w:bottom w:val="dotted" w:sz="4" w:space="0" w:color="808080"/>
              <w:right w:val="single" w:sz="4" w:space="0" w:color="auto"/>
            </w:tcBorders>
            <w:shd w:val="clear" w:color="auto" w:fill="auto"/>
            <w:noWrap/>
            <w:hideMark/>
          </w:tcPr>
          <w:p w14:paraId="1F1D3467" w14:textId="7B657F9A"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$9.</w:t>
            </w:r>
            <w:r w:rsidR="00C622BE" w:rsidRPr="00F65705">
              <w:rPr>
                <w:rFonts w:asciiTheme="minorHAnsi" w:hAnsiTheme="minorHAnsi" w:cstheme="minorHAnsi"/>
                <w:sz w:val="20"/>
                <w:szCs w:val="20"/>
              </w:rPr>
              <w:t>48</w:t>
            </w:r>
          </w:p>
        </w:tc>
      </w:tr>
      <w:tr w:rsidR="00F65705" w:rsidRPr="00F65705" w14:paraId="4D031523"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6BF8E306"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Category 3</w:t>
            </w:r>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462A49FA"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hideMark/>
          </w:tcPr>
          <w:p w14:paraId="5F64CBC4"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$42,460 </w:t>
            </w:r>
          </w:p>
        </w:tc>
        <w:tc>
          <w:tcPr>
            <w:tcW w:w="594" w:type="pct"/>
            <w:tcBorders>
              <w:top w:val="dotted" w:sz="4" w:space="0" w:color="808080"/>
              <w:left w:val="nil"/>
              <w:bottom w:val="dotted" w:sz="4" w:space="0" w:color="808080"/>
              <w:right w:val="single" w:sz="4" w:space="0" w:color="808080"/>
            </w:tcBorders>
            <w:shd w:val="clear" w:color="auto" w:fill="auto"/>
            <w:noWrap/>
            <w:hideMark/>
          </w:tcPr>
          <w:p w14:paraId="38EA1723"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34 </w:t>
            </w:r>
          </w:p>
        </w:tc>
        <w:tc>
          <w:tcPr>
            <w:tcW w:w="1029" w:type="pct"/>
            <w:tcBorders>
              <w:top w:val="nil"/>
              <w:left w:val="nil"/>
              <w:bottom w:val="dotted" w:sz="4" w:space="0" w:color="808080"/>
              <w:right w:val="single" w:sz="4" w:space="0" w:color="auto"/>
            </w:tcBorders>
            <w:shd w:val="clear" w:color="auto" w:fill="auto"/>
            <w:noWrap/>
            <w:hideMark/>
          </w:tcPr>
          <w:p w14:paraId="07867A00" w14:textId="7FDD2D2E"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$1.</w:t>
            </w:r>
            <w:r w:rsidR="00C622BE" w:rsidRPr="00F65705">
              <w:rPr>
                <w:rFonts w:asciiTheme="minorHAnsi" w:hAnsiTheme="minorHAnsi" w:cstheme="minorHAnsi"/>
                <w:sz w:val="20"/>
                <w:szCs w:val="20"/>
              </w:rPr>
              <w:t>44</w:t>
            </w:r>
            <w:r w:rsidRPr="00F65705">
              <w:rPr>
                <w:rFonts w:asciiTheme="minorHAnsi" w:hAnsiTheme="minorHAnsi" w:cstheme="minorHAnsi"/>
                <w:sz w:val="20"/>
                <w:szCs w:val="20"/>
              </w:rPr>
              <w:t xml:space="preserve"> </w:t>
            </w:r>
          </w:p>
        </w:tc>
      </w:tr>
      <w:tr w:rsidR="00F65705" w:rsidRPr="00F65705" w14:paraId="31E49184"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0A4EAFF7" w14:textId="77777777" w:rsidR="00865C8A" w:rsidRPr="00F65705" w:rsidRDefault="00865C8A" w:rsidP="00DC62CD">
            <w:pPr>
              <w:ind w:firstLineChars="100" w:firstLine="200"/>
              <w:rPr>
                <w:rFonts w:asciiTheme="minorHAnsi" w:hAnsiTheme="minorHAnsi" w:cstheme="minorHAnsi"/>
                <w:sz w:val="20"/>
                <w:szCs w:val="20"/>
              </w:rPr>
            </w:pPr>
            <w:bookmarkStart w:id="5" w:name="_Hlk105445849"/>
            <w:r w:rsidRPr="00F65705">
              <w:rPr>
                <w:rFonts w:asciiTheme="minorHAnsi" w:hAnsiTheme="minorHAnsi" w:cstheme="minorHAnsi"/>
                <w:sz w:val="20"/>
                <w:szCs w:val="20"/>
              </w:rPr>
              <w:t>Category 4</w:t>
            </w:r>
            <w:bookmarkEnd w:id="5"/>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07C15ED1"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hideMark/>
          </w:tcPr>
          <w:p w14:paraId="205F215D"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$32,940 </w:t>
            </w:r>
          </w:p>
        </w:tc>
        <w:tc>
          <w:tcPr>
            <w:tcW w:w="594" w:type="pct"/>
            <w:tcBorders>
              <w:top w:val="dotted" w:sz="4" w:space="0" w:color="808080"/>
              <w:left w:val="nil"/>
              <w:bottom w:val="dotted" w:sz="4" w:space="0" w:color="808080"/>
              <w:right w:val="single" w:sz="4" w:space="0" w:color="808080"/>
            </w:tcBorders>
            <w:shd w:val="clear" w:color="auto" w:fill="auto"/>
            <w:noWrap/>
            <w:hideMark/>
          </w:tcPr>
          <w:p w14:paraId="7C8FB16B"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32 </w:t>
            </w:r>
          </w:p>
        </w:tc>
        <w:tc>
          <w:tcPr>
            <w:tcW w:w="1029" w:type="pct"/>
            <w:tcBorders>
              <w:top w:val="nil"/>
              <w:left w:val="nil"/>
              <w:bottom w:val="dotted" w:sz="4" w:space="0" w:color="808080"/>
              <w:right w:val="single" w:sz="4" w:space="0" w:color="auto"/>
            </w:tcBorders>
            <w:shd w:val="clear" w:color="auto" w:fill="auto"/>
            <w:noWrap/>
            <w:hideMark/>
          </w:tcPr>
          <w:p w14:paraId="2F963E66" w14:textId="631B2FD3"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$1.0</w:t>
            </w:r>
            <w:r w:rsidR="00C622BE" w:rsidRPr="00F65705">
              <w:rPr>
                <w:rFonts w:asciiTheme="minorHAnsi" w:hAnsiTheme="minorHAnsi" w:cstheme="minorHAnsi"/>
                <w:sz w:val="20"/>
                <w:szCs w:val="20"/>
              </w:rPr>
              <w:t>5</w:t>
            </w:r>
          </w:p>
        </w:tc>
      </w:tr>
      <w:tr w:rsidR="00F65705" w:rsidRPr="00F65705" w14:paraId="0E10666C"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28AF5337" w14:textId="77777777" w:rsidR="00865C8A" w:rsidRPr="00F65705" w:rsidRDefault="00865C8A" w:rsidP="00DC62CD">
            <w:pPr>
              <w:ind w:firstLineChars="100" w:firstLine="200"/>
              <w:rPr>
                <w:rFonts w:asciiTheme="minorHAnsi" w:hAnsiTheme="minorHAnsi" w:cstheme="minorHAnsi"/>
                <w:sz w:val="20"/>
                <w:szCs w:val="20"/>
              </w:rPr>
            </w:pPr>
            <w:bookmarkStart w:id="6" w:name="_Hlk105445885"/>
            <w:r w:rsidRPr="00F65705">
              <w:rPr>
                <w:rFonts w:asciiTheme="minorHAnsi" w:hAnsiTheme="minorHAnsi" w:cstheme="minorHAnsi"/>
                <w:sz w:val="20"/>
                <w:szCs w:val="20"/>
              </w:rPr>
              <w:t>Resubmission - Standard re-entry</w:t>
            </w:r>
            <w:bookmarkEnd w:id="6"/>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69182BC9"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hideMark/>
          </w:tcPr>
          <w:p w14:paraId="5F54B0CF"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$195,390 </w:t>
            </w:r>
          </w:p>
        </w:tc>
        <w:tc>
          <w:tcPr>
            <w:tcW w:w="594" w:type="pct"/>
            <w:tcBorders>
              <w:top w:val="dotted" w:sz="4" w:space="0" w:color="808080"/>
              <w:left w:val="nil"/>
              <w:bottom w:val="dotted" w:sz="4" w:space="0" w:color="808080"/>
              <w:right w:val="single" w:sz="4" w:space="0" w:color="808080"/>
            </w:tcBorders>
            <w:shd w:val="clear" w:color="auto" w:fill="auto"/>
            <w:noWrap/>
            <w:hideMark/>
          </w:tcPr>
          <w:p w14:paraId="4F0FD987"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24 </w:t>
            </w:r>
          </w:p>
        </w:tc>
        <w:tc>
          <w:tcPr>
            <w:tcW w:w="1029" w:type="pct"/>
            <w:tcBorders>
              <w:top w:val="nil"/>
              <w:left w:val="nil"/>
              <w:bottom w:val="dotted" w:sz="4" w:space="0" w:color="808080"/>
              <w:right w:val="single" w:sz="4" w:space="0" w:color="auto"/>
            </w:tcBorders>
            <w:shd w:val="clear" w:color="auto" w:fill="auto"/>
            <w:noWrap/>
            <w:hideMark/>
          </w:tcPr>
          <w:p w14:paraId="2E18F233" w14:textId="2506A412"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$4.</w:t>
            </w:r>
            <w:r w:rsidR="00C622BE" w:rsidRPr="00F65705">
              <w:rPr>
                <w:rFonts w:asciiTheme="minorHAnsi" w:hAnsiTheme="minorHAnsi" w:cstheme="minorHAnsi"/>
                <w:sz w:val="20"/>
                <w:szCs w:val="20"/>
              </w:rPr>
              <w:t>69</w:t>
            </w:r>
          </w:p>
        </w:tc>
      </w:tr>
      <w:tr w:rsidR="00F65705" w:rsidRPr="00F65705" w14:paraId="5D80E930"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2635F32F"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Resubmission - Facilitated resolution pathway</w:t>
            </w:r>
            <w:r w:rsidRPr="00F65705">
              <w:rPr>
                <w:rStyle w:val="FootnoteReference"/>
                <w:rFonts w:cstheme="minorHAnsi"/>
                <w:color w:val="auto"/>
                <w:sz w:val="20"/>
                <w:szCs w:val="20"/>
              </w:rPr>
              <w:footnoteReference w:id="5"/>
            </w:r>
          </w:p>
        </w:tc>
        <w:tc>
          <w:tcPr>
            <w:tcW w:w="338" w:type="pct"/>
            <w:tcBorders>
              <w:top w:val="nil"/>
              <w:left w:val="single" w:sz="4" w:space="0" w:color="808080"/>
              <w:bottom w:val="dotted" w:sz="4" w:space="0" w:color="808080"/>
              <w:right w:val="single" w:sz="4" w:space="0" w:color="808080"/>
            </w:tcBorders>
            <w:shd w:val="clear" w:color="auto" w:fill="auto"/>
            <w:noWrap/>
            <w:vAlign w:val="center"/>
            <w:hideMark/>
          </w:tcPr>
          <w:p w14:paraId="7EBF2385"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hideMark/>
          </w:tcPr>
          <w:p w14:paraId="05C2902B"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$269,020 </w:t>
            </w:r>
          </w:p>
        </w:tc>
        <w:tc>
          <w:tcPr>
            <w:tcW w:w="594" w:type="pct"/>
            <w:tcBorders>
              <w:top w:val="dotted" w:sz="4" w:space="0" w:color="808080"/>
              <w:left w:val="nil"/>
              <w:bottom w:val="dotted" w:sz="4" w:space="0" w:color="808080"/>
              <w:right w:val="single" w:sz="4" w:space="0" w:color="808080"/>
            </w:tcBorders>
            <w:shd w:val="clear" w:color="auto" w:fill="auto"/>
            <w:noWrap/>
            <w:hideMark/>
          </w:tcPr>
          <w:p w14:paraId="14217600"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2 </w:t>
            </w:r>
          </w:p>
        </w:tc>
        <w:tc>
          <w:tcPr>
            <w:tcW w:w="1029" w:type="pct"/>
            <w:tcBorders>
              <w:top w:val="nil"/>
              <w:left w:val="nil"/>
              <w:bottom w:val="dotted" w:sz="4" w:space="0" w:color="808080"/>
              <w:right w:val="single" w:sz="4" w:space="0" w:color="auto"/>
            </w:tcBorders>
            <w:shd w:val="clear" w:color="auto" w:fill="auto"/>
            <w:noWrap/>
            <w:hideMark/>
          </w:tcPr>
          <w:p w14:paraId="62B89033"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$0.54 </w:t>
            </w:r>
          </w:p>
        </w:tc>
      </w:tr>
      <w:tr w:rsidR="00F65705" w:rsidRPr="00F65705" w14:paraId="32EE46B9"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357ECF86"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Resubmission - Early resolution</w:t>
            </w:r>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5CEC0F89"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hideMark/>
          </w:tcPr>
          <w:p w14:paraId="671CDC06"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$41,190 </w:t>
            </w:r>
          </w:p>
        </w:tc>
        <w:tc>
          <w:tcPr>
            <w:tcW w:w="594" w:type="pct"/>
            <w:tcBorders>
              <w:top w:val="dotted" w:sz="4" w:space="0" w:color="808080"/>
              <w:left w:val="nil"/>
              <w:bottom w:val="dotted" w:sz="4" w:space="0" w:color="808080"/>
              <w:right w:val="single" w:sz="4" w:space="0" w:color="808080"/>
            </w:tcBorders>
            <w:shd w:val="clear" w:color="auto" w:fill="auto"/>
            <w:noWrap/>
            <w:hideMark/>
          </w:tcPr>
          <w:p w14:paraId="5931C98A"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5 </w:t>
            </w:r>
          </w:p>
        </w:tc>
        <w:tc>
          <w:tcPr>
            <w:tcW w:w="1029" w:type="pct"/>
            <w:tcBorders>
              <w:top w:val="nil"/>
              <w:left w:val="nil"/>
              <w:bottom w:val="dotted" w:sz="4" w:space="0" w:color="808080"/>
              <w:right w:val="single" w:sz="4" w:space="0" w:color="auto"/>
            </w:tcBorders>
            <w:shd w:val="clear" w:color="auto" w:fill="auto"/>
            <w:noWrap/>
            <w:hideMark/>
          </w:tcPr>
          <w:p w14:paraId="660D9A88"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$0.21 </w:t>
            </w:r>
          </w:p>
        </w:tc>
      </w:tr>
      <w:tr w:rsidR="00F65705" w:rsidRPr="00F65705" w14:paraId="5A6F281D"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7A1BEF96"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Resubmission - Early re-entry</w:t>
            </w:r>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1CC3392B"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hideMark/>
          </w:tcPr>
          <w:p w14:paraId="0874DADA"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$41,040 </w:t>
            </w:r>
          </w:p>
        </w:tc>
        <w:tc>
          <w:tcPr>
            <w:tcW w:w="594" w:type="pct"/>
            <w:tcBorders>
              <w:top w:val="dotted" w:sz="4" w:space="0" w:color="808080"/>
              <w:left w:val="nil"/>
              <w:bottom w:val="dotted" w:sz="4" w:space="0" w:color="808080"/>
              <w:right w:val="single" w:sz="4" w:space="0" w:color="808080"/>
            </w:tcBorders>
            <w:shd w:val="clear" w:color="auto" w:fill="auto"/>
            <w:noWrap/>
            <w:hideMark/>
          </w:tcPr>
          <w:p w14:paraId="05FC8177"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18 </w:t>
            </w:r>
          </w:p>
        </w:tc>
        <w:tc>
          <w:tcPr>
            <w:tcW w:w="1029" w:type="pct"/>
            <w:tcBorders>
              <w:top w:val="nil"/>
              <w:left w:val="nil"/>
              <w:bottom w:val="dotted" w:sz="4" w:space="0" w:color="808080"/>
              <w:right w:val="single" w:sz="4" w:space="0" w:color="auto"/>
            </w:tcBorders>
            <w:shd w:val="clear" w:color="auto" w:fill="auto"/>
            <w:noWrap/>
            <w:hideMark/>
          </w:tcPr>
          <w:p w14:paraId="42FF6269" w14:textId="0AD10808"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$0.7</w:t>
            </w:r>
            <w:r w:rsidR="00C622BE" w:rsidRPr="00F65705">
              <w:rPr>
                <w:rFonts w:asciiTheme="minorHAnsi" w:hAnsiTheme="minorHAnsi" w:cstheme="minorHAnsi"/>
                <w:sz w:val="20"/>
                <w:szCs w:val="20"/>
              </w:rPr>
              <w:t>4</w:t>
            </w:r>
            <w:r w:rsidRPr="00F65705">
              <w:rPr>
                <w:rFonts w:asciiTheme="minorHAnsi" w:hAnsiTheme="minorHAnsi" w:cstheme="minorHAnsi"/>
                <w:sz w:val="20"/>
                <w:szCs w:val="20"/>
              </w:rPr>
              <w:t xml:space="preserve"> </w:t>
            </w:r>
          </w:p>
        </w:tc>
      </w:tr>
      <w:tr w:rsidR="00F65705" w:rsidRPr="00F65705" w14:paraId="085DF167"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7562D5CC"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Secretariat Submission</w:t>
            </w:r>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6BB0D736"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hideMark/>
          </w:tcPr>
          <w:p w14:paraId="7A3D263A"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$11,560 </w:t>
            </w:r>
          </w:p>
        </w:tc>
        <w:tc>
          <w:tcPr>
            <w:tcW w:w="594" w:type="pct"/>
            <w:tcBorders>
              <w:top w:val="dotted" w:sz="4" w:space="0" w:color="808080"/>
              <w:left w:val="nil"/>
              <w:bottom w:val="dotted" w:sz="4" w:space="0" w:color="808080"/>
              <w:right w:val="single" w:sz="4" w:space="0" w:color="808080"/>
            </w:tcBorders>
            <w:shd w:val="clear" w:color="auto" w:fill="auto"/>
            <w:noWrap/>
            <w:hideMark/>
          </w:tcPr>
          <w:p w14:paraId="16F089C4"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6 </w:t>
            </w:r>
          </w:p>
        </w:tc>
        <w:tc>
          <w:tcPr>
            <w:tcW w:w="1029" w:type="pct"/>
            <w:tcBorders>
              <w:top w:val="nil"/>
              <w:left w:val="nil"/>
              <w:bottom w:val="dotted" w:sz="4" w:space="0" w:color="808080"/>
              <w:right w:val="single" w:sz="4" w:space="0" w:color="auto"/>
            </w:tcBorders>
            <w:shd w:val="clear" w:color="auto" w:fill="auto"/>
            <w:noWrap/>
            <w:hideMark/>
          </w:tcPr>
          <w:p w14:paraId="24E1E013"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$0.07 </w:t>
            </w:r>
          </w:p>
        </w:tc>
      </w:tr>
      <w:tr w:rsidR="00F65705" w:rsidRPr="00F65705" w14:paraId="1DE13812"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1702AE40"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Generic Submission</w:t>
            </w:r>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5CE378B5"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hideMark/>
          </w:tcPr>
          <w:p w14:paraId="1D9A9F15"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$6,410 </w:t>
            </w:r>
          </w:p>
        </w:tc>
        <w:tc>
          <w:tcPr>
            <w:tcW w:w="594" w:type="pct"/>
            <w:tcBorders>
              <w:top w:val="dotted" w:sz="4" w:space="0" w:color="808080"/>
              <w:left w:val="nil"/>
              <w:bottom w:val="dotted" w:sz="4" w:space="0" w:color="808080"/>
              <w:right w:val="single" w:sz="4" w:space="0" w:color="808080"/>
            </w:tcBorders>
            <w:shd w:val="clear" w:color="auto" w:fill="auto"/>
            <w:noWrap/>
            <w:hideMark/>
          </w:tcPr>
          <w:p w14:paraId="4FD5AE9C"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155 </w:t>
            </w:r>
          </w:p>
        </w:tc>
        <w:tc>
          <w:tcPr>
            <w:tcW w:w="1029" w:type="pct"/>
            <w:tcBorders>
              <w:top w:val="nil"/>
              <w:left w:val="nil"/>
              <w:bottom w:val="dotted" w:sz="4" w:space="0" w:color="808080"/>
              <w:right w:val="single" w:sz="4" w:space="0" w:color="auto"/>
            </w:tcBorders>
            <w:shd w:val="clear" w:color="auto" w:fill="auto"/>
            <w:noWrap/>
            <w:hideMark/>
          </w:tcPr>
          <w:p w14:paraId="53988989" w14:textId="102DC4F2"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w:t>
            </w:r>
            <w:r w:rsidR="00C622BE" w:rsidRPr="00F65705">
              <w:rPr>
                <w:rFonts w:asciiTheme="minorHAnsi" w:hAnsiTheme="minorHAnsi" w:cstheme="minorHAnsi"/>
                <w:sz w:val="20"/>
                <w:szCs w:val="20"/>
              </w:rPr>
              <w:t>0.99</w:t>
            </w:r>
            <w:r w:rsidRPr="00F65705">
              <w:rPr>
                <w:rFonts w:asciiTheme="minorHAnsi" w:hAnsiTheme="minorHAnsi" w:cstheme="minorHAnsi"/>
                <w:sz w:val="20"/>
                <w:szCs w:val="20"/>
              </w:rPr>
              <w:t xml:space="preserve"> </w:t>
            </w:r>
          </w:p>
        </w:tc>
      </w:tr>
      <w:tr w:rsidR="00F65705" w:rsidRPr="00F65705" w14:paraId="6B1D7177"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tcPr>
          <w:p w14:paraId="6430C235"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Independent review</w:t>
            </w:r>
          </w:p>
        </w:tc>
        <w:tc>
          <w:tcPr>
            <w:tcW w:w="338" w:type="pct"/>
            <w:tcBorders>
              <w:top w:val="nil"/>
              <w:left w:val="single" w:sz="4" w:space="0" w:color="808080"/>
              <w:bottom w:val="dotted" w:sz="4" w:space="0" w:color="808080"/>
              <w:right w:val="single" w:sz="4" w:space="0" w:color="808080"/>
            </w:tcBorders>
            <w:shd w:val="clear" w:color="auto" w:fill="auto"/>
            <w:noWrap/>
            <w:vAlign w:val="bottom"/>
          </w:tcPr>
          <w:p w14:paraId="3D9769E2"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tcPr>
          <w:p w14:paraId="74C5DBE4" w14:textId="37888D45"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w:t>
            </w:r>
            <w:r w:rsidR="00A30646" w:rsidRPr="00F65705">
              <w:rPr>
                <w:rFonts w:asciiTheme="minorHAnsi" w:hAnsiTheme="minorHAnsi" w:cstheme="minorHAnsi"/>
                <w:sz w:val="20"/>
                <w:szCs w:val="20"/>
              </w:rPr>
              <w:t>197,500</w:t>
            </w:r>
          </w:p>
        </w:tc>
        <w:tc>
          <w:tcPr>
            <w:tcW w:w="594" w:type="pct"/>
            <w:tcBorders>
              <w:top w:val="dotted" w:sz="4" w:space="0" w:color="808080"/>
              <w:left w:val="nil"/>
              <w:bottom w:val="dotted" w:sz="4" w:space="0" w:color="808080"/>
              <w:right w:val="single" w:sz="4" w:space="0" w:color="808080"/>
            </w:tcBorders>
            <w:shd w:val="clear" w:color="auto" w:fill="auto"/>
            <w:noWrap/>
          </w:tcPr>
          <w:p w14:paraId="65919D08"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0 </w:t>
            </w:r>
          </w:p>
        </w:tc>
        <w:tc>
          <w:tcPr>
            <w:tcW w:w="1029" w:type="pct"/>
            <w:tcBorders>
              <w:top w:val="nil"/>
              <w:left w:val="nil"/>
              <w:bottom w:val="dotted" w:sz="4" w:space="0" w:color="808080"/>
              <w:right w:val="single" w:sz="4" w:space="0" w:color="auto"/>
            </w:tcBorders>
            <w:shd w:val="clear" w:color="auto" w:fill="auto"/>
            <w:noWrap/>
          </w:tcPr>
          <w:p w14:paraId="1E4228A1"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w:t>
            </w:r>
          </w:p>
        </w:tc>
      </w:tr>
      <w:tr w:rsidR="00F65705" w:rsidRPr="00F65705" w14:paraId="1AA3D6F0" w14:textId="77777777" w:rsidTr="00DC62CD">
        <w:trPr>
          <w:trHeight w:val="297"/>
        </w:trPr>
        <w:tc>
          <w:tcPr>
            <w:tcW w:w="2270" w:type="pct"/>
            <w:tcBorders>
              <w:top w:val="single" w:sz="4" w:space="0" w:color="808080"/>
              <w:left w:val="single" w:sz="4" w:space="0" w:color="auto"/>
              <w:bottom w:val="single" w:sz="4" w:space="0" w:color="808080"/>
              <w:right w:val="nil"/>
            </w:tcBorders>
            <w:shd w:val="clear" w:color="auto" w:fill="E7E6E6" w:themeFill="background2"/>
            <w:vAlign w:val="center"/>
            <w:hideMark/>
          </w:tcPr>
          <w:p w14:paraId="6396DF49" w14:textId="77777777" w:rsidR="00865C8A" w:rsidRPr="00F65705" w:rsidRDefault="00865C8A" w:rsidP="00DC62CD">
            <w:pPr>
              <w:rPr>
                <w:rFonts w:asciiTheme="minorHAnsi" w:hAnsiTheme="minorHAnsi" w:cstheme="minorHAnsi"/>
                <w:b/>
                <w:bCs/>
                <w:sz w:val="20"/>
                <w:szCs w:val="20"/>
              </w:rPr>
            </w:pPr>
            <w:r w:rsidRPr="00F65705">
              <w:rPr>
                <w:rFonts w:asciiTheme="minorHAnsi" w:hAnsiTheme="minorHAnsi" w:cstheme="minorHAnsi"/>
                <w:b/>
                <w:bCs/>
                <w:sz w:val="20"/>
                <w:szCs w:val="20"/>
              </w:rPr>
              <w:t>PBS Pricing Services</w:t>
            </w:r>
          </w:p>
        </w:tc>
        <w:tc>
          <w:tcPr>
            <w:tcW w:w="338" w:type="pct"/>
            <w:tcBorders>
              <w:top w:val="single" w:sz="4" w:space="0" w:color="808080"/>
              <w:left w:val="nil"/>
              <w:bottom w:val="single" w:sz="4" w:space="0" w:color="808080"/>
              <w:right w:val="nil"/>
            </w:tcBorders>
            <w:shd w:val="clear" w:color="auto" w:fill="E7E6E6" w:themeFill="background2"/>
            <w:vAlign w:val="center"/>
            <w:hideMark/>
          </w:tcPr>
          <w:p w14:paraId="2E00D381" w14:textId="77777777" w:rsidR="00865C8A" w:rsidRPr="00F65705" w:rsidRDefault="00865C8A" w:rsidP="00DC62CD">
            <w:pPr>
              <w:jc w:val="center"/>
              <w:rPr>
                <w:rFonts w:asciiTheme="minorHAnsi" w:hAnsiTheme="minorHAnsi" w:cstheme="minorHAnsi"/>
                <w:b/>
                <w:bCs/>
                <w:sz w:val="20"/>
                <w:szCs w:val="20"/>
              </w:rPr>
            </w:pPr>
            <w:r w:rsidRPr="00F65705">
              <w:rPr>
                <w:rFonts w:asciiTheme="minorHAnsi" w:hAnsiTheme="minorHAnsi" w:cstheme="minorHAnsi"/>
                <w:b/>
                <w:bCs/>
                <w:sz w:val="20"/>
                <w:szCs w:val="20"/>
              </w:rPr>
              <w:t> </w:t>
            </w:r>
          </w:p>
        </w:tc>
        <w:tc>
          <w:tcPr>
            <w:tcW w:w="770" w:type="pct"/>
            <w:tcBorders>
              <w:top w:val="single" w:sz="4" w:space="0" w:color="808080"/>
              <w:left w:val="nil"/>
              <w:bottom w:val="single" w:sz="4" w:space="0" w:color="808080"/>
              <w:right w:val="nil"/>
            </w:tcBorders>
            <w:shd w:val="clear" w:color="auto" w:fill="E7E6E6" w:themeFill="background2"/>
            <w:hideMark/>
          </w:tcPr>
          <w:p w14:paraId="70BEC97D" w14:textId="77777777" w:rsidR="00865C8A" w:rsidRPr="00F65705" w:rsidRDefault="00865C8A" w:rsidP="00DC62CD">
            <w:pPr>
              <w:rPr>
                <w:rFonts w:asciiTheme="minorHAnsi" w:hAnsiTheme="minorHAnsi" w:cstheme="minorHAnsi"/>
                <w:sz w:val="20"/>
                <w:szCs w:val="20"/>
              </w:rPr>
            </w:pPr>
          </w:p>
        </w:tc>
        <w:tc>
          <w:tcPr>
            <w:tcW w:w="594" w:type="pct"/>
            <w:tcBorders>
              <w:top w:val="single" w:sz="4" w:space="0" w:color="808080"/>
              <w:left w:val="nil"/>
              <w:bottom w:val="single" w:sz="4" w:space="0" w:color="808080"/>
              <w:right w:val="nil"/>
            </w:tcBorders>
            <w:shd w:val="clear" w:color="auto" w:fill="E7E6E6" w:themeFill="background2"/>
            <w:noWrap/>
            <w:hideMark/>
          </w:tcPr>
          <w:p w14:paraId="6244A124" w14:textId="77777777" w:rsidR="00865C8A" w:rsidRPr="00F65705" w:rsidRDefault="00865C8A" w:rsidP="00DC62CD">
            <w:pPr>
              <w:jc w:val="center"/>
              <w:rPr>
                <w:rFonts w:asciiTheme="minorHAnsi" w:hAnsiTheme="minorHAnsi" w:cstheme="minorHAnsi"/>
                <w:b/>
                <w:bCs/>
                <w:sz w:val="20"/>
                <w:szCs w:val="20"/>
              </w:rPr>
            </w:pPr>
          </w:p>
        </w:tc>
        <w:tc>
          <w:tcPr>
            <w:tcW w:w="1029" w:type="pct"/>
            <w:tcBorders>
              <w:top w:val="single" w:sz="4" w:space="0" w:color="808080"/>
              <w:left w:val="nil"/>
              <w:bottom w:val="single" w:sz="4" w:space="0" w:color="808080"/>
              <w:right w:val="single" w:sz="4" w:space="0" w:color="auto"/>
            </w:tcBorders>
            <w:shd w:val="clear" w:color="auto" w:fill="E7E6E6" w:themeFill="background2"/>
            <w:hideMark/>
          </w:tcPr>
          <w:p w14:paraId="7DE6CF18" w14:textId="77777777" w:rsidR="00865C8A" w:rsidRPr="00F65705" w:rsidRDefault="00865C8A" w:rsidP="00DC62CD">
            <w:pPr>
              <w:rPr>
                <w:rFonts w:asciiTheme="minorHAnsi" w:hAnsiTheme="minorHAnsi" w:cstheme="minorHAnsi"/>
                <w:b/>
                <w:bCs/>
                <w:sz w:val="20"/>
                <w:szCs w:val="20"/>
              </w:rPr>
            </w:pPr>
          </w:p>
        </w:tc>
      </w:tr>
      <w:tr w:rsidR="00F65705" w:rsidRPr="00F65705" w14:paraId="1AD48ED0"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1A797B8C"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Pricing Pathway A</w:t>
            </w:r>
            <w:bookmarkStart w:id="7" w:name="_Ref73616442"/>
            <w:r w:rsidRPr="00F65705">
              <w:rPr>
                <w:rStyle w:val="FootnoteReference"/>
                <w:rFonts w:cstheme="minorHAnsi"/>
                <w:color w:val="auto"/>
                <w:sz w:val="20"/>
                <w:szCs w:val="20"/>
              </w:rPr>
              <w:footnoteReference w:id="6"/>
            </w:r>
            <w:bookmarkEnd w:id="7"/>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418572D7"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hideMark/>
          </w:tcPr>
          <w:p w14:paraId="379378CC"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$139,850 </w:t>
            </w:r>
          </w:p>
        </w:tc>
        <w:tc>
          <w:tcPr>
            <w:tcW w:w="594" w:type="pct"/>
            <w:tcBorders>
              <w:top w:val="single" w:sz="4" w:space="0" w:color="808080"/>
              <w:left w:val="nil"/>
              <w:bottom w:val="dotted" w:sz="4" w:space="0" w:color="808080"/>
              <w:right w:val="single" w:sz="4" w:space="0" w:color="808080"/>
            </w:tcBorders>
            <w:shd w:val="clear" w:color="auto" w:fill="auto"/>
            <w:noWrap/>
            <w:hideMark/>
          </w:tcPr>
          <w:p w14:paraId="2F8E0A05"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5 </w:t>
            </w:r>
          </w:p>
        </w:tc>
        <w:tc>
          <w:tcPr>
            <w:tcW w:w="1029" w:type="pct"/>
            <w:tcBorders>
              <w:top w:val="nil"/>
              <w:left w:val="nil"/>
              <w:bottom w:val="dotted" w:sz="4" w:space="0" w:color="808080"/>
              <w:right w:val="single" w:sz="4" w:space="0" w:color="auto"/>
            </w:tcBorders>
            <w:shd w:val="clear" w:color="auto" w:fill="auto"/>
            <w:noWrap/>
            <w:hideMark/>
          </w:tcPr>
          <w:p w14:paraId="77232879" w14:textId="46E92792"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$0.7</w:t>
            </w:r>
            <w:r w:rsidR="00C622BE" w:rsidRPr="00F65705">
              <w:rPr>
                <w:rFonts w:asciiTheme="minorHAnsi" w:hAnsiTheme="minorHAnsi" w:cstheme="minorHAnsi"/>
                <w:sz w:val="20"/>
                <w:szCs w:val="20"/>
              </w:rPr>
              <w:t>0</w:t>
            </w:r>
            <w:r w:rsidRPr="00F65705">
              <w:rPr>
                <w:rFonts w:asciiTheme="minorHAnsi" w:hAnsiTheme="minorHAnsi" w:cstheme="minorHAnsi"/>
                <w:sz w:val="20"/>
                <w:szCs w:val="20"/>
              </w:rPr>
              <w:t xml:space="preserve"> </w:t>
            </w:r>
          </w:p>
        </w:tc>
      </w:tr>
      <w:tr w:rsidR="00F65705" w:rsidRPr="00F65705" w14:paraId="2AA2ED94"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677787EB" w14:textId="77777777" w:rsidR="00865C8A" w:rsidRPr="00F65705" w:rsidRDefault="00865C8A" w:rsidP="00DC62CD">
            <w:pPr>
              <w:ind w:firstLineChars="100" w:firstLine="200"/>
              <w:rPr>
                <w:rFonts w:asciiTheme="minorHAnsi" w:hAnsiTheme="minorHAnsi" w:cstheme="minorHAnsi"/>
                <w:sz w:val="20"/>
                <w:szCs w:val="20"/>
                <w:vertAlign w:val="superscript"/>
              </w:rPr>
            </w:pPr>
            <w:r w:rsidRPr="00F65705">
              <w:rPr>
                <w:rFonts w:asciiTheme="minorHAnsi" w:hAnsiTheme="minorHAnsi" w:cstheme="minorHAnsi"/>
                <w:sz w:val="20"/>
                <w:szCs w:val="20"/>
              </w:rPr>
              <w:t>Pricing Pathway B</w:t>
            </w:r>
            <w:r w:rsidRPr="00F65705">
              <w:rPr>
                <w:rFonts w:asciiTheme="minorHAnsi" w:hAnsiTheme="minorHAnsi" w:cstheme="minorHAnsi"/>
                <w:sz w:val="20"/>
                <w:szCs w:val="20"/>
                <w:vertAlign w:val="superscript"/>
              </w:rPr>
              <w:t>6</w:t>
            </w:r>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6FA631B6"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hideMark/>
          </w:tcPr>
          <w:p w14:paraId="55CE102C"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$110,770 </w:t>
            </w:r>
          </w:p>
        </w:tc>
        <w:tc>
          <w:tcPr>
            <w:tcW w:w="594" w:type="pct"/>
            <w:tcBorders>
              <w:top w:val="dotted" w:sz="4" w:space="0" w:color="808080"/>
              <w:left w:val="nil"/>
              <w:bottom w:val="dotted" w:sz="4" w:space="0" w:color="808080"/>
              <w:right w:val="single" w:sz="4" w:space="0" w:color="808080"/>
            </w:tcBorders>
            <w:shd w:val="clear" w:color="auto" w:fill="auto"/>
            <w:noWrap/>
            <w:hideMark/>
          </w:tcPr>
          <w:p w14:paraId="5D4F47F7"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8 </w:t>
            </w:r>
          </w:p>
        </w:tc>
        <w:tc>
          <w:tcPr>
            <w:tcW w:w="1029" w:type="pct"/>
            <w:tcBorders>
              <w:top w:val="nil"/>
              <w:left w:val="nil"/>
              <w:bottom w:val="dotted" w:sz="4" w:space="0" w:color="808080"/>
              <w:right w:val="single" w:sz="4" w:space="0" w:color="auto"/>
            </w:tcBorders>
            <w:shd w:val="clear" w:color="auto" w:fill="auto"/>
            <w:noWrap/>
            <w:hideMark/>
          </w:tcPr>
          <w:p w14:paraId="4588C2B8" w14:textId="799FD398"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$0.</w:t>
            </w:r>
            <w:r w:rsidR="00C622BE" w:rsidRPr="00F65705">
              <w:rPr>
                <w:rFonts w:asciiTheme="minorHAnsi" w:hAnsiTheme="minorHAnsi" w:cstheme="minorHAnsi"/>
                <w:sz w:val="20"/>
                <w:szCs w:val="20"/>
              </w:rPr>
              <w:t>89</w:t>
            </w:r>
            <w:r w:rsidRPr="00F65705">
              <w:rPr>
                <w:rFonts w:asciiTheme="minorHAnsi" w:hAnsiTheme="minorHAnsi" w:cstheme="minorHAnsi"/>
                <w:sz w:val="20"/>
                <w:szCs w:val="20"/>
              </w:rPr>
              <w:t xml:space="preserve"> </w:t>
            </w:r>
          </w:p>
        </w:tc>
      </w:tr>
      <w:tr w:rsidR="00F65705" w:rsidRPr="00F65705" w14:paraId="398CAD7E"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47810D59" w14:textId="77777777" w:rsidR="00865C8A" w:rsidRPr="00F65705" w:rsidRDefault="00865C8A" w:rsidP="00DC62CD">
            <w:pPr>
              <w:ind w:firstLineChars="100" w:firstLine="200"/>
              <w:rPr>
                <w:rFonts w:asciiTheme="minorHAnsi" w:hAnsiTheme="minorHAnsi" w:cstheme="minorHAnsi"/>
                <w:sz w:val="20"/>
                <w:szCs w:val="20"/>
                <w:vertAlign w:val="superscript"/>
              </w:rPr>
            </w:pPr>
            <w:r w:rsidRPr="00F65705">
              <w:rPr>
                <w:rFonts w:asciiTheme="minorHAnsi" w:hAnsiTheme="minorHAnsi" w:cstheme="minorHAnsi"/>
                <w:sz w:val="20"/>
                <w:szCs w:val="20"/>
              </w:rPr>
              <w:t>Pricing Pathway C</w:t>
            </w:r>
            <w:r w:rsidRPr="00F65705">
              <w:rPr>
                <w:rFonts w:asciiTheme="minorHAnsi" w:hAnsiTheme="minorHAnsi" w:cstheme="minorHAnsi"/>
                <w:sz w:val="20"/>
                <w:szCs w:val="20"/>
                <w:vertAlign w:val="superscript"/>
              </w:rPr>
              <w:t>6</w:t>
            </w:r>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3CE9ED38"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hideMark/>
          </w:tcPr>
          <w:p w14:paraId="753E47AB"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$73,350 </w:t>
            </w:r>
          </w:p>
        </w:tc>
        <w:tc>
          <w:tcPr>
            <w:tcW w:w="594" w:type="pct"/>
            <w:tcBorders>
              <w:top w:val="dotted" w:sz="4" w:space="0" w:color="808080"/>
              <w:left w:val="nil"/>
              <w:bottom w:val="dotted" w:sz="4" w:space="0" w:color="808080"/>
              <w:right w:val="single" w:sz="4" w:space="0" w:color="808080"/>
            </w:tcBorders>
            <w:shd w:val="clear" w:color="auto" w:fill="auto"/>
            <w:noWrap/>
            <w:hideMark/>
          </w:tcPr>
          <w:p w14:paraId="71507284"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19 </w:t>
            </w:r>
          </w:p>
        </w:tc>
        <w:tc>
          <w:tcPr>
            <w:tcW w:w="1029" w:type="pct"/>
            <w:tcBorders>
              <w:top w:val="nil"/>
              <w:left w:val="nil"/>
              <w:bottom w:val="dotted" w:sz="4" w:space="0" w:color="808080"/>
              <w:right w:val="single" w:sz="4" w:space="0" w:color="auto"/>
            </w:tcBorders>
            <w:shd w:val="clear" w:color="auto" w:fill="auto"/>
            <w:noWrap/>
            <w:hideMark/>
          </w:tcPr>
          <w:p w14:paraId="3646147C" w14:textId="038559F8"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$1.</w:t>
            </w:r>
            <w:r w:rsidR="00C622BE" w:rsidRPr="00F65705">
              <w:rPr>
                <w:rFonts w:asciiTheme="minorHAnsi" w:hAnsiTheme="minorHAnsi" w:cstheme="minorHAnsi"/>
                <w:sz w:val="20"/>
                <w:szCs w:val="20"/>
              </w:rPr>
              <w:t>39</w:t>
            </w:r>
            <w:r w:rsidRPr="00F65705">
              <w:rPr>
                <w:rFonts w:asciiTheme="minorHAnsi" w:hAnsiTheme="minorHAnsi" w:cstheme="minorHAnsi"/>
                <w:sz w:val="20"/>
                <w:szCs w:val="20"/>
              </w:rPr>
              <w:t xml:space="preserve"> </w:t>
            </w:r>
          </w:p>
        </w:tc>
      </w:tr>
      <w:tr w:rsidR="00F65705" w:rsidRPr="00F65705" w14:paraId="5201E571"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64E88972"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Pricing Pathway D</w:t>
            </w:r>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47EDCFFA"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dotted" w:sz="4" w:space="0" w:color="808080"/>
              <w:right w:val="single" w:sz="4" w:space="0" w:color="808080"/>
            </w:tcBorders>
            <w:shd w:val="clear" w:color="auto" w:fill="auto"/>
            <w:noWrap/>
            <w:hideMark/>
          </w:tcPr>
          <w:p w14:paraId="09508370"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$19,620 </w:t>
            </w:r>
          </w:p>
        </w:tc>
        <w:tc>
          <w:tcPr>
            <w:tcW w:w="594" w:type="pct"/>
            <w:tcBorders>
              <w:top w:val="dotted" w:sz="4" w:space="0" w:color="808080"/>
              <w:left w:val="nil"/>
              <w:bottom w:val="dotted" w:sz="4" w:space="0" w:color="808080"/>
              <w:right w:val="single" w:sz="4" w:space="0" w:color="808080"/>
            </w:tcBorders>
            <w:shd w:val="clear" w:color="auto" w:fill="auto"/>
            <w:noWrap/>
            <w:hideMark/>
          </w:tcPr>
          <w:p w14:paraId="70CF1C74"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26 </w:t>
            </w:r>
          </w:p>
        </w:tc>
        <w:tc>
          <w:tcPr>
            <w:tcW w:w="1029" w:type="pct"/>
            <w:tcBorders>
              <w:top w:val="nil"/>
              <w:left w:val="nil"/>
              <w:bottom w:val="dotted" w:sz="4" w:space="0" w:color="808080"/>
              <w:right w:val="single" w:sz="4" w:space="0" w:color="auto"/>
            </w:tcBorders>
            <w:shd w:val="clear" w:color="auto" w:fill="auto"/>
            <w:noWrap/>
            <w:hideMark/>
          </w:tcPr>
          <w:p w14:paraId="548373E4" w14:textId="2DD93A5D"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$0.5</w:t>
            </w:r>
            <w:r w:rsidR="00C622BE" w:rsidRPr="00F65705">
              <w:rPr>
                <w:rFonts w:asciiTheme="minorHAnsi" w:hAnsiTheme="minorHAnsi" w:cstheme="minorHAnsi"/>
                <w:sz w:val="20"/>
                <w:szCs w:val="20"/>
              </w:rPr>
              <w:t>1</w:t>
            </w:r>
            <w:r w:rsidRPr="00F65705">
              <w:rPr>
                <w:rFonts w:asciiTheme="minorHAnsi" w:hAnsiTheme="minorHAnsi" w:cstheme="minorHAnsi"/>
                <w:sz w:val="20"/>
                <w:szCs w:val="20"/>
              </w:rPr>
              <w:t xml:space="preserve"> </w:t>
            </w:r>
          </w:p>
        </w:tc>
      </w:tr>
      <w:tr w:rsidR="00F65705" w:rsidRPr="00F65705" w14:paraId="1B341115" w14:textId="77777777" w:rsidTr="00DC62CD">
        <w:trPr>
          <w:trHeight w:val="250"/>
        </w:trPr>
        <w:tc>
          <w:tcPr>
            <w:tcW w:w="2270" w:type="pct"/>
            <w:tcBorders>
              <w:top w:val="nil"/>
              <w:left w:val="single" w:sz="4" w:space="0" w:color="auto"/>
              <w:bottom w:val="single" w:sz="4" w:space="0" w:color="808080"/>
              <w:right w:val="nil"/>
            </w:tcBorders>
            <w:shd w:val="clear" w:color="auto" w:fill="auto"/>
            <w:noWrap/>
            <w:vAlign w:val="bottom"/>
            <w:hideMark/>
          </w:tcPr>
          <w:p w14:paraId="2DCC044E"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Pricing Secretariat</w:t>
            </w:r>
          </w:p>
        </w:tc>
        <w:tc>
          <w:tcPr>
            <w:tcW w:w="338" w:type="pct"/>
            <w:tcBorders>
              <w:top w:val="nil"/>
              <w:left w:val="single" w:sz="4" w:space="0" w:color="808080"/>
              <w:bottom w:val="single" w:sz="4" w:space="0" w:color="808080"/>
              <w:right w:val="single" w:sz="4" w:space="0" w:color="808080"/>
            </w:tcBorders>
            <w:shd w:val="clear" w:color="auto" w:fill="auto"/>
            <w:noWrap/>
            <w:vAlign w:val="bottom"/>
            <w:hideMark/>
          </w:tcPr>
          <w:p w14:paraId="06CDFF87"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nil"/>
              <w:left w:val="nil"/>
              <w:bottom w:val="single" w:sz="4" w:space="0" w:color="808080"/>
              <w:right w:val="single" w:sz="4" w:space="0" w:color="808080"/>
            </w:tcBorders>
            <w:shd w:val="clear" w:color="auto" w:fill="auto"/>
            <w:noWrap/>
            <w:hideMark/>
          </w:tcPr>
          <w:p w14:paraId="27D093B2"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$12,000 </w:t>
            </w:r>
          </w:p>
        </w:tc>
        <w:tc>
          <w:tcPr>
            <w:tcW w:w="594" w:type="pct"/>
            <w:tcBorders>
              <w:top w:val="dotted" w:sz="4" w:space="0" w:color="808080"/>
              <w:left w:val="nil"/>
              <w:bottom w:val="single" w:sz="4" w:space="0" w:color="808080"/>
              <w:right w:val="single" w:sz="4" w:space="0" w:color="808080"/>
            </w:tcBorders>
            <w:shd w:val="clear" w:color="auto" w:fill="auto"/>
            <w:noWrap/>
            <w:hideMark/>
          </w:tcPr>
          <w:p w14:paraId="07BEC93E"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6 </w:t>
            </w:r>
          </w:p>
        </w:tc>
        <w:tc>
          <w:tcPr>
            <w:tcW w:w="1029" w:type="pct"/>
            <w:tcBorders>
              <w:top w:val="nil"/>
              <w:left w:val="nil"/>
              <w:bottom w:val="single" w:sz="4" w:space="0" w:color="808080"/>
              <w:right w:val="single" w:sz="4" w:space="0" w:color="auto"/>
            </w:tcBorders>
            <w:shd w:val="clear" w:color="auto" w:fill="auto"/>
            <w:noWrap/>
            <w:hideMark/>
          </w:tcPr>
          <w:p w14:paraId="3D3AFE21"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$0.07 </w:t>
            </w:r>
          </w:p>
        </w:tc>
      </w:tr>
      <w:tr w:rsidR="00F65705" w:rsidRPr="00F65705" w14:paraId="06B98468" w14:textId="77777777" w:rsidTr="00DC62CD">
        <w:trPr>
          <w:trHeight w:val="297"/>
        </w:trPr>
        <w:tc>
          <w:tcPr>
            <w:tcW w:w="2270" w:type="pct"/>
            <w:tcBorders>
              <w:top w:val="nil"/>
              <w:left w:val="single" w:sz="4" w:space="0" w:color="auto"/>
              <w:bottom w:val="single" w:sz="4" w:space="0" w:color="808080"/>
              <w:right w:val="nil"/>
            </w:tcBorders>
            <w:shd w:val="clear" w:color="auto" w:fill="E7E6E6" w:themeFill="background2"/>
            <w:vAlign w:val="center"/>
            <w:hideMark/>
          </w:tcPr>
          <w:p w14:paraId="378004FB" w14:textId="77777777" w:rsidR="00865C8A" w:rsidRPr="00F65705" w:rsidRDefault="00865C8A" w:rsidP="00DC62CD">
            <w:pPr>
              <w:rPr>
                <w:rFonts w:asciiTheme="minorHAnsi" w:hAnsiTheme="minorHAnsi" w:cstheme="minorHAnsi"/>
                <w:b/>
                <w:bCs/>
                <w:sz w:val="20"/>
                <w:szCs w:val="20"/>
              </w:rPr>
            </w:pPr>
            <w:r w:rsidRPr="00F65705">
              <w:rPr>
                <w:rFonts w:asciiTheme="minorHAnsi" w:hAnsiTheme="minorHAnsi" w:cstheme="minorHAnsi"/>
                <w:b/>
                <w:bCs/>
                <w:sz w:val="20"/>
                <w:szCs w:val="20"/>
              </w:rPr>
              <w:t>PBS List Management Services</w:t>
            </w:r>
          </w:p>
        </w:tc>
        <w:tc>
          <w:tcPr>
            <w:tcW w:w="338" w:type="pct"/>
            <w:tcBorders>
              <w:top w:val="nil"/>
              <w:left w:val="nil"/>
              <w:bottom w:val="single" w:sz="4" w:space="0" w:color="808080"/>
              <w:right w:val="nil"/>
            </w:tcBorders>
            <w:shd w:val="clear" w:color="auto" w:fill="E7E6E6" w:themeFill="background2"/>
            <w:vAlign w:val="center"/>
            <w:hideMark/>
          </w:tcPr>
          <w:p w14:paraId="454BED6C" w14:textId="77777777" w:rsidR="00865C8A" w:rsidRPr="00F65705" w:rsidRDefault="00865C8A" w:rsidP="00DC62CD">
            <w:pPr>
              <w:jc w:val="center"/>
              <w:rPr>
                <w:rFonts w:asciiTheme="minorHAnsi" w:hAnsiTheme="minorHAnsi" w:cstheme="minorHAnsi"/>
                <w:b/>
                <w:bCs/>
                <w:sz w:val="20"/>
                <w:szCs w:val="20"/>
              </w:rPr>
            </w:pPr>
            <w:r w:rsidRPr="00F65705">
              <w:rPr>
                <w:rFonts w:asciiTheme="minorHAnsi" w:hAnsiTheme="minorHAnsi" w:cstheme="minorHAnsi"/>
                <w:b/>
                <w:bCs/>
                <w:sz w:val="20"/>
                <w:szCs w:val="20"/>
              </w:rPr>
              <w:t> </w:t>
            </w:r>
          </w:p>
        </w:tc>
        <w:tc>
          <w:tcPr>
            <w:tcW w:w="770" w:type="pct"/>
            <w:tcBorders>
              <w:top w:val="nil"/>
              <w:left w:val="nil"/>
              <w:bottom w:val="single" w:sz="4" w:space="0" w:color="808080"/>
              <w:right w:val="nil"/>
            </w:tcBorders>
            <w:shd w:val="clear" w:color="auto" w:fill="E7E6E6" w:themeFill="background2"/>
            <w:hideMark/>
          </w:tcPr>
          <w:p w14:paraId="0CE012B7" w14:textId="77777777" w:rsidR="00865C8A" w:rsidRPr="00F65705" w:rsidRDefault="00865C8A" w:rsidP="00DC62CD">
            <w:pPr>
              <w:rPr>
                <w:rFonts w:asciiTheme="minorHAnsi" w:hAnsiTheme="minorHAnsi" w:cstheme="minorHAnsi"/>
                <w:sz w:val="20"/>
                <w:szCs w:val="20"/>
              </w:rPr>
            </w:pPr>
          </w:p>
        </w:tc>
        <w:tc>
          <w:tcPr>
            <w:tcW w:w="594" w:type="pct"/>
            <w:tcBorders>
              <w:top w:val="single" w:sz="4" w:space="0" w:color="808080"/>
              <w:left w:val="nil"/>
              <w:bottom w:val="single" w:sz="4" w:space="0" w:color="808080"/>
              <w:right w:val="nil"/>
            </w:tcBorders>
            <w:shd w:val="clear" w:color="auto" w:fill="E7E6E6" w:themeFill="background2"/>
            <w:noWrap/>
            <w:hideMark/>
          </w:tcPr>
          <w:p w14:paraId="0B3ABF17" w14:textId="77777777" w:rsidR="00865C8A" w:rsidRPr="00F65705" w:rsidRDefault="00865C8A" w:rsidP="00DC62CD">
            <w:pPr>
              <w:jc w:val="center"/>
              <w:rPr>
                <w:rFonts w:asciiTheme="minorHAnsi" w:hAnsiTheme="minorHAnsi" w:cstheme="minorHAnsi"/>
                <w:b/>
                <w:bCs/>
                <w:sz w:val="20"/>
                <w:szCs w:val="20"/>
              </w:rPr>
            </w:pPr>
          </w:p>
        </w:tc>
        <w:tc>
          <w:tcPr>
            <w:tcW w:w="1029" w:type="pct"/>
            <w:tcBorders>
              <w:top w:val="nil"/>
              <w:left w:val="nil"/>
              <w:bottom w:val="single" w:sz="4" w:space="0" w:color="808080"/>
              <w:right w:val="single" w:sz="4" w:space="0" w:color="auto"/>
            </w:tcBorders>
            <w:shd w:val="clear" w:color="auto" w:fill="E7E6E6" w:themeFill="background2"/>
            <w:hideMark/>
          </w:tcPr>
          <w:p w14:paraId="67C18934" w14:textId="77777777" w:rsidR="00865C8A" w:rsidRPr="00F65705" w:rsidRDefault="00865C8A" w:rsidP="00DC62CD">
            <w:pPr>
              <w:rPr>
                <w:rFonts w:asciiTheme="minorHAnsi" w:hAnsiTheme="minorHAnsi" w:cstheme="minorHAnsi"/>
                <w:b/>
                <w:bCs/>
                <w:sz w:val="20"/>
                <w:szCs w:val="20"/>
              </w:rPr>
            </w:pPr>
          </w:p>
        </w:tc>
      </w:tr>
      <w:tr w:rsidR="00F65705" w:rsidRPr="00F65705" w14:paraId="14D8827F" w14:textId="77777777" w:rsidTr="00DC62CD">
        <w:trPr>
          <w:trHeight w:val="250"/>
        </w:trPr>
        <w:tc>
          <w:tcPr>
            <w:tcW w:w="2270" w:type="pct"/>
            <w:tcBorders>
              <w:top w:val="dotted" w:sz="4" w:space="0" w:color="808080"/>
              <w:left w:val="single" w:sz="4" w:space="0" w:color="auto"/>
              <w:bottom w:val="dotted" w:sz="4" w:space="0" w:color="808080"/>
              <w:right w:val="nil"/>
            </w:tcBorders>
            <w:shd w:val="clear" w:color="auto" w:fill="auto"/>
            <w:noWrap/>
            <w:vAlign w:val="bottom"/>
            <w:hideMark/>
          </w:tcPr>
          <w:p w14:paraId="16194E91"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Deed Variations</w:t>
            </w:r>
          </w:p>
        </w:tc>
        <w:tc>
          <w:tcPr>
            <w:tcW w:w="338" w:type="pct"/>
            <w:tcBorders>
              <w:top w:val="dotted" w:sz="4" w:space="0" w:color="808080"/>
              <w:left w:val="single" w:sz="4" w:space="0" w:color="808080"/>
              <w:bottom w:val="dotted" w:sz="4" w:space="0" w:color="808080"/>
              <w:right w:val="single" w:sz="4" w:space="0" w:color="808080"/>
            </w:tcBorders>
            <w:shd w:val="clear" w:color="auto" w:fill="auto"/>
            <w:noWrap/>
            <w:vAlign w:val="bottom"/>
            <w:hideMark/>
          </w:tcPr>
          <w:p w14:paraId="63E7E0C6"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single" w:sz="4" w:space="0" w:color="808080"/>
              <w:left w:val="nil"/>
              <w:bottom w:val="dotted" w:sz="4" w:space="0" w:color="808080"/>
              <w:right w:val="single" w:sz="4" w:space="0" w:color="808080"/>
            </w:tcBorders>
            <w:shd w:val="clear" w:color="auto" w:fill="auto"/>
            <w:noWrap/>
            <w:hideMark/>
          </w:tcPr>
          <w:p w14:paraId="51A6EC70"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$1,990 </w:t>
            </w:r>
          </w:p>
        </w:tc>
        <w:tc>
          <w:tcPr>
            <w:tcW w:w="594" w:type="pct"/>
            <w:tcBorders>
              <w:top w:val="single" w:sz="4" w:space="0" w:color="808080"/>
              <w:left w:val="single" w:sz="4" w:space="0" w:color="808080"/>
              <w:bottom w:val="dotted" w:sz="4" w:space="0" w:color="808080"/>
              <w:right w:val="single" w:sz="4" w:space="0" w:color="808080"/>
            </w:tcBorders>
            <w:shd w:val="clear" w:color="auto" w:fill="auto"/>
            <w:noWrap/>
            <w:hideMark/>
          </w:tcPr>
          <w:p w14:paraId="0BC95CBB"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 6 </w:t>
            </w:r>
          </w:p>
        </w:tc>
        <w:tc>
          <w:tcPr>
            <w:tcW w:w="1029" w:type="pct"/>
            <w:tcBorders>
              <w:top w:val="single" w:sz="4" w:space="0" w:color="808080"/>
              <w:left w:val="single" w:sz="4" w:space="0" w:color="808080"/>
              <w:bottom w:val="dotted" w:sz="4" w:space="0" w:color="808080"/>
              <w:right w:val="single" w:sz="4" w:space="0" w:color="auto"/>
            </w:tcBorders>
            <w:shd w:val="clear" w:color="auto" w:fill="auto"/>
            <w:noWrap/>
            <w:hideMark/>
          </w:tcPr>
          <w:p w14:paraId="46F735D2"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$0.01</w:t>
            </w:r>
          </w:p>
        </w:tc>
      </w:tr>
      <w:tr w:rsidR="00F65705" w:rsidRPr="00F65705" w14:paraId="2CAA942E"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5113075F" w14:textId="77777777" w:rsidR="00865C8A" w:rsidRPr="00F65705" w:rsidRDefault="00865C8A" w:rsidP="00DC62CD">
            <w:pPr>
              <w:ind w:firstLineChars="100" w:firstLine="200"/>
              <w:rPr>
                <w:rFonts w:asciiTheme="minorHAnsi" w:hAnsiTheme="minorHAnsi" w:cstheme="minorHAnsi"/>
                <w:sz w:val="20"/>
                <w:szCs w:val="20"/>
                <w:vertAlign w:val="superscript"/>
              </w:rPr>
            </w:pPr>
            <w:r w:rsidRPr="00F65705">
              <w:rPr>
                <w:rFonts w:asciiTheme="minorHAnsi" w:hAnsiTheme="minorHAnsi" w:cstheme="minorHAnsi"/>
                <w:sz w:val="20"/>
                <w:szCs w:val="20"/>
              </w:rPr>
              <w:t>Deed Renewals</w:t>
            </w:r>
            <w:r w:rsidRPr="00F65705">
              <w:rPr>
                <w:rFonts w:asciiTheme="minorHAnsi" w:hAnsiTheme="minorHAnsi" w:cstheme="minorHAnsi"/>
                <w:sz w:val="20"/>
                <w:szCs w:val="20"/>
                <w:vertAlign w:val="superscript"/>
              </w:rPr>
              <w:t>6</w:t>
            </w:r>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620E9B0E"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dotted" w:sz="4" w:space="0" w:color="808080"/>
              <w:left w:val="nil"/>
              <w:bottom w:val="dotted" w:sz="4" w:space="0" w:color="808080"/>
              <w:right w:val="single" w:sz="4" w:space="0" w:color="808080"/>
            </w:tcBorders>
            <w:shd w:val="clear" w:color="auto" w:fill="auto"/>
            <w:noWrap/>
            <w:hideMark/>
          </w:tcPr>
          <w:p w14:paraId="655F563B"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$10,820 </w:t>
            </w:r>
          </w:p>
        </w:tc>
        <w:tc>
          <w:tcPr>
            <w:tcW w:w="594" w:type="pct"/>
            <w:tcBorders>
              <w:top w:val="dotted" w:sz="4" w:space="0" w:color="808080"/>
              <w:left w:val="single" w:sz="4" w:space="0" w:color="808080"/>
              <w:bottom w:val="dotted" w:sz="4" w:space="0" w:color="808080"/>
              <w:right w:val="single" w:sz="4" w:space="0" w:color="808080"/>
            </w:tcBorders>
            <w:shd w:val="clear" w:color="auto" w:fill="auto"/>
            <w:noWrap/>
            <w:hideMark/>
          </w:tcPr>
          <w:p w14:paraId="157BEFBA"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 30 </w:t>
            </w:r>
          </w:p>
        </w:tc>
        <w:tc>
          <w:tcPr>
            <w:tcW w:w="1029" w:type="pct"/>
            <w:tcBorders>
              <w:top w:val="dotted" w:sz="4" w:space="0" w:color="808080"/>
              <w:left w:val="single" w:sz="4" w:space="0" w:color="808080"/>
              <w:bottom w:val="dotted" w:sz="4" w:space="0" w:color="808080"/>
              <w:right w:val="single" w:sz="4" w:space="0" w:color="auto"/>
            </w:tcBorders>
            <w:shd w:val="clear" w:color="auto" w:fill="auto"/>
            <w:noWrap/>
            <w:hideMark/>
          </w:tcPr>
          <w:p w14:paraId="4EA86153" w14:textId="01A0CF44"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$0.3</w:t>
            </w:r>
            <w:r w:rsidR="00C622BE" w:rsidRPr="00F65705">
              <w:rPr>
                <w:rFonts w:asciiTheme="minorHAnsi" w:hAnsiTheme="minorHAnsi" w:cstheme="minorHAnsi"/>
                <w:sz w:val="20"/>
                <w:szCs w:val="20"/>
              </w:rPr>
              <w:t>3</w:t>
            </w:r>
          </w:p>
        </w:tc>
      </w:tr>
      <w:tr w:rsidR="00F65705" w:rsidRPr="00F65705" w14:paraId="3E62B263" w14:textId="77777777" w:rsidTr="00DC62CD">
        <w:trPr>
          <w:trHeight w:val="250"/>
        </w:trPr>
        <w:tc>
          <w:tcPr>
            <w:tcW w:w="2270" w:type="pct"/>
            <w:tcBorders>
              <w:top w:val="nil"/>
              <w:left w:val="single" w:sz="4" w:space="0" w:color="auto"/>
              <w:bottom w:val="dotted" w:sz="4" w:space="0" w:color="808080"/>
              <w:right w:val="nil"/>
            </w:tcBorders>
            <w:shd w:val="clear" w:color="auto" w:fill="auto"/>
            <w:noWrap/>
            <w:vAlign w:val="bottom"/>
            <w:hideMark/>
          </w:tcPr>
          <w:p w14:paraId="27037930"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Price Increases</w:t>
            </w:r>
          </w:p>
        </w:tc>
        <w:tc>
          <w:tcPr>
            <w:tcW w:w="338" w:type="pct"/>
            <w:tcBorders>
              <w:top w:val="nil"/>
              <w:left w:val="single" w:sz="4" w:space="0" w:color="808080"/>
              <w:bottom w:val="dotted" w:sz="4" w:space="0" w:color="808080"/>
              <w:right w:val="single" w:sz="4" w:space="0" w:color="808080"/>
            </w:tcBorders>
            <w:shd w:val="clear" w:color="auto" w:fill="auto"/>
            <w:noWrap/>
            <w:vAlign w:val="bottom"/>
            <w:hideMark/>
          </w:tcPr>
          <w:p w14:paraId="4B4CDD0F"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dotted" w:sz="4" w:space="0" w:color="808080"/>
              <w:left w:val="nil"/>
              <w:bottom w:val="dotted" w:sz="4" w:space="0" w:color="808080"/>
              <w:right w:val="single" w:sz="4" w:space="0" w:color="808080"/>
            </w:tcBorders>
            <w:shd w:val="clear" w:color="auto" w:fill="auto"/>
            <w:noWrap/>
            <w:hideMark/>
          </w:tcPr>
          <w:p w14:paraId="5EC9723F"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$4,980 </w:t>
            </w:r>
          </w:p>
        </w:tc>
        <w:tc>
          <w:tcPr>
            <w:tcW w:w="594" w:type="pct"/>
            <w:tcBorders>
              <w:top w:val="dotted" w:sz="4" w:space="0" w:color="808080"/>
              <w:left w:val="single" w:sz="4" w:space="0" w:color="808080"/>
              <w:bottom w:val="dotted" w:sz="4" w:space="0" w:color="808080"/>
              <w:right w:val="single" w:sz="4" w:space="0" w:color="808080"/>
            </w:tcBorders>
            <w:shd w:val="clear" w:color="auto" w:fill="auto"/>
            <w:noWrap/>
            <w:hideMark/>
          </w:tcPr>
          <w:p w14:paraId="7130C701"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369 </w:t>
            </w:r>
          </w:p>
        </w:tc>
        <w:tc>
          <w:tcPr>
            <w:tcW w:w="1029" w:type="pct"/>
            <w:tcBorders>
              <w:top w:val="dotted" w:sz="4" w:space="0" w:color="808080"/>
              <w:left w:val="single" w:sz="4" w:space="0" w:color="808080"/>
              <w:bottom w:val="dotted" w:sz="4" w:space="0" w:color="808080"/>
              <w:right w:val="single" w:sz="4" w:space="0" w:color="auto"/>
            </w:tcBorders>
            <w:shd w:val="clear" w:color="auto" w:fill="auto"/>
            <w:noWrap/>
            <w:hideMark/>
          </w:tcPr>
          <w:p w14:paraId="774F75AF" w14:textId="113C1024"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$1.</w:t>
            </w:r>
            <w:r w:rsidR="00C622BE" w:rsidRPr="00F65705">
              <w:rPr>
                <w:rFonts w:asciiTheme="minorHAnsi" w:hAnsiTheme="minorHAnsi" w:cstheme="minorHAnsi"/>
                <w:sz w:val="20"/>
                <w:szCs w:val="20"/>
              </w:rPr>
              <w:t>84</w:t>
            </w:r>
          </w:p>
        </w:tc>
      </w:tr>
      <w:tr w:rsidR="00F65705" w:rsidRPr="00F65705" w14:paraId="0E8C8770" w14:textId="77777777" w:rsidTr="00DC62CD">
        <w:trPr>
          <w:trHeight w:val="250"/>
        </w:trPr>
        <w:tc>
          <w:tcPr>
            <w:tcW w:w="2270" w:type="pct"/>
            <w:tcBorders>
              <w:top w:val="dotted" w:sz="4" w:space="0" w:color="808080"/>
              <w:left w:val="single" w:sz="4" w:space="0" w:color="auto"/>
              <w:bottom w:val="dotted" w:sz="4" w:space="0" w:color="808080"/>
              <w:right w:val="nil"/>
            </w:tcBorders>
            <w:shd w:val="clear" w:color="auto" w:fill="auto"/>
            <w:noWrap/>
            <w:vAlign w:val="bottom"/>
            <w:hideMark/>
          </w:tcPr>
          <w:p w14:paraId="6B624486"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Ministerial Discretion Request</w:t>
            </w:r>
          </w:p>
        </w:tc>
        <w:tc>
          <w:tcPr>
            <w:tcW w:w="338" w:type="pct"/>
            <w:tcBorders>
              <w:top w:val="dotted" w:sz="4" w:space="0" w:color="808080"/>
              <w:left w:val="single" w:sz="4" w:space="0" w:color="808080"/>
              <w:bottom w:val="dotted" w:sz="4" w:space="0" w:color="808080"/>
              <w:right w:val="single" w:sz="4" w:space="0" w:color="808080"/>
            </w:tcBorders>
            <w:shd w:val="clear" w:color="auto" w:fill="auto"/>
            <w:noWrap/>
            <w:vAlign w:val="bottom"/>
            <w:hideMark/>
          </w:tcPr>
          <w:p w14:paraId="33EBAA3D"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dotted" w:sz="4" w:space="0" w:color="808080"/>
              <w:left w:val="nil"/>
              <w:bottom w:val="dotted" w:sz="4" w:space="0" w:color="808080"/>
              <w:right w:val="single" w:sz="4" w:space="0" w:color="808080"/>
            </w:tcBorders>
            <w:shd w:val="clear" w:color="auto" w:fill="auto"/>
            <w:noWrap/>
            <w:hideMark/>
          </w:tcPr>
          <w:p w14:paraId="72EEACD1"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$6,910 </w:t>
            </w:r>
          </w:p>
        </w:tc>
        <w:tc>
          <w:tcPr>
            <w:tcW w:w="594" w:type="pct"/>
            <w:tcBorders>
              <w:top w:val="dotted" w:sz="4" w:space="0" w:color="808080"/>
              <w:left w:val="single" w:sz="4" w:space="0" w:color="808080"/>
              <w:bottom w:val="dotted" w:sz="4" w:space="0" w:color="808080"/>
              <w:right w:val="single" w:sz="4" w:space="0" w:color="808080"/>
            </w:tcBorders>
            <w:shd w:val="clear" w:color="auto" w:fill="auto"/>
            <w:noWrap/>
            <w:hideMark/>
          </w:tcPr>
          <w:p w14:paraId="4968B2C7"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26 </w:t>
            </w:r>
          </w:p>
        </w:tc>
        <w:tc>
          <w:tcPr>
            <w:tcW w:w="1029" w:type="pct"/>
            <w:tcBorders>
              <w:top w:val="dotted" w:sz="4" w:space="0" w:color="808080"/>
              <w:left w:val="single" w:sz="4" w:space="0" w:color="808080"/>
              <w:bottom w:val="dotted" w:sz="4" w:space="0" w:color="808080"/>
              <w:right w:val="single" w:sz="4" w:space="0" w:color="auto"/>
            </w:tcBorders>
            <w:shd w:val="clear" w:color="auto" w:fill="auto"/>
            <w:noWrap/>
            <w:hideMark/>
          </w:tcPr>
          <w:p w14:paraId="509F6903" w14:textId="4843DD8A"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$0.1</w:t>
            </w:r>
            <w:r w:rsidR="00C622BE" w:rsidRPr="00F65705">
              <w:rPr>
                <w:rFonts w:asciiTheme="minorHAnsi" w:hAnsiTheme="minorHAnsi" w:cstheme="minorHAnsi"/>
                <w:sz w:val="20"/>
                <w:szCs w:val="20"/>
              </w:rPr>
              <w:t>8</w:t>
            </w:r>
            <w:r w:rsidRPr="00F65705">
              <w:rPr>
                <w:rFonts w:asciiTheme="minorHAnsi" w:hAnsiTheme="minorHAnsi" w:cstheme="minorHAnsi"/>
                <w:sz w:val="20"/>
                <w:szCs w:val="20"/>
              </w:rPr>
              <w:t xml:space="preserve"> </w:t>
            </w:r>
          </w:p>
        </w:tc>
      </w:tr>
      <w:tr w:rsidR="00F65705" w:rsidRPr="00F65705" w14:paraId="0904F4E5" w14:textId="77777777" w:rsidTr="00DC62CD">
        <w:trPr>
          <w:trHeight w:val="250"/>
        </w:trPr>
        <w:tc>
          <w:tcPr>
            <w:tcW w:w="2270" w:type="pct"/>
            <w:tcBorders>
              <w:top w:val="dotted" w:sz="4" w:space="0" w:color="808080"/>
              <w:left w:val="single" w:sz="4" w:space="0" w:color="auto"/>
              <w:bottom w:val="dotted" w:sz="4" w:space="0" w:color="808080"/>
              <w:right w:val="nil"/>
            </w:tcBorders>
            <w:shd w:val="clear" w:color="auto" w:fill="auto"/>
            <w:noWrap/>
            <w:vAlign w:val="bottom"/>
          </w:tcPr>
          <w:p w14:paraId="40348404" w14:textId="77777777" w:rsidR="00865C8A" w:rsidRPr="00F65705" w:rsidRDefault="00865C8A" w:rsidP="00DC62CD">
            <w:pPr>
              <w:ind w:firstLineChars="100" w:firstLine="200"/>
              <w:rPr>
                <w:rFonts w:asciiTheme="minorHAnsi" w:hAnsiTheme="minorHAnsi" w:cstheme="minorHAnsi"/>
                <w:sz w:val="20"/>
                <w:szCs w:val="20"/>
              </w:rPr>
            </w:pPr>
            <w:r w:rsidRPr="00F65705">
              <w:rPr>
                <w:rFonts w:asciiTheme="minorHAnsi" w:hAnsiTheme="minorHAnsi" w:cstheme="minorHAnsi"/>
                <w:sz w:val="20"/>
                <w:szCs w:val="20"/>
              </w:rPr>
              <w:t>Ministerial determination (stockholding) request</w:t>
            </w:r>
          </w:p>
        </w:tc>
        <w:tc>
          <w:tcPr>
            <w:tcW w:w="338" w:type="pct"/>
            <w:tcBorders>
              <w:top w:val="dotted" w:sz="4" w:space="0" w:color="808080"/>
              <w:left w:val="single" w:sz="4" w:space="0" w:color="808080"/>
              <w:bottom w:val="dotted" w:sz="4" w:space="0" w:color="808080"/>
              <w:right w:val="single" w:sz="4" w:space="0" w:color="808080"/>
            </w:tcBorders>
            <w:shd w:val="clear" w:color="auto" w:fill="auto"/>
            <w:noWrap/>
            <w:vAlign w:val="bottom"/>
          </w:tcPr>
          <w:p w14:paraId="39B96D5D"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dotted" w:sz="4" w:space="0" w:color="808080"/>
              <w:left w:val="nil"/>
              <w:bottom w:val="dotted" w:sz="4" w:space="0" w:color="808080"/>
              <w:right w:val="single" w:sz="4" w:space="0" w:color="808080"/>
            </w:tcBorders>
            <w:shd w:val="clear" w:color="auto" w:fill="auto"/>
            <w:noWrap/>
          </w:tcPr>
          <w:p w14:paraId="19A54F72"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$4,880 </w:t>
            </w:r>
          </w:p>
        </w:tc>
        <w:tc>
          <w:tcPr>
            <w:tcW w:w="594" w:type="pct"/>
            <w:tcBorders>
              <w:top w:val="dotted" w:sz="4" w:space="0" w:color="808080"/>
              <w:left w:val="single" w:sz="4" w:space="0" w:color="808080"/>
              <w:bottom w:val="dotted" w:sz="4" w:space="0" w:color="808080"/>
              <w:right w:val="single" w:sz="4" w:space="0" w:color="808080"/>
            </w:tcBorders>
            <w:shd w:val="clear" w:color="auto" w:fill="auto"/>
            <w:noWrap/>
          </w:tcPr>
          <w:p w14:paraId="75E586E7"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 xml:space="preserve">182 </w:t>
            </w:r>
          </w:p>
        </w:tc>
        <w:tc>
          <w:tcPr>
            <w:tcW w:w="1029" w:type="pct"/>
            <w:tcBorders>
              <w:top w:val="dotted" w:sz="4" w:space="0" w:color="808080"/>
              <w:left w:val="single" w:sz="4" w:space="0" w:color="808080"/>
              <w:bottom w:val="dotted" w:sz="4" w:space="0" w:color="808080"/>
              <w:right w:val="single" w:sz="4" w:space="0" w:color="auto"/>
            </w:tcBorders>
            <w:shd w:val="clear" w:color="auto" w:fill="auto"/>
            <w:noWrap/>
          </w:tcPr>
          <w:p w14:paraId="0175387E" w14:textId="6E96DFC5"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$0.</w:t>
            </w:r>
            <w:r w:rsidR="00C622BE" w:rsidRPr="00F65705">
              <w:rPr>
                <w:rFonts w:asciiTheme="minorHAnsi" w:hAnsiTheme="minorHAnsi" w:cstheme="minorHAnsi"/>
                <w:sz w:val="20"/>
                <w:szCs w:val="20"/>
              </w:rPr>
              <w:t>89</w:t>
            </w:r>
            <w:r w:rsidRPr="00F65705">
              <w:rPr>
                <w:rFonts w:asciiTheme="minorHAnsi" w:hAnsiTheme="minorHAnsi" w:cstheme="minorHAnsi"/>
                <w:sz w:val="20"/>
                <w:szCs w:val="20"/>
              </w:rPr>
              <w:t xml:space="preserve"> </w:t>
            </w:r>
          </w:p>
        </w:tc>
      </w:tr>
      <w:tr w:rsidR="00F65705" w:rsidRPr="00F65705" w14:paraId="1CE4B173" w14:textId="77777777" w:rsidTr="00DC62CD">
        <w:trPr>
          <w:trHeight w:val="250"/>
        </w:trPr>
        <w:tc>
          <w:tcPr>
            <w:tcW w:w="2270" w:type="pct"/>
            <w:tcBorders>
              <w:top w:val="dotted" w:sz="4" w:space="0" w:color="808080"/>
              <w:left w:val="single" w:sz="4" w:space="0" w:color="auto"/>
              <w:bottom w:val="dotted" w:sz="4" w:space="0" w:color="808080"/>
              <w:right w:val="nil"/>
            </w:tcBorders>
            <w:shd w:val="clear" w:color="auto" w:fill="auto"/>
            <w:noWrap/>
            <w:vAlign w:val="bottom"/>
          </w:tcPr>
          <w:p w14:paraId="1E33B4BC" w14:textId="77777777" w:rsidR="00865C8A" w:rsidRPr="00F65705" w:rsidRDefault="00865C8A" w:rsidP="00DC62CD">
            <w:pPr>
              <w:ind w:firstLineChars="100" w:firstLine="200"/>
              <w:rPr>
                <w:rFonts w:asciiTheme="minorHAnsi" w:hAnsiTheme="minorHAnsi" w:cstheme="minorHAnsi"/>
                <w:sz w:val="20"/>
                <w:szCs w:val="20"/>
                <w:vertAlign w:val="superscript"/>
              </w:rPr>
            </w:pPr>
            <w:r w:rsidRPr="00F65705">
              <w:rPr>
                <w:rFonts w:asciiTheme="minorHAnsi" w:hAnsiTheme="minorHAnsi" w:cstheme="minorHAnsi"/>
                <w:sz w:val="20"/>
                <w:szCs w:val="20"/>
              </w:rPr>
              <w:t>Rebate Management Service fee</w:t>
            </w:r>
          </w:p>
        </w:tc>
        <w:tc>
          <w:tcPr>
            <w:tcW w:w="338" w:type="pct"/>
            <w:tcBorders>
              <w:top w:val="dotted" w:sz="4" w:space="0" w:color="808080"/>
              <w:left w:val="single" w:sz="4" w:space="0" w:color="808080"/>
              <w:bottom w:val="dotted" w:sz="4" w:space="0" w:color="808080"/>
              <w:right w:val="single" w:sz="4" w:space="0" w:color="808080"/>
            </w:tcBorders>
            <w:shd w:val="clear" w:color="auto" w:fill="auto"/>
            <w:noWrap/>
            <w:vAlign w:val="bottom"/>
          </w:tcPr>
          <w:p w14:paraId="40A95079"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Fee</w:t>
            </w:r>
          </w:p>
        </w:tc>
        <w:tc>
          <w:tcPr>
            <w:tcW w:w="770" w:type="pct"/>
            <w:tcBorders>
              <w:top w:val="dotted" w:sz="4" w:space="0" w:color="808080"/>
              <w:left w:val="nil"/>
              <w:bottom w:val="dotted" w:sz="4" w:space="0" w:color="808080"/>
              <w:right w:val="single" w:sz="4" w:space="0" w:color="808080"/>
            </w:tcBorders>
            <w:shd w:val="clear" w:color="auto" w:fill="auto"/>
            <w:noWrap/>
          </w:tcPr>
          <w:p w14:paraId="3A810EAE"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$8,640 </w:t>
            </w:r>
          </w:p>
        </w:tc>
        <w:tc>
          <w:tcPr>
            <w:tcW w:w="594" w:type="pct"/>
            <w:tcBorders>
              <w:top w:val="dotted" w:sz="4" w:space="0" w:color="808080"/>
              <w:left w:val="single" w:sz="4" w:space="0" w:color="808080"/>
              <w:bottom w:val="dotted" w:sz="4" w:space="0" w:color="808080"/>
              <w:right w:val="single" w:sz="4" w:space="0" w:color="808080"/>
            </w:tcBorders>
            <w:shd w:val="clear" w:color="auto" w:fill="auto"/>
            <w:noWrap/>
          </w:tcPr>
          <w:p w14:paraId="041D0DC5" w14:textId="77777777" w:rsidR="00865C8A" w:rsidRPr="00F65705" w:rsidRDefault="00865C8A" w:rsidP="00DC62CD">
            <w:pPr>
              <w:jc w:val="center"/>
              <w:rPr>
                <w:rFonts w:asciiTheme="minorHAnsi" w:hAnsiTheme="minorHAnsi" w:cstheme="minorHAnsi"/>
                <w:sz w:val="20"/>
                <w:szCs w:val="20"/>
              </w:rPr>
            </w:pPr>
            <w:r w:rsidRPr="00F65705">
              <w:rPr>
                <w:rFonts w:asciiTheme="minorHAnsi" w:hAnsiTheme="minorHAnsi" w:cstheme="minorHAnsi"/>
                <w:sz w:val="20"/>
                <w:szCs w:val="20"/>
              </w:rPr>
              <w:t>0</w:t>
            </w:r>
          </w:p>
        </w:tc>
        <w:tc>
          <w:tcPr>
            <w:tcW w:w="1029" w:type="pct"/>
            <w:tcBorders>
              <w:top w:val="dotted" w:sz="4" w:space="0" w:color="808080"/>
              <w:left w:val="single" w:sz="4" w:space="0" w:color="808080"/>
              <w:bottom w:val="dotted" w:sz="4" w:space="0" w:color="808080"/>
              <w:right w:val="single" w:sz="4" w:space="0" w:color="auto"/>
            </w:tcBorders>
            <w:shd w:val="clear" w:color="auto" w:fill="auto"/>
            <w:noWrap/>
          </w:tcPr>
          <w:p w14:paraId="69A5E8E6" w14:textId="77777777" w:rsidR="00865C8A" w:rsidRPr="00F65705" w:rsidRDefault="00865C8A" w:rsidP="00DC62CD">
            <w:pPr>
              <w:rPr>
                <w:rFonts w:asciiTheme="minorHAnsi" w:hAnsiTheme="minorHAnsi" w:cstheme="minorHAnsi"/>
                <w:sz w:val="20"/>
                <w:szCs w:val="20"/>
              </w:rPr>
            </w:pPr>
            <w:r w:rsidRPr="00F65705">
              <w:rPr>
                <w:rFonts w:asciiTheme="minorHAnsi" w:hAnsiTheme="minorHAnsi" w:cstheme="minorHAnsi"/>
                <w:sz w:val="20"/>
                <w:szCs w:val="20"/>
              </w:rPr>
              <w:t xml:space="preserve"> $-</w:t>
            </w:r>
          </w:p>
        </w:tc>
      </w:tr>
      <w:tr w:rsidR="00F65705" w:rsidRPr="00F65705" w14:paraId="2B8C6E95" w14:textId="77777777" w:rsidTr="00DC62CD">
        <w:trPr>
          <w:trHeight w:val="267"/>
        </w:trPr>
        <w:tc>
          <w:tcPr>
            <w:tcW w:w="2270" w:type="pct"/>
            <w:tcBorders>
              <w:top w:val="single" w:sz="4" w:space="0" w:color="auto"/>
              <w:left w:val="single" w:sz="4" w:space="0" w:color="auto"/>
              <w:bottom w:val="single" w:sz="4" w:space="0" w:color="auto"/>
            </w:tcBorders>
            <w:shd w:val="clear" w:color="auto" w:fill="BFBFBF" w:themeFill="background1" w:themeFillShade="BF"/>
            <w:noWrap/>
            <w:vAlign w:val="bottom"/>
          </w:tcPr>
          <w:p w14:paraId="0C783FDA" w14:textId="77777777" w:rsidR="00865C8A" w:rsidRPr="00F65705" w:rsidRDefault="00865C8A" w:rsidP="00DC62CD">
            <w:pPr>
              <w:ind w:firstLineChars="100" w:firstLine="201"/>
              <w:rPr>
                <w:rFonts w:asciiTheme="minorHAnsi" w:hAnsiTheme="minorHAnsi" w:cstheme="minorHAnsi"/>
                <w:b/>
                <w:sz w:val="20"/>
                <w:szCs w:val="20"/>
              </w:rPr>
            </w:pPr>
            <w:r w:rsidRPr="00F65705">
              <w:rPr>
                <w:rFonts w:asciiTheme="minorHAnsi" w:hAnsiTheme="minorHAnsi" w:cstheme="minorHAnsi"/>
                <w:b/>
                <w:sz w:val="20"/>
                <w:szCs w:val="20"/>
              </w:rPr>
              <w:t xml:space="preserve">Total </w:t>
            </w:r>
          </w:p>
        </w:tc>
        <w:tc>
          <w:tcPr>
            <w:tcW w:w="338" w:type="pct"/>
            <w:tcBorders>
              <w:top w:val="single" w:sz="4" w:space="0" w:color="auto"/>
              <w:bottom w:val="single" w:sz="4" w:space="0" w:color="auto"/>
            </w:tcBorders>
            <w:shd w:val="clear" w:color="auto" w:fill="BFBFBF" w:themeFill="background1" w:themeFillShade="BF"/>
            <w:noWrap/>
            <w:vAlign w:val="bottom"/>
          </w:tcPr>
          <w:p w14:paraId="7C365513" w14:textId="77777777" w:rsidR="00865C8A" w:rsidRPr="00F65705" w:rsidRDefault="00865C8A" w:rsidP="00DC62CD">
            <w:pPr>
              <w:jc w:val="center"/>
              <w:rPr>
                <w:rFonts w:asciiTheme="minorHAnsi" w:hAnsiTheme="minorHAnsi" w:cstheme="minorHAnsi"/>
                <w:b/>
                <w:sz w:val="20"/>
                <w:szCs w:val="20"/>
              </w:rPr>
            </w:pPr>
          </w:p>
        </w:tc>
        <w:tc>
          <w:tcPr>
            <w:tcW w:w="770" w:type="pct"/>
            <w:tcBorders>
              <w:top w:val="single" w:sz="4" w:space="0" w:color="auto"/>
              <w:bottom w:val="single" w:sz="4" w:space="0" w:color="auto"/>
            </w:tcBorders>
            <w:shd w:val="clear" w:color="auto" w:fill="BFBFBF" w:themeFill="background1" w:themeFillShade="BF"/>
            <w:noWrap/>
          </w:tcPr>
          <w:p w14:paraId="4B6AB3A9" w14:textId="77777777" w:rsidR="00865C8A" w:rsidRPr="00F65705" w:rsidRDefault="00865C8A" w:rsidP="00DC62CD">
            <w:pPr>
              <w:ind w:firstLineChars="100" w:firstLine="201"/>
              <w:rPr>
                <w:rFonts w:asciiTheme="minorHAnsi" w:hAnsiTheme="minorHAnsi" w:cstheme="minorHAnsi"/>
                <w:b/>
                <w:sz w:val="20"/>
                <w:szCs w:val="20"/>
              </w:rPr>
            </w:pPr>
          </w:p>
        </w:tc>
        <w:tc>
          <w:tcPr>
            <w:tcW w:w="594" w:type="pct"/>
            <w:tcBorders>
              <w:top w:val="single" w:sz="4" w:space="0" w:color="auto"/>
              <w:bottom w:val="single" w:sz="4" w:space="0" w:color="auto"/>
            </w:tcBorders>
            <w:shd w:val="clear" w:color="auto" w:fill="BFBFBF" w:themeFill="background1" w:themeFillShade="BF"/>
            <w:noWrap/>
          </w:tcPr>
          <w:p w14:paraId="577B3AAD" w14:textId="77777777" w:rsidR="00865C8A" w:rsidRPr="00F65705" w:rsidRDefault="00865C8A" w:rsidP="00DC62CD">
            <w:pPr>
              <w:jc w:val="center"/>
              <w:rPr>
                <w:rFonts w:asciiTheme="minorHAnsi" w:hAnsiTheme="minorHAnsi" w:cstheme="minorHAnsi"/>
                <w:b/>
                <w:sz w:val="20"/>
                <w:szCs w:val="20"/>
              </w:rPr>
            </w:pPr>
          </w:p>
        </w:tc>
        <w:tc>
          <w:tcPr>
            <w:tcW w:w="1029" w:type="pct"/>
            <w:tcBorders>
              <w:top w:val="single" w:sz="4" w:space="0" w:color="auto"/>
              <w:bottom w:val="single" w:sz="4" w:space="0" w:color="auto"/>
              <w:right w:val="single" w:sz="4" w:space="0" w:color="auto"/>
            </w:tcBorders>
            <w:shd w:val="clear" w:color="auto" w:fill="BFBFBF" w:themeFill="background1" w:themeFillShade="BF"/>
            <w:noWrap/>
          </w:tcPr>
          <w:p w14:paraId="2D86E859" w14:textId="0917D6CA" w:rsidR="00865C8A" w:rsidRPr="00F65705" w:rsidRDefault="00865C8A" w:rsidP="00DC62CD">
            <w:pPr>
              <w:rPr>
                <w:rFonts w:asciiTheme="minorHAnsi" w:hAnsiTheme="minorHAnsi" w:cstheme="minorHAnsi"/>
                <w:b/>
                <w:sz w:val="20"/>
                <w:szCs w:val="20"/>
              </w:rPr>
            </w:pPr>
            <w:r w:rsidRPr="00F65705">
              <w:rPr>
                <w:rFonts w:asciiTheme="minorHAnsi" w:hAnsiTheme="minorHAnsi" w:cstheme="minorHAnsi"/>
                <w:b/>
                <w:sz w:val="20"/>
                <w:szCs w:val="20"/>
              </w:rPr>
              <w:t>$32.0</w:t>
            </w:r>
            <w:r w:rsidR="009F3F3E" w:rsidRPr="00F65705">
              <w:rPr>
                <w:rFonts w:asciiTheme="minorHAnsi" w:hAnsiTheme="minorHAnsi" w:cstheme="minorHAnsi"/>
                <w:b/>
                <w:sz w:val="20"/>
                <w:szCs w:val="20"/>
              </w:rPr>
              <w:t>5</w:t>
            </w:r>
          </w:p>
        </w:tc>
      </w:tr>
    </w:tbl>
    <w:p w14:paraId="457B1236" w14:textId="77777777" w:rsidR="00865C8A" w:rsidRPr="00F65705" w:rsidRDefault="00865C8A" w:rsidP="00865C8A">
      <w:pPr>
        <w:autoSpaceDE w:val="0"/>
        <w:autoSpaceDN w:val="0"/>
        <w:adjustRightInd w:val="0"/>
        <w:rPr>
          <w:rFonts w:asciiTheme="minorHAnsi" w:eastAsiaTheme="minorHAnsi" w:hAnsiTheme="minorHAnsi" w:cstheme="minorHAnsi"/>
          <w:sz w:val="22"/>
          <w:szCs w:val="22"/>
        </w:rPr>
      </w:pPr>
    </w:p>
    <w:p w14:paraId="1D76716B" w14:textId="77777777" w:rsidR="00865C8A" w:rsidRPr="00F65705" w:rsidRDefault="00865C8A" w:rsidP="00865C8A">
      <w:pPr>
        <w:spacing w:after="160" w:line="259" w:lineRule="auto"/>
        <w:rPr>
          <w:rStyle w:val="Emphasis"/>
          <w:rFonts w:asciiTheme="minorHAnsi" w:hAnsiTheme="minorHAnsi" w:cstheme="minorHAnsi"/>
          <w:b/>
          <w:i w:val="0"/>
          <w:iCs w:val="0"/>
          <w:sz w:val="22"/>
          <w:szCs w:val="22"/>
        </w:rPr>
      </w:pPr>
      <w:r w:rsidRPr="00F65705">
        <w:rPr>
          <w:rFonts w:asciiTheme="minorHAnsi" w:hAnsiTheme="minorHAnsi" w:cstheme="minorHAnsi"/>
          <w:b/>
          <w:sz w:val="22"/>
          <w:szCs w:val="22"/>
        </w:rPr>
        <w:t xml:space="preserve">Table 8 - Unit cost per activity with breakdown for 2023-24 </w:t>
      </w:r>
    </w:p>
    <w:tbl>
      <w:tblPr>
        <w:tblW w:w="9671" w:type="dxa"/>
        <w:tblInd w:w="-5" w:type="dxa"/>
        <w:tblLayout w:type="fixed"/>
        <w:tblLook w:val="04A0" w:firstRow="1" w:lastRow="0" w:firstColumn="1" w:lastColumn="0" w:noHBand="0" w:noVBand="1"/>
        <w:tblCaption w:val="Table 8 - Unit cost per activity with breakdown"/>
        <w:tblDescription w:val="This table provides a description the proposed fee components (direct, indirect and other costs) for each activity."/>
      </w:tblPr>
      <w:tblGrid>
        <w:gridCol w:w="4371"/>
        <w:gridCol w:w="1325"/>
        <w:gridCol w:w="1325"/>
        <w:gridCol w:w="1325"/>
        <w:gridCol w:w="1325"/>
      </w:tblGrid>
      <w:tr w:rsidR="00F65705" w:rsidRPr="00F65705" w14:paraId="43A371D9" w14:textId="77777777" w:rsidTr="00DC62CD">
        <w:trPr>
          <w:trHeight w:val="603"/>
          <w:tblHeader/>
        </w:trPr>
        <w:tc>
          <w:tcPr>
            <w:tcW w:w="4371" w:type="dxa"/>
            <w:tcBorders>
              <w:top w:val="single" w:sz="4" w:space="0" w:color="808080"/>
              <w:left w:val="single" w:sz="4" w:space="0" w:color="808080"/>
              <w:bottom w:val="single" w:sz="4" w:space="0" w:color="808080"/>
              <w:right w:val="nil"/>
            </w:tcBorders>
            <w:shd w:val="clear" w:color="auto" w:fill="000000" w:themeFill="text1"/>
            <w:vAlign w:val="center"/>
            <w:hideMark/>
          </w:tcPr>
          <w:p w14:paraId="63E9DA81" w14:textId="77777777" w:rsidR="00865C8A" w:rsidRPr="00F65705" w:rsidRDefault="00865C8A" w:rsidP="00DC62CD">
            <w:pPr>
              <w:pStyle w:val="TableParagraph"/>
              <w:jc w:val="center"/>
              <w:rPr>
                <w:rFonts w:cstheme="minorHAnsi"/>
                <w:b/>
                <w:bCs/>
                <w:sz w:val="20"/>
                <w:szCs w:val="20"/>
              </w:rPr>
            </w:pPr>
            <w:r w:rsidRPr="00F65705">
              <w:rPr>
                <w:rFonts w:cstheme="minorHAnsi"/>
                <w:b/>
                <w:bCs/>
                <w:sz w:val="20"/>
                <w:szCs w:val="20"/>
              </w:rPr>
              <w:t>Estimated Unit Cost per Activity</w:t>
            </w:r>
          </w:p>
        </w:tc>
        <w:tc>
          <w:tcPr>
            <w:tcW w:w="1325" w:type="dxa"/>
            <w:tcBorders>
              <w:top w:val="single" w:sz="4" w:space="0" w:color="808080"/>
              <w:left w:val="single" w:sz="4" w:space="0" w:color="808080"/>
              <w:bottom w:val="single" w:sz="4" w:space="0" w:color="808080"/>
              <w:right w:val="dotted" w:sz="4" w:space="0" w:color="808080"/>
            </w:tcBorders>
            <w:shd w:val="clear" w:color="auto" w:fill="000000" w:themeFill="text1"/>
            <w:vAlign w:val="center"/>
            <w:hideMark/>
          </w:tcPr>
          <w:p w14:paraId="1D706F64" w14:textId="77777777" w:rsidR="00865C8A" w:rsidRPr="00F65705" w:rsidRDefault="00865C8A" w:rsidP="00DC62CD">
            <w:pPr>
              <w:pStyle w:val="TableParagraph"/>
              <w:jc w:val="center"/>
              <w:rPr>
                <w:rFonts w:cstheme="minorHAnsi"/>
                <w:b/>
                <w:bCs/>
                <w:sz w:val="20"/>
                <w:szCs w:val="20"/>
              </w:rPr>
            </w:pPr>
            <w:r w:rsidRPr="00F65705">
              <w:rPr>
                <w:rFonts w:cstheme="minorHAnsi"/>
                <w:b/>
                <w:bCs/>
                <w:sz w:val="20"/>
                <w:szCs w:val="20"/>
              </w:rPr>
              <w:t>Direct Costs</w:t>
            </w:r>
          </w:p>
        </w:tc>
        <w:tc>
          <w:tcPr>
            <w:tcW w:w="1325" w:type="dxa"/>
            <w:tcBorders>
              <w:top w:val="single" w:sz="4" w:space="0" w:color="808080"/>
              <w:left w:val="nil"/>
              <w:bottom w:val="single" w:sz="4" w:space="0" w:color="808080"/>
              <w:right w:val="dotted" w:sz="4" w:space="0" w:color="808080"/>
            </w:tcBorders>
            <w:shd w:val="clear" w:color="auto" w:fill="000000" w:themeFill="text1"/>
            <w:vAlign w:val="center"/>
            <w:hideMark/>
          </w:tcPr>
          <w:p w14:paraId="7D6E11B6" w14:textId="77777777" w:rsidR="00865C8A" w:rsidRPr="00F65705" w:rsidRDefault="00865C8A" w:rsidP="00DC62CD">
            <w:pPr>
              <w:pStyle w:val="TableParagraph"/>
              <w:jc w:val="center"/>
              <w:rPr>
                <w:rFonts w:cstheme="minorHAnsi"/>
                <w:b/>
                <w:bCs/>
                <w:sz w:val="20"/>
                <w:szCs w:val="20"/>
              </w:rPr>
            </w:pPr>
            <w:r w:rsidRPr="00F65705">
              <w:rPr>
                <w:rFonts w:cstheme="minorHAnsi"/>
                <w:b/>
                <w:bCs/>
                <w:sz w:val="20"/>
                <w:szCs w:val="20"/>
              </w:rPr>
              <w:t>Indirect Costs</w:t>
            </w:r>
          </w:p>
        </w:tc>
        <w:tc>
          <w:tcPr>
            <w:tcW w:w="1325" w:type="dxa"/>
            <w:tcBorders>
              <w:top w:val="single" w:sz="4" w:space="0" w:color="808080"/>
              <w:left w:val="nil"/>
              <w:bottom w:val="single" w:sz="4" w:space="0" w:color="808080"/>
              <w:right w:val="single" w:sz="4" w:space="0" w:color="808080"/>
            </w:tcBorders>
            <w:shd w:val="clear" w:color="auto" w:fill="000000" w:themeFill="text1"/>
            <w:vAlign w:val="center"/>
            <w:hideMark/>
          </w:tcPr>
          <w:p w14:paraId="02AA70C7" w14:textId="2D1368A0" w:rsidR="00865C8A" w:rsidRPr="00F65705" w:rsidRDefault="00086C3D" w:rsidP="00DC62CD">
            <w:pPr>
              <w:pStyle w:val="TableParagraph"/>
              <w:jc w:val="center"/>
              <w:rPr>
                <w:rFonts w:cstheme="minorHAnsi"/>
                <w:b/>
                <w:bCs/>
                <w:sz w:val="20"/>
                <w:szCs w:val="20"/>
              </w:rPr>
            </w:pPr>
            <w:r w:rsidRPr="00F65705">
              <w:rPr>
                <w:rFonts w:cstheme="minorHAnsi"/>
                <w:b/>
                <w:bCs/>
                <w:sz w:val="20"/>
                <w:szCs w:val="20"/>
              </w:rPr>
              <w:t>Capital</w:t>
            </w:r>
          </w:p>
        </w:tc>
        <w:tc>
          <w:tcPr>
            <w:tcW w:w="1325" w:type="dxa"/>
            <w:tcBorders>
              <w:top w:val="single" w:sz="4" w:space="0" w:color="808080"/>
              <w:left w:val="nil"/>
              <w:bottom w:val="single" w:sz="4" w:space="0" w:color="808080"/>
              <w:right w:val="single" w:sz="4" w:space="0" w:color="808080"/>
            </w:tcBorders>
            <w:shd w:val="clear" w:color="auto" w:fill="000000" w:themeFill="text1"/>
            <w:vAlign w:val="center"/>
            <w:hideMark/>
          </w:tcPr>
          <w:p w14:paraId="5FB526EE" w14:textId="77777777" w:rsidR="00865C8A" w:rsidRPr="00F65705" w:rsidRDefault="00865C8A" w:rsidP="00DC62CD">
            <w:pPr>
              <w:pStyle w:val="TableParagraph"/>
              <w:jc w:val="center"/>
              <w:rPr>
                <w:rFonts w:cstheme="minorHAnsi"/>
                <w:b/>
                <w:bCs/>
                <w:sz w:val="20"/>
                <w:szCs w:val="20"/>
              </w:rPr>
            </w:pPr>
            <w:r w:rsidRPr="00F65705">
              <w:rPr>
                <w:rFonts w:cstheme="minorHAnsi"/>
                <w:b/>
                <w:bCs/>
                <w:sz w:val="20"/>
                <w:szCs w:val="20"/>
              </w:rPr>
              <w:t>Total Cost</w:t>
            </w:r>
          </w:p>
        </w:tc>
      </w:tr>
      <w:tr w:rsidR="00F65705" w:rsidRPr="00F65705" w14:paraId="56B42F45" w14:textId="77777777" w:rsidTr="00DC62CD">
        <w:trPr>
          <w:trHeight w:val="301"/>
        </w:trPr>
        <w:tc>
          <w:tcPr>
            <w:tcW w:w="4371" w:type="dxa"/>
            <w:tcBorders>
              <w:top w:val="nil"/>
              <w:left w:val="single" w:sz="4" w:space="0" w:color="808080"/>
              <w:bottom w:val="single" w:sz="4" w:space="0" w:color="808080"/>
              <w:right w:val="nil"/>
            </w:tcBorders>
            <w:shd w:val="clear" w:color="auto" w:fill="F2F2F2" w:themeFill="background1" w:themeFillShade="F2"/>
            <w:vAlign w:val="center"/>
            <w:hideMark/>
          </w:tcPr>
          <w:p w14:paraId="70536633" w14:textId="77777777" w:rsidR="00865C8A" w:rsidRPr="00F65705" w:rsidRDefault="00865C8A" w:rsidP="00DC62CD">
            <w:pPr>
              <w:pStyle w:val="TableParagraph"/>
              <w:rPr>
                <w:rFonts w:cstheme="minorHAnsi"/>
                <w:b/>
                <w:bCs/>
                <w:sz w:val="20"/>
                <w:szCs w:val="20"/>
              </w:rPr>
            </w:pPr>
            <w:r w:rsidRPr="00F65705">
              <w:rPr>
                <w:rFonts w:cstheme="minorHAnsi"/>
                <w:b/>
                <w:bCs/>
                <w:sz w:val="20"/>
                <w:szCs w:val="20"/>
              </w:rPr>
              <w:t>ATAGI Pre-submission Evaluation</w:t>
            </w:r>
          </w:p>
        </w:tc>
        <w:tc>
          <w:tcPr>
            <w:tcW w:w="1325" w:type="dxa"/>
            <w:tcBorders>
              <w:top w:val="nil"/>
              <w:left w:val="nil"/>
              <w:bottom w:val="single" w:sz="4" w:space="0" w:color="808080"/>
              <w:right w:val="nil"/>
            </w:tcBorders>
            <w:shd w:val="clear" w:color="auto" w:fill="F2F2F2" w:themeFill="background1" w:themeFillShade="F2"/>
            <w:vAlign w:val="center"/>
            <w:hideMark/>
          </w:tcPr>
          <w:p w14:paraId="4A84A099" w14:textId="77777777" w:rsidR="00865C8A" w:rsidRPr="00F65705" w:rsidRDefault="00865C8A" w:rsidP="00DC62CD">
            <w:pPr>
              <w:pStyle w:val="TableParagraph"/>
              <w:rPr>
                <w:rFonts w:cstheme="minorHAnsi"/>
                <w:b/>
                <w:bCs/>
                <w:sz w:val="20"/>
                <w:szCs w:val="20"/>
              </w:rPr>
            </w:pPr>
          </w:p>
        </w:tc>
        <w:tc>
          <w:tcPr>
            <w:tcW w:w="1325" w:type="dxa"/>
            <w:tcBorders>
              <w:top w:val="nil"/>
              <w:left w:val="nil"/>
              <w:bottom w:val="single" w:sz="4" w:space="0" w:color="808080"/>
              <w:right w:val="nil"/>
            </w:tcBorders>
            <w:shd w:val="clear" w:color="auto" w:fill="F2F2F2" w:themeFill="background1" w:themeFillShade="F2"/>
            <w:vAlign w:val="center"/>
            <w:hideMark/>
          </w:tcPr>
          <w:p w14:paraId="5D11E0FA" w14:textId="77777777" w:rsidR="00865C8A" w:rsidRPr="00F65705" w:rsidRDefault="00865C8A" w:rsidP="00DC62CD">
            <w:pPr>
              <w:pStyle w:val="TableParagraph"/>
              <w:rPr>
                <w:rFonts w:cstheme="minorHAnsi"/>
                <w:b/>
                <w:bCs/>
                <w:sz w:val="20"/>
                <w:szCs w:val="20"/>
              </w:rPr>
            </w:pPr>
          </w:p>
        </w:tc>
        <w:tc>
          <w:tcPr>
            <w:tcW w:w="1325" w:type="dxa"/>
            <w:tcBorders>
              <w:top w:val="single" w:sz="4" w:space="0" w:color="808080"/>
              <w:left w:val="nil"/>
              <w:bottom w:val="single" w:sz="4" w:space="0" w:color="808080"/>
              <w:right w:val="nil"/>
            </w:tcBorders>
            <w:shd w:val="clear" w:color="auto" w:fill="F2F2F2" w:themeFill="background1" w:themeFillShade="F2"/>
            <w:vAlign w:val="center"/>
            <w:hideMark/>
          </w:tcPr>
          <w:p w14:paraId="11F0B708" w14:textId="77777777" w:rsidR="00865C8A" w:rsidRPr="00F65705" w:rsidRDefault="00865C8A" w:rsidP="00DC62CD">
            <w:pPr>
              <w:pStyle w:val="TableParagraph"/>
              <w:rPr>
                <w:rFonts w:cstheme="minorHAnsi"/>
                <w:b/>
                <w:bCs/>
                <w:sz w:val="20"/>
                <w:szCs w:val="20"/>
              </w:rPr>
            </w:pPr>
          </w:p>
        </w:tc>
        <w:tc>
          <w:tcPr>
            <w:tcW w:w="1325" w:type="dxa"/>
            <w:tcBorders>
              <w:top w:val="nil"/>
              <w:left w:val="nil"/>
              <w:bottom w:val="single" w:sz="4" w:space="0" w:color="808080"/>
              <w:right w:val="single" w:sz="4" w:space="0" w:color="808080"/>
            </w:tcBorders>
            <w:shd w:val="clear" w:color="auto" w:fill="F2F2F2" w:themeFill="background1" w:themeFillShade="F2"/>
            <w:vAlign w:val="center"/>
            <w:hideMark/>
          </w:tcPr>
          <w:p w14:paraId="5AAA6A13" w14:textId="77777777" w:rsidR="00865C8A" w:rsidRPr="00F65705" w:rsidRDefault="00865C8A" w:rsidP="00DC62CD">
            <w:pPr>
              <w:pStyle w:val="TableParagraph"/>
              <w:rPr>
                <w:rFonts w:cstheme="minorHAnsi"/>
                <w:b/>
                <w:bCs/>
                <w:sz w:val="20"/>
                <w:szCs w:val="20"/>
              </w:rPr>
            </w:pPr>
          </w:p>
        </w:tc>
      </w:tr>
      <w:tr w:rsidR="00F65705" w:rsidRPr="00F65705" w14:paraId="22464007" w14:textId="77777777" w:rsidTr="00DC62CD">
        <w:trPr>
          <w:trHeight w:val="301"/>
        </w:trPr>
        <w:tc>
          <w:tcPr>
            <w:tcW w:w="4371" w:type="dxa"/>
            <w:tcBorders>
              <w:top w:val="nil"/>
              <w:left w:val="single" w:sz="4" w:space="0" w:color="808080"/>
              <w:bottom w:val="single" w:sz="4" w:space="0" w:color="808080"/>
              <w:right w:val="nil"/>
            </w:tcBorders>
            <w:shd w:val="clear" w:color="auto" w:fill="auto"/>
            <w:noWrap/>
            <w:vAlign w:val="center"/>
            <w:hideMark/>
          </w:tcPr>
          <w:p w14:paraId="7886D39A"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Complex Submission</w:t>
            </w:r>
          </w:p>
        </w:tc>
        <w:tc>
          <w:tcPr>
            <w:tcW w:w="1325" w:type="dxa"/>
            <w:tcBorders>
              <w:top w:val="nil"/>
              <w:left w:val="single" w:sz="4" w:space="0" w:color="808080"/>
              <w:bottom w:val="single" w:sz="4" w:space="0" w:color="808080"/>
              <w:right w:val="dotted" w:sz="4" w:space="0" w:color="808080"/>
            </w:tcBorders>
            <w:shd w:val="clear" w:color="auto" w:fill="auto"/>
            <w:noWrap/>
            <w:hideMark/>
          </w:tcPr>
          <w:p w14:paraId="6770B8AC" w14:textId="1B001B24" w:rsidR="00865C8A" w:rsidRPr="00F65705" w:rsidRDefault="00A71F3D" w:rsidP="00DC62CD">
            <w:pPr>
              <w:pStyle w:val="TableParagraph"/>
              <w:ind w:firstLine="11"/>
              <w:rPr>
                <w:rFonts w:cstheme="minorHAnsi"/>
                <w:sz w:val="20"/>
                <w:szCs w:val="20"/>
              </w:rPr>
            </w:pPr>
            <w:r w:rsidRPr="00F65705">
              <w:rPr>
                <w:sz w:val="20"/>
                <w:szCs w:val="20"/>
              </w:rPr>
              <w:t>$210,523</w:t>
            </w:r>
          </w:p>
        </w:tc>
        <w:tc>
          <w:tcPr>
            <w:tcW w:w="1325" w:type="dxa"/>
            <w:tcBorders>
              <w:top w:val="nil"/>
              <w:left w:val="nil"/>
              <w:bottom w:val="single" w:sz="4" w:space="0" w:color="808080"/>
              <w:right w:val="dotted" w:sz="4" w:space="0" w:color="808080"/>
            </w:tcBorders>
            <w:shd w:val="clear" w:color="auto" w:fill="auto"/>
            <w:noWrap/>
            <w:hideMark/>
          </w:tcPr>
          <w:p w14:paraId="6A6996E4" w14:textId="41004538" w:rsidR="00865C8A" w:rsidRPr="00F65705" w:rsidRDefault="00A71F3D" w:rsidP="00DC62CD">
            <w:pPr>
              <w:pStyle w:val="TableParagraph"/>
              <w:ind w:firstLine="11"/>
              <w:rPr>
                <w:rFonts w:cstheme="minorHAnsi"/>
                <w:sz w:val="20"/>
                <w:szCs w:val="20"/>
              </w:rPr>
            </w:pPr>
            <w:r w:rsidRPr="00F65705">
              <w:rPr>
                <w:sz w:val="20"/>
                <w:szCs w:val="20"/>
              </w:rPr>
              <w:t>$1,839</w:t>
            </w:r>
          </w:p>
        </w:tc>
        <w:tc>
          <w:tcPr>
            <w:tcW w:w="1325" w:type="dxa"/>
            <w:tcBorders>
              <w:top w:val="dotted" w:sz="4" w:space="0" w:color="808080"/>
              <w:left w:val="nil"/>
              <w:bottom w:val="single" w:sz="4" w:space="0" w:color="808080"/>
              <w:right w:val="single" w:sz="4" w:space="0" w:color="808080"/>
            </w:tcBorders>
            <w:shd w:val="clear" w:color="auto" w:fill="auto"/>
            <w:noWrap/>
            <w:hideMark/>
          </w:tcPr>
          <w:p w14:paraId="6FCEA50E" w14:textId="77777777" w:rsidR="00865C8A" w:rsidRPr="00F65705" w:rsidRDefault="00865C8A" w:rsidP="00DC62CD">
            <w:pPr>
              <w:pStyle w:val="TableParagraph"/>
              <w:ind w:firstLine="11"/>
              <w:rPr>
                <w:rFonts w:cstheme="minorHAnsi"/>
                <w:sz w:val="20"/>
                <w:szCs w:val="20"/>
              </w:rPr>
            </w:pPr>
            <w:r w:rsidRPr="00F65705">
              <w:rPr>
                <w:sz w:val="20"/>
                <w:szCs w:val="20"/>
              </w:rPr>
              <w:t>$0</w:t>
            </w:r>
          </w:p>
        </w:tc>
        <w:tc>
          <w:tcPr>
            <w:tcW w:w="1325" w:type="dxa"/>
            <w:tcBorders>
              <w:top w:val="nil"/>
              <w:left w:val="nil"/>
              <w:bottom w:val="single" w:sz="4" w:space="0" w:color="808080"/>
              <w:right w:val="single" w:sz="4" w:space="0" w:color="808080"/>
            </w:tcBorders>
            <w:shd w:val="clear" w:color="auto" w:fill="auto"/>
            <w:noWrap/>
            <w:hideMark/>
          </w:tcPr>
          <w:p w14:paraId="659F106E" w14:textId="341430E3" w:rsidR="00865C8A" w:rsidRPr="00F65705" w:rsidRDefault="00A71F3D" w:rsidP="00DC62CD">
            <w:pPr>
              <w:pStyle w:val="TableParagraph"/>
              <w:ind w:firstLine="11"/>
              <w:rPr>
                <w:rFonts w:cstheme="minorHAnsi"/>
                <w:sz w:val="20"/>
                <w:szCs w:val="20"/>
              </w:rPr>
            </w:pPr>
            <w:r w:rsidRPr="00F65705">
              <w:rPr>
                <w:sz w:val="20"/>
                <w:szCs w:val="20"/>
              </w:rPr>
              <w:t>$212,362</w:t>
            </w:r>
          </w:p>
        </w:tc>
      </w:tr>
      <w:tr w:rsidR="00F65705" w:rsidRPr="00F65705" w14:paraId="6AF2C923" w14:textId="77777777" w:rsidTr="00321792">
        <w:trPr>
          <w:trHeight w:val="301"/>
        </w:trPr>
        <w:tc>
          <w:tcPr>
            <w:tcW w:w="4371" w:type="dxa"/>
            <w:tcBorders>
              <w:top w:val="nil"/>
              <w:left w:val="single" w:sz="4" w:space="0" w:color="808080"/>
              <w:bottom w:val="dotted" w:sz="4" w:space="0" w:color="808080"/>
              <w:right w:val="nil"/>
            </w:tcBorders>
            <w:shd w:val="clear" w:color="auto" w:fill="auto"/>
            <w:noWrap/>
            <w:vAlign w:val="center"/>
            <w:hideMark/>
          </w:tcPr>
          <w:p w14:paraId="4FA2438C" w14:textId="77777777" w:rsidR="00A71F3D" w:rsidRPr="00F65705" w:rsidRDefault="00A71F3D" w:rsidP="00321792">
            <w:pPr>
              <w:pStyle w:val="TableParagraph"/>
              <w:ind w:firstLine="200"/>
              <w:rPr>
                <w:rFonts w:cstheme="minorHAnsi"/>
                <w:sz w:val="20"/>
                <w:szCs w:val="20"/>
              </w:rPr>
            </w:pPr>
            <w:r w:rsidRPr="00F65705">
              <w:rPr>
                <w:rFonts w:cstheme="minorHAnsi"/>
                <w:sz w:val="20"/>
                <w:szCs w:val="20"/>
              </w:rPr>
              <w:t>Simple Submission</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1F063FA2" w14:textId="6E1DF2A4" w:rsidR="00A71F3D" w:rsidRPr="00F65705" w:rsidRDefault="00A71F3D" w:rsidP="00321792">
            <w:pPr>
              <w:pStyle w:val="TableParagraph"/>
              <w:ind w:firstLine="11"/>
              <w:rPr>
                <w:rFonts w:cstheme="minorHAnsi"/>
                <w:sz w:val="20"/>
                <w:szCs w:val="20"/>
              </w:rPr>
            </w:pPr>
            <w:r w:rsidRPr="00F65705">
              <w:rPr>
                <w:sz w:val="20"/>
                <w:szCs w:val="20"/>
              </w:rPr>
              <w:t>$115,709</w:t>
            </w:r>
          </w:p>
        </w:tc>
        <w:tc>
          <w:tcPr>
            <w:tcW w:w="1325" w:type="dxa"/>
            <w:tcBorders>
              <w:top w:val="nil"/>
              <w:left w:val="nil"/>
              <w:bottom w:val="dotted" w:sz="4" w:space="0" w:color="808080"/>
              <w:right w:val="dotted" w:sz="4" w:space="0" w:color="808080"/>
            </w:tcBorders>
            <w:shd w:val="clear" w:color="auto" w:fill="auto"/>
            <w:noWrap/>
            <w:hideMark/>
          </w:tcPr>
          <w:p w14:paraId="4DC3E14C" w14:textId="426C4E95" w:rsidR="00A71F3D" w:rsidRPr="00F65705" w:rsidRDefault="00A71F3D" w:rsidP="00321792">
            <w:pPr>
              <w:pStyle w:val="TableParagraph"/>
              <w:ind w:firstLine="11"/>
              <w:rPr>
                <w:rFonts w:cstheme="minorHAnsi"/>
                <w:sz w:val="20"/>
                <w:szCs w:val="20"/>
              </w:rPr>
            </w:pPr>
            <w:r w:rsidRPr="00F65705">
              <w:rPr>
                <w:sz w:val="20"/>
                <w:szCs w:val="20"/>
              </w:rPr>
              <w:t>$1,248</w:t>
            </w:r>
          </w:p>
        </w:tc>
        <w:tc>
          <w:tcPr>
            <w:tcW w:w="1325" w:type="dxa"/>
            <w:tcBorders>
              <w:top w:val="single" w:sz="4" w:space="0" w:color="808080"/>
              <w:left w:val="nil"/>
              <w:bottom w:val="dotted" w:sz="4" w:space="0" w:color="808080"/>
              <w:right w:val="single" w:sz="4" w:space="0" w:color="808080"/>
            </w:tcBorders>
            <w:shd w:val="clear" w:color="auto" w:fill="auto"/>
            <w:noWrap/>
            <w:hideMark/>
          </w:tcPr>
          <w:p w14:paraId="6EA70A55" w14:textId="77777777" w:rsidR="00A71F3D" w:rsidRPr="00F65705" w:rsidRDefault="00A71F3D" w:rsidP="00321792">
            <w:pPr>
              <w:pStyle w:val="TableParagraph"/>
              <w:ind w:firstLine="11"/>
              <w:rPr>
                <w:rFonts w:cstheme="minorHAnsi"/>
                <w:sz w:val="20"/>
                <w:szCs w:val="20"/>
              </w:rPr>
            </w:pPr>
            <w:r w:rsidRPr="00F65705">
              <w:rPr>
                <w:sz w:val="20"/>
                <w:szCs w:val="20"/>
              </w:rPr>
              <w:t>$0</w:t>
            </w:r>
          </w:p>
        </w:tc>
        <w:tc>
          <w:tcPr>
            <w:tcW w:w="1325" w:type="dxa"/>
            <w:tcBorders>
              <w:top w:val="nil"/>
              <w:left w:val="nil"/>
              <w:bottom w:val="dotted" w:sz="4" w:space="0" w:color="808080"/>
              <w:right w:val="single" w:sz="4" w:space="0" w:color="808080"/>
            </w:tcBorders>
            <w:shd w:val="clear" w:color="auto" w:fill="auto"/>
            <w:noWrap/>
            <w:hideMark/>
          </w:tcPr>
          <w:p w14:paraId="19444409" w14:textId="05A43189" w:rsidR="00A71F3D" w:rsidRPr="00F65705" w:rsidRDefault="00A71F3D" w:rsidP="00321792">
            <w:pPr>
              <w:pStyle w:val="TableParagraph"/>
              <w:ind w:firstLine="11"/>
              <w:rPr>
                <w:rFonts w:cstheme="minorHAnsi"/>
                <w:sz w:val="20"/>
                <w:szCs w:val="20"/>
              </w:rPr>
            </w:pPr>
            <w:r w:rsidRPr="00F65705">
              <w:rPr>
                <w:sz w:val="20"/>
                <w:szCs w:val="20"/>
              </w:rPr>
              <w:t>$116,957</w:t>
            </w:r>
          </w:p>
        </w:tc>
      </w:tr>
      <w:tr w:rsidR="00F65705" w:rsidRPr="00F65705" w14:paraId="5001C7D3" w14:textId="77777777" w:rsidTr="00DC62CD">
        <w:trPr>
          <w:trHeight w:val="301"/>
        </w:trPr>
        <w:tc>
          <w:tcPr>
            <w:tcW w:w="4371" w:type="dxa"/>
            <w:tcBorders>
              <w:top w:val="nil"/>
              <w:left w:val="single" w:sz="4" w:space="0" w:color="808080"/>
              <w:bottom w:val="single" w:sz="4" w:space="0" w:color="808080"/>
              <w:right w:val="nil"/>
            </w:tcBorders>
            <w:shd w:val="clear" w:color="auto" w:fill="F2F2F2" w:themeFill="background1" w:themeFillShade="F2"/>
            <w:vAlign w:val="center"/>
            <w:hideMark/>
          </w:tcPr>
          <w:p w14:paraId="7C130DE1" w14:textId="77777777" w:rsidR="00865C8A" w:rsidRPr="00F65705" w:rsidRDefault="00865C8A" w:rsidP="00DC62CD">
            <w:pPr>
              <w:pStyle w:val="TableParagraph"/>
              <w:rPr>
                <w:rFonts w:cstheme="minorHAnsi"/>
                <w:b/>
                <w:bCs/>
                <w:sz w:val="20"/>
                <w:szCs w:val="20"/>
              </w:rPr>
            </w:pPr>
            <w:r w:rsidRPr="00F65705">
              <w:rPr>
                <w:rFonts w:cstheme="minorHAnsi"/>
                <w:b/>
                <w:bCs/>
                <w:sz w:val="20"/>
                <w:szCs w:val="20"/>
              </w:rPr>
              <w:t>PBAC Pre-Submission Meetings</w:t>
            </w:r>
          </w:p>
        </w:tc>
        <w:tc>
          <w:tcPr>
            <w:tcW w:w="1325" w:type="dxa"/>
            <w:tcBorders>
              <w:top w:val="nil"/>
              <w:left w:val="nil"/>
              <w:bottom w:val="single" w:sz="4" w:space="0" w:color="808080"/>
              <w:right w:val="nil"/>
            </w:tcBorders>
            <w:shd w:val="clear" w:color="auto" w:fill="F2F2F2" w:themeFill="background1" w:themeFillShade="F2"/>
            <w:hideMark/>
          </w:tcPr>
          <w:p w14:paraId="02085991" w14:textId="77777777" w:rsidR="00865C8A" w:rsidRPr="00F65705" w:rsidRDefault="00865C8A" w:rsidP="00DC62CD">
            <w:pPr>
              <w:pStyle w:val="TableParagraph"/>
              <w:ind w:firstLine="11"/>
              <w:rPr>
                <w:rFonts w:cstheme="minorHAnsi"/>
                <w:sz w:val="20"/>
                <w:szCs w:val="20"/>
              </w:rPr>
            </w:pPr>
          </w:p>
        </w:tc>
        <w:tc>
          <w:tcPr>
            <w:tcW w:w="1325" w:type="dxa"/>
            <w:tcBorders>
              <w:top w:val="nil"/>
              <w:left w:val="nil"/>
              <w:bottom w:val="single" w:sz="4" w:space="0" w:color="808080"/>
              <w:right w:val="nil"/>
            </w:tcBorders>
            <w:shd w:val="clear" w:color="auto" w:fill="F2F2F2" w:themeFill="background1" w:themeFillShade="F2"/>
            <w:hideMark/>
          </w:tcPr>
          <w:p w14:paraId="1560C7A6" w14:textId="77777777" w:rsidR="00865C8A" w:rsidRPr="00F65705" w:rsidRDefault="00865C8A" w:rsidP="00DC62CD">
            <w:pPr>
              <w:pStyle w:val="TableParagraph"/>
              <w:ind w:firstLine="11"/>
              <w:rPr>
                <w:rFonts w:cstheme="minorHAnsi"/>
                <w:sz w:val="20"/>
                <w:szCs w:val="20"/>
              </w:rPr>
            </w:pPr>
          </w:p>
        </w:tc>
        <w:tc>
          <w:tcPr>
            <w:tcW w:w="1325" w:type="dxa"/>
            <w:tcBorders>
              <w:top w:val="single" w:sz="4" w:space="0" w:color="808080"/>
              <w:left w:val="nil"/>
              <w:bottom w:val="single" w:sz="4" w:space="0" w:color="808080"/>
              <w:right w:val="nil"/>
            </w:tcBorders>
            <w:shd w:val="clear" w:color="auto" w:fill="F2F2F2" w:themeFill="background1" w:themeFillShade="F2"/>
            <w:hideMark/>
          </w:tcPr>
          <w:p w14:paraId="3CD7F915" w14:textId="77777777" w:rsidR="00865C8A" w:rsidRPr="00F65705" w:rsidRDefault="00865C8A" w:rsidP="00DC62CD">
            <w:pPr>
              <w:pStyle w:val="TableParagraph"/>
              <w:ind w:firstLine="11"/>
              <w:rPr>
                <w:rFonts w:cstheme="minorHAnsi"/>
                <w:sz w:val="20"/>
                <w:szCs w:val="20"/>
              </w:rPr>
            </w:pPr>
          </w:p>
        </w:tc>
        <w:tc>
          <w:tcPr>
            <w:tcW w:w="1325" w:type="dxa"/>
            <w:tcBorders>
              <w:top w:val="nil"/>
              <w:left w:val="nil"/>
              <w:bottom w:val="single" w:sz="4" w:space="0" w:color="808080"/>
              <w:right w:val="single" w:sz="4" w:space="0" w:color="808080"/>
            </w:tcBorders>
            <w:shd w:val="clear" w:color="auto" w:fill="F2F2F2" w:themeFill="background1" w:themeFillShade="F2"/>
            <w:hideMark/>
          </w:tcPr>
          <w:p w14:paraId="447B79F0" w14:textId="77777777" w:rsidR="00865C8A" w:rsidRPr="00F65705" w:rsidRDefault="00865C8A" w:rsidP="00DC62CD">
            <w:pPr>
              <w:pStyle w:val="TableParagraph"/>
              <w:ind w:firstLine="11"/>
              <w:rPr>
                <w:rFonts w:cstheme="minorHAnsi"/>
                <w:sz w:val="20"/>
                <w:szCs w:val="20"/>
              </w:rPr>
            </w:pPr>
          </w:p>
        </w:tc>
      </w:tr>
      <w:tr w:rsidR="00F65705" w:rsidRPr="00F65705" w14:paraId="6FC662D6"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hideMark/>
          </w:tcPr>
          <w:p w14:paraId="6F5BC91C"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1st Pre-Submission Meeting</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2F3F20BF" w14:textId="77777777" w:rsidR="00865C8A" w:rsidRPr="00F65705" w:rsidRDefault="00865C8A" w:rsidP="00DC62CD">
            <w:pPr>
              <w:pStyle w:val="TableParagraph"/>
              <w:ind w:firstLine="11"/>
              <w:rPr>
                <w:rFonts w:cstheme="minorHAnsi"/>
                <w:sz w:val="20"/>
                <w:szCs w:val="20"/>
              </w:rPr>
            </w:pPr>
            <w:r w:rsidRPr="00F65705">
              <w:rPr>
                <w:sz w:val="20"/>
                <w:szCs w:val="20"/>
              </w:rPr>
              <w:t>$12,201</w:t>
            </w:r>
          </w:p>
        </w:tc>
        <w:tc>
          <w:tcPr>
            <w:tcW w:w="1325" w:type="dxa"/>
            <w:tcBorders>
              <w:top w:val="nil"/>
              <w:left w:val="nil"/>
              <w:bottom w:val="dotted" w:sz="4" w:space="0" w:color="808080"/>
              <w:right w:val="dotted" w:sz="4" w:space="0" w:color="808080"/>
            </w:tcBorders>
            <w:shd w:val="clear" w:color="auto" w:fill="auto"/>
            <w:noWrap/>
            <w:hideMark/>
          </w:tcPr>
          <w:p w14:paraId="23D816AE" w14:textId="77777777" w:rsidR="00865C8A" w:rsidRPr="00F65705" w:rsidRDefault="00865C8A" w:rsidP="00DC62CD">
            <w:pPr>
              <w:pStyle w:val="TableParagraph"/>
              <w:ind w:firstLine="11"/>
              <w:rPr>
                <w:rFonts w:cstheme="minorHAnsi"/>
                <w:sz w:val="20"/>
                <w:szCs w:val="20"/>
              </w:rPr>
            </w:pPr>
            <w:r w:rsidRPr="00F65705">
              <w:rPr>
                <w:sz w:val="20"/>
                <w:szCs w:val="20"/>
              </w:rPr>
              <w:t>$2,050</w:t>
            </w:r>
          </w:p>
        </w:tc>
        <w:tc>
          <w:tcPr>
            <w:tcW w:w="1325" w:type="dxa"/>
            <w:tcBorders>
              <w:top w:val="single" w:sz="4" w:space="0" w:color="808080"/>
              <w:left w:val="nil"/>
              <w:bottom w:val="dotted" w:sz="4" w:space="0" w:color="808080"/>
              <w:right w:val="single" w:sz="4" w:space="0" w:color="808080"/>
            </w:tcBorders>
            <w:shd w:val="clear" w:color="auto" w:fill="auto"/>
            <w:noWrap/>
            <w:hideMark/>
          </w:tcPr>
          <w:p w14:paraId="33EADC24" w14:textId="77777777" w:rsidR="00865C8A" w:rsidRPr="00F65705" w:rsidRDefault="00865C8A" w:rsidP="00DC62CD">
            <w:pPr>
              <w:pStyle w:val="TableParagraph"/>
              <w:ind w:firstLine="11"/>
              <w:rPr>
                <w:rFonts w:cstheme="minorHAnsi"/>
                <w:sz w:val="20"/>
                <w:szCs w:val="20"/>
              </w:rPr>
            </w:pPr>
            <w:r w:rsidRPr="00F65705">
              <w:rPr>
                <w:sz w:val="20"/>
                <w:szCs w:val="20"/>
              </w:rPr>
              <w:t>$1,183</w:t>
            </w:r>
          </w:p>
        </w:tc>
        <w:tc>
          <w:tcPr>
            <w:tcW w:w="1325" w:type="dxa"/>
            <w:tcBorders>
              <w:top w:val="nil"/>
              <w:left w:val="nil"/>
              <w:bottom w:val="dotted" w:sz="4" w:space="0" w:color="808080"/>
              <w:right w:val="single" w:sz="4" w:space="0" w:color="808080"/>
            </w:tcBorders>
            <w:shd w:val="clear" w:color="auto" w:fill="auto"/>
            <w:noWrap/>
            <w:hideMark/>
          </w:tcPr>
          <w:p w14:paraId="540C1D21" w14:textId="77777777" w:rsidR="00865C8A" w:rsidRPr="00F65705" w:rsidRDefault="00865C8A" w:rsidP="00DC62CD">
            <w:pPr>
              <w:pStyle w:val="TableParagraph"/>
              <w:ind w:firstLine="11"/>
              <w:rPr>
                <w:rFonts w:cstheme="minorHAnsi"/>
                <w:sz w:val="20"/>
                <w:szCs w:val="20"/>
              </w:rPr>
            </w:pPr>
            <w:r w:rsidRPr="00F65705">
              <w:rPr>
                <w:sz w:val="20"/>
                <w:szCs w:val="20"/>
              </w:rPr>
              <w:t>$15,435</w:t>
            </w:r>
          </w:p>
        </w:tc>
      </w:tr>
      <w:tr w:rsidR="00F65705" w:rsidRPr="00F65705" w14:paraId="2DC2916A" w14:textId="77777777" w:rsidTr="00DC62CD">
        <w:trPr>
          <w:trHeight w:val="301"/>
        </w:trPr>
        <w:tc>
          <w:tcPr>
            <w:tcW w:w="4371" w:type="dxa"/>
            <w:tcBorders>
              <w:top w:val="nil"/>
              <w:left w:val="single" w:sz="4" w:space="0" w:color="808080"/>
              <w:bottom w:val="single" w:sz="4" w:space="0" w:color="808080"/>
              <w:right w:val="nil"/>
            </w:tcBorders>
            <w:shd w:val="clear" w:color="auto" w:fill="auto"/>
            <w:noWrap/>
            <w:vAlign w:val="center"/>
            <w:hideMark/>
          </w:tcPr>
          <w:p w14:paraId="28CAA281"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2nd Pre-Submission Meeting</w:t>
            </w:r>
          </w:p>
        </w:tc>
        <w:tc>
          <w:tcPr>
            <w:tcW w:w="1325" w:type="dxa"/>
            <w:tcBorders>
              <w:top w:val="nil"/>
              <w:left w:val="single" w:sz="4" w:space="0" w:color="808080"/>
              <w:bottom w:val="single" w:sz="4" w:space="0" w:color="808080"/>
              <w:right w:val="dotted" w:sz="4" w:space="0" w:color="808080"/>
            </w:tcBorders>
            <w:shd w:val="clear" w:color="auto" w:fill="auto"/>
            <w:noWrap/>
            <w:hideMark/>
          </w:tcPr>
          <w:p w14:paraId="00C904F6" w14:textId="77777777" w:rsidR="00865C8A" w:rsidRPr="00F65705" w:rsidRDefault="00865C8A" w:rsidP="00DC62CD">
            <w:pPr>
              <w:pStyle w:val="TableParagraph"/>
              <w:ind w:firstLine="11"/>
              <w:rPr>
                <w:rFonts w:cstheme="minorHAnsi"/>
                <w:sz w:val="20"/>
                <w:szCs w:val="20"/>
              </w:rPr>
            </w:pPr>
            <w:r w:rsidRPr="00F65705">
              <w:rPr>
                <w:sz w:val="20"/>
                <w:szCs w:val="20"/>
              </w:rPr>
              <w:t>$16,623</w:t>
            </w:r>
          </w:p>
        </w:tc>
        <w:tc>
          <w:tcPr>
            <w:tcW w:w="1325" w:type="dxa"/>
            <w:tcBorders>
              <w:top w:val="nil"/>
              <w:left w:val="nil"/>
              <w:bottom w:val="single" w:sz="4" w:space="0" w:color="808080"/>
              <w:right w:val="dotted" w:sz="4" w:space="0" w:color="808080"/>
            </w:tcBorders>
            <w:shd w:val="clear" w:color="auto" w:fill="auto"/>
            <w:noWrap/>
            <w:hideMark/>
          </w:tcPr>
          <w:p w14:paraId="3ACFF988" w14:textId="77777777" w:rsidR="00865C8A" w:rsidRPr="00F65705" w:rsidRDefault="00865C8A" w:rsidP="00DC62CD">
            <w:pPr>
              <w:pStyle w:val="TableParagraph"/>
              <w:ind w:firstLine="11"/>
              <w:rPr>
                <w:rFonts w:cstheme="minorHAnsi"/>
                <w:sz w:val="20"/>
                <w:szCs w:val="20"/>
              </w:rPr>
            </w:pPr>
            <w:r w:rsidRPr="00F65705">
              <w:rPr>
                <w:sz w:val="20"/>
                <w:szCs w:val="20"/>
              </w:rPr>
              <w:t>$2,764</w:t>
            </w:r>
          </w:p>
        </w:tc>
        <w:tc>
          <w:tcPr>
            <w:tcW w:w="1325" w:type="dxa"/>
            <w:tcBorders>
              <w:top w:val="dotted" w:sz="4" w:space="0" w:color="808080"/>
              <w:left w:val="nil"/>
              <w:bottom w:val="single" w:sz="4" w:space="0" w:color="808080"/>
              <w:right w:val="single" w:sz="4" w:space="0" w:color="808080"/>
            </w:tcBorders>
            <w:shd w:val="clear" w:color="auto" w:fill="auto"/>
            <w:noWrap/>
            <w:hideMark/>
          </w:tcPr>
          <w:p w14:paraId="57A497AB" w14:textId="77777777" w:rsidR="00865C8A" w:rsidRPr="00F65705" w:rsidRDefault="00865C8A" w:rsidP="00DC62CD">
            <w:pPr>
              <w:pStyle w:val="TableParagraph"/>
              <w:ind w:firstLine="11"/>
              <w:rPr>
                <w:rFonts w:cstheme="minorHAnsi"/>
                <w:sz w:val="20"/>
                <w:szCs w:val="20"/>
              </w:rPr>
            </w:pPr>
            <w:r w:rsidRPr="00F65705">
              <w:rPr>
                <w:sz w:val="20"/>
                <w:szCs w:val="20"/>
              </w:rPr>
              <w:t>$1,591</w:t>
            </w:r>
          </w:p>
        </w:tc>
        <w:tc>
          <w:tcPr>
            <w:tcW w:w="1325" w:type="dxa"/>
            <w:tcBorders>
              <w:top w:val="nil"/>
              <w:left w:val="nil"/>
              <w:bottom w:val="single" w:sz="4" w:space="0" w:color="808080"/>
              <w:right w:val="single" w:sz="4" w:space="0" w:color="808080"/>
            </w:tcBorders>
            <w:shd w:val="clear" w:color="auto" w:fill="auto"/>
            <w:noWrap/>
            <w:hideMark/>
          </w:tcPr>
          <w:p w14:paraId="605B6871" w14:textId="77777777" w:rsidR="00865C8A" w:rsidRPr="00F65705" w:rsidRDefault="00865C8A" w:rsidP="00DC62CD">
            <w:pPr>
              <w:pStyle w:val="TableParagraph"/>
              <w:ind w:firstLine="11"/>
              <w:rPr>
                <w:rFonts w:cstheme="minorHAnsi"/>
                <w:sz w:val="20"/>
                <w:szCs w:val="20"/>
              </w:rPr>
            </w:pPr>
            <w:r w:rsidRPr="00F65705">
              <w:rPr>
                <w:sz w:val="20"/>
                <w:szCs w:val="20"/>
              </w:rPr>
              <w:t>$20,979</w:t>
            </w:r>
          </w:p>
        </w:tc>
      </w:tr>
      <w:tr w:rsidR="00F65705" w:rsidRPr="00F65705" w14:paraId="7BDAF95A" w14:textId="77777777" w:rsidTr="00DC62CD">
        <w:trPr>
          <w:trHeight w:val="301"/>
        </w:trPr>
        <w:tc>
          <w:tcPr>
            <w:tcW w:w="4371" w:type="dxa"/>
            <w:tcBorders>
              <w:top w:val="nil"/>
              <w:left w:val="single" w:sz="4" w:space="0" w:color="808080"/>
              <w:bottom w:val="single" w:sz="4" w:space="0" w:color="808080"/>
              <w:right w:val="nil"/>
            </w:tcBorders>
            <w:shd w:val="clear" w:color="auto" w:fill="F2F2F2" w:themeFill="background1" w:themeFillShade="F2"/>
            <w:vAlign w:val="center"/>
            <w:hideMark/>
          </w:tcPr>
          <w:p w14:paraId="1C516B99" w14:textId="77777777" w:rsidR="00865C8A" w:rsidRPr="00F65705" w:rsidRDefault="00865C8A" w:rsidP="00DC62CD">
            <w:pPr>
              <w:pStyle w:val="TableParagraph"/>
              <w:rPr>
                <w:rFonts w:cstheme="minorHAnsi"/>
                <w:b/>
                <w:bCs/>
                <w:sz w:val="20"/>
                <w:szCs w:val="20"/>
              </w:rPr>
            </w:pPr>
            <w:r w:rsidRPr="00F65705">
              <w:rPr>
                <w:rFonts w:cstheme="minorHAnsi"/>
                <w:b/>
                <w:bCs/>
                <w:sz w:val="20"/>
                <w:szCs w:val="20"/>
              </w:rPr>
              <w:t>Prior Notice</w:t>
            </w:r>
          </w:p>
        </w:tc>
        <w:tc>
          <w:tcPr>
            <w:tcW w:w="1325" w:type="dxa"/>
            <w:tcBorders>
              <w:top w:val="nil"/>
              <w:left w:val="nil"/>
              <w:bottom w:val="single" w:sz="4" w:space="0" w:color="808080"/>
              <w:right w:val="nil"/>
            </w:tcBorders>
            <w:shd w:val="clear" w:color="auto" w:fill="F2F2F2" w:themeFill="background1" w:themeFillShade="F2"/>
            <w:hideMark/>
          </w:tcPr>
          <w:p w14:paraId="7A99891F" w14:textId="77777777" w:rsidR="00865C8A" w:rsidRPr="00F65705" w:rsidRDefault="00865C8A" w:rsidP="00DC62CD">
            <w:pPr>
              <w:pStyle w:val="TableParagraph"/>
              <w:ind w:firstLine="11"/>
              <w:rPr>
                <w:rFonts w:cstheme="minorHAnsi"/>
                <w:sz w:val="20"/>
                <w:szCs w:val="20"/>
              </w:rPr>
            </w:pPr>
          </w:p>
        </w:tc>
        <w:tc>
          <w:tcPr>
            <w:tcW w:w="1325" w:type="dxa"/>
            <w:tcBorders>
              <w:top w:val="nil"/>
              <w:left w:val="nil"/>
              <w:bottom w:val="single" w:sz="4" w:space="0" w:color="808080"/>
              <w:right w:val="nil"/>
            </w:tcBorders>
            <w:shd w:val="clear" w:color="auto" w:fill="F2F2F2" w:themeFill="background1" w:themeFillShade="F2"/>
            <w:hideMark/>
          </w:tcPr>
          <w:p w14:paraId="6F2E6178" w14:textId="77777777" w:rsidR="00865C8A" w:rsidRPr="00F65705" w:rsidRDefault="00865C8A" w:rsidP="00DC62CD">
            <w:pPr>
              <w:pStyle w:val="TableParagraph"/>
              <w:ind w:firstLine="11"/>
              <w:rPr>
                <w:rFonts w:cstheme="minorHAnsi"/>
                <w:sz w:val="20"/>
                <w:szCs w:val="20"/>
              </w:rPr>
            </w:pPr>
          </w:p>
        </w:tc>
        <w:tc>
          <w:tcPr>
            <w:tcW w:w="1325" w:type="dxa"/>
            <w:tcBorders>
              <w:top w:val="single" w:sz="4" w:space="0" w:color="808080"/>
              <w:left w:val="nil"/>
              <w:bottom w:val="single" w:sz="4" w:space="0" w:color="808080"/>
              <w:right w:val="nil"/>
            </w:tcBorders>
            <w:shd w:val="clear" w:color="auto" w:fill="F2F2F2" w:themeFill="background1" w:themeFillShade="F2"/>
            <w:hideMark/>
          </w:tcPr>
          <w:p w14:paraId="615E387F" w14:textId="77777777" w:rsidR="00865C8A" w:rsidRPr="00F65705" w:rsidRDefault="00865C8A" w:rsidP="00DC62CD">
            <w:pPr>
              <w:pStyle w:val="TableParagraph"/>
              <w:ind w:firstLine="11"/>
              <w:rPr>
                <w:rFonts w:cstheme="minorHAnsi"/>
                <w:sz w:val="20"/>
                <w:szCs w:val="20"/>
              </w:rPr>
            </w:pPr>
          </w:p>
        </w:tc>
        <w:tc>
          <w:tcPr>
            <w:tcW w:w="1325" w:type="dxa"/>
            <w:tcBorders>
              <w:top w:val="nil"/>
              <w:left w:val="nil"/>
              <w:bottom w:val="single" w:sz="4" w:space="0" w:color="808080"/>
              <w:right w:val="single" w:sz="4" w:space="0" w:color="808080"/>
            </w:tcBorders>
            <w:shd w:val="clear" w:color="auto" w:fill="F2F2F2" w:themeFill="background1" w:themeFillShade="F2"/>
            <w:hideMark/>
          </w:tcPr>
          <w:p w14:paraId="76AA3C5F" w14:textId="77777777" w:rsidR="00865C8A" w:rsidRPr="00F65705" w:rsidRDefault="00865C8A" w:rsidP="00DC62CD">
            <w:pPr>
              <w:pStyle w:val="TableParagraph"/>
              <w:ind w:firstLine="11"/>
              <w:rPr>
                <w:rFonts w:cstheme="minorHAnsi"/>
                <w:sz w:val="20"/>
                <w:szCs w:val="20"/>
              </w:rPr>
            </w:pPr>
          </w:p>
        </w:tc>
      </w:tr>
      <w:tr w:rsidR="00F65705" w:rsidRPr="00F65705" w14:paraId="1E2E0FA3" w14:textId="77777777" w:rsidTr="00DC62CD">
        <w:trPr>
          <w:trHeight w:val="301"/>
        </w:trPr>
        <w:tc>
          <w:tcPr>
            <w:tcW w:w="4371" w:type="dxa"/>
            <w:tcBorders>
              <w:top w:val="nil"/>
              <w:left w:val="single" w:sz="4" w:space="0" w:color="808080"/>
              <w:bottom w:val="nil"/>
              <w:right w:val="nil"/>
            </w:tcBorders>
            <w:shd w:val="clear" w:color="auto" w:fill="auto"/>
            <w:noWrap/>
            <w:vAlign w:val="center"/>
            <w:hideMark/>
          </w:tcPr>
          <w:p w14:paraId="1A9CE0D1"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Notice of Intent</w:t>
            </w:r>
          </w:p>
        </w:tc>
        <w:tc>
          <w:tcPr>
            <w:tcW w:w="1325" w:type="dxa"/>
            <w:tcBorders>
              <w:top w:val="nil"/>
              <w:left w:val="single" w:sz="4" w:space="0" w:color="808080"/>
              <w:bottom w:val="nil"/>
              <w:right w:val="dotted" w:sz="4" w:space="0" w:color="808080"/>
            </w:tcBorders>
            <w:shd w:val="clear" w:color="auto" w:fill="auto"/>
            <w:noWrap/>
            <w:hideMark/>
          </w:tcPr>
          <w:p w14:paraId="0F6973CB" w14:textId="77777777" w:rsidR="00865C8A" w:rsidRPr="00F65705" w:rsidRDefault="00865C8A" w:rsidP="00DC62CD">
            <w:pPr>
              <w:pStyle w:val="TableParagraph"/>
              <w:ind w:firstLine="11"/>
              <w:rPr>
                <w:rFonts w:cstheme="minorHAnsi"/>
                <w:sz w:val="20"/>
                <w:szCs w:val="20"/>
              </w:rPr>
            </w:pPr>
            <w:r w:rsidRPr="00F65705">
              <w:rPr>
                <w:sz w:val="20"/>
                <w:szCs w:val="20"/>
              </w:rPr>
              <w:t>$333</w:t>
            </w:r>
          </w:p>
        </w:tc>
        <w:tc>
          <w:tcPr>
            <w:tcW w:w="1325" w:type="dxa"/>
            <w:tcBorders>
              <w:top w:val="nil"/>
              <w:left w:val="nil"/>
              <w:bottom w:val="nil"/>
              <w:right w:val="dotted" w:sz="4" w:space="0" w:color="808080"/>
            </w:tcBorders>
            <w:shd w:val="clear" w:color="auto" w:fill="auto"/>
            <w:noWrap/>
            <w:hideMark/>
          </w:tcPr>
          <w:p w14:paraId="5B8BD942" w14:textId="77777777" w:rsidR="00865C8A" w:rsidRPr="00F65705" w:rsidRDefault="00865C8A" w:rsidP="00DC62CD">
            <w:pPr>
              <w:pStyle w:val="TableParagraph"/>
              <w:ind w:firstLine="11"/>
              <w:rPr>
                <w:rFonts w:cstheme="minorHAnsi"/>
                <w:sz w:val="20"/>
                <w:szCs w:val="20"/>
              </w:rPr>
            </w:pPr>
            <w:r w:rsidRPr="00F65705">
              <w:rPr>
                <w:sz w:val="20"/>
                <w:szCs w:val="20"/>
              </w:rPr>
              <w:t>$60</w:t>
            </w:r>
          </w:p>
        </w:tc>
        <w:tc>
          <w:tcPr>
            <w:tcW w:w="1325" w:type="dxa"/>
            <w:tcBorders>
              <w:top w:val="single" w:sz="4" w:space="0" w:color="808080"/>
              <w:left w:val="nil"/>
              <w:bottom w:val="single" w:sz="4" w:space="0" w:color="808080"/>
              <w:right w:val="single" w:sz="4" w:space="0" w:color="808080"/>
            </w:tcBorders>
            <w:shd w:val="clear" w:color="auto" w:fill="auto"/>
            <w:noWrap/>
            <w:hideMark/>
          </w:tcPr>
          <w:p w14:paraId="1F1AA0C1" w14:textId="77777777" w:rsidR="00865C8A" w:rsidRPr="00F65705" w:rsidRDefault="00865C8A" w:rsidP="00DC62CD">
            <w:pPr>
              <w:pStyle w:val="TableParagraph"/>
              <w:ind w:firstLine="11"/>
              <w:rPr>
                <w:rFonts w:cstheme="minorHAnsi"/>
                <w:sz w:val="20"/>
                <w:szCs w:val="20"/>
              </w:rPr>
            </w:pPr>
            <w:r w:rsidRPr="00F65705">
              <w:rPr>
                <w:sz w:val="20"/>
                <w:szCs w:val="20"/>
              </w:rPr>
              <w:t>$35</w:t>
            </w:r>
          </w:p>
        </w:tc>
        <w:tc>
          <w:tcPr>
            <w:tcW w:w="1325" w:type="dxa"/>
            <w:tcBorders>
              <w:top w:val="nil"/>
              <w:left w:val="nil"/>
              <w:bottom w:val="nil"/>
              <w:right w:val="single" w:sz="4" w:space="0" w:color="808080"/>
            </w:tcBorders>
            <w:shd w:val="clear" w:color="auto" w:fill="auto"/>
            <w:noWrap/>
            <w:hideMark/>
          </w:tcPr>
          <w:p w14:paraId="5B95D58B" w14:textId="77777777" w:rsidR="00865C8A" w:rsidRPr="00F65705" w:rsidRDefault="00865C8A" w:rsidP="00DC62CD">
            <w:pPr>
              <w:pStyle w:val="TableParagraph"/>
              <w:ind w:firstLine="11"/>
              <w:rPr>
                <w:rFonts w:cstheme="minorHAnsi"/>
                <w:sz w:val="20"/>
                <w:szCs w:val="20"/>
              </w:rPr>
            </w:pPr>
            <w:r w:rsidRPr="00F65705">
              <w:rPr>
                <w:sz w:val="20"/>
                <w:szCs w:val="20"/>
              </w:rPr>
              <w:t>$429</w:t>
            </w:r>
          </w:p>
        </w:tc>
      </w:tr>
      <w:tr w:rsidR="00F65705" w:rsidRPr="00F65705" w14:paraId="76C96842" w14:textId="77777777" w:rsidTr="00DC62CD">
        <w:trPr>
          <w:trHeight w:val="301"/>
        </w:trPr>
        <w:tc>
          <w:tcPr>
            <w:tcW w:w="4371" w:type="dxa"/>
            <w:tcBorders>
              <w:top w:val="single" w:sz="4" w:space="0" w:color="808080"/>
              <w:left w:val="single" w:sz="4" w:space="0" w:color="808080"/>
              <w:bottom w:val="single" w:sz="4" w:space="0" w:color="808080"/>
              <w:right w:val="nil"/>
            </w:tcBorders>
            <w:shd w:val="clear" w:color="auto" w:fill="F2F2F2" w:themeFill="background1" w:themeFillShade="F2"/>
            <w:vAlign w:val="center"/>
            <w:hideMark/>
          </w:tcPr>
          <w:p w14:paraId="681AA765" w14:textId="77777777" w:rsidR="00865C8A" w:rsidRPr="00F65705" w:rsidRDefault="00865C8A" w:rsidP="00DC62CD">
            <w:pPr>
              <w:pStyle w:val="TableParagraph"/>
              <w:rPr>
                <w:rFonts w:cstheme="minorHAnsi"/>
                <w:b/>
                <w:bCs/>
                <w:sz w:val="20"/>
                <w:szCs w:val="20"/>
              </w:rPr>
            </w:pPr>
            <w:r w:rsidRPr="00F65705">
              <w:rPr>
                <w:rFonts w:cstheme="minorHAnsi"/>
                <w:b/>
                <w:bCs/>
                <w:sz w:val="20"/>
                <w:szCs w:val="20"/>
              </w:rPr>
              <w:t>Submission Services (PBAC Evaluation)</w:t>
            </w:r>
          </w:p>
        </w:tc>
        <w:tc>
          <w:tcPr>
            <w:tcW w:w="1325" w:type="dxa"/>
            <w:tcBorders>
              <w:top w:val="single" w:sz="4" w:space="0" w:color="808080"/>
              <w:left w:val="nil"/>
              <w:bottom w:val="single" w:sz="4" w:space="0" w:color="808080"/>
              <w:right w:val="nil"/>
            </w:tcBorders>
            <w:shd w:val="clear" w:color="auto" w:fill="F2F2F2" w:themeFill="background1" w:themeFillShade="F2"/>
            <w:hideMark/>
          </w:tcPr>
          <w:p w14:paraId="6194BCF5" w14:textId="77777777" w:rsidR="00865C8A" w:rsidRPr="00F65705" w:rsidRDefault="00865C8A" w:rsidP="00DC62CD">
            <w:pPr>
              <w:pStyle w:val="TableParagraph"/>
              <w:ind w:firstLine="11"/>
              <w:rPr>
                <w:rFonts w:cstheme="minorHAnsi"/>
                <w:sz w:val="20"/>
                <w:szCs w:val="20"/>
              </w:rPr>
            </w:pPr>
          </w:p>
        </w:tc>
        <w:tc>
          <w:tcPr>
            <w:tcW w:w="1325" w:type="dxa"/>
            <w:tcBorders>
              <w:top w:val="single" w:sz="4" w:space="0" w:color="808080"/>
              <w:left w:val="nil"/>
              <w:bottom w:val="single" w:sz="4" w:space="0" w:color="808080"/>
              <w:right w:val="nil"/>
            </w:tcBorders>
            <w:shd w:val="clear" w:color="auto" w:fill="F2F2F2" w:themeFill="background1" w:themeFillShade="F2"/>
            <w:hideMark/>
          </w:tcPr>
          <w:p w14:paraId="2221F918" w14:textId="77777777" w:rsidR="00865C8A" w:rsidRPr="00F65705" w:rsidRDefault="00865C8A" w:rsidP="00DC62CD">
            <w:pPr>
              <w:pStyle w:val="TableParagraph"/>
              <w:ind w:firstLine="11"/>
              <w:rPr>
                <w:rFonts w:cstheme="minorHAnsi"/>
                <w:sz w:val="20"/>
                <w:szCs w:val="20"/>
              </w:rPr>
            </w:pPr>
          </w:p>
        </w:tc>
        <w:tc>
          <w:tcPr>
            <w:tcW w:w="1325" w:type="dxa"/>
            <w:tcBorders>
              <w:top w:val="single" w:sz="4" w:space="0" w:color="808080"/>
              <w:left w:val="nil"/>
              <w:bottom w:val="single" w:sz="4" w:space="0" w:color="808080"/>
              <w:right w:val="nil"/>
            </w:tcBorders>
            <w:shd w:val="clear" w:color="auto" w:fill="F2F2F2" w:themeFill="background1" w:themeFillShade="F2"/>
            <w:hideMark/>
          </w:tcPr>
          <w:p w14:paraId="0C5DCB63" w14:textId="77777777" w:rsidR="00865C8A" w:rsidRPr="00F65705" w:rsidRDefault="00865C8A" w:rsidP="00DC62CD">
            <w:pPr>
              <w:pStyle w:val="TableParagraph"/>
              <w:ind w:firstLine="11"/>
              <w:rPr>
                <w:rFonts w:cstheme="minorHAnsi"/>
                <w:sz w:val="20"/>
                <w:szCs w:val="20"/>
              </w:rPr>
            </w:pPr>
          </w:p>
        </w:tc>
        <w:tc>
          <w:tcPr>
            <w:tcW w:w="1325" w:type="dxa"/>
            <w:tcBorders>
              <w:top w:val="single" w:sz="4" w:space="0" w:color="808080"/>
              <w:left w:val="nil"/>
              <w:bottom w:val="single" w:sz="4" w:space="0" w:color="808080"/>
              <w:right w:val="single" w:sz="4" w:space="0" w:color="808080"/>
            </w:tcBorders>
            <w:shd w:val="clear" w:color="auto" w:fill="F2F2F2" w:themeFill="background1" w:themeFillShade="F2"/>
            <w:hideMark/>
          </w:tcPr>
          <w:p w14:paraId="05505B40" w14:textId="77777777" w:rsidR="00865C8A" w:rsidRPr="00F65705" w:rsidRDefault="00865C8A" w:rsidP="00DC62CD">
            <w:pPr>
              <w:pStyle w:val="TableParagraph"/>
              <w:ind w:firstLine="11"/>
              <w:rPr>
                <w:rFonts w:cstheme="minorHAnsi"/>
                <w:sz w:val="20"/>
                <w:szCs w:val="20"/>
              </w:rPr>
            </w:pPr>
          </w:p>
        </w:tc>
      </w:tr>
      <w:tr w:rsidR="00F65705" w:rsidRPr="00F65705" w14:paraId="79BF895F"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hideMark/>
          </w:tcPr>
          <w:p w14:paraId="27B1AD28"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Category 1</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664C90B3" w14:textId="77777777" w:rsidR="00865C8A" w:rsidRPr="00F65705" w:rsidRDefault="00865C8A" w:rsidP="00DC62CD">
            <w:pPr>
              <w:pStyle w:val="TableParagraph"/>
              <w:ind w:firstLine="11"/>
              <w:rPr>
                <w:rFonts w:cstheme="minorHAnsi"/>
                <w:sz w:val="20"/>
                <w:szCs w:val="20"/>
              </w:rPr>
            </w:pPr>
            <w:r w:rsidRPr="00F65705">
              <w:rPr>
                <w:sz w:val="20"/>
                <w:szCs w:val="20"/>
              </w:rPr>
              <w:t>$227,672</w:t>
            </w:r>
          </w:p>
        </w:tc>
        <w:tc>
          <w:tcPr>
            <w:tcW w:w="1325" w:type="dxa"/>
            <w:tcBorders>
              <w:top w:val="nil"/>
              <w:left w:val="nil"/>
              <w:bottom w:val="dotted" w:sz="4" w:space="0" w:color="808080"/>
              <w:right w:val="dotted" w:sz="4" w:space="0" w:color="808080"/>
            </w:tcBorders>
            <w:shd w:val="clear" w:color="auto" w:fill="auto"/>
            <w:noWrap/>
            <w:hideMark/>
          </w:tcPr>
          <w:p w14:paraId="22581392" w14:textId="77777777" w:rsidR="00865C8A" w:rsidRPr="00F65705" w:rsidRDefault="00865C8A" w:rsidP="00DC62CD">
            <w:pPr>
              <w:pStyle w:val="TableParagraph"/>
              <w:ind w:firstLine="11"/>
              <w:rPr>
                <w:rFonts w:cstheme="minorHAnsi"/>
                <w:sz w:val="20"/>
                <w:szCs w:val="20"/>
              </w:rPr>
            </w:pPr>
            <w:r w:rsidRPr="00F65705">
              <w:rPr>
                <w:sz w:val="20"/>
                <w:szCs w:val="20"/>
              </w:rPr>
              <w:t>$15,399</w:t>
            </w:r>
          </w:p>
        </w:tc>
        <w:tc>
          <w:tcPr>
            <w:tcW w:w="1325" w:type="dxa"/>
            <w:tcBorders>
              <w:top w:val="single" w:sz="4" w:space="0" w:color="808080"/>
              <w:left w:val="nil"/>
              <w:bottom w:val="dotted" w:sz="4" w:space="0" w:color="808080"/>
              <w:right w:val="single" w:sz="4" w:space="0" w:color="808080"/>
            </w:tcBorders>
            <w:shd w:val="clear" w:color="auto" w:fill="auto"/>
            <w:noWrap/>
            <w:hideMark/>
          </w:tcPr>
          <w:p w14:paraId="27F39B23" w14:textId="77777777" w:rsidR="00865C8A" w:rsidRPr="00F65705" w:rsidRDefault="00865C8A" w:rsidP="00DC62CD">
            <w:pPr>
              <w:pStyle w:val="TableParagraph"/>
              <w:ind w:firstLine="11"/>
              <w:rPr>
                <w:rFonts w:cstheme="minorHAnsi"/>
                <w:sz w:val="20"/>
                <w:szCs w:val="20"/>
              </w:rPr>
            </w:pPr>
            <w:r w:rsidRPr="00F65705">
              <w:rPr>
                <w:sz w:val="20"/>
                <w:szCs w:val="20"/>
              </w:rPr>
              <w:t>$9,041</w:t>
            </w:r>
          </w:p>
        </w:tc>
        <w:tc>
          <w:tcPr>
            <w:tcW w:w="1325" w:type="dxa"/>
            <w:tcBorders>
              <w:top w:val="nil"/>
              <w:left w:val="nil"/>
              <w:bottom w:val="dotted" w:sz="4" w:space="0" w:color="808080"/>
              <w:right w:val="single" w:sz="4" w:space="0" w:color="808080"/>
            </w:tcBorders>
            <w:shd w:val="clear" w:color="auto" w:fill="auto"/>
            <w:noWrap/>
            <w:hideMark/>
          </w:tcPr>
          <w:p w14:paraId="4793520D" w14:textId="77777777" w:rsidR="00865C8A" w:rsidRPr="00F65705" w:rsidRDefault="00865C8A" w:rsidP="00DC62CD">
            <w:pPr>
              <w:pStyle w:val="TableParagraph"/>
              <w:ind w:firstLine="11"/>
              <w:rPr>
                <w:rFonts w:cstheme="minorHAnsi"/>
                <w:sz w:val="20"/>
                <w:szCs w:val="20"/>
              </w:rPr>
            </w:pPr>
            <w:r w:rsidRPr="00F65705">
              <w:rPr>
                <w:sz w:val="20"/>
                <w:szCs w:val="20"/>
              </w:rPr>
              <w:t>$252,112</w:t>
            </w:r>
          </w:p>
        </w:tc>
      </w:tr>
      <w:tr w:rsidR="00F65705" w:rsidRPr="00F65705" w14:paraId="21AE2FBD"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hideMark/>
          </w:tcPr>
          <w:p w14:paraId="4405FABF"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Category 2</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34714755" w14:textId="77777777" w:rsidR="00865C8A" w:rsidRPr="00F65705" w:rsidRDefault="00865C8A" w:rsidP="00DC62CD">
            <w:pPr>
              <w:pStyle w:val="TableParagraph"/>
              <w:ind w:firstLine="11"/>
              <w:rPr>
                <w:rFonts w:cstheme="minorHAnsi"/>
                <w:sz w:val="20"/>
                <w:szCs w:val="20"/>
              </w:rPr>
            </w:pPr>
            <w:r w:rsidRPr="00F65705">
              <w:rPr>
                <w:sz w:val="20"/>
                <w:szCs w:val="20"/>
              </w:rPr>
              <w:t>$182,885</w:t>
            </w:r>
          </w:p>
        </w:tc>
        <w:tc>
          <w:tcPr>
            <w:tcW w:w="1325" w:type="dxa"/>
            <w:tcBorders>
              <w:top w:val="nil"/>
              <w:left w:val="nil"/>
              <w:bottom w:val="dotted" w:sz="4" w:space="0" w:color="808080"/>
              <w:right w:val="dotted" w:sz="4" w:space="0" w:color="808080"/>
            </w:tcBorders>
            <w:shd w:val="clear" w:color="auto" w:fill="auto"/>
            <w:noWrap/>
            <w:hideMark/>
          </w:tcPr>
          <w:p w14:paraId="78CA4877" w14:textId="77777777" w:rsidR="00865C8A" w:rsidRPr="00F65705" w:rsidRDefault="00865C8A" w:rsidP="00DC62CD">
            <w:pPr>
              <w:pStyle w:val="TableParagraph"/>
              <w:ind w:firstLine="11"/>
              <w:rPr>
                <w:rFonts w:cstheme="minorHAnsi"/>
                <w:sz w:val="20"/>
                <w:szCs w:val="20"/>
              </w:rPr>
            </w:pPr>
            <w:r w:rsidRPr="00F65705">
              <w:rPr>
                <w:sz w:val="20"/>
                <w:szCs w:val="20"/>
              </w:rPr>
              <w:t>$9,179</w:t>
            </w:r>
          </w:p>
        </w:tc>
        <w:tc>
          <w:tcPr>
            <w:tcW w:w="1325" w:type="dxa"/>
            <w:tcBorders>
              <w:top w:val="dotted" w:sz="4" w:space="0" w:color="808080"/>
              <w:left w:val="nil"/>
              <w:bottom w:val="dotted" w:sz="4" w:space="0" w:color="808080"/>
              <w:right w:val="single" w:sz="4" w:space="0" w:color="808080"/>
            </w:tcBorders>
            <w:shd w:val="clear" w:color="auto" w:fill="auto"/>
            <w:noWrap/>
            <w:hideMark/>
          </w:tcPr>
          <w:p w14:paraId="034AED1A" w14:textId="77777777" w:rsidR="00865C8A" w:rsidRPr="00F65705" w:rsidRDefault="00865C8A" w:rsidP="00DC62CD">
            <w:pPr>
              <w:pStyle w:val="TableParagraph"/>
              <w:ind w:firstLine="11"/>
              <w:rPr>
                <w:rFonts w:cstheme="minorHAnsi"/>
                <w:sz w:val="20"/>
                <w:szCs w:val="20"/>
              </w:rPr>
            </w:pPr>
            <w:r w:rsidRPr="00F65705">
              <w:rPr>
                <w:sz w:val="20"/>
                <w:szCs w:val="20"/>
              </w:rPr>
              <w:t>$5,440</w:t>
            </w:r>
          </w:p>
        </w:tc>
        <w:tc>
          <w:tcPr>
            <w:tcW w:w="1325" w:type="dxa"/>
            <w:tcBorders>
              <w:top w:val="nil"/>
              <w:left w:val="nil"/>
              <w:bottom w:val="dotted" w:sz="4" w:space="0" w:color="808080"/>
              <w:right w:val="single" w:sz="4" w:space="0" w:color="808080"/>
            </w:tcBorders>
            <w:shd w:val="clear" w:color="auto" w:fill="auto"/>
            <w:noWrap/>
            <w:hideMark/>
          </w:tcPr>
          <w:p w14:paraId="6C76B943" w14:textId="77777777" w:rsidR="00865C8A" w:rsidRPr="00F65705" w:rsidRDefault="00865C8A" w:rsidP="00DC62CD">
            <w:pPr>
              <w:pStyle w:val="TableParagraph"/>
              <w:ind w:firstLine="11"/>
              <w:rPr>
                <w:rFonts w:cstheme="minorHAnsi"/>
                <w:sz w:val="20"/>
                <w:szCs w:val="20"/>
              </w:rPr>
            </w:pPr>
            <w:r w:rsidRPr="00F65705">
              <w:rPr>
                <w:sz w:val="20"/>
                <w:szCs w:val="20"/>
              </w:rPr>
              <w:t>$197,504</w:t>
            </w:r>
          </w:p>
        </w:tc>
      </w:tr>
      <w:tr w:rsidR="00F65705" w:rsidRPr="00F65705" w14:paraId="799D4B7C"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hideMark/>
          </w:tcPr>
          <w:p w14:paraId="326A1B89"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Category 3</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2BAF2140" w14:textId="77777777" w:rsidR="00865C8A" w:rsidRPr="00F65705" w:rsidRDefault="00865C8A" w:rsidP="00DC62CD">
            <w:pPr>
              <w:pStyle w:val="TableParagraph"/>
              <w:ind w:firstLine="11"/>
              <w:rPr>
                <w:rFonts w:cstheme="minorHAnsi"/>
                <w:sz w:val="20"/>
                <w:szCs w:val="20"/>
              </w:rPr>
            </w:pPr>
            <w:r w:rsidRPr="00F65705">
              <w:rPr>
                <w:sz w:val="20"/>
                <w:szCs w:val="20"/>
              </w:rPr>
              <w:t>$35,374</w:t>
            </w:r>
          </w:p>
        </w:tc>
        <w:tc>
          <w:tcPr>
            <w:tcW w:w="1325" w:type="dxa"/>
            <w:tcBorders>
              <w:top w:val="nil"/>
              <w:left w:val="nil"/>
              <w:bottom w:val="dotted" w:sz="4" w:space="0" w:color="808080"/>
              <w:right w:val="dotted" w:sz="4" w:space="0" w:color="808080"/>
            </w:tcBorders>
            <w:shd w:val="clear" w:color="auto" w:fill="auto"/>
            <w:noWrap/>
            <w:hideMark/>
          </w:tcPr>
          <w:p w14:paraId="789B5CDA" w14:textId="77777777" w:rsidR="00865C8A" w:rsidRPr="00F65705" w:rsidRDefault="00865C8A" w:rsidP="00DC62CD">
            <w:pPr>
              <w:pStyle w:val="TableParagraph"/>
              <w:ind w:firstLine="11"/>
              <w:rPr>
                <w:rFonts w:cstheme="minorHAnsi"/>
                <w:sz w:val="20"/>
                <w:szCs w:val="20"/>
              </w:rPr>
            </w:pPr>
            <w:r w:rsidRPr="00F65705">
              <w:rPr>
                <w:sz w:val="20"/>
                <w:szCs w:val="20"/>
              </w:rPr>
              <w:t>$4,451</w:t>
            </w:r>
          </w:p>
        </w:tc>
        <w:tc>
          <w:tcPr>
            <w:tcW w:w="1325" w:type="dxa"/>
            <w:tcBorders>
              <w:top w:val="dotted" w:sz="4" w:space="0" w:color="808080"/>
              <w:left w:val="nil"/>
              <w:bottom w:val="dotted" w:sz="4" w:space="0" w:color="808080"/>
              <w:right w:val="single" w:sz="4" w:space="0" w:color="808080"/>
            </w:tcBorders>
            <w:shd w:val="clear" w:color="auto" w:fill="auto"/>
            <w:noWrap/>
            <w:hideMark/>
          </w:tcPr>
          <w:p w14:paraId="7B4617C5" w14:textId="77777777" w:rsidR="00865C8A" w:rsidRPr="00F65705" w:rsidRDefault="00865C8A" w:rsidP="00DC62CD">
            <w:pPr>
              <w:pStyle w:val="TableParagraph"/>
              <w:ind w:firstLine="11"/>
              <w:rPr>
                <w:rFonts w:cstheme="minorHAnsi"/>
                <w:sz w:val="20"/>
                <w:szCs w:val="20"/>
              </w:rPr>
            </w:pPr>
            <w:r w:rsidRPr="00F65705">
              <w:rPr>
                <w:sz w:val="20"/>
                <w:szCs w:val="20"/>
              </w:rPr>
              <w:t>$2,639</w:t>
            </w:r>
          </w:p>
        </w:tc>
        <w:tc>
          <w:tcPr>
            <w:tcW w:w="1325" w:type="dxa"/>
            <w:tcBorders>
              <w:top w:val="nil"/>
              <w:left w:val="nil"/>
              <w:bottom w:val="dotted" w:sz="4" w:space="0" w:color="808080"/>
              <w:right w:val="single" w:sz="4" w:space="0" w:color="808080"/>
            </w:tcBorders>
            <w:shd w:val="clear" w:color="auto" w:fill="auto"/>
            <w:noWrap/>
            <w:hideMark/>
          </w:tcPr>
          <w:p w14:paraId="4B0AD514" w14:textId="77777777" w:rsidR="00865C8A" w:rsidRPr="00F65705" w:rsidRDefault="00865C8A" w:rsidP="00DC62CD">
            <w:pPr>
              <w:pStyle w:val="TableParagraph"/>
              <w:ind w:firstLine="11"/>
              <w:rPr>
                <w:rFonts w:cstheme="minorHAnsi"/>
                <w:sz w:val="20"/>
                <w:szCs w:val="20"/>
              </w:rPr>
            </w:pPr>
            <w:r w:rsidRPr="00F65705">
              <w:rPr>
                <w:sz w:val="20"/>
                <w:szCs w:val="20"/>
              </w:rPr>
              <w:t>$42,464</w:t>
            </w:r>
          </w:p>
        </w:tc>
      </w:tr>
      <w:tr w:rsidR="00F65705" w:rsidRPr="00F65705" w14:paraId="177A7775"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hideMark/>
          </w:tcPr>
          <w:p w14:paraId="2265D17B"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Category 4</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372211DC" w14:textId="77777777" w:rsidR="00865C8A" w:rsidRPr="00F65705" w:rsidRDefault="00865C8A" w:rsidP="00DC62CD">
            <w:pPr>
              <w:pStyle w:val="TableParagraph"/>
              <w:ind w:firstLine="11"/>
              <w:rPr>
                <w:rFonts w:cstheme="minorHAnsi"/>
                <w:sz w:val="20"/>
                <w:szCs w:val="20"/>
              </w:rPr>
            </w:pPr>
            <w:r w:rsidRPr="00F65705">
              <w:rPr>
                <w:sz w:val="20"/>
                <w:szCs w:val="20"/>
              </w:rPr>
              <w:t>$26,176</w:t>
            </w:r>
          </w:p>
        </w:tc>
        <w:tc>
          <w:tcPr>
            <w:tcW w:w="1325" w:type="dxa"/>
            <w:tcBorders>
              <w:top w:val="nil"/>
              <w:left w:val="nil"/>
              <w:bottom w:val="dotted" w:sz="4" w:space="0" w:color="808080"/>
              <w:right w:val="dotted" w:sz="4" w:space="0" w:color="808080"/>
            </w:tcBorders>
            <w:shd w:val="clear" w:color="auto" w:fill="auto"/>
            <w:noWrap/>
            <w:hideMark/>
          </w:tcPr>
          <w:p w14:paraId="3113E4E9" w14:textId="77777777" w:rsidR="00865C8A" w:rsidRPr="00F65705" w:rsidRDefault="00865C8A" w:rsidP="00DC62CD">
            <w:pPr>
              <w:pStyle w:val="TableParagraph"/>
              <w:ind w:firstLine="11"/>
              <w:rPr>
                <w:rFonts w:cstheme="minorHAnsi"/>
                <w:sz w:val="20"/>
                <w:szCs w:val="20"/>
              </w:rPr>
            </w:pPr>
            <w:r w:rsidRPr="00F65705">
              <w:rPr>
                <w:sz w:val="20"/>
                <w:szCs w:val="20"/>
              </w:rPr>
              <w:t>$4,245</w:t>
            </w:r>
          </w:p>
        </w:tc>
        <w:tc>
          <w:tcPr>
            <w:tcW w:w="1325" w:type="dxa"/>
            <w:tcBorders>
              <w:top w:val="dotted" w:sz="4" w:space="0" w:color="808080"/>
              <w:left w:val="nil"/>
              <w:bottom w:val="dotted" w:sz="4" w:space="0" w:color="808080"/>
              <w:right w:val="single" w:sz="4" w:space="0" w:color="808080"/>
            </w:tcBorders>
            <w:shd w:val="clear" w:color="auto" w:fill="auto"/>
            <w:noWrap/>
            <w:hideMark/>
          </w:tcPr>
          <w:p w14:paraId="63419D21" w14:textId="77777777" w:rsidR="00865C8A" w:rsidRPr="00F65705" w:rsidRDefault="00865C8A" w:rsidP="00DC62CD">
            <w:pPr>
              <w:pStyle w:val="TableParagraph"/>
              <w:ind w:firstLine="11"/>
              <w:rPr>
                <w:rFonts w:cstheme="minorHAnsi"/>
                <w:sz w:val="20"/>
                <w:szCs w:val="20"/>
              </w:rPr>
            </w:pPr>
            <w:r w:rsidRPr="00F65705">
              <w:rPr>
                <w:sz w:val="20"/>
                <w:szCs w:val="20"/>
              </w:rPr>
              <w:t>$2,523</w:t>
            </w:r>
          </w:p>
        </w:tc>
        <w:tc>
          <w:tcPr>
            <w:tcW w:w="1325" w:type="dxa"/>
            <w:tcBorders>
              <w:top w:val="nil"/>
              <w:left w:val="nil"/>
              <w:bottom w:val="dotted" w:sz="4" w:space="0" w:color="808080"/>
              <w:right w:val="single" w:sz="4" w:space="0" w:color="808080"/>
            </w:tcBorders>
            <w:shd w:val="clear" w:color="auto" w:fill="auto"/>
            <w:noWrap/>
            <w:hideMark/>
          </w:tcPr>
          <w:p w14:paraId="6735D6B3" w14:textId="77777777" w:rsidR="00865C8A" w:rsidRPr="00F65705" w:rsidRDefault="00865C8A" w:rsidP="00DC62CD">
            <w:pPr>
              <w:pStyle w:val="TableParagraph"/>
              <w:ind w:firstLine="11"/>
              <w:rPr>
                <w:rFonts w:cstheme="minorHAnsi"/>
                <w:sz w:val="20"/>
                <w:szCs w:val="20"/>
              </w:rPr>
            </w:pPr>
            <w:r w:rsidRPr="00F65705">
              <w:rPr>
                <w:sz w:val="20"/>
                <w:szCs w:val="20"/>
              </w:rPr>
              <w:t>$32,944</w:t>
            </w:r>
          </w:p>
        </w:tc>
      </w:tr>
      <w:tr w:rsidR="00F65705" w:rsidRPr="00F65705" w14:paraId="208FF1E1"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hideMark/>
          </w:tcPr>
          <w:p w14:paraId="50458298"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lastRenderedPageBreak/>
              <w:t>Resubmission - Standard re-entry</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15AFD8D0" w14:textId="77777777" w:rsidR="00865C8A" w:rsidRPr="00F65705" w:rsidRDefault="00865C8A" w:rsidP="00DC62CD">
            <w:pPr>
              <w:pStyle w:val="TableParagraph"/>
              <w:ind w:firstLine="11"/>
              <w:rPr>
                <w:rFonts w:cstheme="minorHAnsi"/>
                <w:sz w:val="20"/>
                <w:szCs w:val="20"/>
              </w:rPr>
            </w:pPr>
            <w:r w:rsidRPr="00F65705">
              <w:rPr>
                <w:sz w:val="20"/>
                <w:szCs w:val="20"/>
              </w:rPr>
              <w:t>$180,672</w:t>
            </w:r>
          </w:p>
        </w:tc>
        <w:tc>
          <w:tcPr>
            <w:tcW w:w="1325" w:type="dxa"/>
            <w:tcBorders>
              <w:top w:val="nil"/>
              <w:left w:val="nil"/>
              <w:bottom w:val="dotted" w:sz="4" w:space="0" w:color="808080"/>
              <w:right w:val="dotted" w:sz="4" w:space="0" w:color="808080"/>
            </w:tcBorders>
            <w:shd w:val="clear" w:color="auto" w:fill="auto"/>
            <w:noWrap/>
            <w:hideMark/>
          </w:tcPr>
          <w:p w14:paraId="161D6401" w14:textId="77777777" w:rsidR="00865C8A" w:rsidRPr="00F65705" w:rsidRDefault="00865C8A" w:rsidP="00DC62CD">
            <w:pPr>
              <w:pStyle w:val="TableParagraph"/>
              <w:ind w:firstLine="11"/>
              <w:rPr>
                <w:rFonts w:cstheme="minorHAnsi"/>
                <w:sz w:val="20"/>
                <w:szCs w:val="20"/>
              </w:rPr>
            </w:pPr>
            <w:r w:rsidRPr="00F65705">
              <w:rPr>
                <w:sz w:val="20"/>
                <w:szCs w:val="20"/>
              </w:rPr>
              <w:t>$9,243</w:t>
            </w:r>
          </w:p>
        </w:tc>
        <w:tc>
          <w:tcPr>
            <w:tcW w:w="1325" w:type="dxa"/>
            <w:tcBorders>
              <w:top w:val="dotted" w:sz="4" w:space="0" w:color="808080"/>
              <w:left w:val="nil"/>
              <w:bottom w:val="dotted" w:sz="4" w:space="0" w:color="808080"/>
              <w:right w:val="single" w:sz="4" w:space="0" w:color="808080"/>
            </w:tcBorders>
            <w:shd w:val="clear" w:color="auto" w:fill="auto"/>
            <w:noWrap/>
            <w:hideMark/>
          </w:tcPr>
          <w:p w14:paraId="009235EF" w14:textId="77777777" w:rsidR="00865C8A" w:rsidRPr="00F65705" w:rsidRDefault="00865C8A" w:rsidP="00DC62CD">
            <w:pPr>
              <w:pStyle w:val="TableParagraph"/>
              <w:ind w:firstLine="11"/>
              <w:rPr>
                <w:rFonts w:cstheme="minorHAnsi"/>
                <w:sz w:val="20"/>
                <w:szCs w:val="20"/>
              </w:rPr>
            </w:pPr>
            <w:r w:rsidRPr="00F65705">
              <w:rPr>
                <w:sz w:val="20"/>
                <w:szCs w:val="20"/>
              </w:rPr>
              <w:t>$5,472</w:t>
            </w:r>
          </w:p>
        </w:tc>
        <w:tc>
          <w:tcPr>
            <w:tcW w:w="1325" w:type="dxa"/>
            <w:tcBorders>
              <w:top w:val="nil"/>
              <w:left w:val="nil"/>
              <w:bottom w:val="dotted" w:sz="4" w:space="0" w:color="808080"/>
              <w:right w:val="single" w:sz="4" w:space="0" w:color="808080"/>
            </w:tcBorders>
            <w:shd w:val="clear" w:color="auto" w:fill="auto"/>
            <w:noWrap/>
            <w:hideMark/>
          </w:tcPr>
          <w:p w14:paraId="042BD4D0" w14:textId="77777777" w:rsidR="00865C8A" w:rsidRPr="00F65705" w:rsidRDefault="00865C8A" w:rsidP="00DC62CD">
            <w:pPr>
              <w:pStyle w:val="TableParagraph"/>
              <w:ind w:firstLine="11"/>
              <w:rPr>
                <w:rFonts w:cstheme="minorHAnsi"/>
                <w:sz w:val="20"/>
                <w:szCs w:val="20"/>
              </w:rPr>
            </w:pPr>
            <w:r w:rsidRPr="00F65705">
              <w:rPr>
                <w:sz w:val="20"/>
                <w:szCs w:val="20"/>
              </w:rPr>
              <w:t>$195,387</w:t>
            </w:r>
          </w:p>
        </w:tc>
      </w:tr>
      <w:tr w:rsidR="00F65705" w:rsidRPr="00F65705" w14:paraId="25C9AC7C"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hideMark/>
          </w:tcPr>
          <w:p w14:paraId="4D3EFA32"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Resubmission - Facilitated resolution pathway</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04112639" w14:textId="77777777" w:rsidR="00865C8A" w:rsidRPr="00F65705" w:rsidRDefault="00865C8A" w:rsidP="00DC62CD">
            <w:pPr>
              <w:pStyle w:val="TableParagraph"/>
              <w:ind w:firstLine="11"/>
              <w:rPr>
                <w:rFonts w:cstheme="minorHAnsi"/>
                <w:sz w:val="20"/>
                <w:szCs w:val="20"/>
              </w:rPr>
            </w:pPr>
            <w:r w:rsidRPr="00F65705">
              <w:rPr>
                <w:sz w:val="20"/>
                <w:szCs w:val="20"/>
              </w:rPr>
              <w:t>$251,823</w:t>
            </w:r>
          </w:p>
        </w:tc>
        <w:tc>
          <w:tcPr>
            <w:tcW w:w="1325" w:type="dxa"/>
            <w:tcBorders>
              <w:top w:val="nil"/>
              <w:left w:val="nil"/>
              <w:bottom w:val="dotted" w:sz="4" w:space="0" w:color="808080"/>
              <w:right w:val="dotted" w:sz="4" w:space="0" w:color="808080"/>
            </w:tcBorders>
            <w:shd w:val="clear" w:color="auto" w:fill="auto"/>
            <w:noWrap/>
            <w:hideMark/>
          </w:tcPr>
          <w:p w14:paraId="20F4109B" w14:textId="77777777" w:rsidR="00865C8A" w:rsidRPr="00F65705" w:rsidRDefault="00865C8A" w:rsidP="00DC62CD">
            <w:pPr>
              <w:pStyle w:val="TableParagraph"/>
              <w:ind w:firstLine="11"/>
              <w:rPr>
                <w:rFonts w:cstheme="minorHAnsi"/>
                <w:sz w:val="20"/>
                <w:szCs w:val="20"/>
              </w:rPr>
            </w:pPr>
            <w:r w:rsidRPr="00F65705">
              <w:rPr>
                <w:sz w:val="20"/>
                <w:szCs w:val="20"/>
              </w:rPr>
              <w:t>$10,849</w:t>
            </w:r>
          </w:p>
        </w:tc>
        <w:tc>
          <w:tcPr>
            <w:tcW w:w="1325" w:type="dxa"/>
            <w:tcBorders>
              <w:top w:val="dotted" w:sz="4" w:space="0" w:color="808080"/>
              <w:left w:val="nil"/>
              <w:bottom w:val="dotted" w:sz="4" w:space="0" w:color="808080"/>
              <w:right w:val="single" w:sz="4" w:space="0" w:color="808080"/>
            </w:tcBorders>
            <w:shd w:val="clear" w:color="auto" w:fill="auto"/>
            <w:noWrap/>
            <w:hideMark/>
          </w:tcPr>
          <w:p w14:paraId="4E2DD11E" w14:textId="77777777" w:rsidR="00865C8A" w:rsidRPr="00F65705" w:rsidRDefault="00865C8A" w:rsidP="00DC62CD">
            <w:pPr>
              <w:pStyle w:val="TableParagraph"/>
              <w:ind w:firstLine="11"/>
              <w:rPr>
                <w:rFonts w:cstheme="minorHAnsi"/>
                <w:sz w:val="20"/>
                <w:szCs w:val="20"/>
              </w:rPr>
            </w:pPr>
            <w:r w:rsidRPr="00F65705">
              <w:rPr>
                <w:sz w:val="20"/>
                <w:szCs w:val="20"/>
              </w:rPr>
              <w:t>$6,345</w:t>
            </w:r>
          </w:p>
        </w:tc>
        <w:tc>
          <w:tcPr>
            <w:tcW w:w="1325" w:type="dxa"/>
            <w:tcBorders>
              <w:top w:val="nil"/>
              <w:left w:val="nil"/>
              <w:bottom w:val="dotted" w:sz="4" w:space="0" w:color="808080"/>
              <w:right w:val="single" w:sz="4" w:space="0" w:color="808080"/>
            </w:tcBorders>
            <w:shd w:val="clear" w:color="auto" w:fill="auto"/>
            <w:noWrap/>
            <w:hideMark/>
          </w:tcPr>
          <w:p w14:paraId="4EBC3853" w14:textId="77777777" w:rsidR="00865C8A" w:rsidRPr="00F65705" w:rsidRDefault="00865C8A" w:rsidP="00DC62CD">
            <w:pPr>
              <w:pStyle w:val="TableParagraph"/>
              <w:ind w:firstLine="11"/>
              <w:rPr>
                <w:rFonts w:cstheme="minorHAnsi"/>
                <w:sz w:val="20"/>
                <w:szCs w:val="20"/>
              </w:rPr>
            </w:pPr>
            <w:r w:rsidRPr="00F65705">
              <w:rPr>
                <w:sz w:val="20"/>
                <w:szCs w:val="20"/>
              </w:rPr>
              <w:t>$269,017</w:t>
            </w:r>
          </w:p>
        </w:tc>
      </w:tr>
      <w:tr w:rsidR="00F65705" w:rsidRPr="00F65705" w14:paraId="10714FAD"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hideMark/>
          </w:tcPr>
          <w:p w14:paraId="44EACCD7"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Resubmission - Early resolution</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7EC12BFE" w14:textId="77777777" w:rsidR="00865C8A" w:rsidRPr="00F65705" w:rsidRDefault="00865C8A" w:rsidP="00DC62CD">
            <w:pPr>
              <w:pStyle w:val="TableParagraph"/>
              <w:ind w:firstLine="11"/>
              <w:rPr>
                <w:rFonts w:cstheme="minorHAnsi"/>
                <w:sz w:val="20"/>
                <w:szCs w:val="20"/>
              </w:rPr>
            </w:pPr>
            <w:r w:rsidRPr="00F65705">
              <w:rPr>
                <w:sz w:val="20"/>
                <w:szCs w:val="20"/>
              </w:rPr>
              <w:t>$33,825</w:t>
            </w:r>
          </w:p>
        </w:tc>
        <w:tc>
          <w:tcPr>
            <w:tcW w:w="1325" w:type="dxa"/>
            <w:tcBorders>
              <w:top w:val="nil"/>
              <w:left w:val="nil"/>
              <w:bottom w:val="dotted" w:sz="4" w:space="0" w:color="808080"/>
              <w:right w:val="dotted" w:sz="4" w:space="0" w:color="808080"/>
            </w:tcBorders>
            <w:shd w:val="clear" w:color="auto" w:fill="auto"/>
            <w:noWrap/>
            <w:hideMark/>
          </w:tcPr>
          <w:p w14:paraId="53C1B1F3" w14:textId="77777777" w:rsidR="00865C8A" w:rsidRPr="00F65705" w:rsidRDefault="00865C8A" w:rsidP="00DC62CD">
            <w:pPr>
              <w:pStyle w:val="TableParagraph"/>
              <w:ind w:firstLine="11"/>
              <w:rPr>
                <w:rFonts w:cstheme="minorHAnsi"/>
                <w:sz w:val="20"/>
                <w:szCs w:val="20"/>
              </w:rPr>
            </w:pPr>
            <w:r w:rsidRPr="00F65705">
              <w:rPr>
                <w:sz w:val="20"/>
                <w:szCs w:val="20"/>
              </w:rPr>
              <w:t>$4,626</w:t>
            </w:r>
          </w:p>
        </w:tc>
        <w:tc>
          <w:tcPr>
            <w:tcW w:w="1325" w:type="dxa"/>
            <w:tcBorders>
              <w:top w:val="dotted" w:sz="4" w:space="0" w:color="808080"/>
              <w:left w:val="nil"/>
              <w:bottom w:val="dotted" w:sz="4" w:space="0" w:color="808080"/>
              <w:right w:val="single" w:sz="4" w:space="0" w:color="808080"/>
            </w:tcBorders>
            <w:shd w:val="clear" w:color="auto" w:fill="auto"/>
            <w:noWrap/>
            <w:hideMark/>
          </w:tcPr>
          <w:p w14:paraId="48D488B9" w14:textId="77777777" w:rsidR="00865C8A" w:rsidRPr="00F65705" w:rsidRDefault="00865C8A" w:rsidP="00DC62CD">
            <w:pPr>
              <w:pStyle w:val="TableParagraph"/>
              <w:ind w:firstLine="11"/>
              <w:rPr>
                <w:rFonts w:cstheme="minorHAnsi"/>
                <w:sz w:val="20"/>
                <w:szCs w:val="20"/>
              </w:rPr>
            </w:pPr>
            <w:r w:rsidRPr="00F65705">
              <w:rPr>
                <w:sz w:val="20"/>
                <w:szCs w:val="20"/>
              </w:rPr>
              <w:t>$2,735</w:t>
            </w:r>
          </w:p>
        </w:tc>
        <w:tc>
          <w:tcPr>
            <w:tcW w:w="1325" w:type="dxa"/>
            <w:tcBorders>
              <w:top w:val="nil"/>
              <w:left w:val="nil"/>
              <w:bottom w:val="dotted" w:sz="4" w:space="0" w:color="808080"/>
              <w:right w:val="single" w:sz="4" w:space="0" w:color="808080"/>
            </w:tcBorders>
            <w:shd w:val="clear" w:color="auto" w:fill="auto"/>
            <w:noWrap/>
            <w:hideMark/>
          </w:tcPr>
          <w:p w14:paraId="1C8E0C0F" w14:textId="77777777" w:rsidR="00865C8A" w:rsidRPr="00F65705" w:rsidRDefault="00865C8A" w:rsidP="00DC62CD">
            <w:pPr>
              <w:pStyle w:val="TableParagraph"/>
              <w:ind w:firstLine="11"/>
              <w:rPr>
                <w:rFonts w:cstheme="minorHAnsi"/>
                <w:sz w:val="20"/>
                <w:szCs w:val="20"/>
              </w:rPr>
            </w:pPr>
            <w:r w:rsidRPr="00F65705">
              <w:rPr>
                <w:sz w:val="20"/>
                <w:szCs w:val="20"/>
              </w:rPr>
              <w:t>$41,186</w:t>
            </w:r>
          </w:p>
        </w:tc>
      </w:tr>
      <w:tr w:rsidR="00F65705" w:rsidRPr="00F65705" w14:paraId="02F7AEE2"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hideMark/>
          </w:tcPr>
          <w:p w14:paraId="660A6A79"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Resubmission - Early re-entry</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38A3A0DD" w14:textId="77777777" w:rsidR="00865C8A" w:rsidRPr="00F65705" w:rsidRDefault="00865C8A" w:rsidP="00DC62CD">
            <w:pPr>
              <w:pStyle w:val="TableParagraph"/>
              <w:ind w:firstLine="11"/>
              <w:rPr>
                <w:rFonts w:cstheme="minorHAnsi"/>
                <w:sz w:val="20"/>
                <w:szCs w:val="20"/>
              </w:rPr>
            </w:pPr>
            <w:r w:rsidRPr="00F65705">
              <w:rPr>
                <w:sz w:val="20"/>
                <w:szCs w:val="20"/>
              </w:rPr>
              <w:t>$33,713</w:t>
            </w:r>
          </w:p>
        </w:tc>
        <w:tc>
          <w:tcPr>
            <w:tcW w:w="1325" w:type="dxa"/>
            <w:tcBorders>
              <w:top w:val="nil"/>
              <w:left w:val="nil"/>
              <w:bottom w:val="dotted" w:sz="4" w:space="0" w:color="808080"/>
              <w:right w:val="dotted" w:sz="4" w:space="0" w:color="808080"/>
            </w:tcBorders>
            <w:shd w:val="clear" w:color="auto" w:fill="auto"/>
            <w:noWrap/>
            <w:hideMark/>
          </w:tcPr>
          <w:p w14:paraId="785F1041" w14:textId="77777777" w:rsidR="00865C8A" w:rsidRPr="00F65705" w:rsidRDefault="00865C8A" w:rsidP="00DC62CD">
            <w:pPr>
              <w:pStyle w:val="TableParagraph"/>
              <w:ind w:firstLine="11"/>
              <w:rPr>
                <w:rFonts w:cstheme="minorHAnsi"/>
                <w:sz w:val="20"/>
                <w:szCs w:val="20"/>
              </w:rPr>
            </w:pPr>
            <w:r w:rsidRPr="00F65705">
              <w:rPr>
                <w:sz w:val="20"/>
                <w:szCs w:val="20"/>
              </w:rPr>
              <w:t>$4,606</w:t>
            </w:r>
          </w:p>
        </w:tc>
        <w:tc>
          <w:tcPr>
            <w:tcW w:w="1325" w:type="dxa"/>
            <w:tcBorders>
              <w:top w:val="dotted" w:sz="4" w:space="0" w:color="808080"/>
              <w:left w:val="nil"/>
              <w:bottom w:val="dotted" w:sz="4" w:space="0" w:color="808080"/>
              <w:right w:val="single" w:sz="4" w:space="0" w:color="808080"/>
            </w:tcBorders>
            <w:shd w:val="clear" w:color="auto" w:fill="auto"/>
            <w:noWrap/>
            <w:hideMark/>
          </w:tcPr>
          <w:p w14:paraId="71FF82E0" w14:textId="77777777" w:rsidR="00865C8A" w:rsidRPr="00F65705" w:rsidRDefault="00865C8A" w:rsidP="00DC62CD">
            <w:pPr>
              <w:pStyle w:val="TableParagraph"/>
              <w:ind w:firstLine="11"/>
              <w:rPr>
                <w:rFonts w:cstheme="minorHAnsi"/>
                <w:sz w:val="20"/>
                <w:szCs w:val="20"/>
              </w:rPr>
            </w:pPr>
            <w:r w:rsidRPr="00F65705">
              <w:rPr>
                <w:sz w:val="20"/>
                <w:szCs w:val="20"/>
              </w:rPr>
              <w:t>$2,723</w:t>
            </w:r>
          </w:p>
        </w:tc>
        <w:tc>
          <w:tcPr>
            <w:tcW w:w="1325" w:type="dxa"/>
            <w:tcBorders>
              <w:top w:val="nil"/>
              <w:left w:val="nil"/>
              <w:bottom w:val="dotted" w:sz="4" w:space="0" w:color="808080"/>
              <w:right w:val="single" w:sz="4" w:space="0" w:color="808080"/>
            </w:tcBorders>
            <w:shd w:val="clear" w:color="auto" w:fill="auto"/>
            <w:noWrap/>
            <w:hideMark/>
          </w:tcPr>
          <w:p w14:paraId="724CAF8D" w14:textId="77777777" w:rsidR="00865C8A" w:rsidRPr="00F65705" w:rsidRDefault="00865C8A" w:rsidP="00DC62CD">
            <w:pPr>
              <w:pStyle w:val="TableParagraph"/>
              <w:ind w:firstLine="11"/>
              <w:rPr>
                <w:rFonts w:cstheme="minorHAnsi"/>
                <w:sz w:val="20"/>
                <w:szCs w:val="20"/>
              </w:rPr>
            </w:pPr>
            <w:r w:rsidRPr="00F65705">
              <w:rPr>
                <w:sz w:val="20"/>
                <w:szCs w:val="20"/>
              </w:rPr>
              <w:t>$41,042</w:t>
            </w:r>
          </w:p>
        </w:tc>
      </w:tr>
      <w:tr w:rsidR="00F65705" w:rsidRPr="00F65705" w14:paraId="7D746CD1" w14:textId="77777777" w:rsidTr="00DC62CD">
        <w:trPr>
          <w:trHeight w:val="70"/>
        </w:trPr>
        <w:tc>
          <w:tcPr>
            <w:tcW w:w="4371" w:type="dxa"/>
            <w:tcBorders>
              <w:top w:val="nil"/>
              <w:left w:val="single" w:sz="4" w:space="0" w:color="808080"/>
              <w:bottom w:val="dotted" w:sz="4" w:space="0" w:color="808080"/>
              <w:right w:val="nil"/>
            </w:tcBorders>
            <w:shd w:val="clear" w:color="auto" w:fill="auto"/>
            <w:noWrap/>
            <w:vAlign w:val="center"/>
            <w:hideMark/>
          </w:tcPr>
          <w:p w14:paraId="72FCD4E9"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Secretariat Submission</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6880F36B" w14:textId="77777777" w:rsidR="00865C8A" w:rsidRPr="00F65705" w:rsidRDefault="00865C8A" w:rsidP="00DC62CD">
            <w:pPr>
              <w:pStyle w:val="TableParagraph"/>
              <w:ind w:firstLine="11"/>
              <w:rPr>
                <w:rFonts w:cstheme="minorHAnsi"/>
                <w:sz w:val="20"/>
                <w:szCs w:val="20"/>
              </w:rPr>
            </w:pPr>
            <w:r w:rsidRPr="00F65705">
              <w:rPr>
                <w:sz w:val="20"/>
                <w:szCs w:val="20"/>
              </w:rPr>
              <w:t>$8,888</w:t>
            </w:r>
          </w:p>
        </w:tc>
        <w:tc>
          <w:tcPr>
            <w:tcW w:w="1325" w:type="dxa"/>
            <w:tcBorders>
              <w:top w:val="nil"/>
              <w:left w:val="nil"/>
              <w:bottom w:val="dotted" w:sz="4" w:space="0" w:color="808080"/>
              <w:right w:val="dotted" w:sz="4" w:space="0" w:color="808080"/>
            </w:tcBorders>
            <w:shd w:val="clear" w:color="auto" w:fill="auto"/>
            <w:noWrap/>
            <w:hideMark/>
          </w:tcPr>
          <w:p w14:paraId="36073BB2" w14:textId="77777777" w:rsidR="00865C8A" w:rsidRPr="00F65705" w:rsidRDefault="00865C8A" w:rsidP="00DC62CD">
            <w:pPr>
              <w:pStyle w:val="TableParagraph"/>
              <w:ind w:firstLine="11"/>
              <w:rPr>
                <w:rFonts w:cstheme="minorHAnsi"/>
                <w:sz w:val="20"/>
                <w:szCs w:val="20"/>
              </w:rPr>
            </w:pPr>
            <w:r w:rsidRPr="00F65705">
              <w:rPr>
                <w:sz w:val="20"/>
                <w:szCs w:val="20"/>
              </w:rPr>
              <w:t>$1,679</w:t>
            </w:r>
          </w:p>
        </w:tc>
        <w:tc>
          <w:tcPr>
            <w:tcW w:w="1325" w:type="dxa"/>
            <w:tcBorders>
              <w:top w:val="dotted" w:sz="4" w:space="0" w:color="808080"/>
              <w:left w:val="nil"/>
              <w:bottom w:val="dotted" w:sz="4" w:space="0" w:color="808080"/>
              <w:right w:val="single" w:sz="4" w:space="0" w:color="808080"/>
            </w:tcBorders>
            <w:shd w:val="clear" w:color="auto" w:fill="auto"/>
            <w:noWrap/>
            <w:hideMark/>
          </w:tcPr>
          <w:p w14:paraId="4E89DDC0" w14:textId="77777777" w:rsidR="00865C8A" w:rsidRPr="00F65705" w:rsidRDefault="00865C8A" w:rsidP="00DC62CD">
            <w:pPr>
              <w:pStyle w:val="TableParagraph"/>
              <w:ind w:firstLine="11"/>
              <w:rPr>
                <w:rFonts w:cstheme="minorHAnsi"/>
                <w:sz w:val="20"/>
                <w:szCs w:val="20"/>
              </w:rPr>
            </w:pPr>
            <w:r w:rsidRPr="00F65705">
              <w:rPr>
                <w:sz w:val="20"/>
                <w:szCs w:val="20"/>
              </w:rPr>
              <w:t>$995</w:t>
            </w:r>
          </w:p>
        </w:tc>
        <w:tc>
          <w:tcPr>
            <w:tcW w:w="1325" w:type="dxa"/>
            <w:tcBorders>
              <w:top w:val="nil"/>
              <w:left w:val="nil"/>
              <w:bottom w:val="dotted" w:sz="4" w:space="0" w:color="808080"/>
              <w:right w:val="single" w:sz="4" w:space="0" w:color="808080"/>
            </w:tcBorders>
            <w:shd w:val="clear" w:color="auto" w:fill="auto"/>
            <w:noWrap/>
            <w:hideMark/>
          </w:tcPr>
          <w:p w14:paraId="1A0CF089" w14:textId="77777777" w:rsidR="00865C8A" w:rsidRPr="00F65705" w:rsidRDefault="00865C8A" w:rsidP="00DC62CD">
            <w:pPr>
              <w:pStyle w:val="TableParagraph"/>
              <w:ind w:firstLine="11"/>
              <w:rPr>
                <w:rFonts w:cstheme="minorHAnsi"/>
                <w:sz w:val="20"/>
                <w:szCs w:val="20"/>
              </w:rPr>
            </w:pPr>
            <w:r w:rsidRPr="00F65705">
              <w:rPr>
                <w:sz w:val="20"/>
                <w:szCs w:val="20"/>
              </w:rPr>
              <w:t>$11,563</w:t>
            </w:r>
          </w:p>
        </w:tc>
      </w:tr>
      <w:tr w:rsidR="00F65705" w:rsidRPr="00F65705" w14:paraId="11B09C37" w14:textId="77777777" w:rsidTr="00DC62CD">
        <w:trPr>
          <w:trHeight w:val="301"/>
        </w:trPr>
        <w:tc>
          <w:tcPr>
            <w:tcW w:w="4371" w:type="dxa"/>
            <w:tcBorders>
              <w:top w:val="nil"/>
              <w:left w:val="single" w:sz="4" w:space="0" w:color="808080"/>
              <w:bottom w:val="single" w:sz="4" w:space="0" w:color="808080"/>
              <w:right w:val="nil"/>
            </w:tcBorders>
            <w:shd w:val="clear" w:color="auto" w:fill="auto"/>
            <w:noWrap/>
            <w:vAlign w:val="center"/>
            <w:hideMark/>
          </w:tcPr>
          <w:p w14:paraId="767F7ED7"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Generic Submission</w:t>
            </w:r>
          </w:p>
        </w:tc>
        <w:tc>
          <w:tcPr>
            <w:tcW w:w="1325" w:type="dxa"/>
            <w:tcBorders>
              <w:top w:val="nil"/>
              <w:left w:val="single" w:sz="4" w:space="0" w:color="808080"/>
              <w:bottom w:val="single" w:sz="4" w:space="0" w:color="808080"/>
              <w:right w:val="dotted" w:sz="4" w:space="0" w:color="808080"/>
            </w:tcBorders>
            <w:shd w:val="clear" w:color="auto" w:fill="auto"/>
            <w:noWrap/>
            <w:hideMark/>
          </w:tcPr>
          <w:p w14:paraId="1431F41F" w14:textId="77777777" w:rsidR="00865C8A" w:rsidRPr="00F65705" w:rsidRDefault="00865C8A" w:rsidP="00DC62CD">
            <w:pPr>
              <w:pStyle w:val="TableParagraph"/>
              <w:ind w:firstLine="11"/>
              <w:rPr>
                <w:rFonts w:cstheme="minorHAnsi"/>
                <w:sz w:val="20"/>
                <w:szCs w:val="20"/>
              </w:rPr>
            </w:pPr>
            <w:r w:rsidRPr="00F65705">
              <w:rPr>
                <w:sz w:val="20"/>
                <w:szCs w:val="20"/>
              </w:rPr>
              <w:t>$4,947</w:t>
            </w:r>
          </w:p>
        </w:tc>
        <w:tc>
          <w:tcPr>
            <w:tcW w:w="1325" w:type="dxa"/>
            <w:tcBorders>
              <w:top w:val="nil"/>
              <w:left w:val="nil"/>
              <w:bottom w:val="single" w:sz="4" w:space="0" w:color="808080"/>
              <w:right w:val="dotted" w:sz="4" w:space="0" w:color="808080"/>
            </w:tcBorders>
            <w:shd w:val="clear" w:color="auto" w:fill="auto"/>
            <w:noWrap/>
            <w:hideMark/>
          </w:tcPr>
          <w:p w14:paraId="5B6F0008" w14:textId="77777777" w:rsidR="00865C8A" w:rsidRPr="00F65705" w:rsidRDefault="00865C8A" w:rsidP="00DC62CD">
            <w:pPr>
              <w:pStyle w:val="TableParagraph"/>
              <w:ind w:firstLine="11"/>
              <w:rPr>
                <w:rFonts w:cstheme="minorHAnsi"/>
                <w:sz w:val="20"/>
                <w:szCs w:val="20"/>
              </w:rPr>
            </w:pPr>
            <w:r w:rsidRPr="00F65705">
              <w:rPr>
                <w:sz w:val="20"/>
                <w:szCs w:val="20"/>
              </w:rPr>
              <w:t>$918</w:t>
            </w:r>
          </w:p>
        </w:tc>
        <w:tc>
          <w:tcPr>
            <w:tcW w:w="1325" w:type="dxa"/>
            <w:tcBorders>
              <w:top w:val="dotted" w:sz="4" w:space="0" w:color="808080"/>
              <w:left w:val="nil"/>
              <w:bottom w:val="single" w:sz="4" w:space="0" w:color="808080"/>
              <w:right w:val="single" w:sz="4" w:space="0" w:color="808080"/>
            </w:tcBorders>
            <w:shd w:val="clear" w:color="auto" w:fill="auto"/>
            <w:noWrap/>
            <w:hideMark/>
          </w:tcPr>
          <w:p w14:paraId="4C612AA4" w14:textId="77777777" w:rsidR="00865C8A" w:rsidRPr="00F65705" w:rsidRDefault="00865C8A" w:rsidP="00DC62CD">
            <w:pPr>
              <w:pStyle w:val="TableParagraph"/>
              <w:ind w:firstLine="11"/>
              <w:rPr>
                <w:rFonts w:cstheme="minorHAnsi"/>
                <w:sz w:val="20"/>
                <w:szCs w:val="20"/>
              </w:rPr>
            </w:pPr>
            <w:r w:rsidRPr="00F65705">
              <w:rPr>
                <w:sz w:val="20"/>
                <w:szCs w:val="20"/>
              </w:rPr>
              <w:t>$542</w:t>
            </w:r>
          </w:p>
        </w:tc>
        <w:tc>
          <w:tcPr>
            <w:tcW w:w="1325" w:type="dxa"/>
            <w:tcBorders>
              <w:top w:val="nil"/>
              <w:left w:val="nil"/>
              <w:bottom w:val="single" w:sz="4" w:space="0" w:color="808080"/>
              <w:right w:val="single" w:sz="4" w:space="0" w:color="808080"/>
            </w:tcBorders>
            <w:shd w:val="clear" w:color="auto" w:fill="auto"/>
            <w:noWrap/>
            <w:hideMark/>
          </w:tcPr>
          <w:p w14:paraId="46ADB975" w14:textId="77777777" w:rsidR="00865C8A" w:rsidRPr="00F65705" w:rsidRDefault="00865C8A" w:rsidP="00DC62CD">
            <w:pPr>
              <w:pStyle w:val="TableParagraph"/>
              <w:ind w:firstLine="11"/>
              <w:rPr>
                <w:rFonts w:cstheme="minorHAnsi"/>
                <w:sz w:val="20"/>
                <w:szCs w:val="20"/>
              </w:rPr>
            </w:pPr>
            <w:r w:rsidRPr="00F65705">
              <w:rPr>
                <w:sz w:val="20"/>
                <w:szCs w:val="20"/>
              </w:rPr>
              <w:t>$6,407</w:t>
            </w:r>
          </w:p>
        </w:tc>
      </w:tr>
      <w:tr w:rsidR="00F65705" w:rsidRPr="00F65705" w14:paraId="620619E1" w14:textId="77777777" w:rsidTr="00DC62CD">
        <w:trPr>
          <w:trHeight w:val="301"/>
        </w:trPr>
        <w:tc>
          <w:tcPr>
            <w:tcW w:w="4371" w:type="dxa"/>
            <w:tcBorders>
              <w:top w:val="nil"/>
              <w:left w:val="single" w:sz="4" w:space="0" w:color="808080"/>
              <w:bottom w:val="single" w:sz="4" w:space="0" w:color="808080"/>
              <w:right w:val="nil"/>
            </w:tcBorders>
            <w:shd w:val="clear" w:color="auto" w:fill="F2F2F2" w:themeFill="background1" w:themeFillShade="F2"/>
            <w:vAlign w:val="center"/>
            <w:hideMark/>
          </w:tcPr>
          <w:p w14:paraId="3F65B43C" w14:textId="77777777" w:rsidR="00865C8A" w:rsidRPr="00F65705" w:rsidRDefault="00865C8A" w:rsidP="00DC62CD">
            <w:pPr>
              <w:pStyle w:val="TableParagraph"/>
              <w:rPr>
                <w:rFonts w:cstheme="minorHAnsi"/>
                <w:b/>
                <w:bCs/>
                <w:sz w:val="20"/>
                <w:szCs w:val="20"/>
              </w:rPr>
            </w:pPr>
            <w:r w:rsidRPr="00F65705">
              <w:rPr>
                <w:rFonts w:cstheme="minorHAnsi"/>
                <w:b/>
                <w:bCs/>
                <w:sz w:val="20"/>
                <w:szCs w:val="20"/>
              </w:rPr>
              <w:t>PBS Pricing Services</w:t>
            </w:r>
          </w:p>
        </w:tc>
        <w:tc>
          <w:tcPr>
            <w:tcW w:w="1325" w:type="dxa"/>
            <w:tcBorders>
              <w:top w:val="nil"/>
              <w:left w:val="nil"/>
              <w:bottom w:val="single" w:sz="4" w:space="0" w:color="808080"/>
              <w:right w:val="nil"/>
            </w:tcBorders>
            <w:shd w:val="clear" w:color="auto" w:fill="F2F2F2" w:themeFill="background1" w:themeFillShade="F2"/>
          </w:tcPr>
          <w:p w14:paraId="3BC03BDC" w14:textId="77777777" w:rsidR="00865C8A" w:rsidRPr="00F65705" w:rsidRDefault="00865C8A" w:rsidP="00DC62CD">
            <w:pPr>
              <w:pStyle w:val="TableParagraph"/>
              <w:ind w:firstLine="11"/>
              <w:rPr>
                <w:rFonts w:cstheme="minorHAnsi"/>
                <w:sz w:val="20"/>
                <w:szCs w:val="20"/>
              </w:rPr>
            </w:pPr>
          </w:p>
        </w:tc>
        <w:tc>
          <w:tcPr>
            <w:tcW w:w="1325" w:type="dxa"/>
            <w:tcBorders>
              <w:top w:val="nil"/>
              <w:left w:val="nil"/>
              <w:bottom w:val="single" w:sz="4" w:space="0" w:color="808080"/>
              <w:right w:val="nil"/>
            </w:tcBorders>
            <w:shd w:val="clear" w:color="auto" w:fill="F2F2F2" w:themeFill="background1" w:themeFillShade="F2"/>
          </w:tcPr>
          <w:p w14:paraId="58C54D7F" w14:textId="77777777" w:rsidR="00865C8A" w:rsidRPr="00F65705" w:rsidRDefault="00865C8A" w:rsidP="00DC62CD">
            <w:pPr>
              <w:pStyle w:val="TableParagraph"/>
              <w:ind w:firstLine="11"/>
              <w:rPr>
                <w:rFonts w:cstheme="minorHAnsi"/>
                <w:sz w:val="20"/>
                <w:szCs w:val="20"/>
              </w:rPr>
            </w:pPr>
          </w:p>
        </w:tc>
        <w:tc>
          <w:tcPr>
            <w:tcW w:w="1325" w:type="dxa"/>
            <w:tcBorders>
              <w:top w:val="single" w:sz="4" w:space="0" w:color="808080"/>
              <w:left w:val="nil"/>
              <w:bottom w:val="single" w:sz="4" w:space="0" w:color="808080"/>
              <w:right w:val="nil"/>
            </w:tcBorders>
            <w:shd w:val="clear" w:color="auto" w:fill="F2F2F2" w:themeFill="background1" w:themeFillShade="F2"/>
          </w:tcPr>
          <w:p w14:paraId="243AF487" w14:textId="77777777" w:rsidR="00865C8A" w:rsidRPr="00F65705" w:rsidRDefault="00865C8A" w:rsidP="00DC62CD">
            <w:pPr>
              <w:pStyle w:val="TableParagraph"/>
              <w:ind w:firstLine="11"/>
              <w:rPr>
                <w:rFonts w:cstheme="minorHAnsi"/>
                <w:sz w:val="20"/>
                <w:szCs w:val="20"/>
              </w:rPr>
            </w:pPr>
          </w:p>
        </w:tc>
        <w:tc>
          <w:tcPr>
            <w:tcW w:w="1325" w:type="dxa"/>
            <w:tcBorders>
              <w:top w:val="nil"/>
              <w:left w:val="nil"/>
              <w:bottom w:val="single" w:sz="4" w:space="0" w:color="808080"/>
              <w:right w:val="single" w:sz="4" w:space="0" w:color="808080"/>
            </w:tcBorders>
            <w:shd w:val="clear" w:color="auto" w:fill="F2F2F2" w:themeFill="background1" w:themeFillShade="F2"/>
          </w:tcPr>
          <w:p w14:paraId="04C3AE65" w14:textId="77777777" w:rsidR="00865C8A" w:rsidRPr="00F65705" w:rsidRDefault="00865C8A" w:rsidP="00DC62CD">
            <w:pPr>
              <w:pStyle w:val="TableParagraph"/>
              <w:ind w:firstLine="11"/>
              <w:rPr>
                <w:rFonts w:cstheme="minorHAnsi"/>
                <w:sz w:val="20"/>
                <w:szCs w:val="20"/>
              </w:rPr>
            </w:pPr>
          </w:p>
        </w:tc>
      </w:tr>
      <w:tr w:rsidR="00F65705" w:rsidRPr="00F65705" w14:paraId="3DEBFD02"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hideMark/>
          </w:tcPr>
          <w:p w14:paraId="1F1BA7A1" w14:textId="65E9FF63" w:rsidR="00865C8A" w:rsidRPr="00F65705" w:rsidRDefault="00865C8A" w:rsidP="00DC62CD">
            <w:pPr>
              <w:pStyle w:val="TableParagraph"/>
              <w:ind w:firstLine="200"/>
              <w:rPr>
                <w:rFonts w:cstheme="minorHAnsi"/>
                <w:sz w:val="20"/>
                <w:szCs w:val="20"/>
              </w:rPr>
            </w:pPr>
            <w:r w:rsidRPr="00F65705">
              <w:rPr>
                <w:rFonts w:cstheme="minorHAnsi"/>
                <w:sz w:val="20"/>
                <w:szCs w:val="20"/>
              </w:rPr>
              <w:t>Pricing Pathway A</w:t>
            </w:r>
            <w:r w:rsidR="00C622BE" w:rsidRPr="00F65705">
              <w:rPr>
                <w:rStyle w:val="FootnoteReference"/>
                <w:color w:val="auto"/>
              </w:rPr>
              <w:t>6</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02FA8BA2" w14:textId="77777777" w:rsidR="00865C8A" w:rsidRPr="00F65705" w:rsidRDefault="00865C8A" w:rsidP="00DC62CD">
            <w:pPr>
              <w:pStyle w:val="TableParagraph"/>
              <w:ind w:firstLine="11"/>
              <w:rPr>
                <w:rFonts w:cstheme="minorHAnsi"/>
                <w:sz w:val="20"/>
                <w:szCs w:val="20"/>
              </w:rPr>
            </w:pPr>
            <w:r w:rsidRPr="00F65705">
              <w:rPr>
                <w:sz w:val="20"/>
                <w:szCs w:val="20"/>
              </w:rPr>
              <w:t>$111,518</w:t>
            </w:r>
          </w:p>
        </w:tc>
        <w:tc>
          <w:tcPr>
            <w:tcW w:w="1325" w:type="dxa"/>
            <w:tcBorders>
              <w:top w:val="nil"/>
              <w:left w:val="nil"/>
              <w:bottom w:val="dotted" w:sz="4" w:space="0" w:color="808080"/>
              <w:right w:val="dotted" w:sz="4" w:space="0" w:color="808080"/>
            </w:tcBorders>
            <w:shd w:val="clear" w:color="auto" w:fill="auto"/>
            <w:noWrap/>
            <w:hideMark/>
          </w:tcPr>
          <w:p w14:paraId="60CB658B" w14:textId="77777777" w:rsidR="00865C8A" w:rsidRPr="00F65705" w:rsidRDefault="00865C8A" w:rsidP="00DC62CD">
            <w:pPr>
              <w:pStyle w:val="TableParagraph"/>
              <w:ind w:firstLine="11"/>
              <w:rPr>
                <w:rFonts w:cstheme="minorHAnsi"/>
                <w:sz w:val="20"/>
                <w:szCs w:val="20"/>
              </w:rPr>
            </w:pPr>
            <w:r w:rsidRPr="00F65705">
              <w:rPr>
                <w:sz w:val="20"/>
                <w:szCs w:val="20"/>
              </w:rPr>
              <w:t>$17,839</w:t>
            </w:r>
          </w:p>
        </w:tc>
        <w:tc>
          <w:tcPr>
            <w:tcW w:w="1325" w:type="dxa"/>
            <w:tcBorders>
              <w:top w:val="single" w:sz="4" w:space="0" w:color="808080"/>
              <w:left w:val="nil"/>
              <w:bottom w:val="dotted" w:sz="4" w:space="0" w:color="808080"/>
              <w:right w:val="single" w:sz="4" w:space="0" w:color="808080"/>
            </w:tcBorders>
            <w:shd w:val="clear" w:color="auto" w:fill="auto"/>
            <w:noWrap/>
            <w:hideMark/>
          </w:tcPr>
          <w:p w14:paraId="76037F54" w14:textId="77777777" w:rsidR="00865C8A" w:rsidRPr="00F65705" w:rsidRDefault="00865C8A" w:rsidP="00DC62CD">
            <w:pPr>
              <w:pStyle w:val="TableParagraph"/>
              <w:ind w:firstLine="11"/>
              <w:rPr>
                <w:rFonts w:cstheme="minorHAnsi"/>
                <w:sz w:val="20"/>
                <w:szCs w:val="20"/>
              </w:rPr>
            </w:pPr>
            <w:r w:rsidRPr="00F65705">
              <w:rPr>
                <w:sz w:val="20"/>
                <w:szCs w:val="20"/>
              </w:rPr>
              <w:t>$10,498</w:t>
            </w:r>
          </w:p>
        </w:tc>
        <w:tc>
          <w:tcPr>
            <w:tcW w:w="1325" w:type="dxa"/>
            <w:tcBorders>
              <w:top w:val="nil"/>
              <w:left w:val="nil"/>
              <w:bottom w:val="dotted" w:sz="4" w:space="0" w:color="808080"/>
              <w:right w:val="single" w:sz="4" w:space="0" w:color="808080"/>
            </w:tcBorders>
            <w:shd w:val="clear" w:color="auto" w:fill="auto"/>
            <w:noWrap/>
            <w:hideMark/>
          </w:tcPr>
          <w:p w14:paraId="7F38B7B1" w14:textId="77777777" w:rsidR="00865C8A" w:rsidRPr="00F65705" w:rsidRDefault="00865C8A" w:rsidP="00DC62CD">
            <w:pPr>
              <w:pStyle w:val="TableParagraph"/>
              <w:ind w:firstLine="11"/>
              <w:rPr>
                <w:rFonts w:cstheme="minorHAnsi"/>
                <w:sz w:val="20"/>
                <w:szCs w:val="20"/>
              </w:rPr>
            </w:pPr>
            <w:r w:rsidRPr="00F65705">
              <w:rPr>
                <w:sz w:val="20"/>
                <w:szCs w:val="20"/>
              </w:rPr>
              <w:t>$139,855</w:t>
            </w:r>
          </w:p>
        </w:tc>
      </w:tr>
      <w:tr w:rsidR="00F65705" w:rsidRPr="00F65705" w14:paraId="6AECA15F"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hideMark/>
          </w:tcPr>
          <w:p w14:paraId="21560B5F" w14:textId="19A609A7" w:rsidR="00865C8A" w:rsidRPr="00F65705" w:rsidRDefault="00865C8A" w:rsidP="00DC62CD">
            <w:pPr>
              <w:pStyle w:val="TableParagraph"/>
              <w:ind w:firstLine="200"/>
              <w:rPr>
                <w:rFonts w:cstheme="minorHAnsi"/>
                <w:sz w:val="20"/>
                <w:szCs w:val="20"/>
              </w:rPr>
            </w:pPr>
            <w:r w:rsidRPr="00F65705">
              <w:rPr>
                <w:rFonts w:cstheme="minorHAnsi"/>
                <w:sz w:val="20"/>
                <w:szCs w:val="20"/>
              </w:rPr>
              <w:t xml:space="preserve">Pricing Pathway </w:t>
            </w:r>
            <w:r w:rsidR="003E5921" w:rsidRPr="00F65705">
              <w:rPr>
                <w:rFonts w:cstheme="minorHAnsi"/>
                <w:sz w:val="20"/>
                <w:szCs w:val="20"/>
              </w:rPr>
              <w:t>B</w:t>
            </w:r>
            <w:r w:rsidR="003E5921" w:rsidRPr="00F65705">
              <w:rPr>
                <w:rFonts w:cstheme="minorHAnsi"/>
                <w:sz w:val="20"/>
                <w:szCs w:val="20"/>
                <w:vertAlign w:val="superscript"/>
              </w:rPr>
              <w:t>6</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7CFF0696" w14:textId="77777777" w:rsidR="00865C8A" w:rsidRPr="00F65705" w:rsidRDefault="00865C8A" w:rsidP="00DC62CD">
            <w:pPr>
              <w:pStyle w:val="TableParagraph"/>
              <w:ind w:firstLine="11"/>
              <w:rPr>
                <w:rFonts w:cstheme="minorHAnsi"/>
                <w:sz w:val="20"/>
                <w:szCs w:val="20"/>
              </w:rPr>
            </w:pPr>
            <w:r w:rsidRPr="00F65705">
              <w:rPr>
                <w:sz w:val="20"/>
                <w:szCs w:val="20"/>
              </w:rPr>
              <w:t>$88,927</w:t>
            </w:r>
          </w:p>
        </w:tc>
        <w:tc>
          <w:tcPr>
            <w:tcW w:w="1325" w:type="dxa"/>
            <w:tcBorders>
              <w:top w:val="nil"/>
              <w:left w:val="nil"/>
              <w:bottom w:val="dotted" w:sz="4" w:space="0" w:color="808080"/>
              <w:right w:val="dotted" w:sz="4" w:space="0" w:color="808080"/>
            </w:tcBorders>
            <w:shd w:val="clear" w:color="auto" w:fill="auto"/>
            <w:noWrap/>
            <w:hideMark/>
          </w:tcPr>
          <w:p w14:paraId="5EACA8D8" w14:textId="77777777" w:rsidR="00865C8A" w:rsidRPr="00F65705" w:rsidRDefault="00865C8A" w:rsidP="00DC62CD">
            <w:pPr>
              <w:pStyle w:val="TableParagraph"/>
              <w:ind w:firstLine="11"/>
              <w:rPr>
                <w:rFonts w:cstheme="minorHAnsi"/>
                <w:sz w:val="20"/>
                <w:szCs w:val="20"/>
              </w:rPr>
            </w:pPr>
            <w:r w:rsidRPr="00F65705">
              <w:rPr>
                <w:sz w:val="20"/>
                <w:szCs w:val="20"/>
              </w:rPr>
              <w:t>$13,753</w:t>
            </w:r>
          </w:p>
        </w:tc>
        <w:tc>
          <w:tcPr>
            <w:tcW w:w="1325" w:type="dxa"/>
            <w:tcBorders>
              <w:top w:val="dotted" w:sz="4" w:space="0" w:color="808080"/>
              <w:left w:val="nil"/>
              <w:bottom w:val="dotted" w:sz="4" w:space="0" w:color="808080"/>
              <w:right w:val="single" w:sz="4" w:space="0" w:color="808080"/>
            </w:tcBorders>
            <w:shd w:val="clear" w:color="auto" w:fill="auto"/>
            <w:noWrap/>
            <w:hideMark/>
          </w:tcPr>
          <w:p w14:paraId="20D64628" w14:textId="77777777" w:rsidR="00865C8A" w:rsidRPr="00F65705" w:rsidRDefault="00865C8A" w:rsidP="00DC62CD">
            <w:pPr>
              <w:pStyle w:val="TableParagraph"/>
              <w:ind w:firstLine="11"/>
              <w:rPr>
                <w:rFonts w:cstheme="minorHAnsi"/>
                <w:sz w:val="20"/>
                <w:szCs w:val="20"/>
              </w:rPr>
            </w:pPr>
            <w:r w:rsidRPr="00F65705">
              <w:rPr>
                <w:sz w:val="20"/>
                <w:szCs w:val="20"/>
              </w:rPr>
              <w:t>$8,087</w:t>
            </w:r>
          </w:p>
        </w:tc>
        <w:tc>
          <w:tcPr>
            <w:tcW w:w="1325" w:type="dxa"/>
            <w:tcBorders>
              <w:top w:val="nil"/>
              <w:left w:val="nil"/>
              <w:bottom w:val="dotted" w:sz="4" w:space="0" w:color="808080"/>
              <w:right w:val="single" w:sz="4" w:space="0" w:color="808080"/>
            </w:tcBorders>
            <w:shd w:val="clear" w:color="auto" w:fill="auto"/>
            <w:noWrap/>
            <w:hideMark/>
          </w:tcPr>
          <w:p w14:paraId="574E1E48" w14:textId="77777777" w:rsidR="00865C8A" w:rsidRPr="00F65705" w:rsidRDefault="00865C8A" w:rsidP="00DC62CD">
            <w:pPr>
              <w:pStyle w:val="TableParagraph"/>
              <w:ind w:firstLine="11"/>
              <w:rPr>
                <w:rFonts w:cstheme="minorHAnsi"/>
                <w:sz w:val="20"/>
                <w:szCs w:val="20"/>
              </w:rPr>
            </w:pPr>
            <w:r w:rsidRPr="00F65705">
              <w:rPr>
                <w:sz w:val="20"/>
                <w:szCs w:val="20"/>
              </w:rPr>
              <w:t>$110,767</w:t>
            </w:r>
          </w:p>
        </w:tc>
      </w:tr>
      <w:tr w:rsidR="00F65705" w:rsidRPr="00F65705" w14:paraId="411570F3"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hideMark/>
          </w:tcPr>
          <w:p w14:paraId="12F7A4F6" w14:textId="01DAAF4E" w:rsidR="00865C8A" w:rsidRPr="00F65705" w:rsidRDefault="00865C8A" w:rsidP="00DC62CD">
            <w:pPr>
              <w:pStyle w:val="TableParagraph"/>
              <w:ind w:firstLine="200"/>
              <w:rPr>
                <w:rFonts w:cstheme="minorHAnsi"/>
                <w:sz w:val="20"/>
                <w:szCs w:val="20"/>
              </w:rPr>
            </w:pPr>
            <w:r w:rsidRPr="00F65705">
              <w:rPr>
                <w:rFonts w:cstheme="minorHAnsi"/>
                <w:sz w:val="20"/>
                <w:szCs w:val="20"/>
              </w:rPr>
              <w:t xml:space="preserve">Pricing Pathway </w:t>
            </w:r>
            <w:r w:rsidR="003E5921" w:rsidRPr="00F65705">
              <w:rPr>
                <w:rFonts w:cstheme="minorHAnsi"/>
                <w:sz w:val="20"/>
                <w:szCs w:val="20"/>
              </w:rPr>
              <w:t>C</w:t>
            </w:r>
            <w:r w:rsidR="003E5921" w:rsidRPr="00F65705">
              <w:rPr>
                <w:rFonts w:cstheme="minorHAnsi"/>
                <w:sz w:val="20"/>
                <w:szCs w:val="20"/>
                <w:vertAlign w:val="superscript"/>
              </w:rPr>
              <w:t>6</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41803720" w14:textId="77777777" w:rsidR="00865C8A" w:rsidRPr="00F65705" w:rsidRDefault="00865C8A" w:rsidP="00DC62CD">
            <w:pPr>
              <w:pStyle w:val="TableParagraph"/>
              <w:ind w:firstLine="11"/>
              <w:rPr>
                <w:rFonts w:cstheme="minorHAnsi"/>
                <w:sz w:val="20"/>
                <w:szCs w:val="20"/>
              </w:rPr>
            </w:pPr>
            <w:r w:rsidRPr="00F65705">
              <w:rPr>
                <w:sz w:val="20"/>
                <w:szCs w:val="20"/>
              </w:rPr>
              <w:t>$59,679</w:t>
            </w:r>
          </w:p>
        </w:tc>
        <w:tc>
          <w:tcPr>
            <w:tcW w:w="1325" w:type="dxa"/>
            <w:tcBorders>
              <w:top w:val="nil"/>
              <w:left w:val="nil"/>
              <w:bottom w:val="dotted" w:sz="4" w:space="0" w:color="808080"/>
              <w:right w:val="dotted" w:sz="4" w:space="0" w:color="808080"/>
            </w:tcBorders>
            <w:shd w:val="clear" w:color="auto" w:fill="auto"/>
            <w:noWrap/>
            <w:hideMark/>
          </w:tcPr>
          <w:p w14:paraId="6ECFA495" w14:textId="77777777" w:rsidR="00865C8A" w:rsidRPr="00F65705" w:rsidRDefault="00865C8A" w:rsidP="00DC62CD">
            <w:pPr>
              <w:pStyle w:val="TableParagraph"/>
              <w:ind w:firstLine="11"/>
              <w:rPr>
                <w:rFonts w:cstheme="minorHAnsi"/>
                <w:sz w:val="20"/>
                <w:szCs w:val="20"/>
              </w:rPr>
            </w:pPr>
            <w:r w:rsidRPr="00F65705">
              <w:rPr>
                <w:sz w:val="20"/>
                <w:szCs w:val="20"/>
              </w:rPr>
              <w:t>$8,604</w:t>
            </w:r>
          </w:p>
        </w:tc>
        <w:tc>
          <w:tcPr>
            <w:tcW w:w="1325" w:type="dxa"/>
            <w:tcBorders>
              <w:top w:val="dotted" w:sz="4" w:space="0" w:color="808080"/>
              <w:left w:val="nil"/>
              <w:bottom w:val="dotted" w:sz="4" w:space="0" w:color="808080"/>
              <w:right w:val="single" w:sz="4" w:space="0" w:color="808080"/>
            </w:tcBorders>
            <w:shd w:val="clear" w:color="auto" w:fill="auto"/>
            <w:noWrap/>
            <w:hideMark/>
          </w:tcPr>
          <w:p w14:paraId="2EE9DFCA" w14:textId="77777777" w:rsidR="00865C8A" w:rsidRPr="00F65705" w:rsidRDefault="00865C8A" w:rsidP="00DC62CD">
            <w:pPr>
              <w:pStyle w:val="TableParagraph"/>
              <w:ind w:firstLine="11"/>
              <w:rPr>
                <w:rFonts w:cstheme="minorHAnsi"/>
                <w:sz w:val="20"/>
                <w:szCs w:val="20"/>
              </w:rPr>
            </w:pPr>
            <w:r w:rsidRPr="00F65705">
              <w:rPr>
                <w:sz w:val="20"/>
                <w:szCs w:val="20"/>
              </w:rPr>
              <w:t>$5,069</w:t>
            </w:r>
          </w:p>
        </w:tc>
        <w:tc>
          <w:tcPr>
            <w:tcW w:w="1325" w:type="dxa"/>
            <w:tcBorders>
              <w:top w:val="nil"/>
              <w:left w:val="nil"/>
              <w:bottom w:val="dotted" w:sz="4" w:space="0" w:color="808080"/>
              <w:right w:val="single" w:sz="4" w:space="0" w:color="808080"/>
            </w:tcBorders>
            <w:shd w:val="clear" w:color="auto" w:fill="auto"/>
            <w:noWrap/>
            <w:hideMark/>
          </w:tcPr>
          <w:p w14:paraId="5D3B255E" w14:textId="77777777" w:rsidR="00865C8A" w:rsidRPr="00F65705" w:rsidRDefault="00865C8A" w:rsidP="00DC62CD">
            <w:pPr>
              <w:pStyle w:val="TableParagraph"/>
              <w:ind w:firstLine="11"/>
              <w:rPr>
                <w:rFonts w:cstheme="minorHAnsi"/>
                <w:sz w:val="20"/>
                <w:szCs w:val="20"/>
              </w:rPr>
            </w:pPr>
            <w:r w:rsidRPr="00F65705">
              <w:rPr>
                <w:sz w:val="20"/>
                <w:szCs w:val="20"/>
              </w:rPr>
              <w:t>$73,352</w:t>
            </w:r>
          </w:p>
        </w:tc>
      </w:tr>
      <w:tr w:rsidR="00F65705" w:rsidRPr="00F65705" w14:paraId="54049242"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hideMark/>
          </w:tcPr>
          <w:p w14:paraId="6E9AE008"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Pricing Pathway D</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4691973B" w14:textId="77777777" w:rsidR="00865C8A" w:rsidRPr="00F65705" w:rsidRDefault="00865C8A" w:rsidP="00DC62CD">
            <w:pPr>
              <w:pStyle w:val="TableParagraph"/>
              <w:ind w:firstLine="11"/>
              <w:rPr>
                <w:rFonts w:cstheme="minorHAnsi"/>
                <w:sz w:val="20"/>
                <w:szCs w:val="20"/>
              </w:rPr>
            </w:pPr>
            <w:r w:rsidRPr="00F65705">
              <w:rPr>
                <w:sz w:val="20"/>
                <w:szCs w:val="20"/>
              </w:rPr>
              <w:t>$15,252</w:t>
            </w:r>
          </w:p>
        </w:tc>
        <w:tc>
          <w:tcPr>
            <w:tcW w:w="1325" w:type="dxa"/>
            <w:tcBorders>
              <w:top w:val="nil"/>
              <w:left w:val="nil"/>
              <w:bottom w:val="dotted" w:sz="4" w:space="0" w:color="808080"/>
              <w:right w:val="dotted" w:sz="4" w:space="0" w:color="808080"/>
            </w:tcBorders>
            <w:shd w:val="clear" w:color="auto" w:fill="auto"/>
            <w:noWrap/>
            <w:hideMark/>
          </w:tcPr>
          <w:p w14:paraId="5A6383E1" w14:textId="77777777" w:rsidR="00865C8A" w:rsidRPr="00F65705" w:rsidRDefault="00865C8A" w:rsidP="00DC62CD">
            <w:pPr>
              <w:pStyle w:val="TableParagraph"/>
              <w:ind w:firstLine="11"/>
              <w:rPr>
                <w:rFonts w:cstheme="minorHAnsi"/>
                <w:sz w:val="20"/>
                <w:szCs w:val="20"/>
              </w:rPr>
            </w:pPr>
            <w:r w:rsidRPr="00F65705">
              <w:rPr>
                <w:sz w:val="20"/>
                <w:szCs w:val="20"/>
              </w:rPr>
              <w:t>$2,749</w:t>
            </w:r>
          </w:p>
        </w:tc>
        <w:tc>
          <w:tcPr>
            <w:tcW w:w="1325" w:type="dxa"/>
            <w:tcBorders>
              <w:top w:val="dotted" w:sz="4" w:space="0" w:color="808080"/>
              <w:left w:val="nil"/>
              <w:bottom w:val="dotted" w:sz="4" w:space="0" w:color="808080"/>
              <w:right w:val="single" w:sz="4" w:space="0" w:color="808080"/>
            </w:tcBorders>
            <w:shd w:val="clear" w:color="auto" w:fill="auto"/>
            <w:noWrap/>
            <w:hideMark/>
          </w:tcPr>
          <w:p w14:paraId="36C73996" w14:textId="77777777" w:rsidR="00865C8A" w:rsidRPr="00F65705" w:rsidRDefault="00865C8A" w:rsidP="00DC62CD">
            <w:pPr>
              <w:pStyle w:val="TableParagraph"/>
              <w:ind w:firstLine="11"/>
              <w:rPr>
                <w:rFonts w:cstheme="minorHAnsi"/>
                <w:sz w:val="20"/>
                <w:szCs w:val="20"/>
              </w:rPr>
            </w:pPr>
            <w:r w:rsidRPr="00F65705">
              <w:rPr>
                <w:sz w:val="20"/>
                <w:szCs w:val="20"/>
              </w:rPr>
              <w:t>$1,620</w:t>
            </w:r>
          </w:p>
        </w:tc>
        <w:tc>
          <w:tcPr>
            <w:tcW w:w="1325" w:type="dxa"/>
            <w:tcBorders>
              <w:top w:val="nil"/>
              <w:left w:val="nil"/>
              <w:bottom w:val="dotted" w:sz="4" w:space="0" w:color="808080"/>
              <w:right w:val="single" w:sz="4" w:space="0" w:color="808080"/>
            </w:tcBorders>
            <w:shd w:val="clear" w:color="auto" w:fill="auto"/>
            <w:noWrap/>
            <w:hideMark/>
          </w:tcPr>
          <w:p w14:paraId="13F90A15" w14:textId="77777777" w:rsidR="00865C8A" w:rsidRPr="00F65705" w:rsidRDefault="00865C8A" w:rsidP="00DC62CD">
            <w:pPr>
              <w:pStyle w:val="TableParagraph"/>
              <w:ind w:firstLine="11"/>
              <w:rPr>
                <w:rFonts w:cstheme="minorHAnsi"/>
                <w:sz w:val="20"/>
                <w:szCs w:val="20"/>
              </w:rPr>
            </w:pPr>
            <w:r w:rsidRPr="00F65705">
              <w:rPr>
                <w:sz w:val="20"/>
                <w:szCs w:val="20"/>
              </w:rPr>
              <w:t>$19,620</w:t>
            </w:r>
          </w:p>
        </w:tc>
      </w:tr>
      <w:tr w:rsidR="00F65705" w:rsidRPr="00F65705" w14:paraId="0D5BEDB0" w14:textId="77777777" w:rsidTr="00DC62CD">
        <w:trPr>
          <w:trHeight w:val="301"/>
        </w:trPr>
        <w:tc>
          <w:tcPr>
            <w:tcW w:w="4371" w:type="dxa"/>
            <w:tcBorders>
              <w:top w:val="nil"/>
              <w:left w:val="single" w:sz="4" w:space="0" w:color="808080"/>
              <w:bottom w:val="single" w:sz="4" w:space="0" w:color="808080"/>
              <w:right w:val="nil"/>
            </w:tcBorders>
            <w:shd w:val="clear" w:color="auto" w:fill="auto"/>
            <w:noWrap/>
            <w:vAlign w:val="center"/>
            <w:hideMark/>
          </w:tcPr>
          <w:p w14:paraId="4E6BC485"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Pricing Secretariat</w:t>
            </w:r>
          </w:p>
        </w:tc>
        <w:tc>
          <w:tcPr>
            <w:tcW w:w="1325" w:type="dxa"/>
            <w:tcBorders>
              <w:top w:val="nil"/>
              <w:left w:val="single" w:sz="4" w:space="0" w:color="808080"/>
              <w:bottom w:val="single" w:sz="4" w:space="0" w:color="808080"/>
              <w:right w:val="dotted" w:sz="4" w:space="0" w:color="808080"/>
            </w:tcBorders>
            <w:shd w:val="clear" w:color="auto" w:fill="auto"/>
            <w:noWrap/>
            <w:hideMark/>
          </w:tcPr>
          <w:p w14:paraId="175EF44A" w14:textId="77777777" w:rsidR="00865C8A" w:rsidRPr="00F65705" w:rsidRDefault="00865C8A" w:rsidP="00DC62CD">
            <w:pPr>
              <w:pStyle w:val="TableParagraph"/>
              <w:ind w:firstLine="11"/>
              <w:rPr>
                <w:rFonts w:cstheme="minorHAnsi"/>
                <w:sz w:val="20"/>
                <w:szCs w:val="20"/>
              </w:rPr>
            </w:pPr>
            <w:r w:rsidRPr="00F65705">
              <w:rPr>
                <w:sz w:val="20"/>
                <w:szCs w:val="20"/>
              </w:rPr>
              <w:t>$9,308</w:t>
            </w:r>
          </w:p>
        </w:tc>
        <w:tc>
          <w:tcPr>
            <w:tcW w:w="1325" w:type="dxa"/>
            <w:tcBorders>
              <w:top w:val="nil"/>
              <w:left w:val="nil"/>
              <w:bottom w:val="single" w:sz="4" w:space="0" w:color="808080"/>
              <w:right w:val="dotted" w:sz="4" w:space="0" w:color="808080"/>
            </w:tcBorders>
            <w:shd w:val="clear" w:color="auto" w:fill="auto"/>
            <w:noWrap/>
            <w:hideMark/>
          </w:tcPr>
          <w:p w14:paraId="30CE89C9" w14:textId="77777777" w:rsidR="00865C8A" w:rsidRPr="00F65705" w:rsidRDefault="00865C8A" w:rsidP="00DC62CD">
            <w:pPr>
              <w:pStyle w:val="TableParagraph"/>
              <w:ind w:firstLine="11"/>
              <w:rPr>
                <w:rFonts w:cstheme="minorHAnsi"/>
                <w:sz w:val="20"/>
                <w:szCs w:val="20"/>
              </w:rPr>
            </w:pPr>
            <w:r w:rsidRPr="00F65705">
              <w:rPr>
                <w:sz w:val="20"/>
                <w:szCs w:val="20"/>
              </w:rPr>
              <w:t>$1,691</w:t>
            </w:r>
          </w:p>
        </w:tc>
        <w:tc>
          <w:tcPr>
            <w:tcW w:w="1325" w:type="dxa"/>
            <w:tcBorders>
              <w:top w:val="dotted" w:sz="4" w:space="0" w:color="808080"/>
              <w:left w:val="nil"/>
              <w:bottom w:val="single" w:sz="4" w:space="0" w:color="808080"/>
              <w:right w:val="single" w:sz="4" w:space="0" w:color="808080"/>
            </w:tcBorders>
            <w:shd w:val="clear" w:color="auto" w:fill="auto"/>
            <w:noWrap/>
            <w:hideMark/>
          </w:tcPr>
          <w:p w14:paraId="7E88A1C2" w14:textId="77777777" w:rsidR="00865C8A" w:rsidRPr="00F65705" w:rsidRDefault="00865C8A" w:rsidP="00DC62CD">
            <w:pPr>
              <w:pStyle w:val="TableParagraph"/>
              <w:ind w:firstLine="11"/>
              <w:rPr>
                <w:rFonts w:cstheme="minorHAnsi"/>
                <w:sz w:val="20"/>
                <w:szCs w:val="20"/>
              </w:rPr>
            </w:pPr>
            <w:r w:rsidRPr="00F65705">
              <w:rPr>
                <w:sz w:val="20"/>
                <w:szCs w:val="20"/>
              </w:rPr>
              <w:t>$998</w:t>
            </w:r>
          </w:p>
        </w:tc>
        <w:tc>
          <w:tcPr>
            <w:tcW w:w="1325" w:type="dxa"/>
            <w:tcBorders>
              <w:top w:val="nil"/>
              <w:left w:val="nil"/>
              <w:bottom w:val="single" w:sz="4" w:space="0" w:color="808080"/>
              <w:right w:val="single" w:sz="4" w:space="0" w:color="808080"/>
            </w:tcBorders>
            <w:shd w:val="clear" w:color="auto" w:fill="auto"/>
            <w:noWrap/>
            <w:hideMark/>
          </w:tcPr>
          <w:p w14:paraId="5AB28317" w14:textId="77777777" w:rsidR="00865C8A" w:rsidRPr="00F65705" w:rsidRDefault="00865C8A" w:rsidP="00DC62CD">
            <w:pPr>
              <w:pStyle w:val="TableParagraph"/>
              <w:ind w:firstLine="11"/>
              <w:rPr>
                <w:rFonts w:cstheme="minorHAnsi"/>
                <w:sz w:val="20"/>
                <w:szCs w:val="20"/>
              </w:rPr>
            </w:pPr>
            <w:r w:rsidRPr="00F65705">
              <w:rPr>
                <w:sz w:val="20"/>
                <w:szCs w:val="20"/>
              </w:rPr>
              <w:t>$11,996</w:t>
            </w:r>
          </w:p>
        </w:tc>
      </w:tr>
      <w:tr w:rsidR="00F65705" w:rsidRPr="00F65705" w14:paraId="52B7EDC0" w14:textId="77777777" w:rsidTr="00DC62CD">
        <w:trPr>
          <w:trHeight w:val="301"/>
        </w:trPr>
        <w:tc>
          <w:tcPr>
            <w:tcW w:w="4371" w:type="dxa"/>
            <w:tcBorders>
              <w:top w:val="nil"/>
              <w:left w:val="single" w:sz="4" w:space="0" w:color="808080"/>
              <w:bottom w:val="single" w:sz="4" w:space="0" w:color="808080"/>
              <w:right w:val="nil"/>
            </w:tcBorders>
            <w:shd w:val="clear" w:color="auto" w:fill="F2F2F2" w:themeFill="background1" w:themeFillShade="F2"/>
            <w:vAlign w:val="center"/>
            <w:hideMark/>
          </w:tcPr>
          <w:p w14:paraId="1ABA34BC" w14:textId="77777777" w:rsidR="00865C8A" w:rsidRPr="00F65705" w:rsidRDefault="00865C8A" w:rsidP="00DC62CD">
            <w:pPr>
              <w:pStyle w:val="TableParagraph"/>
              <w:rPr>
                <w:rFonts w:cstheme="minorHAnsi"/>
                <w:b/>
                <w:bCs/>
                <w:sz w:val="20"/>
                <w:szCs w:val="20"/>
              </w:rPr>
            </w:pPr>
            <w:r w:rsidRPr="00F65705">
              <w:rPr>
                <w:rFonts w:cstheme="minorHAnsi"/>
                <w:b/>
                <w:bCs/>
                <w:sz w:val="20"/>
                <w:szCs w:val="20"/>
              </w:rPr>
              <w:t>PBS List Management Services</w:t>
            </w:r>
          </w:p>
        </w:tc>
        <w:tc>
          <w:tcPr>
            <w:tcW w:w="1325" w:type="dxa"/>
            <w:tcBorders>
              <w:top w:val="nil"/>
              <w:left w:val="nil"/>
              <w:bottom w:val="single" w:sz="4" w:space="0" w:color="808080"/>
              <w:right w:val="nil"/>
            </w:tcBorders>
            <w:shd w:val="clear" w:color="auto" w:fill="F2F2F2" w:themeFill="background1" w:themeFillShade="F2"/>
          </w:tcPr>
          <w:p w14:paraId="7485C1D2" w14:textId="77777777" w:rsidR="00865C8A" w:rsidRPr="00F65705" w:rsidRDefault="00865C8A" w:rsidP="00DC62CD">
            <w:pPr>
              <w:pStyle w:val="TableParagraph"/>
              <w:ind w:firstLine="11"/>
              <w:rPr>
                <w:rFonts w:cstheme="minorHAnsi"/>
                <w:sz w:val="20"/>
                <w:szCs w:val="20"/>
              </w:rPr>
            </w:pPr>
          </w:p>
        </w:tc>
        <w:tc>
          <w:tcPr>
            <w:tcW w:w="1325" w:type="dxa"/>
            <w:tcBorders>
              <w:top w:val="nil"/>
              <w:left w:val="nil"/>
              <w:bottom w:val="single" w:sz="4" w:space="0" w:color="808080"/>
              <w:right w:val="nil"/>
            </w:tcBorders>
            <w:shd w:val="clear" w:color="auto" w:fill="F2F2F2" w:themeFill="background1" w:themeFillShade="F2"/>
          </w:tcPr>
          <w:p w14:paraId="4A6997F7" w14:textId="77777777" w:rsidR="00865C8A" w:rsidRPr="00F65705" w:rsidRDefault="00865C8A" w:rsidP="00DC62CD">
            <w:pPr>
              <w:pStyle w:val="TableParagraph"/>
              <w:ind w:firstLine="11"/>
              <w:rPr>
                <w:rFonts w:cstheme="minorHAnsi"/>
                <w:sz w:val="20"/>
                <w:szCs w:val="20"/>
              </w:rPr>
            </w:pPr>
          </w:p>
        </w:tc>
        <w:tc>
          <w:tcPr>
            <w:tcW w:w="1325" w:type="dxa"/>
            <w:tcBorders>
              <w:top w:val="single" w:sz="4" w:space="0" w:color="808080"/>
              <w:left w:val="nil"/>
              <w:bottom w:val="single" w:sz="4" w:space="0" w:color="808080"/>
              <w:right w:val="nil"/>
            </w:tcBorders>
            <w:shd w:val="clear" w:color="auto" w:fill="F2F2F2" w:themeFill="background1" w:themeFillShade="F2"/>
          </w:tcPr>
          <w:p w14:paraId="4FF7B02D" w14:textId="77777777" w:rsidR="00865C8A" w:rsidRPr="00F65705" w:rsidRDefault="00865C8A" w:rsidP="00DC62CD">
            <w:pPr>
              <w:pStyle w:val="TableParagraph"/>
              <w:ind w:firstLine="11"/>
              <w:rPr>
                <w:rFonts w:cstheme="minorHAnsi"/>
                <w:sz w:val="20"/>
                <w:szCs w:val="20"/>
              </w:rPr>
            </w:pPr>
          </w:p>
        </w:tc>
        <w:tc>
          <w:tcPr>
            <w:tcW w:w="1325" w:type="dxa"/>
            <w:tcBorders>
              <w:top w:val="nil"/>
              <w:left w:val="nil"/>
              <w:bottom w:val="single" w:sz="4" w:space="0" w:color="808080"/>
              <w:right w:val="single" w:sz="4" w:space="0" w:color="808080"/>
            </w:tcBorders>
            <w:shd w:val="clear" w:color="auto" w:fill="F2F2F2" w:themeFill="background1" w:themeFillShade="F2"/>
          </w:tcPr>
          <w:p w14:paraId="6C2E9931" w14:textId="77777777" w:rsidR="00865C8A" w:rsidRPr="00F65705" w:rsidRDefault="00865C8A" w:rsidP="00DC62CD">
            <w:pPr>
              <w:pStyle w:val="TableParagraph"/>
              <w:ind w:firstLine="11"/>
              <w:rPr>
                <w:rFonts w:cstheme="minorHAnsi"/>
                <w:sz w:val="20"/>
                <w:szCs w:val="20"/>
              </w:rPr>
            </w:pPr>
          </w:p>
        </w:tc>
      </w:tr>
      <w:tr w:rsidR="00F65705" w:rsidRPr="00F65705" w14:paraId="3514C1CC" w14:textId="77777777" w:rsidTr="00DC62CD">
        <w:trPr>
          <w:trHeight w:val="301"/>
        </w:trPr>
        <w:tc>
          <w:tcPr>
            <w:tcW w:w="4371" w:type="dxa"/>
            <w:tcBorders>
              <w:top w:val="dotted" w:sz="4" w:space="0" w:color="808080"/>
              <w:left w:val="single" w:sz="4" w:space="0" w:color="808080"/>
              <w:bottom w:val="dotted" w:sz="4" w:space="0" w:color="808080"/>
              <w:right w:val="nil"/>
            </w:tcBorders>
            <w:shd w:val="clear" w:color="auto" w:fill="auto"/>
            <w:noWrap/>
            <w:vAlign w:val="center"/>
            <w:hideMark/>
          </w:tcPr>
          <w:p w14:paraId="7528CFD0"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Deed Variation Request</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39B96270" w14:textId="77777777" w:rsidR="00865C8A" w:rsidRPr="00F65705" w:rsidRDefault="00865C8A" w:rsidP="00DC62CD">
            <w:pPr>
              <w:pStyle w:val="TableParagraph"/>
              <w:ind w:firstLine="11"/>
              <w:rPr>
                <w:rFonts w:cstheme="minorHAnsi"/>
                <w:sz w:val="20"/>
                <w:szCs w:val="20"/>
              </w:rPr>
            </w:pPr>
            <w:r w:rsidRPr="00F65705">
              <w:rPr>
                <w:sz w:val="20"/>
                <w:szCs w:val="20"/>
              </w:rPr>
              <w:t>$1,977</w:t>
            </w:r>
          </w:p>
        </w:tc>
        <w:tc>
          <w:tcPr>
            <w:tcW w:w="1325" w:type="dxa"/>
            <w:tcBorders>
              <w:top w:val="nil"/>
              <w:left w:val="nil"/>
              <w:bottom w:val="dotted" w:sz="4" w:space="0" w:color="808080"/>
              <w:right w:val="dotted" w:sz="4" w:space="0" w:color="808080"/>
            </w:tcBorders>
            <w:shd w:val="clear" w:color="auto" w:fill="auto"/>
            <w:noWrap/>
            <w:hideMark/>
          </w:tcPr>
          <w:p w14:paraId="1802308A" w14:textId="77777777" w:rsidR="00865C8A" w:rsidRPr="00F65705" w:rsidRDefault="00865C8A" w:rsidP="00DC62CD">
            <w:pPr>
              <w:pStyle w:val="TableParagraph"/>
              <w:ind w:firstLine="11"/>
              <w:rPr>
                <w:rFonts w:cstheme="minorHAnsi"/>
                <w:sz w:val="20"/>
                <w:szCs w:val="20"/>
              </w:rPr>
            </w:pPr>
            <w:r w:rsidRPr="00F65705">
              <w:rPr>
                <w:sz w:val="20"/>
                <w:szCs w:val="20"/>
              </w:rPr>
              <w:t>$14</w:t>
            </w:r>
          </w:p>
        </w:tc>
        <w:tc>
          <w:tcPr>
            <w:tcW w:w="1325" w:type="dxa"/>
            <w:tcBorders>
              <w:top w:val="single" w:sz="4" w:space="0" w:color="808080"/>
              <w:left w:val="nil"/>
              <w:bottom w:val="dotted" w:sz="4" w:space="0" w:color="808080"/>
              <w:right w:val="single" w:sz="4" w:space="0" w:color="808080"/>
            </w:tcBorders>
            <w:shd w:val="clear" w:color="auto" w:fill="auto"/>
            <w:noWrap/>
            <w:hideMark/>
          </w:tcPr>
          <w:p w14:paraId="270CED69" w14:textId="77777777" w:rsidR="00865C8A" w:rsidRPr="00F65705" w:rsidRDefault="00865C8A" w:rsidP="00DC62CD">
            <w:pPr>
              <w:pStyle w:val="TableParagraph"/>
              <w:ind w:firstLine="11"/>
              <w:rPr>
                <w:rFonts w:cstheme="minorHAnsi"/>
                <w:sz w:val="20"/>
                <w:szCs w:val="20"/>
              </w:rPr>
            </w:pPr>
            <w:r w:rsidRPr="00F65705">
              <w:rPr>
                <w:sz w:val="20"/>
                <w:szCs w:val="20"/>
              </w:rPr>
              <w:t>$0</w:t>
            </w:r>
          </w:p>
        </w:tc>
        <w:tc>
          <w:tcPr>
            <w:tcW w:w="1325" w:type="dxa"/>
            <w:tcBorders>
              <w:top w:val="dotted" w:sz="4" w:space="0" w:color="808080"/>
              <w:left w:val="nil"/>
              <w:bottom w:val="dotted" w:sz="4" w:space="0" w:color="808080"/>
              <w:right w:val="single" w:sz="4" w:space="0" w:color="808080"/>
            </w:tcBorders>
            <w:shd w:val="clear" w:color="auto" w:fill="auto"/>
            <w:noWrap/>
            <w:hideMark/>
          </w:tcPr>
          <w:p w14:paraId="35FC8F5D" w14:textId="77777777" w:rsidR="00865C8A" w:rsidRPr="00F65705" w:rsidRDefault="00865C8A" w:rsidP="00DC62CD">
            <w:pPr>
              <w:pStyle w:val="TableParagraph"/>
              <w:ind w:firstLine="11"/>
              <w:rPr>
                <w:rFonts w:cstheme="minorHAnsi"/>
                <w:sz w:val="20"/>
                <w:szCs w:val="20"/>
              </w:rPr>
            </w:pPr>
            <w:r w:rsidRPr="00F65705">
              <w:rPr>
                <w:sz w:val="20"/>
                <w:szCs w:val="20"/>
              </w:rPr>
              <w:t>$1,991</w:t>
            </w:r>
          </w:p>
        </w:tc>
      </w:tr>
      <w:tr w:rsidR="00F65705" w:rsidRPr="00F65705" w14:paraId="66719EBF"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hideMark/>
          </w:tcPr>
          <w:p w14:paraId="785B6EDF" w14:textId="0AC2D9B0" w:rsidR="00865C8A" w:rsidRPr="00F65705" w:rsidRDefault="00865C8A" w:rsidP="00DC62CD">
            <w:pPr>
              <w:pStyle w:val="TableParagraph"/>
              <w:ind w:firstLine="200"/>
              <w:rPr>
                <w:rFonts w:cstheme="minorHAnsi"/>
                <w:sz w:val="20"/>
                <w:szCs w:val="20"/>
              </w:rPr>
            </w:pPr>
            <w:r w:rsidRPr="00F65705">
              <w:rPr>
                <w:rFonts w:cstheme="minorHAnsi"/>
                <w:sz w:val="20"/>
                <w:szCs w:val="20"/>
              </w:rPr>
              <w:t xml:space="preserve">Deed Renewal </w:t>
            </w:r>
            <w:r w:rsidR="003E5921" w:rsidRPr="00F65705">
              <w:rPr>
                <w:rFonts w:cstheme="minorHAnsi"/>
                <w:sz w:val="20"/>
                <w:szCs w:val="20"/>
              </w:rPr>
              <w:t>Request</w:t>
            </w:r>
            <w:r w:rsidR="003E5921" w:rsidRPr="00F65705">
              <w:rPr>
                <w:rFonts w:cstheme="minorHAnsi"/>
                <w:sz w:val="20"/>
                <w:szCs w:val="20"/>
                <w:vertAlign w:val="superscript"/>
              </w:rPr>
              <w:t>6</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66B950F4" w14:textId="77777777" w:rsidR="00865C8A" w:rsidRPr="00F65705" w:rsidRDefault="00865C8A" w:rsidP="00DC62CD">
            <w:pPr>
              <w:pStyle w:val="TableParagraph"/>
              <w:ind w:firstLine="11"/>
              <w:rPr>
                <w:rFonts w:cstheme="minorHAnsi"/>
                <w:sz w:val="20"/>
                <w:szCs w:val="20"/>
              </w:rPr>
            </w:pPr>
            <w:r w:rsidRPr="00F65705">
              <w:rPr>
                <w:sz w:val="20"/>
                <w:szCs w:val="20"/>
              </w:rPr>
              <w:t>$10,773</w:t>
            </w:r>
          </w:p>
        </w:tc>
        <w:tc>
          <w:tcPr>
            <w:tcW w:w="1325" w:type="dxa"/>
            <w:tcBorders>
              <w:top w:val="nil"/>
              <w:left w:val="nil"/>
              <w:bottom w:val="dotted" w:sz="4" w:space="0" w:color="808080"/>
              <w:right w:val="dotted" w:sz="4" w:space="0" w:color="808080"/>
            </w:tcBorders>
            <w:shd w:val="clear" w:color="auto" w:fill="auto"/>
            <w:noWrap/>
            <w:hideMark/>
          </w:tcPr>
          <w:p w14:paraId="6E6388DD" w14:textId="77777777" w:rsidR="00865C8A" w:rsidRPr="00F65705" w:rsidRDefault="00865C8A" w:rsidP="00DC62CD">
            <w:pPr>
              <w:pStyle w:val="TableParagraph"/>
              <w:ind w:firstLine="11"/>
              <w:rPr>
                <w:rFonts w:cstheme="minorHAnsi"/>
                <w:sz w:val="20"/>
                <w:szCs w:val="20"/>
              </w:rPr>
            </w:pPr>
            <w:r w:rsidRPr="00F65705">
              <w:rPr>
                <w:sz w:val="20"/>
                <w:szCs w:val="20"/>
              </w:rPr>
              <w:t>$47</w:t>
            </w:r>
          </w:p>
        </w:tc>
        <w:tc>
          <w:tcPr>
            <w:tcW w:w="1325" w:type="dxa"/>
            <w:tcBorders>
              <w:top w:val="dotted" w:sz="4" w:space="0" w:color="808080"/>
              <w:left w:val="nil"/>
              <w:bottom w:val="dotted" w:sz="4" w:space="0" w:color="808080"/>
              <w:right w:val="single" w:sz="4" w:space="0" w:color="808080"/>
            </w:tcBorders>
            <w:shd w:val="clear" w:color="auto" w:fill="auto"/>
            <w:noWrap/>
            <w:hideMark/>
          </w:tcPr>
          <w:p w14:paraId="7B867986" w14:textId="77777777" w:rsidR="00865C8A" w:rsidRPr="00F65705" w:rsidRDefault="00865C8A" w:rsidP="00DC62CD">
            <w:pPr>
              <w:pStyle w:val="TableParagraph"/>
              <w:ind w:firstLine="11"/>
              <w:rPr>
                <w:rFonts w:cstheme="minorHAnsi"/>
                <w:sz w:val="20"/>
                <w:szCs w:val="20"/>
              </w:rPr>
            </w:pPr>
            <w:r w:rsidRPr="00F65705">
              <w:rPr>
                <w:sz w:val="20"/>
                <w:szCs w:val="20"/>
              </w:rPr>
              <w:t>$0</w:t>
            </w:r>
          </w:p>
        </w:tc>
        <w:tc>
          <w:tcPr>
            <w:tcW w:w="1325" w:type="dxa"/>
            <w:tcBorders>
              <w:top w:val="nil"/>
              <w:left w:val="nil"/>
              <w:bottom w:val="dotted" w:sz="4" w:space="0" w:color="808080"/>
              <w:right w:val="single" w:sz="4" w:space="0" w:color="808080"/>
            </w:tcBorders>
            <w:shd w:val="clear" w:color="auto" w:fill="auto"/>
            <w:noWrap/>
            <w:hideMark/>
          </w:tcPr>
          <w:p w14:paraId="70F0F19A" w14:textId="77777777" w:rsidR="00865C8A" w:rsidRPr="00F65705" w:rsidRDefault="00865C8A" w:rsidP="00DC62CD">
            <w:pPr>
              <w:pStyle w:val="TableParagraph"/>
              <w:ind w:firstLine="11"/>
              <w:rPr>
                <w:rFonts w:cstheme="minorHAnsi"/>
                <w:sz w:val="20"/>
                <w:szCs w:val="20"/>
              </w:rPr>
            </w:pPr>
            <w:r w:rsidRPr="00F65705">
              <w:rPr>
                <w:sz w:val="20"/>
                <w:szCs w:val="20"/>
              </w:rPr>
              <w:t>$10,820</w:t>
            </w:r>
          </w:p>
        </w:tc>
      </w:tr>
      <w:tr w:rsidR="00F65705" w:rsidRPr="00F65705" w14:paraId="6666E2FE"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hideMark/>
          </w:tcPr>
          <w:p w14:paraId="2FE404B1"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Price Increases</w:t>
            </w:r>
          </w:p>
        </w:tc>
        <w:tc>
          <w:tcPr>
            <w:tcW w:w="1325" w:type="dxa"/>
            <w:tcBorders>
              <w:top w:val="nil"/>
              <w:left w:val="single" w:sz="4" w:space="0" w:color="808080"/>
              <w:bottom w:val="dotted" w:sz="4" w:space="0" w:color="808080"/>
              <w:right w:val="dotted" w:sz="4" w:space="0" w:color="808080"/>
            </w:tcBorders>
            <w:shd w:val="clear" w:color="auto" w:fill="auto"/>
            <w:noWrap/>
            <w:hideMark/>
          </w:tcPr>
          <w:p w14:paraId="5994C514" w14:textId="77777777" w:rsidR="00865C8A" w:rsidRPr="00F65705" w:rsidRDefault="00865C8A" w:rsidP="00DC62CD">
            <w:pPr>
              <w:pStyle w:val="TableParagraph"/>
              <w:ind w:firstLine="11"/>
              <w:rPr>
                <w:rFonts w:cstheme="minorHAnsi"/>
                <w:sz w:val="20"/>
                <w:szCs w:val="20"/>
              </w:rPr>
            </w:pPr>
            <w:r w:rsidRPr="00F65705">
              <w:rPr>
                <w:sz w:val="20"/>
                <w:szCs w:val="20"/>
              </w:rPr>
              <w:t>$3,862</w:t>
            </w:r>
          </w:p>
        </w:tc>
        <w:tc>
          <w:tcPr>
            <w:tcW w:w="1325" w:type="dxa"/>
            <w:tcBorders>
              <w:top w:val="nil"/>
              <w:left w:val="nil"/>
              <w:bottom w:val="dotted" w:sz="4" w:space="0" w:color="808080"/>
              <w:right w:val="dotted" w:sz="4" w:space="0" w:color="808080"/>
            </w:tcBorders>
            <w:shd w:val="clear" w:color="auto" w:fill="auto"/>
            <w:noWrap/>
            <w:hideMark/>
          </w:tcPr>
          <w:p w14:paraId="3B5974BF" w14:textId="77777777" w:rsidR="00865C8A" w:rsidRPr="00F65705" w:rsidRDefault="00865C8A" w:rsidP="00DC62CD">
            <w:pPr>
              <w:pStyle w:val="TableParagraph"/>
              <w:ind w:firstLine="11"/>
              <w:rPr>
                <w:rFonts w:cstheme="minorHAnsi"/>
                <w:sz w:val="20"/>
                <w:szCs w:val="20"/>
              </w:rPr>
            </w:pPr>
            <w:r w:rsidRPr="00F65705">
              <w:rPr>
                <w:sz w:val="20"/>
                <w:szCs w:val="20"/>
              </w:rPr>
              <w:t>$702</w:t>
            </w:r>
          </w:p>
        </w:tc>
        <w:tc>
          <w:tcPr>
            <w:tcW w:w="1325" w:type="dxa"/>
            <w:tcBorders>
              <w:top w:val="dotted" w:sz="4" w:space="0" w:color="808080"/>
              <w:left w:val="nil"/>
              <w:bottom w:val="dotted" w:sz="4" w:space="0" w:color="808080"/>
              <w:right w:val="single" w:sz="4" w:space="0" w:color="808080"/>
            </w:tcBorders>
            <w:shd w:val="clear" w:color="auto" w:fill="auto"/>
            <w:noWrap/>
            <w:hideMark/>
          </w:tcPr>
          <w:p w14:paraId="71E08D1D" w14:textId="77777777" w:rsidR="00865C8A" w:rsidRPr="00F65705" w:rsidRDefault="00865C8A" w:rsidP="00DC62CD">
            <w:pPr>
              <w:pStyle w:val="TableParagraph"/>
              <w:ind w:firstLine="11"/>
              <w:rPr>
                <w:rFonts w:cstheme="minorHAnsi"/>
                <w:sz w:val="20"/>
                <w:szCs w:val="20"/>
              </w:rPr>
            </w:pPr>
            <w:r w:rsidRPr="00F65705">
              <w:rPr>
                <w:sz w:val="20"/>
                <w:szCs w:val="20"/>
              </w:rPr>
              <w:t>$413</w:t>
            </w:r>
          </w:p>
        </w:tc>
        <w:tc>
          <w:tcPr>
            <w:tcW w:w="1325" w:type="dxa"/>
            <w:tcBorders>
              <w:top w:val="nil"/>
              <w:left w:val="nil"/>
              <w:bottom w:val="dotted" w:sz="4" w:space="0" w:color="808080"/>
              <w:right w:val="single" w:sz="4" w:space="0" w:color="808080"/>
            </w:tcBorders>
            <w:shd w:val="clear" w:color="auto" w:fill="auto"/>
            <w:noWrap/>
            <w:hideMark/>
          </w:tcPr>
          <w:p w14:paraId="4E92878C" w14:textId="77777777" w:rsidR="00865C8A" w:rsidRPr="00F65705" w:rsidRDefault="00865C8A" w:rsidP="00DC62CD">
            <w:pPr>
              <w:pStyle w:val="TableParagraph"/>
              <w:ind w:firstLine="11"/>
              <w:rPr>
                <w:rFonts w:cstheme="minorHAnsi"/>
                <w:sz w:val="20"/>
                <w:szCs w:val="20"/>
              </w:rPr>
            </w:pPr>
            <w:r w:rsidRPr="00F65705">
              <w:rPr>
                <w:sz w:val="20"/>
                <w:szCs w:val="20"/>
              </w:rPr>
              <w:t>$4,976</w:t>
            </w:r>
          </w:p>
        </w:tc>
      </w:tr>
      <w:tr w:rsidR="00F65705" w:rsidRPr="00F65705" w14:paraId="45305786"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tcPr>
          <w:p w14:paraId="141F2203"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Ministerial Discretion Request</w:t>
            </w:r>
          </w:p>
        </w:tc>
        <w:tc>
          <w:tcPr>
            <w:tcW w:w="1325" w:type="dxa"/>
            <w:tcBorders>
              <w:top w:val="nil"/>
              <w:left w:val="single" w:sz="4" w:space="0" w:color="808080"/>
              <w:bottom w:val="dotted" w:sz="4" w:space="0" w:color="808080"/>
              <w:right w:val="dotted" w:sz="4" w:space="0" w:color="808080"/>
            </w:tcBorders>
            <w:shd w:val="clear" w:color="auto" w:fill="auto"/>
            <w:noWrap/>
          </w:tcPr>
          <w:p w14:paraId="09688A9C" w14:textId="77777777" w:rsidR="00865C8A" w:rsidRPr="00F65705" w:rsidRDefault="00865C8A" w:rsidP="00DC62CD">
            <w:pPr>
              <w:pStyle w:val="TableParagraph"/>
              <w:ind w:firstLine="11"/>
              <w:rPr>
                <w:rFonts w:cstheme="minorHAnsi"/>
                <w:sz w:val="20"/>
                <w:szCs w:val="20"/>
              </w:rPr>
            </w:pPr>
            <w:r w:rsidRPr="00F65705">
              <w:rPr>
                <w:sz w:val="20"/>
                <w:szCs w:val="20"/>
              </w:rPr>
              <w:t>$5,468</w:t>
            </w:r>
          </w:p>
        </w:tc>
        <w:tc>
          <w:tcPr>
            <w:tcW w:w="1325" w:type="dxa"/>
            <w:tcBorders>
              <w:top w:val="nil"/>
              <w:left w:val="nil"/>
              <w:bottom w:val="dotted" w:sz="4" w:space="0" w:color="808080"/>
              <w:right w:val="dotted" w:sz="4" w:space="0" w:color="808080"/>
            </w:tcBorders>
            <w:shd w:val="clear" w:color="auto" w:fill="auto"/>
            <w:noWrap/>
          </w:tcPr>
          <w:p w14:paraId="0A9A3B06" w14:textId="77777777" w:rsidR="00865C8A" w:rsidRPr="00F65705" w:rsidRDefault="00865C8A" w:rsidP="00DC62CD">
            <w:pPr>
              <w:pStyle w:val="TableParagraph"/>
              <w:ind w:firstLine="11"/>
              <w:rPr>
                <w:rFonts w:cstheme="minorHAnsi"/>
                <w:sz w:val="20"/>
                <w:szCs w:val="20"/>
              </w:rPr>
            </w:pPr>
            <w:r w:rsidRPr="00F65705">
              <w:rPr>
                <w:sz w:val="20"/>
                <w:szCs w:val="20"/>
              </w:rPr>
              <w:t>$917</w:t>
            </w:r>
          </w:p>
        </w:tc>
        <w:tc>
          <w:tcPr>
            <w:tcW w:w="1325" w:type="dxa"/>
            <w:tcBorders>
              <w:top w:val="dotted" w:sz="4" w:space="0" w:color="808080"/>
              <w:left w:val="nil"/>
              <w:bottom w:val="dotted" w:sz="4" w:space="0" w:color="808080"/>
              <w:right w:val="single" w:sz="4" w:space="0" w:color="808080"/>
            </w:tcBorders>
            <w:shd w:val="clear" w:color="auto" w:fill="auto"/>
            <w:noWrap/>
          </w:tcPr>
          <w:p w14:paraId="59D6F912" w14:textId="77777777" w:rsidR="00865C8A" w:rsidRPr="00F65705" w:rsidRDefault="00865C8A" w:rsidP="00DC62CD">
            <w:pPr>
              <w:pStyle w:val="TableParagraph"/>
              <w:ind w:firstLine="11"/>
              <w:rPr>
                <w:rFonts w:cstheme="minorHAnsi"/>
                <w:sz w:val="20"/>
                <w:szCs w:val="20"/>
              </w:rPr>
            </w:pPr>
            <w:r w:rsidRPr="00F65705">
              <w:rPr>
                <w:sz w:val="20"/>
                <w:szCs w:val="20"/>
              </w:rPr>
              <w:t>$529</w:t>
            </w:r>
          </w:p>
        </w:tc>
        <w:tc>
          <w:tcPr>
            <w:tcW w:w="1325" w:type="dxa"/>
            <w:tcBorders>
              <w:top w:val="nil"/>
              <w:left w:val="nil"/>
              <w:bottom w:val="dotted" w:sz="4" w:space="0" w:color="808080"/>
              <w:right w:val="single" w:sz="4" w:space="0" w:color="808080"/>
            </w:tcBorders>
            <w:shd w:val="clear" w:color="auto" w:fill="auto"/>
            <w:noWrap/>
          </w:tcPr>
          <w:p w14:paraId="271E019B" w14:textId="77777777" w:rsidR="00865C8A" w:rsidRPr="00F65705" w:rsidRDefault="00865C8A" w:rsidP="00DC62CD">
            <w:pPr>
              <w:pStyle w:val="TableParagraph"/>
              <w:ind w:firstLine="11"/>
              <w:rPr>
                <w:rFonts w:cstheme="minorHAnsi"/>
                <w:sz w:val="20"/>
                <w:szCs w:val="20"/>
              </w:rPr>
            </w:pPr>
            <w:r w:rsidRPr="00F65705">
              <w:rPr>
                <w:sz w:val="20"/>
                <w:szCs w:val="20"/>
              </w:rPr>
              <w:t>$6,913</w:t>
            </w:r>
          </w:p>
        </w:tc>
      </w:tr>
      <w:tr w:rsidR="00F65705" w:rsidRPr="00F65705" w14:paraId="6C824021" w14:textId="77777777" w:rsidTr="00DC62CD">
        <w:trPr>
          <w:trHeight w:val="301"/>
        </w:trPr>
        <w:tc>
          <w:tcPr>
            <w:tcW w:w="4371" w:type="dxa"/>
            <w:tcBorders>
              <w:top w:val="nil"/>
              <w:left w:val="single" w:sz="4" w:space="0" w:color="808080"/>
              <w:bottom w:val="dotted" w:sz="4" w:space="0" w:color="808080"/>
              <w:right w:val="nil"/>
            </w:tcBorders>
            <w:shd w:val="clear" w:color="auto" w:fill="auto"/>
            <w:noWrap/>
            <w:vAlign w:val="center"/>
          </w:tcPr>
          <w:p w14:paraId="6A9A7CB4"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Ministerial Determination (stockholding) Request</w:t>
            </w:r>
          </w:p>
        </w:tc>
        <w:tc>
          <w:tcPr>
            <w:tcW w:w="1325" w:type="dxa"/>
            <w:tcBorders>
              <w:top w:val="nil"/>
              <w:left w:val="single" w:sz="4" w:space="0" w:color="808080"/>
              <w:bottom w:val="dotted" w:sz="4" w:space="0" w:color="808080"/>
              <w:right w:val="dotted" w:sz="4" w:space="0" w:color="808080"/>
            </w:tcBorders>
            <w:shd w:val="clear" w:color="auto" w:fill="auto"/>
            <w:noWrap/>
          </w:tcPr>
          <w:p w14:paraId="43AEFB1A" w14:textId="77777777" w:rsidR="00865C8A" w:rsidRPr="00F65705" w:rsidRDefault="00865C8A" w:rsidP="00DC62CD">
            <w:pPr>
              <w:pStyle w:val="TableParagraph"/>
              <w:ind w:firstLine="11"/>
              <w:rPr>
                <w:rFonts w:cstheme="minorHAnsi"/>
                <w:sz w:val="20"/>
                <w:szCs w:val="20"/>
              </w:rPr>
            </w:pPr>
            <w:r w:rsidRPr="00F65705">
              <w:rPr>
                <w:sz w:val="20"/>
                <w:szCs w:val="20"/>
              </w:rPr>
              <w:t>$3,859</w:t>
            </w:r>
          </w:p>
        </w:tc>
        <w:tc>
          <w:tcPr>
            <w:tcW w:w="1325" w:type="dxa"/>
            <w:tcBorders>
              <w:top w:val="nil"/>
              <w:left w:val="nil"/>
              <w:bottom w:val="dotted" w:sz="4" w:space="0" w:color="808080"/>
              <w:right w:val="dotted" w:sz="4" w:space="0" w:color="808080"/>
            </w:tcBorders>
            <w:shd w:val="clear" w:color="auto" w:fill="auto"/>
            <w:noWrap/>
          </w:tcPr>
          <w:p w14:paraId="2AE3FBFF" w14:textId="77777777" w:rsidR="00865C8A" w:rsidRPr="00F65705" w:rsidRDefault="00865C8A" w:rsidP="00DC62CD">
            <w:pPr>
              <w:pStyle w:val="TableParagraph"/>
              <w:ind w:firstLine="11"/>
              <w:rPr>
                <w:rFonts w:cstheme="minorHAnsi"/>
                <w:sz w:val="20"/>
                <w:szCs w:val="20"/>
              </w:rPr>
            </w:pPr>
            <w:r w:rsidRPr="00F65705">
              <w:rPr>
                <w:sz w:val="20"/>
                <w:szCs w:val="20"/>
              </w:rPr>
              <w:t>$649</w:t>
            </w:r>
          </w:p>
        </w:tc>
        <w:tc>
          <w:tcPr>
            <w:tcW w:w="1325" w:type="dxa"/>
            <w:tcBorders>
              <w:top w:val="dotted" w:sz="4" w:space="0" w:color="808080"/>
              <w:left w:val="nil"/>
              <w:bottom w:val="dotted" w:sz="4" w:space="0" w:color="808080"/>
              <w:right w:val="single" w:sz="4" w:space="0" w:color="808080"/>
            </w:tcBorders>
            <w:shd w:val="clear" w:color="auto" w:fill="auto"/>
            <w:noWrap/>
          </w:tcPr>
          <w:p w14:paraId="07474087" w14:textId="77777777" w:rsidR="00865C8A" w:rsidRPr="00F65705" w:rsidRDefault="00865C8A" w:rsidP="00DC62CD">
            <w:pPr>
              <w:pStyle w:val="TableParagraph"/>
              <w:ind w:firstLine="11"/>
              <w:rPr>
                <w:rFonts w:cstheme="minorHAnsi"/>
                <w:sz w:val="20"/>
                <w:szCs w:val="20"/>
              </w:rPr>
            </w:pPr>
            <w:r w:rsidRPr="00F65705">
              <w:rPr>
                <w:sz w:val="20"/>
                <w:szCs w:val="20"/>
              </w:rPr>
              <w:t>$374</w:t>
            </w:r>
          </w:p>
        </w:tc>
        <w:tc>
          <w:tcPr>
            <w:tcW w:w="1325" w:type="dxa"/>
            <w:tcBorders>
              <w:top w:val="nil"/>
              <w:left w:val="nil"/>
              <w:bottom w:val="dotted" w:sz="4" w:space="0" w:color="808080"/>
              <w:right w:val="single" w:sz="4" w:space="0" w:color="808080"/>
            </w:tcBorders>
            <w:shd w:val="clear" w:color="auto" w:fill="auto"/>
            <w:noWrap/>
          </w:tcPr>
          <w:p w14:paraId="53833B2E" w14:textId="77777777" w:rsidR="00865C8A" w:rsidRPr="00F65705" w:rsidRDefault="00865C8A" w:rsidP="00DC62CD">
            <w:pPr>
              <w:pStyle w:val="TableParagraph"/>
              <w:ind w:firstLine="11"/>
              <w:rPr>
                <w:rFonts w:cstheme="minorHAnsi"/>
                <w:sz w:val="20"/>
                <w:szCs w:val="20"/>
              </w:rPr>
            </w:pPr>
            <w:r w:rsidRPr="00F65705">
              <w:rPr>
                <w:sz w:val="20"/>
                <w:szCs w:val="20"/>
              </w:rPr>
              <w:t>$4,882</w:t>
            </w:r>
          </w:p>
        </w:tc>
      </w:tr>
      <w:tr w:rsidR="00F65705" w:rsidRPr="00F65705" w14:paraId="5928EB8F" w14:textId="77777777" w:rsidTr="00DC62CD">
        <w:trPr>
          <w:trHeight w:val="301"/>
        </w:trPr>
        <w:tc>
          <w:tcPr>
            <w:tcW w:w="4371" w:type="dxa"/>
            <w:tcBorders>
              <w:top w:val="nil"/>
              <w:left w:val="single" w:sz="4" w:space="0" w:color="808080"/>
              <w:bottom w:val="single" w:sz="4" w:space="0" w:color="808080"/>
              <w:right w:val="nil"/>
            </w:tcBorders>
            <w:shd w:val="clear" w:color="auto" w:fill="auto"/>
            <w:noWrap/>
            <w:vAlign w:val="center"/>
            <w:hideMark/>
          </w:tcPr>
          <w:p w14:paraId="5BE32BD2" w14:textId="77777777" w:rsidR="00865C8A" w:rsidRPr="00F65705" w:rsidRDefault="00865C8A" w:rsidP="00DC62CD">
            <w:pPr>
              <w:pStyle w:val="TableParagraph"/>
              <w:ind w:firstLine="200"/>
              <w:rPr>
                <w:rFonts w:cstheme="minorHAnsi"/>
                <w:sz w:val="20"/>
                <w:szCs w:val="20"/>
              </w:rPr>
            </w:pPr>
            <w:r w:rsidRPr="00F65705">
              <w:rPr>
                <w:rFonts w:cstheme="minorHAnsi"/>
                <w:sz w:val="20"/>
                <w:szCs w:val="20"/>
              </w:rPr>
              <w:t xml:space="preserve">Rebate Management Fee </w:t>
            </w:r>
          </w:p>
        </w:tc>
        <w:tc>
          <w:tcPr>
            <w:tcW w:w="1325" w:type="dxa"/>
            <w:tcBorders>
              <w:top w:val="nil"/>
              <w:left w:val="single" w:sz="4" w:space="0" w:color="808080"/>
              <w:bottom w:val="single" w:sz="4" w:space="0" w:color="808080"/>
              <w:right w:val="dotted" w:sz="4" w:space="0" w:color="808080"/>
            </w:tcBorders>
            <w:shd w:val="clear" w:color="auto" w:fill="auto"/>
            <w:noWrap/>
          </w:tcPr>
          <w:p w14:paraId="3514FE9E" w14:textId="77777777" w:rsidR="00865C8A" w:rsidRPr="00F65705" w:rsidRDefault="00865C8A" w:rsidP="00DC62CD">
            <w:pPr>
              <w:pStyle w:val="TableParagraph"/>
              <w:ind w:firstLine="11"/>
              <w:rPr>
                <w:rFonts w:cstheme="minorHAnsi"/>
                <w:sz w:val="20"/>
                <w:szCs w:val="20"/>
              </w:rPr>
            </w:pPr>
            <w:r w:rsidRPr="00F65705">
              <w:rPr>
                <w:sz w:val="20"/>
                <w:szCs w:val="20"/>
              </w:rPr>
              <w:t>$6,788</w:t>
            </w:r>
          </w:p>
        </w:tc>
        <w:tc>
          <w:tcPr>
            <w:tcW w:w="1325" w:type="dxa"/>
            <w:tcBorders>
              <w:top w:val="nil"/>
              <w:left w:val="nil"/>
              <w:bottom w:val="single" w:sz="4" w:space="0" w:color="808080"/>
              <w:right w:val="dotted" w:sz="4" w:space="0" w:color="808080"/>
            </w:tcBorders>
            <w:shd w:val="clear" w:color="auto" w:fill="auto"/>
            <w:noWrap/>
          </w:tcPr>
          <w:p w14:paraId="0178B963" w14:textId="77777777" w:rsidR="00865C8A" w:rsidRPr="00F65705" w:rsidRDefault="00865C8A" w:rsidP="00DC62CD">
            <w:pPr>
              <w:pStyle w:val="TableParagraph"/>
              <w:ind w:firstLine="11"/>
              <w:rPr>
                <w:rFonts w:cstheme="minorHAnsi"/>
                <w:sz w:val="20"/>
                <w:szCs w:val="20"/>
              </w:rPr>
            </w:pPr>
            <w:r w:rsidRPr="00F65705">
              <w:rPr>
                <w:sz w:val="20"/>
                <w:szCs w:val="20"/>
              </w:rPr>
              <w:t>$1,855</w:t>
            </w:r>
          </w:p>
        </w:tc>
        <w:tc>
          <w:tcPr>
            <w:tcW w:w="1325" w:type="dxa"/>
            <w:tcBorders>
              <w:top w:val="dotted" w:sz="4" w:space="0" w:color="808080"/>
              <w:left w:val="nil"/>
              <w:bottom w:val="single" w:sz="4" w:space="0" w:color="808080"/>
              <w:right w:val="single" w:sz="4" w:space="0" w:color="808080"/>
            </w:tcBorders>
            <w:shd w:val="clear" w:color="auto" w:fill="auto"/>
            <w:noWrap/>
          </w:tcPr>
          <w:p w14:paraId="0F6CB11B" w14:textId="77777777" w:rsidR="00865C8A" w:rsidRPr="00F65705" w:rsidRDefault="00865C8A" w:rsidP="00DC62CD">
            <w:pPr>
              <w:pStyle w:val="TableParagraph"/>
              <w:ind w:firstLine="11"/>
              <w:rPr>
                <w:rFonts w:cstheme="minorHAnsi"/>
                <w:sz w:val="20"/>
                <w:szCs w:val="20"/>
              </w:rPr>
            </w:pPr>
            <w:r w:rsidRPr="00F65705">
              <w:rPr>
                <w:sz w:val="20"/>
                <w:szCs w:val="20"/>
              </w:rPr>
              <w:t>$0</w:t>
            </w:r>
          </w:p>
        </w:tc>
        <w:tc>
          <w:tcPr>
            <w:tcW w:w="1325" w:type="dxa"/>
            <w:tcBorders>
              <w:top w:val="nil"/>
              <w:left w:val="nil"/>
              <w:bottom w:val="single" w:sz="4" w:space="0" w:color="808080"/>
              <w:right w:val="single" w:sz="4" w:space="0" w:color="808080"/>
            </w:tcBorders>
            <w:shd w:val="clear" w:color="auto" w:fill="auto"/>
            <w:noWrap/>
          </w:tcPr>
          <w:p w14:paraId="57D31DBE" w14:textId="77777777" w:rsidR="00865C8A" w:rsidRPr="00F65705" w:rsidRDefault="00865C8A" w:rsidP="00DC62CD">
            <w:pPr>
              <w:pStyle w:val="TableParagraph"/>
              <w:ind w:firstLine="11"/>
              <w:rPr>
                <w:rFonts w:cstheme="minorHAnsi"/>
                <w:sz w:val="20"/>
                <w:szCs w:val="20"/>
              </w:rPr>
            </w:pPr>
            <w:r w:rsidRPr="00F65705">
              <w:rPr>
                <w:sz w:val="20"/>
                <w:szCs w:val="20"/>
              </w:rPr>
              <w:t>$8,643</w:t>
            </w:r>
          </w:p>
        </w:tc>
      </w:tr>
    </w:tbl>
    <w:p w14:paraId="11E1B3E7" w14:textId="77777777" w:rsidR="00865C8A" w:rsidRPr="00F65705" w:rsidRDefault="00865C8A" w:rsidP="00865C8A">
      <w:pPr>
        <w:rPr>
          <w:rFonts w:asciiTheme="minorHAnsi" w:hAnsiTheme="minorHAnsi" w:cstheme="minorHAnsi"/>
          <w:sz w:val="22"/>
          <w:szCs w:val="22"/>
        </w:rPr>
      </w:pPr>
    </w:p>
    <w:p w14:paraId="1ABF6E6D" w14:textId="77777777" w:rsidR="00865C8A" w:rsidRPr="00F65705" w:rsidRDefault="00865C8A" w:rsidP="00865C8A">
      <w:pPr>
        <w:spacing w:after="160" w:line="259" w:lineRule="auto"/>
        <w:rPr>
          <w:rFonts w:asciiTheme="minorHAnsi" w:hAnsiTheme="minorHAnsi" w:cstheme="minorHAnsi"/>
          <w:sz w:val="22"/>
          <w:szCs w:val="22"/>
        </w:rPr>
      </w:pPr>
      <w:r w:rsidRPr="00F65705">
        <w:rPr>
          <w:rFonts w:asciiTheme="minorHAnsi" w:hAnsiTheme="minorHAnsi" w:cstheme="minorHAnsi"/>
          <w:sz w:val="22"/>
          <w:szCs w:val="22"/>
        </w:rPr>
        <w:t xml:space="preserve">Table 9 below details the fee pay points supporting a consistent approach of upfront payment across all charging categories for PBS listing and management processes. </w:t>
      </w:r>
      <w:proofErr w:type="gramStart"/>
      <w:r w:rsidRPr="00F65705">
        <w:rPr>
          <w:rFonts w:asciiTheme="minorHAnsi" w:hAnsiTheme="minorHAnsi" w:cstheme="minorHAnsi"/>
          <w:sz w:val="22"/>
          <w:szCs w:val="22"/>
        </w:rPr>
        <w:t>These fee</w:t>
      </w:r>
      <w:proofErr w:type="gramEnd"/>
      <w:r w:rsidRPr="00F65705">
        <w:rPr>
          <w:rFonts w:asciiTheme="minorHAnsi" w:hAnsiTheme="minorHAnsi" w:cstheme="minorHAnsi"/>
          <w:sz w:val="22"/>
          <w:szCs w:val="22"/>
        </w:rPr>
        <w:t xml:space="preserve"> pay points occur prior to activity being undertaken and costs being incurred by the Department.</w:t>
      </w:r>
    </w:p>
    <w:p w14:paraId="3CFC0658" w14:textId="77777777" w:rsidR="00865C8A" w:rsidRPr="00F65705" w:rsidRDefault="00865C8A" w:rsidP="00865C8A">
      <w:pPr>
        <w:spacing w:after="120"/>
        <w:rPr>
          <w:rFonts w:asciiTheme="minorHAnsi" w:hAnsiTheme="minorHAnsi" w:cstheme="minorHAnsi"/>
          <w:b/>
          <w:sz w:val="22"/>
          <w:szCs w:val="22"/>
        </w:rPr>
      </w:pPr>
      <w:r w:rsidRPr="00F65705">
        <w:rPr>
          <w:rFonts w:asciiTheme="minorHAnsi" w:hAnsiTheme="minorHAnsi" w:cstheme="minorHAnsi"/>
          <w:b/>
          <w:sz w:val="22"/>
          <w:szCs w:val="22"/>
        </w:rPr>
        <w:t>Table 9 – PBS Listing and Management Process with Cost Recovery Fee Point</w:t>
      </w:r>
    </w:p>
    <w:tbl>
      <w:tblPr>
        <w:tblStyle w:val="GridTable4"/>
        <w:tblW w:w="5077" w:type="pct"/>
        <w:jc w:val="center"/>
        <w:tblLook w:val="0620" w:firstRow="1" w:lastRow="0" w:firstColumn="0" w:lastColumn="0" w:noHBand="1" w:noVBand="1"/>
        <w:tblCaption w:val="Table 9 - PBS Listing and Management Process with Cost Recovery Fee Point"/>
        <w:tblDescription w:val="This table provides an outline of the PBS fee payment points. "/>
      </w:tblPr>
      <w:tblGrid>
        <w:gridCol w:w="3043"/>
        <w:gridCol w:w="6733"/>
      </w:tblGrid>
      <w:tr w:rsidR="00F65705" w:rsidRPr="00F65705" w14:paraId="46F372A4" w14:textId="77777777" w:rsidTr="00DC62CD">
        <w:trPr>
          <w:cnfStyle w:val="100000000000" w:firstRow="1" w:lastRow="0" w:firstColumn="0" w:lastColumn="0" w:oddVBand="0" w:evenVBand="0" w:oddHBand="0" w:evenHBand="0" w:firstRowFirstColumn="0" w:firstRowLastColumn="0" w:lastRowFirstColumn="0" w:lastRowLastColumn="0"/>
          <w:trHeight w:val="300"/>
          <w:tblHeader/>
          <w:jc w:val="center"/>
        </w:trPr>
        <w:tc>
          <w:tcPr>
            <w:tcW w:w="1556" w:type="pct"/>
            <w:shd w:val="clear" w:color="auto" w:fill="F2F2F2" w:themeFill="background1" w:themeFillShade="F2"/>
            <w:hideMark/>
          </w:tcPr>
          <w:p w14:paraId="2B8C2108" w14:textId="77777777" w:rsidR="00865C8A" w:rsidRPr="00F65705" w:rsidRDefault="00865C8A" w:rsidP="00DC62CD">
            <w:pPr>
              <w:jc w:val="center"/>
              <w:rPr>
                <w:rFonts w:asciiTheme="minorHAnsi" w:hAnsiTheme="minorHAnsi" w:cstheme="minorHAnsi"/>
                <w:b w:val="0"/>
                <w:bCs w:val="0"/>
                <w:color w:val="auto"/>
                <w:sz w:val="22"/>
                <w:szCs w:val="22"/>
              </w:rPr>
            </w:pPr>
            <w:r w:rsidRPr="00F65705">
              <w:rPr>
                <w:rFonts w:asciiTheme="minorHAnsi" w:hAnsiTheme="minorHAnsi" w:cstheme="minorHAnsi"/>
                <w:color w:val="auto"/>
                <w:sz w:val="22"/>
                <w:szCs w:val="22"/>
              </w:rPr>
              <w:t>Category</w:t>
            </w:r>
          </w:p>
        </w:tc>
        <w:tc>
          <w:tcPr>
            <w:tcW w:w="3444" w:type="pct"/>
            <w:shd w:val="clear" w:color="auto" w:fill="F2F2F2" w:themeFill="background1" w:themeFillShade="F2"/>
            <w:hideMark/>
          </w:tcPr>
          <w:p w14:paraId="39DBF930" w14:textId="77777777" w:rsidR="00865C8A" w:rsidRPr="00F65705" w:rsidRDefault="00865C8A" w:rsidP="00DC62CD">
            <w:pPr>
              <w:jc w:val="center"/>
              <w:rPr>
                <w:rFonts w:asciiTheme="minorHAnsi" w:hAnsiTheme="minorHAnsi" w:cstheme="minorHAnsi"/>
                <w:b w:val="0"/>
                <w:bCs w:val="0"/>
                <w:color w:val="auto"/>
                <w:sz w:val="22"/>
                <w:szCs w:val="22"/>
              </w:rPr>
            </w:pPr>
            <w:r w:rsidRPr="00F65705">
              <w:rPr>
                <w:rFonts w:asciiTheme="minorHAnsi" w:hAnsiTheme="minorHAnsi" w:cstheme="minorHAnsi"/>
                <w:color w:val="auto"/>
                <w:sz w:val="22"/>
                <w:szCs w:val="22"/>
              </w:rPr>
              <w:t>ATAGI Pre-submission Evaluation Process</w:t>
            </w:r>
          </w:p>
        </w:tc>
      </w:tr>
      <w:tr w:rsidR="00F65705" w:rsidRPr="00F65705" w14:paraId="2B6A3016" w14:textId="77777777" w:rsidTr="00DC62CD">
        <w:trPr>
          <w:trHeight w:val="300"/>
          <w:jc w:val="center"/>
        </w:trPr>
        <w:tc>
          <w:tcPr>
            <w:tcW w:w="1556" w:type="pct"/>
            <w:vMerge w:val="restart"/>
            <w:hideMark/>
          </w:tcPr>
          <w:p w14:paraId="0481CD02" w14:textId="77777777" w:rsidR="00865C8A" w:rsidRPr="00F65705" w:rsidRDefault="00865C8A" w:rsidP="00DC62CD">
            <w:pPr>
              <w:rPr>
                <w:rFonts w:asciiTheme="minorHAnsi" w:hAnsiTheme="minorHAnsi" w:cstheme="minorHAnsi"/>
                <w:b/>
                <w:bCs/>
                <w:sz w:val="22"/>
                <w:szCs w:val="22"/>
              </w:rPr>
            </w:pPr>
            <w:r w:rsidRPr="00F65705">
              <w:rPr>
                <w:rFonts w:asciiTheme="minorHAnsi" w:hAnsiTheme="minorHAnsi" w:cstheme="minorHAnsi"/>
                <w:b/>
                <w:bCs/>
                <w:sz w:val="22"/>
                <w:szCs w:val="22"/>
              </w:rPr>
              <w:t>ATAGI Pre-submission evaluation services</w:t>
            </w:r>
          </w:p>
        </w:tc>
        <w:tc>
          <w:tcPr>
            <w:tcW w:w="3444" w:type="pct"/>
            <w:hideMark/>
          </w:tcPr>
          <w:p w14:paraId="02A26786"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Notice of Intent received informing of ATAGI Pre-submission category</w:t>
            </w:r>
          </w:p>
        </w:tc>
      </w:tr>
      <w:tr w:rsidR="00F65705" w:rsidRPr="00F65705" w14:paraId="2D691B5E" w14:textId="77777777" w:rsidTr="00DC62CD">
        <w:trPr>
          <w:trHeight w:val="300"/>
          <w:jc w:val="center"/>
        </w:trPr>
        <w:tc>
          <w:tcPr>
            <w:tcW w:w="1556" w:type="pct"/>
            <w:vMerge/>
            <w:hideMark/>
          </w:tcPr>
          <w:p w14:paraId="23C37C83" w14:textId="77777777" w:rsidR="00865C8A" w:rsidRPr="00F65705" w:rsidRDefault="00865C8A" w:rsidP="00DC62CD">
            <w:pPr>
              <w:rPr>
                <w:rFonts w:asciiTheme="minorHAnsi" w:hAnsiTheme="minorHAnsi" w:cstheme="minorHAnsi"/>
                <w:b/>
                <w:bCs/>
                <w:sz w:val="22"/>
                <w:szCs w:val="22"/>
              </w:rPr>
            </w:pPr>
          </w:p>
        </w:tc>
        <w:tc>
          <w:tcPr>
            <w:tcW w:w="3444" w:type="pct"/>
            <w:hideMark/>
          </w:tcPr>
          <w:p w14:paraId="1D8C60C5" w14:textId="77777777" w:rsidR="00865C8A" w:rsidRPr="00F65705" w:rsidRDefault="00865C8A" w:rsidP="00DC62CD">
            <w:pPr>
              <w:jc w:val="center"/>
              <w:rPr>
                <w:rFonts w:asciiTheme="minorHAnsi" w:hAnsiTheme="minorHAnsi"/>
                <w:sz w:val="22"/>
                <w:u w:val="single"/>
              </w:rPr>
            </w:pPr>
            <w:r w:rsidRPr="00F65705">
              <w:rPr>
                <w:rFonts w:asciiTheme="minorHAnsi" w:hAnsiTheme="minorHAnsi"/>
                <w:sz w:val="22"/>
                <w:u w:val="single"/>
              </w:rPr>
              <w:t>ATAGI Notice of Intent and Pre-submission application Lodgement Fee Point</w:t>
            </w:r>
          </w:p>
        </w:tc>
      </w:tr>
      <w:tr w:rsidR="00F65705" w:rsidRPr="00F65705" w14:paraId="631A0719" w14:textId="77777777" w:rsidTr="00DC62CD">
        <w:trPr>
          <w:trHeight w:val="300"/>
          <w:jc w:val="center"/>
        </w:trPr>
        <w:tc>
          <w:tcPr>
            <w:tcW w:w="1556" w:type="pct"/>
            <w:vMerge/>
            <w:hideMark/>
          </w:tcPr>
          <w:p w14:paraId="344BA8A9" w14:textId="77777777" w:rsidR="00865C8A" w:rsidRPr="00F65705" w:rsidRDefault="00865C8A" w:rsidP="00DC62CD">
            <w:pPr>
              <w:rPr>
                <w:rFonts w:asciiTheme="minorHAnsi" w:hAnsiTheme="minorHAnsi" w:cstheme="minorHAnsi"/>
                <w:b/>
                <w:bCs/>
                <w:sz w:val="22"/>
                <w:szCs w:val="22"/>
              </w:rPr>
            </w:pPr>
          </w:p>
        </w:tc>
        <w:tc>
          <w:tcPr>
            <w:tcW w:w="3444" w:type="pct"/>
            <w:hideMark/>
          </w:tcPr>
          <w:p w14:paraId="5592281F"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ATAGI Assessment</w:t>
            </w:r>
          </w:p>
        </w:tc>
      </w:tr>
      <w:tr w:rsidR="00F65705" w:rsidRPr="00F65705" w14:paraId="2DA9AF2F" w14:textId="77777777" w:rsidTr="00DC62CD">
        <w:trPr>
          <w:trHeight w:val="300"/>
          <w:jc w:val="center"/>
        </w:trPr>
        <w:tc>
          <w:tcPr>
            <w:tcW w:w="1556" w:type="pct"/>
            <w:vMerge/>
            <w:hideMark/>
          </w:tcPr>
          <w:p w14:paraId="788F421D" w14:textId="77777777" w:rsidR="00865C8A" w:rsidRPr="00F65705" w:rsidRDefault="00865C8A" w:rsidP="00DC62CD">
            <w:pPr>
              <w:rPr>
                <w:rFonts w:asciiTheme="minorHAnsi" w:hAnsiTheme="minorHAnsi" w:cstheme="minorHAnsi"/>
                <w:b/>
                <w:bCs/>
                <w:sz w:val="22"/>
                <w:szCs w:val="22"/>
              </w:rPr>
            </w:pPr>
          </w:p>
        </w:tc>
        <w:tc>
          <w:tcPr>
            <w:tcW w:w="3444" w:type="pct"/>
            <w:hideMark/>
          </w:tcPr>
          <w:p w14:paraId="2AE8524A"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ATAGI advice</w:t>
            </w:r>
          </w:p>
        </w:tc>
      </w:tr>
      <w:tr w:rsidR="00F65705" w:rsidRPr="00F65705" w14:paraId="6AF129FC" w14:textId="77777777" w:rsidTr="00DC62CD">
        <w:trPr>
          <w:trHeight w:val="300"/>
          <w:jc w:val="center"/>
        </w:trPr>
        <w:tc>
          <w:tcPr>
            <w:tcW w:w="1556" w:type="pct"/>
            <w:shd w:val="clear" w:color="auto" w:fill="F2F2F2" w:themeFill="background1" w:themeFillShade="F2"/>
            <w:hideMark/>
          </w:tcPr>
          <w:p w14:paraId="61B270CB" w14:textId="77777777" w:rsidR="00865C8A" w:rsidRPr="00F65705" w:rsidRDefault="00865C8A" w:rsidP="00DC62CD">
            <w:pPr>
              <w:jc w:val="center"/>
              <w:rPr>
                <w:rFonts w:asciiTheme="minorHAnsi" w:hAnsiTheme="minorHAnsi" w:cstheme="minorHAnsi"/>
                <w:b/>
                <w:bCs/>
                <w:sz w:val="22"/>
                <w:szCs w:val="22"/>
              </w:rPr>
            </w:pPr>
            <w:r w:rsidRPr="00F65705">
              <w:rPr>
                <w:rFonts w:asciiTheme="minorHAnsi" w:hAnsiTheme="minorHAnsi" w:cstheme="minorHAnsi"/>
                <w:b/>
                <w:bCs/>
                <w:sz w:val="22"/>
                <w:szCs w:val="22"/>
              </w:rPr>
              <w:t>Category</w:t>
            </w:r>
          </w:p>
        </w:tc>
        <w:tc>
          <w:tcPr>
            <w:tcW w:w="3444" w:type="pct"/>
            <w:shd w:val="clear" w:color="auto" w:fill="F2F2F2" w:themeFill="background1" w:themeFillShade="F2"/>
            <w:hideMark/>
          </w:tcPr>
          <w:p w14:paraId="159E09F8" w14:textId="77777777" w:rsidR="00865C8A" w:rsidRPr="00F65705" w:rsidRDefault="00865C8A" w:rsidP="00DC62CD">
            <w:pPr>
              <w:jc w:val="center"/>
              <w:rPr>
                <w:rFonts w:asciiTheme="minorHAnsi" w:hAnsiTheme="minorHAnsi"/>
                <w:b/>
                <w:sz w:val="22"/>
              </w:rPr>
            </w:pPr>
            <w:r w:rsidRPr="00F65705">
              <w:rPr>
                <w:rFonts w:asciiTheme="minorHAnsi" w:hAnsiTheme="minorHAnsi"/>
                <w:b/>
                <w:sz w:val="22"/>
              </w:rPr>
              <w:t>PBS Listing Process</w:t>
            </w:r>
          </w:p>
        </w:tc>
      </w:tr>
      <w:tr w:rsidR="00F65705" w:rsidRPr="00F65705" w14:paraId="6CC0DC65" w14:textId="77777777" w:rsidTr="00DC62CD">
        <w:trPr>
          <w:trHeight w:val="300"/>
          <w:jc w:val="center"/>
        </w:trPr>
        <w:tc>
          <w:tcPr>
            <w:tcW w:w="1556" w:type="pct"/>
            <w:vMerge w:val="restart"/>
            <w:noWrap/>
            <w:hideMark/>
          </w:tcPr>
          <w:p w14:paraId="40E49FE8" w14:textId="77777777" w:rsidR="00865C8A" w:rsidRPr="00F65705" w:rsidRDefault="00865C8A" w:rsidP="00DC62CD">
            <w:pPr>
              <w:rPr>
                <w:rFonts w:asciiTheme="minorHAnsi" w:hAnsiTheme="minorHAnsi" w:cstheme="minorHAnsi"/>
                <w:b/>
                <w:bCs/>
                <w:sz w:val="22"/>
                <w:szCs w:val="22"/>
              </w:rPr>
            </w:pPr>
            <w:r w:rsidRPr="00F65705">
              <w:rPr>
                <w:rFonts w:asciiTheme="minorHAnsi" w:hAnsiTheme="minorHAnsi" w:cstheme="minorHAnsi"/>
                <w:b/>
                <w:bCs/>
                <w:sz w:val="22"/>
                <w:szCs w:val="22"/>
              </w:rPr>
              <w:t>PBAC Pre-submission meetings</w:t>
            </w:r>
          </w:p>
        </w:tc>
        <w:tc>
          <w:tcPr>
            <w:tcW w:w="3444" w:type="pct"/>
            <w:hideMark/>
          </w:tcPr>
          <w:p w14:paraId="1DD76EC2"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Request for pre-submission meeting received</w:t>
            </w:r>
          </w:p>
        </w:tc>
      </w:tr>
      <w:tr w:rsidR="00F65705" w:rsidRPr="00F65705" w14:paraId="76FA0F08" w14:textId="77777777" w:rsidTr="00DC62CD">
        <w:trPr>
          <w:trHeight w:val="300"/>
          <w:jc w:val="center"/>
        </w:trPr>
        <w:tc>
          <w:tcPr>
            <w:tcW w:w="1556" w:type="pct"/>
            <w:vMerge/>
            <w:hideMark/>
          </w:tcPr>
          <w:p w14:paraId="3DD3F951" w14:textId="77777777" w:rsidR="00865C8A" w:rsidRPr="00F65705" w:rsidRDefault="00865C8A" w:rsidP="00DC62CD">
            <w:pPr>
              <w:rPr>
                <w:rFonts w:asciiTheme="minorHAnsi" w:hAnsiTheme="minorHAnsi" w:cstheme="minorHAnsi"/>
                <w:b/>
                <w:bCs/>
                <w:sz w:val="22"/>
                <w:szCs w:val="22"/>
              </w:rPr>
            </w:pPr>
          </w:p>
        </w:tc>
        <w:tc>
          <w:tcPr>
            <w:tcW w:w="3444" w:type="pct"/>
            <w:hideMark/>
          </w:tcPr>
          <w:p w14:paraId="08105E30" w14:textId="77777777" w:rsidR="00865C8A" w:rsidRPr="00F65705" w:rsidRDefault="00865C8A" w:rsidP="00DC62CD">
            <w:pPr>
              <w:jc w:val="center"/>
              <w:rPr>
                <w:rFonts w:asciiTheme="minorHAnsi" w:hAnsiTheme="minorHAnsi"/>
                <w:sz w:val="22"/>
                <w:u w:val="single"/>
              </w:rPr>
            </w:pPr>
            <w:r w:rsidRPr="00F65705">
              <w:rPr>
                <w:rFonts w:asciiTheme="minorHAnsi" w:hAnsiTheme="minorHAnsi"/>
                <w:sz w:val="22"/>
                <w:u w:val="single"/>
              </w:rPr>
              <w:t>Pre-submission Meeting Fee Point</w:t>
            </w:r>
          </w:p>
        </w:tc>
      </w:tr>
      <w:tr w:rsidR="00F65705" w:rsidRPr="00F65705" w14:paraId="2DDC5D45" w14:textId="77777777" w:rsidTr="00DC62CD">
        <w:trPr>
          <w:trHeight w:val="300"/>
          <w:jc w:val="center"/>
        </w:trPr>
        <w:tc>
          <w:tcPr>
            <w:tcW w:w="1556" w:type="pct"/>
            <w:vMerge/>
            <w:hideMark/>
          </w:tcPr>
          <w:p w14:paraId="721F9D90" w14:textId="77777777" w:rsidR="00865C8A" w:rsidRPr="00F65705" w:rsidRDefault="00865C8A" w:rsidP="00DC62CD">
            <w:pPr>
              <w:rPr>
                <w:rFonts w:asciiTheme="minorHAnsi" w:hAnsiTheme="minorHAnsi" w:cstheme="minorHAnsi"/>
                <w:b/>
                <w:bCs/>
                <w:sz w:val="22"/>
                <w:szCs w:val="22"/>
              </w:rPr>
            </w:pPr>
          </w:p>
        </w:tc>
        <w:tc>
          <w:tcPr>
            <w:tcW w:w="3444" w:type="pct"/>
            <w:hideMark/>
          </w:tcPr>
          <w:p w14:paraId="41ECA0A9"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Pre-submission meeting with sponsor</w:t>
            </w:r>
          </w:p>
        </w:tc>
      </w:tr>
      <w:tr w:rsidR="00F65705" w:rsidRPr="00F65705" w14:paraId="1210A93E" w14:textId="77777777" w:rsidTr="00DC62CD">
        <w:trPr>
          <w:trHeight w:val="300"/>
          <w:jc w:val="center"/>
        </w:trPr>
        <w:tc>
          <w:tcPr>
            <w:tcW w:w="1556" w:type="pct"/>
            <w:vMerge/>
            <w:hideMark/>
          </w:tcPr>
          <w:p w14:paraId="79F2ECCA" w14:textId="77777777" w:rsidR="00865C8A" w:rsidRPr="00F65705" w:rsidRDefault="00865C8A" w:rsidP="00DC62CD">
            <w:pPr>
              <w:rPr>
                <w:rFonts w:asciiTheme="minorHAnsi" w:hAnsiTheme="minorHAnsi" w:cstheme="minorHAnsi"/>
                <w:b/>
                <w:bCs/>
                <w:sz w:val="22"/>
                <w:szCs w:val="22"/>
              </w:rPr>
            </w:pPr>
          </w:p>
        </w:tc>
        <w:tc>
          <w:tcPr>
            <w:tcW w:w="3444" w:type="pct"/>
            <w:hideMark/>
          </w:tcPr>
          <w:p w14:paraId="77730195"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Review sponsor meeting outcome record</w:t>
            </w:r>
          </w:p>
        </w:tc>
      </w:tr>
      <w:tr w:rsidR="00F65705" w:rsidRPr="00F65705" w14:paraId="1BDFBC72" w14:textId="77777777" w:rsidTr="00DC62CD">
        <w:trPr>
          <w:trHeight w:val="300"/>
          <w:jc w:val="center"/>
        </w:trPr>
        <w:tc>
          <w:tcPr>
            <w:tcW w:w="1556" w:type="pct"/>
            <w:vMerge w:val="restart"/>
            <w:hideMark/>
          </w:tcPr>
          <w:p w14:paraId="24396998" w14:textId="77777777" w:rsidR="00865C8A" w:rsidRPr="00F65705" w:rsidRDefault="00865C8A" w:rsidP="00DC62CD">
            <w:pPr>
              <w:rPr>
                <w:rFonts w:asciiTheme="minorHAnsi" w:hAnsiTheme="minorHAnsi" w:cstheme="minorHAnsi"/>
                <w:b/>
                <w:bCs/>
                <w:sz w:val="22"/>
                <w:szCs w:val="22"/>
              </w:rPr>
            </w:pPr>
            <w:r w:rsidRPr="00F65705">
              <w:rPr>
                <w:rFonts w:asciiTheme="minorHAnsi" w:hAnsiTheme="minorHAnsi" w:cstheme="minorHAnsi"/>
                <w:b/>
                <w:bCs/>
                <w:sz w:val="22"/>
                <w:szCs w:val="22"/>
              </w:rPr>
              <w:t>Submission services (PBAC evaluation)</w:t>
            </w:r>
          </w:p>
          <w:p w14:paraId="4994BD4A" w14:textId="77777777" w:rsidR="00865C8A" w:rsidRPr="00F65705" w:rsidRDefault="00865C8A" w:rsidP="00DC62CD">
            <w:pPr>
              <w:rPr>
                <w:rFonts w:asciiTheme="minorHAnsi" w:hAnsiTheme="minorHAnsi" w:cstheme="minorHAnsi"/>
                <w:bCs/>
                <w:sz w:val="22"/>
                <w:szCs w:val="22"/>
              </w:rPr>
            </w:pPr>
            <w:r w:rsidRPr="00F65705">
              <w:rPr>
                <w:rFonts w:asciiTheme="minorHAnsi" w:hAnsiTheme="minorHAnsi" w:cstheme="minorHAnsi"/>
                <w:bCs/>
                <w:sz w:val="22"/>
                <w:szCs w:val="22"/>
              </w:rPr>
              <w:t>(Submission categories and Resubmission Pathways)</w:t>
            </w:r>
          </w:p>
        </w:tc>
        <w:tc>
          <w:tcPr>
            <w:tcW w:w="3444" w:type="pct"/>
            <w:hideMark/>
          </w:tcPr>
          <w:p w14:paraId="6A2EAE40"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Notice of Intent form received informing of submission evaluation type</w:t>
            </w:r>
          </w:p>
        </w:tc>
      </w:tr>
      <w:tr w:rsidR="00F65705" w:rsidRPr="00F65705" w14:paraId="13FFC0FE" w14:textId="77777777" w:rsidTr="00DC62CD">
        <w:trPr>
          <w:trHeight w:val="330"/>
          <w:jc w:val="center"/>
        </w:trPr>
        <w:tc>
          <w:tcPr>
            <w:tcW w:w="1556" w:type="pct"/>
            <w:vMerge/>
            <w:hideMark/>
          </w:tcPr>
          <w:p w14:paraId="714D2A2B" w14:textId="77777777" w:rsidR="00865C8A" w:rsidRPr="00F65705" w:rsidRDefault="00865C8A" w:rsidP="00DC62CD">
            <w:pPr>
              <w:rPr>
                <w:rFonts w:asciiTheme="minorHAnsi" w:hAnsiTheme="minorHAnsi" w:cstheme="minorHAnsi"/>
                <w:b/>
                <w:bCs/>
                <w:sz w:val="22"/>
                <w:szCs w:val="22"/>
              </w:rPr>
            </w:pPr>
          </w:p>
        </w:tc>
        <w:tc>
          <w:tcPr>
            <w:tcW w:w="3444" w:type="pct"/>
            <w:hideMark/>
          </w:tcPr>
          <w:p w14:paraId="38579BC6" w14:textId="77777777" w:rsidR="00865C8A" w:rsidRPr="00F65705" w:rsidRDefault="00865C8A" w:rsidP="00DC62CD">
            <w:pPr>
              <w:jc w:val="center"/>
              <w:rPr>
                <w:rFonts w:asciiTheme="minorHAnsi" w:hAnsiTheme="minorHAnsi"/>
                <w:sz w:val="22"/>
                <w:u w:val="single"/>
              </w:rPr>
            </w:pPr>
            <w:r w:rsidRPr="00F65705">
              <w:rPr>
                <w:rFonts w:asciiTheme="minorHAnsi" w:hAnsiTheme="minorHAnsi"/>
                <w:sz w:val="22"/>
                <w:u w:val="single"/>
              </w:rPr>
              <w:t>Notice of Intent and application Lodgement Fee Point</w:t>
            </w:r>
            <w:bookmarkStart w:id="8" w:name="_Ref73617934"/>
            <w:r w:rsidRPr="00F65705">
              <w:rPr>
                <w:rStyle w:val="FootnoteReference"/>
                <w:color w:val="auto"/>
                <w:sz w:val="22"/>
                <w:u w:val="single"/>
              </w:rPr>
              <w:footnoteReference w:id="7"/>
            </w:r>
            <w:bookmarkEnd w:id="8"/>
          </w:p>
        </w:tc>
      </w:tr>
      <w:tr w:rsidR="00F65705" w:rsidRPr="00F65705" w14:paraId="4C1295EB" w14:textId="77777777" w:rsidTr="00DC62CD">
        <w:trPr>
          <w:trHeight w:val="300"/>
          <w:jc w:val="center"/>
        </w:trPr>
        <w:tc>
          <w:tcPr>
            <w:tcW w:w="1556" w:type="pct"/>
            <w:vMerge/>
            <w:hideMark/>
          </w:tcPr>
          <w:p w14:paraId="559B7D61" w14:textId="77777777" w:rsidR="00865C8A" w:rsidRPr="00F65705" w:rsidRDefault="00865C8A" w:rsidP="00DC62CD">
            <w:pPr>
              <w:rPr>
                <w:rFonts w:asciiTheme="minorHAnsi" w:hAnsiTheme="minorHAnsi" w:cstheme="minorHAnsi"/>
                <w:b/>
                <w:bCs/>
                <w:sz w:val="22"/>
                <w:szCs w:val="22"/>
              </w:rPr>
            </w:pPr>
          </w:p>
        </w:tc>
        <w:tc>
          <w:tcPr>
            <w:tcW w:w="3444" w:type="pct"/>
            <w:hideMark/>
          </w:tcPr>
          <w:p w14:paraId="4925D96A"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PBAC Evaluation</w:t>
            </w:r>
          </w:p>
        </w:tc>
      </w:tr>
      <w:tr w:rsidR="00F65705" w:rsidRPr="00F65705" w14:paraId="15A1B6B6" w14:textId="77777777" w:rsidTr="00DC62CD">
        <w:trPr>
          <w:trHeight w:val="300"/>
          <w:jc w:val="center"/>
        </w:trPr>
        <w:tc>
          <w:tcPr>
            <w:tcW w:w="1556" w:type="pct"/>
            <w:vMerge/>
            <w:hideMark/>
          </w:tcPr>
          <w:p w14:paraId="000E2D1F" w14:textId="77777777" w:rsidR="00865C8A" w:rsidRPr="00F65705" w:rsidRDefault="00865C8A" w:rsidP="00DC62CD">
            <w:pPr>
              <w:rPr>
                <w:rFonts w:asciiTheme="minorHAnsi" w:hAnsiTheme="minorHAnsi" w:cstheme="minorHAnsi"/>
                <w:b/>
                <w:bCs/>
                <w:sz w:val="22"/>
                <w:szCs w:val="22"/>
              </w:rPr>
            </w:pPr>
          </w:p>
        </w:tc>
        <w:tc>
          <w:tcPr>
            <w:tcW w:w="3444" w:type="pct"/>
            <w:hideMark/>
          </w:tcPr>
          <w:p w14:paraId="3AE59C15"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Positive PBAC Recommendation</w:t>
            </w:r>
          </w:p>
        </w:tc>
      </w:tr>
      <w:tr w:rsidR="00F65705" w:rsidRPr="00F65705" w14:paraId="58F99B89" w14:textId="77777777" w:rsidTr="00DC62CD">
        <w:trPr>
          <w:trHeight w:val="300"/>
          <w:jc w:val="center"/>
        </w:trPr>
        <w:tc>
          <w:tcPr>
            <w:tcW w:w="1556" w:type="pct"/>
            <w:vMerge/>
            <w:hideMark/>
          </w:tcPr>
          <w:p w14:paraId="77EB2680" w14:textId="77777777" w:rsidR="00865C8A" w:rsidRPr="00F65705" w:rsidRDefault="00865C8A" w:rsidP="00DC62CD">
            <w:pPr>
              <w:rPr>
                <w:rFonts w:asciiTheme="minorHAnsi" w:hAnsiTheme="minorHAnsi" w:cstheme="minorHAnsi"/>
                <w:b/>
                <w:bCs/>
                <w:sz w:val="22"/>
                <w:szCs w:val="22"/>
              </w:rPr>
            </w:pPr>
          </w:p>
        </w:tc>
        <w:tc>
          <w:tcPr>
            <w:tcW w:w="3444" w:type="pct"/>
            <w:hideMark/>
          </w:tcPr>
          <w:p w14:paraId="1330FA28"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(Proceed to positive recommendation pathways)</w:t>
            </w:r>
          </w:p>
        </w:tc>
      </w:tr>
      <w:tr w:rsidR="00F65705" w:rsidRPr="00F65705" w14:paraId="736EBF61" w14:textId="77777777" w:rsidTr="00DC62CD">
        <w:trPr>
          <w:trHeight w:val="300"/>
          <w:jc w:val="center"/>
        </w:trPr>
        <w:tc>
          <w:tcPr>
            <w:tcW w:w="1556" w:type="pct"/>
            <w:vMerge/>
            <w:hideMark/>
          </w:tcPr>
          <w:p w14:paraId="7AD0A9C9" w14:textId="77777777" w:rsidR="00865C8A" w:rsidRPr="00F65705" w:rsidRDefault="00865C8A" w:rsidP="00DC62CD">
            <w:pPr>
              <w:rPr>
                <w:rFonts w:asciiTheme="minorHAnsi" w:hAnsiTheme="minorHAnsi" w:cstheme="minorHAnsi"/>
                <w:b/>
                <w:bCs/>
                <w:sz w:val="22"/>
                <w:szCs w:val="22"/>
              </w:rPr>
            </w:pPr>
          </w:p>
        </w:tc>
        <w:tc>
          <w:tcPr>
            <w:tcW w:w="3444" w:type="pct"/>
            <w:hideMark/>
          </w:tcPr>
          <w:p w14:paraId="320E8E1D"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OR</w:t>
            </w:r>
          </w:p>
        </w:tc>
      </w:tr>
      <w:tr w:rsidR="00F65705" w:rsidRPr="00F65705" w14:paraId="3F424CF6" w14:textId="77777777" w:rsidTr="00DC62CD">
        <w:trPr>
          <w:trHeight w:val="300"/>
          <w:jc w:val="center"/>
        </w:trPr>
        <w:tc>
          <w:tcPr>
            <w:tcW w:w="1556" w:type="pct"/>
            <w:vMerge/>
            <w:hideMark/>
          </w:tcPr>
          <w:p w14:paraId="7AB0EC10" w14:textId="77777777" w:rsidR="00865C8A" w:rsidRPr="00F65705" w:rsidRDefault="00865C8A" w:rsidP="00DC62CD">
            <w:pPr>
              <w:rPr>
                <w:rFonts w:asciiTheme="minorHAnsi" w:hAnsiTheme="minorHAnsi" w:cstheme="minorHAnsi"/>
                <w:b/>
                <w:bCs/>
                <w:sz w:val="22"/>
                <w:szCs w:val="22"/>
              </w:rPr>
            </w:pPr>
          </w:p>
        </w:tc>
        <w:tc>
          <w:tcPr>
            <w:tcW w:w="3444" w:type="pct"/>
            <w:hideMark/>
          </w:tcPr>
          <w:p w14:paraId="705D1D84"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Rejected PBAC Recommendation (Proceed to resubmission pathways)</w:t>
            </w:r>
          </w:p>
        </w:tc>
      </w:tr>
      <w:tr w:rsidR="00F65705" w:rsidRPr="00F65705" w14:paraId="5B6CF011" w14:textId="77777777" w:rsidTr="00DC62CD">
        <w:trPr>
          <w:trHeight w:val="300"/>
          <w:jc w:val="center"/>
        </w:trPr>
        <w:tc>
          <w:tcPr>
            <w:tcW w:w="1556" w:type="pct"/>
            <w:vMerge w:val="restart"/>
            <w:hideMark/>
          </w:tcPr>
          <w:p w14:paraId="6D8F4485" w14:textId="77777777" w:rsidR="00865C8A" w:rsidRPr="00F65705" w:rsidRDefault="00865C8A" w:rsidP="00DC62CD">
            <w:pPr>
              <w:rPr>
                <w:rFonts w:asciiTheme="minorHAnsi" w:hAnsiTheme="minorHAnsi" w:cstheme="minorHAnsi"/>
                <w:b/>
                <w:bCs/>
                <w:sz w:val="22"/>
                <w:szCs w:val="22"/>
              </w:rPr>
            </w:pPr>
            <w:r w:rsidRPr="00F65705">
              <w:rPr>
                <w:rFonts w:asciiTheme="minorHAnsi" w:hAnsiTheme="minorHAnsi" w:cstheme="minorHAnsi"/>
                <w:b/>
                <w:bCs/>
                <w:sz w:val="22"/>
                <w:szCs w:val="22"/>
              </w:rPr>
              <w:lastRenderedPageBreak/>
              <w:t>Pricing services</w:t>
            </w:r>
          </w:p>
        </w:tc>
        <w:tc>
          <w:tcPr>
            <w:tcW w:w="3444" w:type="pct"/>
            <w:hideMark/>
          </w:tcPr>
          <w:p w14:paraId="2C448346"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PBAC positive recommendation</w:t>
            </w:r>
          </w:p>
        </w:tc>
      </w:tr>
      <w:tr w:rsidR="00F65705" w:rsidRPr="00F65705" w14:paraId="277A4FE4" w14:textId="77777777" w:rsidTr="00DC62CD">
        <w:trPr>
          <w:trHeight w:val="300"/>
          <w:jc w:val="center"/>
        </w:trPr>
        <w:tc>
          <w:tcPr>
            <w:tcW w:w="1556" w:type="pct"/>
            <w:vMerge/>
            <w:hideMark/>
          </w:tcPr>
          <w:p w14:paraId="7D429BA2" w14:textId="77777777" w:rsidR="00865C8A" w:rsidRPr="00F65705" w:rsidRDefault="00865C8A" w:rsidP="00DC62CD">
            <w:pPr>
              <w:rPr>
                <w:rFonts w:asciiTheme="minorHAnsi" w:hAnsiTheme="minorHAnsi" w:cstheme="minorHAnsi"/>
                <w:b/>
                <w:bCs/>
                <w:sz w:val="22"/>
                <w:szCs w:val="22"/>
              </w:rPr>
            </w:pPr>
          </w:p>
        </w:tc>
        <w:tc>
          <w:tcPr>
            <w:tcW w:w="3444" w:type="pct"/>
            <w:hideMark/>
          </w:tcPr>
          <w:p w14:paraId="7F597F6C"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Notice of Intent form received informing of the positive recommendation pathway</w:t>
            </w:r>
          </w:p>
        </w:tc>
      </w:tr>
      <w:tr w:rsidR="00F65705" w:rsidRPr="00F65705" w14:paraId="5C6C1AC8" w14:textId="77777777" w:rsidTr="00DC62CD">
        <w:trPr>
          <w:trHeight w:val="300"/>
          <w:jc w:val="center"/>
        </w:trPr>
        <w:tc>
          <w:tcPr>
            <w:tcW w:w="1556" w:type="pct"/>
            <w:vMerge/>
            <w:hideMark/>
          </w:tcPr>
          <w:p w14:paraId="1A57A8D5" w14:textId="77777777" w:rsidR="00865C8A" w:rsidRPr="00F65705" w:rsidRDefault="00865C8A" w:rsidP="00DC62CD">
            <w:pPr>
              <w:rPr>
                <w:rFonts w:asciiTheme="minorHAnsi" w:hAnsiTheme="minorHAnsi" w:cstheme="minorHAnsi"/>
                <w:b/>
                <w:bCs/>
                <w:sz w:val="22"/>
                <w:szCs w:val="22"/>
              </w:rPr>
            </w:pPr>
          </w:p>
        </w:tc>
        <w:tc>
          <w:tcPr>
            <w:tcW w:w="3444" w:type="pct"/>
            <w:hideMark/>
          </w:tcPr>
          <w:p w14:paraId="2FF4C667" w14:textId="77777777" w:rsidR="00865C8A" w:rsidRPr="00F65705" w:rsidRDefault="00865C8A" w:rsidP="00DC62CD">
            <w:pPr>
              <w:jc w:val="center"/>
              <w:rPr>
                <w:rFonts w:asciiTheme="minorHAnsi" w:hAnsiTheme="minorHAnsi"/>
                <w:sz w:val="22"/>
                <w:u w:val="single"/>
              </w:rPr>
            </w:pPr>
            <w:r w:rsidRPr="00F65705">
              <w:rPr>
                <w:rFonts w:asciiTheme="minorHAnsi" w:hAnsiTheme="minorHAnsi"/>
                <w:sz w:val="22"/>
                <w:u w:val="single"/>
              </w:rPr>
              <w:t>Notice of Intent and Positive Recommendation Pathway Fee Point</w:t>
            </w:r>
            <w:r w:rsidRPr="00F65705">
              <w:rPr>
                <w:rFonts w:asciiTheme="minorHAnsi" w:hAnsiTheme="minorHAnsi"/>
                <w:sz w:val="22"/>
                <w:u w:val="single"/>
                <w:vertAlign w:val="superscript"/>
              </w:rPr>
              <w:t>10</w:t>
            </w:r>
          </w:p>
        </w:tc>
      </w:tr>
      <w:tr w:rsidR="00F65705" w:rsidRPr="00F65705" w14:paraId="6D94D2D6" w14:textId="77777777" w:rsidTr="00DC62CD">
        <w:trPr>
          <w:trHeight w:val="300"/>
          <w:jc w:val="center"/>
        </w:trPr>
        <w:tc>
          <w:tcPr>
            <w:tcW w:w="1556" w:type="pct"/>
            <w:vMerge/>
            <w:hideMark/>
          </w:tcPr>
          <w:p w14:paraId="3A4C61CB" w14:textId="77777777" w:rsidR="00865C8A" w:rsidRPr="00F65705" w:rsidRDefault="00865C8A" w:rsidP="00DC62CD">
            <w:pPr>
              <w:rPr>
                <w:rFonts w:asciiTheme="minorHAnsi" w:hAnsiTheme="minorHAnsi" w:cstheme="minorHAnsi"/>
                <w:b/>
                <w:bCs/>
                <w:sz w:val="22"/>
                <w:szCs w:val="22"/>
              </w:rPr>
            </w:pPr>
          </w:p>
        </w:tc>
        <w:tc>
          <w:tcPr>
            <w:tcW w:w="3444" w:type="pct"/>
            <w:hideMark/>
          </w:tcPr>
          <w:p w14:paraId="1F507B3F"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Pricing offer made</w:t>
            </w:r>
          </w:p>
        </w:tc>
      </w:tr>
      <w:tr w:rsidR="00F65705" w:rsidRPr="00F65705" w14:paraId="39C9B2DF" w14:textId="77777777" w:rsidTr="00DC62CD">
        <w:trPr>
          <w:trHeight w:val="300"/>
          <w:jc w:val="center"/>
        </w:trPr>
        <w:tc>
          <w:tcPr>
            <w:tcW w:w="1556" w:type="pct"/>
            <w:vMerge/>
            <w:hideMark/>
          </w:tcPr>
          <w:p w14:paraId="0169495E" w14:textId="77777777" w:rsidR="00865C8A" w:rsidRPr="00F65705" w:rsidRDefault="00865C8A" w:rsidP="00DC62CD">
            <w:pPr>
              <w:rPr>
                <w:rFonts w:asciiTheme="minorHAnsi" w:hAnsiTheme="minorHAnsi" w:cstheme="minorHAnsi"/>
                <w:b/>
                <w:bCs/>
                <w:sz w:val="22"/>
                <w:szCs w:val="22"/>
              </w:rPr>
            </w:pPr>
          </w:p>
        </w:tc>
        <w:tc>
          <w:tcPr>
            <w:tcW w:w="3444" w:type="pct"/>
            <w:hideMark/>
          </w:tcPr>
          <w:p w14:paraId="3F3044BC"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Pricing agreement reached</w:t>
            </w:r>
          </w:p>
        </w:tc>
      </w:tr>
      <w:tr w:rsidR="00F65705" w:rsidRPr="00F65705" w14:paraId="478D1BE3" w14:textId="77777777" w:rsidTr="00DC62CD">
        <w:trPr>
          <w:trHeight w:val="300"/>
          <w:jc w:val="center"/>
        </w:trPr>
        <w:tc>
          <w:tcPr>
            <w:tcW w:w="1556" w:type="pct"/>
            <w:vMerge/>
            <w:hideMark/>
          </w:tcPr>
          <w:p w14:paraId="09DFDA66" w14:textId="77777777" w:rsidR="00865C8A" w:rsidRPr="00F65705" w:rsidRDefault="00865C8A" w:rsidP="00DC62CD">
            <w:pPr>
              <w:rPr>
                <w:rFonts w:asciiTheme="minorHAnsi" w:hAnsiTheme="minorHAnsi" w:cstheme="minorHAnsi"/>
                <w:b/>
                <w:bCs/>
                <w:sz w:val="22"/>
                <w:szCs w:val="22"/>
              </w:rPr>
            </w:pPr>
          </w:p>
        </w:tc>
        <w:tc>
          <w:tcPr>
            <w:tcW w:w="3444" w:type="pct"/>
            <w:hideMark/>
          </w:tcPr>
          <w:p w14:paraId="6BCA362C"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Adjustment to the invoicing based on the pricing agreement reached</w:t>
            </w:r>
            <w:r w:rsidRPr="00F65705">
              <w:rPr>
                <w:rStyle w:val="FootnoteReference"/>
                <w:color w:val="auto"/>
                <w:sz w:val="22"/>
              </w:rPr>
              <w:footnoteReference w:id="8"/>
            </w:r>
          </w:p>
        </w:tc>
      </w:tr>
      <w:tr w:rsidR="00F65705" w:rsidRPr="00F65705" w14:paraId="7232D35D" w14:textId="77777777" w:rsidTr="00DC62CD">
        <w:trPr>
          <w:trHeight w:val="300"/>
          <w:jc w:val="center"/>
        </w:trPr>
        <w:tc>
          <w:tcPr>
            <w:tcW w:w="1556" w:type="pct"/>
            <w:vMerge/>
            <w:hideMark/>
          </w:tcPr>
          <w:p w14:paraId="0B73AE82" w14:textId="77777777" w:rsidR="00865C8A" w:rsidRPr="00F65705" w:rsidRDefault="00865C8A" w:rsidP="00DC62CD">
            <w:pPr>
              <w:rPr>
                <w:rFonts w:asciiTheme="minorHAnsi" w:hAnsiTheme="minorHAnsi" w:cstheme="minorHAnsi"/>
                <w:b/>
                <w:bCs/>
                <w:sz w:val="22"/>
                <w:szCs w:val="22"/>
              </w:rPr>
            </w:pPr>
          </w:p>
        </w:tc>
        <w:tc>
          <w:tcPr>
            <w:tcW w:w="3444" w:type="pct"/>
            <w:hideMark/>
          </w:tcPr>
          <w:p w14:paraId="6FFA58F0"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Listing occurs</w:t>
            </w:r>
          </w:p>
        </w:tc>
      </w:tr>
      <w:tr w:rsidR="00F65705" w:rsidRPr="00F65705" w14:paraId="786A267A" w14:textId="77777777" w:rsidTr="00DC62CD">
        <w:trPr>
          <w:trHeight w:val="300"/>
          <w:jc w:val="center"/>
        </w:trPr>
        <w:tc>
          <w:tcPr>
            <w:tcW w:w="1556" w:type="pct"/>
            <w:shd w:val="clear" w:color="auto" w:fill="F2F2F2" w:themeFill="background1" w:themeFillShade="F2"/>
            <w:hideMark/>
          </w:tcPr>
          <w:p w14:paraId="22E39172" w14:textId="77777777" w:rsidR="00865C8A" w:rsidRPr="00F65705" w:rsidRDefault="00865C8A" w:rsidP="00DC62CD">
            <w:pPr>
              <w:jc w:val="center"/>
              <w:rPr>
                <w:rFonts w:asciiTheme="minorHAnsi" w:hAnsiTheme="minorHAnsi" w:cstheme="minorHAnsi"/>
                <w:b/>
                <w:bCs/>
                <w:sz w:val="22"/>
                <w:szCs w:val="22"/>
              </w:rPr>
            </w:pPr>
            <w:r w:rsidRPr="00F65705">
              <w:rPr>
                <w:rFonts w:asciiTheme="minorHAnsi" w:hAnsiTheme="minorHAnsi" w:cstheme="minorHAnsi"/>
                <w:b/>
                <w:bCs/>
                <w:sz w:val="22"/>
                <w:szCs w:val="22"/>
              </w:rPr>
              <w:t>Category</w:t>
            </w:r>
          </w:p>
        </w:tc>
        <w:tc>
          <w:tcPr>
            <w:tcW w:w="3444" w:type="pct"/>
            <w:shd w:val="clear" w:color="auto" w:fill="F2F2F2" w:themeFill="background1" w:themeFillShade="F2"/>
            <w:hideMark/>
          </w:tcPr>
          <w:p w14:paraId="0F4F833B" w14:textId="77777777" w:rsidR="00865C8A" w:rsidRPr="00F65705" w:rsidRDefault="00865C8A" w:rsidP="00DC62CD">
            <w:pPr>
              <w:jc w:val="center"/>
              <w:rPr>
                <w:rFonts w:asciiTheme="minorHAnsi" w:hAnsiTheme="minorHAnsi"/>
                <w:b/>
                <w:sz w:val="22"/>
              </w:rPr>
            </w:pPr>
            <w:r w:rsidRPr="00F65705">
              <w:rPr>
                <w:rFonts w:asciiTheme="minorHAnsi" w:hAnsiTheme="minorHAnsi"/>
                <w:b/>
                <w:sz w:val="22"/>
              </w:rPr>
              <w:t>PBS Post Listing Process</w:t>
            </w:r>
          </w:p>
        </w:tc>
      </w:tr>
      <w:tr w:rsidR="00F65705" w:rsidRPr="00F65705" w14:paraId="42FAE964" w14:textId="77777777" w:rsidTr="00DC62CD">
        <w:trPr>
          <w:trHeight w:val="300"/>
          <w:jc w:val="center"/>
        </w:trPr>
        <w:tc>
          <w:tcPr>
            <w:tcW w:w="1556" w:type="pct"/>
            <w:vMerge w:val="restart"/>
            <w:noWrap/>
            <w:hideMark/>
          </w:tcPr>
          <w:p w14:paraId="1B53116E" w14:textId="77777777" w:rsidR="00865C8A" w:rsidRPr="00F65705" w:rsidRDefault="00865C8A" w:rsidP="00DC62CD">
            <w:pPr>
              <w:rPr>
                <w:rFonts w:asciiTheme="minorHAnsi" w:hAnsiTheme="minorHAnsi" w:cstheme="minorHAnsi"/>
                <w:b/>
                <w:bCs/>
                <w:sz w:val="22"/>
                <w:szCs w:val="22"/>
              </w:rPr>
            </w:pPr>
            <w:r w:rsidRPr="00F65705">
              <w:rPr>
                <w:rFonts w:asciiTheme="minorHAnsi" w:hAnsiTheme="minorHAnsi" w:cstheme="minorHAnsi"/>
                <w:b/>
                <w:bCs/>
                <w:sz w:val="22"/>
                <w:szCs w:val="22"/>
              </w:rPr>
              <w:t>List Management Services</w:t>
            </w:r>
          </w:p>
        </w:tc>
        <w:tc>
          <w:tcPr>
            <w:tcW w:w="3444" w:type="pct"/>
            <w:hideMark/>
          </w:tcPr>
          <w:p w14:paraId="5CD06D38"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Request for post listing activity (i.e.  price increase, ministerial discretion, ministerial determination (stockholding), deed renewal or deed variation requests) received</w:t>
            </w:r>
          </w:p>
        </w:tc>
      </w:tr>
      <w:tr w:rsidR="00F65705" w:rsidRPr="00F65705" w14:paraId="4E5D48CA" w14:textId="77777777" w:rsidTr="00DC62CD">
        <w:trPr>
          <w:trHeight w:val="300"/>
          <w:jc w:val="center"/>
        </w:trPr>
        <w:tc>
          <w:tcPr>
            <w:tcW w:w="1556" w:type="pct"/>
            <w:vMerge/>
            <w:hideMark/>
          </w:tcPr>
          <w:p w14:paraId="2ED87852" w14:textId="77777777" w:rsidR="00865C8A" w:rsidRPr="00F65705" w:rsidRDefault="00865C8A" w:rsidP="00DC62CD">
            <w:pPr>
              <w:rPr>
                <w:rFonts w:asciiTheme="minorHAnsi" w:hAnsiTheme="minorHAnsi" w:cstheme="minorHAnsi"/>
                <w:b/>
                <w:bCs/>
                <w:sz w:val="22"/>
                <w:szCs w:val="22"/>
              </w:rPr>
            </w:pPr>
          </w:p>
        </w:tc>
        <w:tc>
          <w:tcPr>
            <w:tcW w:w="3444" w:type="pct"/>
            <w:hideMark/>
          </w:tcPr>
          <w:p w14:paraId="418CB735" w14:textId="77777777" w:rsidR="00865C8A" w:rsidRPr="00F65705" w:rsidRDefault="00865C8A" w:rsidP="00DC62CD">
            <w:pPr>
              <w:jc w:val="center"/>
              <w:rPr>
                <w:rFonts w:asciiTheme="minorHAnsi" w:hAnsiTheme="minorHAnsi"/>
                <w:sz w:val="22"/>
                <w:u w:val="single"/>
              </w:rPr>
            </w:pPr>
            <w:r w:rsidRPr="00F65705">
              <w:rPr>
                <w:rFonts w:asciiTheme="minorHAnsi" w:hAnsiTheme="minorHAnsi"/>
                <w:sz w:val="22"/>
                <w:u w:val="single"/>
              </w:rPr>
              <w:t>Post Listing Fee Point</w:t>
            </w:r>
          </w:p>
        </w:tc>
      </w:tr>
      <w:tr w:rsidR="00F65705" w:rsidRPr="00F65705" w14:paraId="1945A172" w14:textId="77777777" w:rsidTr="00DC62CD">
        <w:trPr>
          <w:trHeight w:val="300"/>
          <w:jc w:val="center"/>
        </w:trPr>
        <w:tc>
          <w:tcPr>
            <w:tcW w:w="1556" w:type="pct"/>
            <w:vMerge/>
            <w:hideMark/>
          </w:tcPr>
          <w:p w14:paraId="6BBE53BC" w14:textId="77777777" w:rsidR="00865C8A" w:rsidRPr="00F65705" w:rsidRDefault="00865C8A" w:rsidP="00DC62CD">
            <w:pPr>
              <w:rPr>
                <w:rFonts w:asciiTheme="minorHAnsi" w:hAnsiTheme="minorHAnsi" w:cstheme="minorHAnsi"/>
                <w:b/>
                <w:bCs/>
                <w:sz w:val="22"/>
                <w:szCs w:val="22"/>
              </w:rPr>
            </w:pPr>
          </w:p>
        </w:tc>
        <w:tc>
          <w:tcPr>
            <w:tcW w:w="3444" w:type="pct"/>
            <w:hideMark/>
          </w:tcPr>
          <w:p w14:paraId="7F9F31C7" w14:textId="77777777" w:rsidR="00865C8A" w:rsidRPr="00F65705" w:rsidRDefault="00865C8A" w:rsidP="00DC62CD">
            <w:pPr>
              <w:jc w:val="center"/>
              <w:rPr>
                <w:rFonts w:asciiTheme="minorHAnsi" w:hAnsiTheme="minorHAnsi"/>
                <w:sz w:val="22"/>
              </w:rPr>
            </w:pPr>
            <w:r w:rsidRPr="00F65705">
              <w:rPr>
                <w:rFonts w:asciiTheme="minorHAnsi" w:hAnsiTheme="minorHAnsi"/>
                <w:sz w:val="22"/>
              </w:rPr>
              <w:t>Actioning the requested post listing activity</w:t>
            </w:r>
          </w:p>
        </w:tc>
      </w:tr>
    </w:tbl>
    <w:p w14:paraId="1A0AC3FB" w14:textId="77777777" w:rsidR="00865C8A" w:rsidRPr="00F65705" w:rsidRDefault="00865C8A" w:rsidP="00865C8A">
      <w:pPr>
        <w:spacing w:before="600"/>
        <w:rPr>
          <w:rFonts w:asciiTheme="minorHAnsi" w:hAnsiTheme="minorHAnsi"/>
          <w:b/>
          <w:sz w:val="28"/>
          <w:szCs w:val="28"/>
          <w:highlight w:val="yellow"/>
        </w:rPr>
      </w:pPr>
      <w:bookmarkStart w:id="9" w:name="_Hlk109125889"/>
      <w:r w:rsidRPr="00F65705">
        <w:rPr>
          <w:rFonts w:asciiTheme="minorHAnsi" w:hAnsiTheme="minorHAnsi"/>
          <w:b/>
          <w:sz w:val="28"/>
          <w:szCs w:val="28"/>
        </w:rPr>
        <w:t xml:space="preserve">4. </w:t>
      </w:r>
      <w:r w:rsidRPr="00F65705">
        <w:rPr>
          <w:rFonts w:asciiTheme="minorHAnsi" w:hAnsiTheme="minorHAnsi"/>
          <w:b/>
          <w:sz w:val="28"/>
          <w:szCs w:val="28"/>
        </w:rPr>
        <w:tab/>
        <w:t>RISK ASSESSMENT</w:t>
      </w:r>
    </w:p>
    <w:p w14:paraId="2A0D3EF7" w14:textId="29712522" w:rsidR="00865C8A" w:rsidRPr="00F65705" w:rsidRDefault="00865C8A" w:rsidP="00865C8A">
      <w:pPr>
        <w:spacing w:before="120" w:after="120"/>
        <w:rPr>
          <w:rFonts w:asciiTheme="minorHAnsi" w:hAnsiTheme="minorHAnsi" w:cstheme="minorHAnsi"/>
          <w:iCs/>
          <w:sz w:val="22"/>
          <w:szCs w:val="22"/>
        </w:rPr>
      </w:pPr>
      <w:r w:rsidRPr="00F65705">
        <w:rPr>
          <w:rFonts w:asciiTheme="minorHAnsi" w:hAnsiTheme="minorHAnsi" w:cstheme="minorHAnsi"/>
          <w:iCs/>
          <w:sz w:val="22"/>
          <w:szCs w:val="22"/>
        </w:rPr>
        <w:t xml:space="preserve">A Charging Risk Assessment (CRA) was undertaken for the revised model in </w:t>
      </w:r>
      <w:r w:rsidR="00220F10" w:rsidRPr="00F65705">
        <w:rPr>
          <w:rFonts w:asciiTheme="minorHAnsi" w:hAnsiTheme="minorHAnsi" w:cstheme="minorHAnsi"/>
          <w:iCs/>
          <w:sz w:val="22"/>
          <w:szCs w:val="22"/>
        </w:rPr>
        <w:t xml:space="preserve">May </w:t>
      </w:r>
      <w:r w:rsidRPr="00F65705">
        <w:rPr>
          <w:rFonts w:asciiTheme="minorHAnsi" w:hAnsiTheme="minorHAnsi" w:cstheme="minorHAnsi"/>
          <w:iCs/>
          <w:sz w:val="22"/>
          <w:szCs w:val="22"/>
        </w:rPr>
        <w:t>202</w:t>
      </w:r>
      <w:r w:rsidR="00220F10" w:rsidRPr="00F65705">
        <w:rPr>
          <w:rFonts w:asciiTheme="minorHAnsi" w:hAnsiTheme="minorHAnsi" w:cstheme="minorHAnsi"/>
          <w:iCs/>
          <w:sz w:val="22"/>
          <w:szCs w:val="22"/>
        </w:rPr>
        <w:t>3</w:t>
      </w:r>
      <w:r w:rsidRPr="00F65705">
        <w:rPr>
          <w:rFonts w:asciiTheme="minorHAnsi" w:hAnsiTheme="minorHAnsi" w:cstheme="minorHAnsi"/>
          <w:iCs/>
          <w:sz w:val="22"/>
          <w:szCs w:val="22"/>
        </w:rPr>
        <w:t xml:space="preserve">, with an overall risk rating of ‘low’. This was due to there being no change to the cost recovery activity or policy that was previously approved by the Government and no change to the existing approved fee structure. </w:t>
      </w:r>
    </w:p>
    <w:p w14:paraId="593547D8" w14:textId="77777777" w:rsidR="00865C8A" w:rsidRPr="00F65705" w:rsidRDefault="00865C8A" w:rsidP="00865C8A">
      <w:pPr>
        <w:spacing w:before="600"/>
        <w:rPr>
          <w:rFonts w:asciiTheme="minorHAnsi" w:hAnsiTheme="minorHAnsi"/>
          <w:b/>
          <w:sz w:val="28"/>
          <w:szCs w:val="28"/>
        </w:rPr>
      </w:pPr>
      <w:r w:rsidRPr="00F65705">
        <w:rPr>
          <w:rFonts w:asciiTheme="minorHAnsi" w:hAnsiTheme="minorHAnsi"/>
          <w:b/>
          <w:sz w:val="28"/>
          <w:szCs w:val="28"/>
        </w:rPr>
        <w:t xml:space="preserve">5. </w:t>
      </w:r>
      <w:r w:rsidRPr="00F65705">
        <w:rPr>
          <w:rFonts w:asciiTheme="minorHAnsi" w:hAnsiTheme="minorHAnsi"/>
          <w:b/>
          <w:sz w:val="28"/>
          <w:szCs w:val="28"/>
        </w:rPr>
        <w:tab/>
        <w:t>STAKEHOLDER ENGAGEMENT</w:t>
      </w:r>
    </w:p>
    <w:bookmarkEnd w:id="9"/>
    <w:p w14:paraId="6C12198F" w14:textId="38F2B7E7" w:rsidR="00865C8A" w:rsidRPr="00F65705" w:rsidRDefault="00865C8A" w:rsidP="00865C8A">
      <w:pPr>
        <w:spacing w:before="120" w:after="120"/>
        <w:rPr>
          <w:rFonts w:asciiTheme="minorHAnsi" w:hAnsiTheme="minorHAnsi" w:cstheme="minorHAnsi"/>
          <w:iCs/>
          <w:sz w:val="22"/>
          <w:szCs w:val="22"/>
        </w:rPr>
      </w:pPr>
      <w:r w:rsidRPr="00F65705">
        <w:rPr>
          <w:rFonts w:asciiTheme="minorHAnsi" w:hAnsiTheme="minorHAnsi" w:cstheme="minorHAnsi"/>
          <w:iCs/>
          <w:sz w:val="22"/>
          <w:szCs w:val="22"/>
        </w:rPr>
        <w:t xml:space="preserve">The Department’s stakeholder engagement strategy for cost recovery arrangements allows for regular, transparent and timely consultation with pharmaceutical industry stakeholders via the Access to Medicines Working Group (AMWG). The AMWG is the primary consultative, policy development and delivery forum for the Government and innovating medicines sector. It allows for stakeholder engagement on PBS cost recovery, ongoing PBS process improvements, and collaboration to address priorities of the Strategic Agreement. Meetings of the AMWG are held twice a year, with further consultation conducted out of session. Further information on the AMWG, including meeting communiques, can be found on the PBS website at </w:t>
      </w:r>
      <w:hyperlink r:id="rId12" w:history="1">
        <w:r w:rsidR="00171C1E" w:rsidRPr="00F65705">
          <w:rPr>
            <w:rStyle w:val="Hyperlink"/>
            <w:rFonts w:asciiTheme="minorHAnsi" w:hAnsiTheme="minorHAnsi" w:cstheme="minorHAnsi"/>
            <w:iCs/>
            <w:color w:val="auto"/>
            <w:sz w:val="22"/>
            <w:szCs w:val="22"/>
          </w:rPr>
          <w:t>https://www.pbs.gov.au/info/general/access-medicines-working-group</w:t>
        </w:r>
      </w:hyperlink>
      <w:r w:rsidR="00BE658F" w:rsidRPr="00F65705">
        <w:rPr>
          <w:rFonts w:asciiTheme="minorHAnsi" w:hAnsiTheme="minorHAnsi" w:cstheme="minorHAnsi"/>
          <w:iCs/>
          <w:sz w:val="22"/>
          <w:szCs w:val="22"/>
        </w:rPr>
        <w:t>.</w:t>
      </w:r>
    </w:p>
    <w:p w14:paraId="0D6B78F7" w14:textId="65848D32" w:rsidR="00865C8A" w:rsidRPr="00F65705" w:rsidRDefault="00865C8A" w:rsidP="00865C8A">
      <w:pPr>
        <w:spacing w:before="120" w:after="120"/>
        <w:rPr>
          <w:rFonts w:asciiTheme="minorHAnsi" w:hAnsiTheme="minorHAnsi" w:cstheme="minorHAnsi"/>
          <w:iCs/>
          <w:sz w:val="22"/>
          <w:szCs w:val="22"/>
        </w:rPr>
      </w:pPr>
      <w:r w:rsidRPr="00F65705">
        <w:rPr>
          <w:rFonts w:asciiTheme="minorHAnsi" w:hAnsiTheme="minorHAnsi" w:cstheme="minorHAnsi"/>
          <w:iCs/>
          <w:sz w:val="22"/>
          <w:szCs w:val="22"/>
        </w:rPr>
        <w:t>Further public consultation occurs via industry comment on the CRIS. Prior to the current consultation process, the most recent CRIS consultation was undertaken in May 202</w:t>
      </w:r>
      <w:r w:rsidR="00171C1E" w:rsidRPr="00F65705">
        <w:rPr>
          <w:rFonts w:asciiTheme="minorHAnsi" w:hAnsiTheme="minorHAnsi" w:cstheme="minorHAnsi"/>
          <w:iCs/>
          <w:sz w:val="22"/>
          <w:szCs w:val="22"/>
        </w:rPr>
        <w:t>3</w:t>
      </w:r>
      <w:r w:rsidRPr="00F65705">
        <w:rPr>
          <w:rFonts w:asciiTheme="minorHAnsi" w:hAnsiTheme="minorHAnsi" w:cstheme="minorHAnsi"/>
          <w:iCs/>
          <w:sz w:val="22"/>
          <w:szCs w:val="22"/>
        </w:rPr>
        <w:t xml:space="preserve"> before the publication of the final 202</w:t>
      </w:r>
      <w:r w:rsidR="00171C1E" w:rsidRPr="00F65705">
        <w:rPr>
          <w:rFonts w:asciiTheme="minorHAnsi" w:hAnsiTheme="minorHAnsi" w:cstheme="minorHAnsi"/>
          <w:iCs/>
          <w:sz w:val="22"/>
          <w:szCs w:val="22"/>
        </w:rPr>
        <w:t>3</w:t>
      </w:r>
      <w:r w:rsidRPr="00F65705">
        <w:rPr>
          <w:rFonts w:asciiTheme="minorHAnsi" w:hAnsiTheme="minorHAnsi" w:cstheme="minorHAnsi"/>
          <w:iCs/>
          <w:sz w:val="22"/>
          <w:szCs w:val="22"/>
        </w:rPr>
        <w:t>-2</w:t>
      </w:r>
      <w:r w:rsidR="00171C1E" w:rsidRPr="00F65705">
        <w:rPr>
          <w:rFonts w:asciiTheme="minorHAnsi" w:hAnsiTheme="minorHAnsi" w:cstheme="minorHAnsi"/>
          <w:iCs/>
          <w:sz w:val="22"/>
          <w:szCs w:val="22"/>
        </w:rPr>
        <w:t>4</w:t>
      </w:r>
      <w:r w:rsidRPr="00F65705">
        <w:rPr>
          <w:rFonts w:asciiTheme="minorHAnsi" w:hAnsiTheme="minorHAnsi" w:cstheme="minorHAnsi"/>
          <w:iCs/>
          <w:sz w:val="22"/>
          <w:szCs w:val="22"/>
        </w:rPr>
        <w:t xml:space="preserve"> CRIS. Seven submissions were received from relevant medicine industry stakeholders. These submissions are summarised at </w:t>
      </w:r>
      <w:r w:rsidRPr="00F65705">
        <w:rPr>
          <w:rFonts w:asciiTheme="minorHAnsi" w:hAnsiTheme="minorHAnsi" w:cstheme="minorHAnsi"/>
          <w:b/>
          <w:bCs/>
          <w:iCs/>
          <w:sz w:val="22"/>
          <w:szCs w:val="22"/>
        </w:rPr>
        <w:t>Attachment A,</w:t>
      </w:r>
      <w:r w:rsidRPr="00F65705">
        <w:rPr>
          <w:rFonts w:asciiTheme="minorHAnsi" w:hAnsiTheme="minorHAnsi" w:cstheme="minorHAnsi"/>
          <w:iCs/>
          <w:sz w:val="22"/>
          <w:szCs w:val="22"/>
        </w:rPr>
        <w:t xml:space="preserve"> alongside Departmental response to feedback raised in those submissions. </w:t>
      </w:r>
    </w:p>
    <w:p w14:paraId="6F0C5280" w14:textId="30B54BB2" w:rsidR="00865C8A" w:rsidRPr="00F65705" w:rsidRDefault="00865C8A" w:rsidP="00865C8A">
      <w:pPr>
        <w:spacing w:before="120" w:after="120"/>
        <w:rPr>
          <w:rFonts w:asciiTheme="minorHAnsi" w:hAnsiTheme="minorHAnsi" w:cstheme="minorHAnsi"/>
          <w:iCs/>
          <w:sz w:val="22"/>
          <w:szCs w:val="22"/>
        </w:rPr>
      </w:pPr>
      <w:r w:rsidRPr="00F65705">
        <w:rPr>
          <w:rFonts w:asciiTheme="minorHAnsi" w:hAnsiTheme="minorHAnsi" w:cstheme="minorHAnsi"/>
          <w:iCs/>
          <w:sz w:val="22"/>
          <w:szCs w:val="22"/>
        </w:rPr>
        <w:t xml:space="preserve">The outcomes of the current round of consultation regarding the draft 2023-24 CRIS </w:t>
      </w:r>
      <w:r w:rsidR="00DC0632" w:rsidRPr="00F65705">
        <w:rPr>
          <w:rFonts w:asciiTheme="minorHAnsi" w:hAnsiTheme="minorHAnsi" w:cstheme="minorHAnsi"/>
          <w:iCs/>
          <w:sz w:val="22"/>
          <w:szCs w:val="22"/>
        </w:rPr>
        <w:t>are</w:t>
      </w:r>
      <w:r w:rsidRPr="00F65705">
        <w:rPr>
          <w:rFonts w:asciiTheme="minorHAnsi" w:hAnsiTheme="minorHAnsi" w:cstheme="minorHAnsi"/>
          <w:iCs/>
          <w:sz w:val="22"/>
          <w:szCs w:val="22"/>
        </w:rPr>
        <w:t xml:space="preserve"> summarised and published at </w:t>
      </w:r>
      <w:r w:rsidRPr="00F65705">
        <w:rPr>
          <w:rFonts w:asciiTheme="minorHAnsi" w:hAnsiTheme="minorHAnsi" w:cstheme="minorHAnsi"/>
          <w:b/>
          <w:bCs/>
          <w:iCs/>
          <w:sz w:val="22"/>
          <w:szCs w:val="22"/>
        </w:rPr>
        <w:t>Attachment A</w:t>
      </w:r>
      <w:r w:rsidRPr="00F65705">
        <w:rPr>
          <w:rFonts w:asciiTheme="minorHAnsi" w:hAnsiTheme="minorHAnsi" w:cstheme="minorHAnsi"/>
          <w:iCs/>
          <w:sz w:val="22"/>
          <w:szCs w:val="22"/>
        </w:rPr>
        <w:t xml:space="preserve">. </w:t>
      </w:r>
      <w:r w:rsidRPr="00F65705">
        <w:rPr>
          <w:rFonts w:asciiTheme="minorHAnsi" w:hAnsiTheme="minorHAnsi" w:cstheme="minorHAnsi"/>
          <w:iCs/>
          <w:sz w:val="22"/>
          <w:szCs w:val="22"/>
        </w:rPr>
        <w:br/>
      </w:r>
    </w:p>
    <w:p w14:paraId="46C5F03C" w14:textId="77777777" w:rsidR="00865C8A" w:rsidRPr="00F65705" w:rsidRDefault="00865C8A" w:rsidP="00865C8A">
      <w:pPr>
        <w:spacing w:before="120" w:after="120"/>
        <w:rPr>
          <w:rFonts w:asciiTheme="minorHAnsi" w:hAnsiTheme="minorHAnsi" w:cstheme="minorHAnsi"/>
          <w:sz w:val="22"/>
          <w:szCs w:val="22"/>
        </w:rPr>
      </w:pPr>
      <w:r w:rsidRPr="00F65705">
        <w:rPr>
          <w:rFonts w:asciiTheme="minorHAnsi" w:hAnsiTheme="minorHAnsi"/>
          <w:b/>
          <w:sz w:val="28"/>
        </w:rPr>
        <w:t>6.</w:t>
      </w:r>
      <w:r w:rsidRPr="00F65705">
        <w:rPr>
          <w:rFonts w:asciiTheme="minorHAnsi" w:hAnsiTheme="minorHAnsi"/>
          <w:b/>
          <w:sz w:val="28"/>
        </w:rPr>
        <w:tab/>
      </w:r>
      <w:r w:rsidRPr="00F65705">
        <w:rPr>
          <w:rFonts w:asciiTheme="minorHAnsi" w:hAnsiTheme="minorHAnsi"/>
          <w:b/>
          <w:sz w:val="28"/>
          <w:szCs w:val="28"/>
        </w:rPr>
        <w:t>FINANCIAL ESTIMATES</w:t>
      </w:r>
      <w:r w:rsidRPr="00F65705">
        <w:rPr>
          <w:rFonts w:asciiTheme="minorHAnsi" w:hAnsiTheme="minorHAnsi"/>
          <w:b/>
          <w:sz w:val="28"/>
          <w:szCs w:val="28"/>
        </w:rPr>
        <w:tab/>
      </w:r>
    </w:p>
    <w:p w14:paraId="329E11D4" w14:textId="3DCF8CB1" w:rsidR="00865C8A" w:rsidRPr="00F65705" w:rsidRDefault="00865C8A" w:rsidP="00865C8A">
      <w:pPr>
        <w:spacing w:before="120" w:after="120"/>
        <w:rPr>
          <w:rFonts w:asciiTheme="minorHAnsi" w:hAnsiTheme="minorHAnsi" w:cstheme="minorHAnsi"/>
          <w:iCs/>
          <w:sz w:val="22"/>
          <w:szCs w:val="22"/>
        </w:rPr>
      </w:pPr>
      <w:r w:rsidRPr="00F65705">
        <w:rPr>
          <w:rFonts w:asciiTheme="minorHAnsi" w:hAnsiTheme="minorHAnsi" w:cstheme="minorHAnsi"/>
          <w:iCs/>
          <w:sz w:val="22"/>
          <w:szCs w:val="22"/>
        </w:rPr>
        <w:t xml:space="preserve">The forecast expenses of the partial cost recovery </w:t>
      </w:r>
      <w:r w:rsidR="00D105EA" w:rsidRPr="00F65705">
        <w:rPr>
          <w:rFonts w:asciiTheme="minorHAnsi" w:hAnsiTheme="minorHAnsi" w:cstheme="minorHAnsi"/>
          <w:iCs/>
          <w:sz w:val="22"/>
          <w:szCs w:val="22"/>
        </w:rPr>
        <w:t>arrangements</w:t>
      </w:r>
      <w:r w:rsidRPr="00F65705">
        <w:rPr>
          <w:rFonts w:asciiTheme="minorHAnsi" w:hAnsiTheme="minorHAnsi" w:cstheme="minorHAnsi"/>
          <w:iCs/>
          <w:sz w:val="22"/>
          <w:szCs w:val="22"/>
        </w:rPr>
        <w:t xml:space="preserve"> along with the estimated revenue for </w:t>
      </w:r>
      <w:r w:rsidR="00F46072" w:rsidRPr="00F65705">
        <w:rPr>
          <w:rFonts w:asciiTheme="minorHAnsi" w:hAnsiTheme="minorHAnsi" w:cstheme="minorHAnsi"/>
          <w:iCs/>
          <w:sz w:val="22"/>
          <w:szCs w:val="22"/>
        </w:rPr>
        <w:t xml:space="preserve">the </w:t>
      </w:r>
      <w:r w:rsidR="00D105EA" w:rsidRPr="00F65705">
        <w:rPr>
          <w:rFonts w:asciiTheme="minorHAnsi" w:hAnsiTheme="minorHAnsi" w:cstheme="minorHAnsi"/>
          <w:iCs/>
          <w:sz w:val="22"/>
          <w:szCs w:val="22"/>
        </w:rPr>
        <w:t>2023-24</w:t>
      </w:r>
      <w:r w:rsidRPr="00F65705">
        <w:rPr>
          <w:rFonts w:asciiTheme="minorHAnsi" w:hAnsiTheme="minorHAnsi" w:cstheme="minorHAnsi"/>
          <w:iCs/>
          <w:sz w:val="22"/>
          <w:szCs w:val="22"/>
        </w:rPr>
        <w:t xml:space="preserve"> </w:t>
      </w:r>
      <w:r w:rsidR="00D105EA" w:rsidRPr="00F65705">
        <w:rPr>
          <w:rFonts w:asciiTheme="minorHAnsi" w:hAnsiTheme="minorHAnsi" w:cstheme="minorHAnsi"/>
          <w:iCs/>
          <w:sz w:val="22"/>
          <w:szCs w:val="22"/>
        </w:rPr>
        <w:t xml:space="preserve">financial year </w:t>
      </w:r>
      <w:r w:rsidRPr="00F65705">
        <w:rPr>
          <w:rFonts w:asciiTheme="minorHAnsi" w:hAnsiTheme="minorHAnsi" w:cstheme="minorHAnsi"/>
          <w:iCs/>
          <w:sz w:val="22"/>
          <w:szCs w:val="22"/>
        </w:rPr>
        <w:t xml:space="preserve">and three forward years are in Table 10 below. </w:t>
      </w:r>
    </w:p>
    <w:p w14:paraId="751EB84C" w14:textId="7C9B3D8A" w:rsidR="00865C8A" w:rsidRPr="00F65705" w:rsidRDefault="00865C8A" w:rsidP="00865C8A">
      <w:pPr>
        <w:spacing w:after="120"/>
        <w:rPr>
          <w:rFonts w:asciiTheme="minorHAnsi" w:hAnsiTheme="minorHAnsi" w:cstheme="minorHAnsi"/>
          <w:iCs/>
          <w:sz w:val="22"/>
          <w:szCs w:val="22"/>
        </w:rPr>
      </w:pPr>
      <w:r w:rsidRPr="00F65705">
        <w:rPr>
          <w:rFonts w:asciiTheme="minorHAnsi" w:hAnsiTheme="minorHAnsi" w:cstheme="minorHAnsi"/>
          <w:iCs/>
          <w:sz w:val="22"/>
          <w:szCs w:val="22"/>
        </w:rPr>
        <w:lastRenderedPageBreak/>
        <w:t xml:space="preserve">There is an ongoing net </w:t>
      </w:r>
      <w:r w:rsidR="00D105EA" w:rsidRPr="00F65705">
        <w:rPr>
          <w:rFonts w:asciiTheme="minorHAnsi" w:hAnsiTheme="minorHAnsi" w:cstheme="minorHAnsi"/>
          <w:iCs/>
          <w:sz w:val="22"/>
          <w:szCs w:val="22"/>
        </w:rPr>
        <w:t>deficit which is supplemented by a</w:t>
      </w:r>
      <w:r w:rsidRPr="00F65705">
        <w:rPr>
          <w:rFonts w:asciiTheme="minorHAnsi" w:hAnsiTheme="minorHAnsi" w:cstheme="minorHAnsi"/>
          <w:iCs/>
          <w:sz w:val="22"/>
          <w:szCs w:val="22"/>
        </w:rPr>
        <w:t xml:space="preserve"> </w:t>
      </w:r>
      <w:proofErr w:type="gramStart"/>
      <w:r w:rsidRPr="00F65705">
        <w:rPr>
          <w:rFonts w:asciiTheme="minorHAnsi" w:hAnsiTheme="minorHAnsi" w:cstheme="minorHAnsi"/>
          <w:iCs/>
          <w:sz w:val="22"/>
          <w:szCs w:val="22"/>
        </w:rPr>
        <w:t>Government</w:t>
      </w:r>
      <w:proofErr w:type="gramEnd"/>
      <w:r w:rsidRPr="00F65705">
        <w:rPr>
          <w:rFonts w:asciiTheme="minorHAnsi" w:hAnsiTheme="minorHAnsi" w:cstheme="minorHAnsi"/>
          <w:iCs/>
          <w:sz w:val="22"/>
          <w:szCs w:val="22"/>
        </w:rPr>
        <w:t xml:space="preserve"> appropriation to the Department to cover the shortfall). Forward projections demonstrate the difference between expenses and revenue increases every year. </w:t>
      </w:r>
    </w:p>
    <w:p w14:paraId="369123FC" w14:textId="77777777" w:rsidR="00865C8A" w:rsidRPr="00F65705" w:rsidRDefault="00865C8A" w:rsidP="00865C8A">
      <w:pPr>
        <w:spacing w:after="120"/>
        <w:rPr>
          <w:rFonts w:asciiTheme="minorHAnsi" w:hAnsiTheme="minorHAnsi" w:cstheme="minorHAnsi"/>
          <w:iCs/>
          <w:sz w:val="22"/>
          <w:szCs w:val="22"/>
        </w:rPr>
      </w:pPr>
      <w:r w:rsidRPr="00F65705">
        <w:rPr>
          <w:rFonts w:asciiTheme="minorHAnsi" w:hAnsiTheme="minorHAnsi" w:cstheme="minorHAnsi"/>
          <w:iCs/>
          <w:sz w:val="22"/>
          <w:szCs w:val="22"/>
        </w:rPr>
        <w:t>Should there be any change to the underlying cost recovery model, a new financial estimates table will be provided.</w:t>
      </w:r>
    </w:p>
    <w:p w14:paraId="791E556F" w14:textId="285E0C29" w:rsidR="00865C8A" w:rsidRPr="00F65705" w:rsidRDefault="00865C8A" w:rsidP="00865C8A">
      <w:pPr>
        <w:spacing w:after="120"/>
        <w:rPr>
          <w:rFonts w:asciiTheme="minorHAnsi" w:hAnsiTheme="minorHAnsi" w:cstheme="minorHAnsi"/>
          <w:iCs/>
          <w:sz w:val="22"/>
          <w:szCs w:val="22"/>
        </w:rPr>
      </w:pPr>
      <w:r w:rsidRPr="00F65705">
        <w:rPr>
          <w:rFonts w:asciiTheme="minorHAnsi" w:hAnsiTheme="minorHAnsi"/>
          <w:b/>
          <w:sz w:val="22"/>
          <w:szCs w:val="22"/>
        </w:rPr>
        <w:t>Table 10 – Financial estimates for PBAC cost recovery activities for 202</w:t>
      </w:r>
      <w:r w:rsidR="00B32408" w:rsidRPr="00F65705">
        <w:rPr>
          <w:rFonts w:asciiTheme="minorHAnsi" w:hAnsiTheme="minorHAnsi"/>
          <w:b/>
          <w:sz w:val="22"/>
          <w:szCs w:val="22"/>
        </w:rPr>
        <w:t>3</w:t>
      </w:r>
      <w:r w:rsidRPr="00F65705">
        <w:rPr>
          <w:rFonts w:asciiTheme="minorHAnsi" w:hAnsiTheme="minorHAnsi"/>
          <w:b/>
          <w:sz w:val="22"/>
          <w:szCs w:val="22"/>
        </w:rPr>
        <w:t>-2</w:t>
      </w:r>
      <w:r w:rsidR="00B32408" w:rsidRPr="00F65705">
        <w:rPr>
          <w:rFonts w:asciiTheme="minorHAnsi" w:hAnsiTheme="minorHAnsi"/>
          <w:b/>
          <w:sz w:val="22"/>
          <w:szCs w:val="22"/>
        </w:rPr>
        <w:t>4</w:t>
      </w:r>
      <w:r w:rsidRPr="00F65705">
        <w:rPr>
          <w:rFonts w:asciiTheme="minorHAnsi" w:hAnsiTheme="minorHAnsi"/>
          <w:b/>
          <w:sz w:val="22"/>
          <w:szCs w:val="22"/>
        </w:rPr>
        <w:t xml:space="preserve"> and three forward </w:t>
      </w:r>
      <w:proofErr w:type="gramStart"/>
      <w:r w:rsidRPr="00F65705">
        <w:rPr>
          <w:rFonts w:asciiTheme="minorHAnsi" w:hAnsiTheme="minorHAnsi"/>
          <w:b/>
          <w:sz w:val="22"/>
          <w:szCs w:val="22"/>
        </w:rPr>
        <w:t>years</w:t>
      </w:r>
      <w:proofErr w:type="gramEnd"/>
    </w:p>
    <w:tbl>
      <w:tblPr>
        <w:tblStyle w:val="GridTable4"/>
        <w:tblW w:w="5000" w:type="pct"/>
        <w:jc w:val="center"/>
        <w:tblLayout w:type="fixed"/>
        <w:tblLook w:val="0620" w:firstRow="1" w:lastRow="0" w:firstColumn="0" w:lastColumn="0" w:noHBand="1" w:noVBand="1"/>
        <w:tblCaption w:val="Table 12 - Financial estimates for PBAC cost recovery activities for 2020-21 and three forward years"/>
        <w:tblDescription w:val="This table outlines the financial estimates for the existing cost recovery activities for the 2020-21 financial year and the three forward years."/>
      </w:tblPr>
      <w:tblGrid>
        <w:gridCol w:w="2704"/>
        <w:gridCol w:w="1731"/>
        <w:gridCol w:w="1731"/>
        <w:gridCol w:w="1731"/>
        <w:gridCol w:w="1731"/>
      </w:tblGrid>
      <w:tr w:rsidR="00F65705" w:rsidRPr="00F65705" w14:paraId="58C4BE87" w14:textId="2F521C1A" w:rsidTr="00AA2294">
        <w:trPr>
          <w:cnfStyle w:val="100000000000" w:firstRow="1" w:lastRow="0" w:firstColumn="0" w:lastColumn="0" w:oddVBand="0" w:evenVBand="0" w:oddHBand="0" w:evenHBand="0" w:firstRowFirstColumn="0" w:firstRowLastColumn="0" w:lastRowFirstColumn="0" w:lastRowLastColumn="0"/>
          <w:trHeight w:val="891"/>
          <w:tblHeader/>
          <w:jc w:val="center"/>
        </w:trPr>
        <w:tc>
          <w:tcPr>
            <w:tcW w:w="1404"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1BC069D4" w14:textId="77777777" w:rsidR="00AA2294" w:rsidRPr="00F65705" w:rsidRDefault="00AA2294" w:rsidP="00AA2294">
            <w:pPr>
              <w:rPr>
                <w:rFonts w:asciiTheme="minorHAnsi" w:hAnsiTheme="minorHAnsi" w:cstheme="minorHAnsi"/>
                <w:bCs w:val="0"/>
                <w:color w:val="auto"/>
                <w:sz w:val="22"/>
                <w:szCs w:val="22"/>
              </w:rPr>
            </w:pPr>
            <w:r w:rsidRPr="00F65705">
              <w:rPr>
                <w:rFonts w:asciiTheme="minorHAnsi" w:hAnsiTheme="minorHAnsi" w:cstheme="minorHAnsi"/>
                <w:color w:val="auto"/>
                <w:sz w:val="22"/>
                <w:szCs w:val="22"/>
              </w:rPr>
              <w:t>Forecast Financial Estimates</w:t>
            </w:r>
          </w:p>
        </w:tc>
        <w:tc>
          <w:tcPr>
            <w:tcW w:w="89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EA1E4F8" w14:textId="77777777" w:rsidR="005C6E68" w:rsidRPr="00F65705" w:rsidRDefault="005C6E68" w:rsidP="005C6E68">
            <w:pPr>
              <w:jc w:val="center"/>
              <w:rPr>
                <w:rFonts w:asciiTheme="minorHAnsi" w:hAnsiTheme="minorHAnsi"/>
                <w:color w:val="auto"/>
                <w:sz w:val="22"/>
              </w:rPr>
            </w:pPr>
            <w:r w:rsidRPr="00F65705">
              <w:rPr>
                <w:rFonts w:asciiTheme="minorHAnsi" w:hAnsiTheme="minorHAnsi"/>
                <w:color w:val="auto"/>
                <w:sz w:val="22"/>
              </w:rPr>
              <w:t>2023-24</w:t>
            </w:r>
          </w:p>
          <w:p w14:paraId="384A7159" w14:textId="23DA00FF" w:rsidR="00AA2294" w:rsidRPr="00F65705" w:rsidRDefault="005C6E68" w:rsidP="005C6E68">
            <w:pPr>
              <w:jc w:val="center"/>
              <w:rPr>
                <w:rFonts w:asciiTheme="minorHAnsi" w:hAnsiTheme="minorHAnsi"/>
                <w:color w:val="auto"/>
                <w:sz w:val="22"/>
              </w:rPr>
            </w:pPr>
            <w:r w:rsidRPr="00F65705">
              <w:rPr>
                <w:rFonts w:asciiTheme="minorHAnsi" w:hAnsiTheme="minorHAnsi"/>
                <w:color w:val="auto"/>
                <w:sz w:val="22"/>
              </w:rPr>
              <w:t>($million)</w:t>
            </w:r>
          </w:p>
        </w:tc>
        <w:tc>
          <w:tcPr>
            <w:tcW w:w="89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5B08725" w14:textId="77777777" w:rsidR="00AA2294" w:rsidRPr="00F65705" w:rsidRDefault="00AA2294" w:rsidP="00AA2294">
            <w:pPr>
              <w:jc w:val="center"/>
              <w:rPr>
                <w:rFonts w:asciiTheme="minorHAnsi" w:hAnsiTheme="minorHAnsi"/>
                <w:color w:val="auto"/>
                <w:sz w:val="22"/>
              </w:rPr>
            </w:pPr>
            <w:r w:rsidRPr="00F65705">
              <w:rPr>
                <w:rFonts w:asciiTheme="minorHAnsi" w:hAnsiTheme="minorHAnsi" w:cstheme="minorHAnsi"/>
                <w:color w:val="auto"/>
                <w:sz w:val="22"/>
                <w:szCs w:val="22"/>
              </w:rPr>
              <w:t xml:space="preserve">2024-25 </w:t>
            </w:r>
          </w:p>
          <w:p w14:paraId="4CD31B73" w14:textId="003D6844" w:rsidR="00AA2294" w:rsidRPr="00F65705" w:rsidRDefault="00AA2294" w:rsidP="00AA2294">
            <w:pPr>
              <w:jc w:val="center"/>
              <w:rPr>
                <w:rFonts w:asciiTheme="minorHAnsi" w:hAnsiTheme="minorHAnsi"/>
                <w:color w:val="auto"/>
                <w:sz w:val="22"/>
              </w:rPr>
            </w:pPr>
            <w:r w:rsidRPr="00F65705">
              <w:rPr>
                <w:rFonts w:asciiTheme="minorHAnsi" w:hAnsiTheme="minorHAnsi" w:cstheme="minorHAnsi"/>
                <w:color w:val="auto"/>
                <w:sz w:val="22"/>
                <w:szCs w:val="22"/>
              </w:rPr>
              <w:t>($ million)</w:t>
            </w:r>
          </w:p>
        </w:tc>
        <w:tc>
          <w:tcPr>
            <w:tcW w:w="89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ED5B9AA" w14:textId="77777777" w:rsidR="00AA2294" w:rsidRPr="00F65705" w:rsidRDefault="00AA2294" w:rsidP="00AA2294">
            <w:pPr>
              <w:jc w:val="center"/>
              <w:rPr>
                <w:rFonts w:asciiTheme="minorHAnsi" w:hAnsiTheme="minorHAnsi"/>
                <w:color w:val="auto"/>
                <w:sz w:val="22"/>
              </w:rPr>
            </w:pPr>
            <w:r w:rsidRPr="00F65705">
              <w:rPr>
                <w:rFonts w:asciiTheme="minorHAnsi" w:hAnsiTheme="minorHAnsi" w:cstheme="minorHAnsi"/>
                <w:color w:val="auto"/>
                <w:sz w:val="22"/>
                <w:szCs w:val="22"/>
              </w:rPr>
              <w:t xml:space="preserve">2025-26 </w:t>
            </w:r>
          </w:p>
          <w:p w14:paraId="3F8E7FAC" w14:textId="78409B1A" w:rsidR="00AA2294" w:rsidRPr="00F65705" w:rsidRDefault="00AA2294" w:rsidP="00AA2294">
            <w:pPr>
              <w:jc w:val="center"/>
              <w:rPr>
                <w:rFonts w:asciiTheme="minorHAnsi" w:hAnsiTheme="minorHAnsi"/>
                <w:color w:val="auto"/>
                <w:sz w:val="22"/>
              </w:rPr>
            </w:pPr>
            <w:r w:rsidRPr="00F65705">
              <w:rPr>
                <w:rFonts w:asciiTheme="minorHAnsi" w:hAnsiTheme="minorHAnsi" w:cstheme="minorHAnsi"/>
                <w:color w:val="auto"/>
                <w:sz w:val="22"/>
                <w:szCs w:val="22"/>
              </w:rPr>
              <w:t>($ million)</w:t>
            </w:r>
          </w:p>
        </w:tc>
        <w:tc>
          <w:tcPr>
            <w:tcW w:w="89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18B35B2" w14:textId="77777777" w:rsidR="00AA2294" w:rsidRPr="00F65705" w:rsidRDefault="00AA2294" w:rsidP="00AA2294">
            <w:pPr>
              <w:jc w:val="center"/>
              <w:rPr>
                <w:rFonts w:asciiTheme="minorHAnsi" w:hAnsiTheme="minorHAnsi" w:cstheme="minorHAnsi"/>
                <w:b w:val="0"/>
                <w:bCs w:val="0"/>
                <w:color w:val="auto"/>
                <w:sz w:val="22"/>
                <w:szCs w:val="22"/>
              </w:rPr>
            </w:pPr>
            <w:r w:rsidRPr="00F65705">
              <w:rPr>
                <w:rFonts w:asciiTheme="minorHAnsi" w:hAnsiTheme="minorHAnsi" w:cstheme="minorHAnsi"/>
                <w:color w:val="auto"/>
                <w:sz w:val="22"/>
                <w:szCs w:val="22"/>
              </w:rPr>
              <w:t xml:space="preserve">2026-27 </w:t>
            </w:r>
          </w:p>
          <w:p w14:paraId="7C0CD926" w14:textId="3497D43E" w:rsidR="00AA2294" w:rsidRPr="00F65705" w:rsidRDefault="00AA2294" w:rsidP="00AA2294">
            <w:pPr>
              <w:jc w:val="center"/>
              <w:rPr>
                <w:rFonts w:asciiTheme="minorHAnsi" w:hAnsiTheme="minorHAnsi" w:cstheme="minorHAnsi"/>
                <w:color w:val="auto"/>
                <w:sz w:val="22"/>
                <w:szCs w:val="22"/>
              </w:rPr>
            </w:pPr>
            <w:r w:rsidRPr="00F65705">
              <w:rPr>
                <w:rFonts w:asciiTheme="minorHAnsi" w:hAnsiTheme="minorHAnsi" w:cstheme="minorHAnsi"/>
                <w:color w:val="auto"/>
                <w:sz w:val="22"/>
                <w:szCs w:val="22"/>
              </w:rPr>
              <w:t>($ million)</w:t>
            </w:r>
          </w:p>
        </w:tc>
      </w:tr>
      <w:tr w:rsidR="00F65705" w:rsidRPr="00F65705" w14:paraId="0EAC819E" w14:textId="13F3807E" w:rsidTr="00C21B8A">
        <w:trPr>
          <w:trHeight w:val="537"/>
          <w:jc w:val="center"/>
        </w:trPr>
        <w:tc>
          <w:tcPr>
            <w:tcW w:w="1404" w:type="pct"/>
            <w:tcBorders>
              <w:top w:val="single" w:sz="4" w:space="0" w:color="595959" w:themeColor="text1" w:themeTint="A6"/>
            </w:tcBorders>
            <w:noWrap/>
            <w:vAlign w:val="center"/>
            <w:hideMark/>
          </w:tcPr>
          <w:p w14:paraId="0ECE211B" w14:textId="77777777" w:rsidR="005C6E68" w:rsidRPr="00F65705" w:rsidRDefault="005C6E68" w:rsidP="005C6E68">
            <w:pPr>
              <w:rPr>
                <w:rFonts w:asciiTheme="minorHAnsi" w:hAnsiTheme="minorHAnsi" w:cstheme="minorHAnsi"/>
                <w:sz w:val="22"/>
                <w:szCs w:val="22"/>
              </w:rPr>
            </w:pPr>
            <w:r w:rsidRPr="00F65705">
              <w:rPr>
                <w:rFonts w:asciiTheme="minorHAnsi" w:hAnsiTheme="minorHAnsi" w:cstheme="minorHAnsi"/>
                <w:sz w:val="22"/>
                <w:szCs w:val="22"/>
              </w:rPr>
              <w:t>Combined Expenses = X</w:t>
            </w:r>
          </w:p>
        </w:tc>
        <w:tc>
          <w:tcPr>
            <w:tcW w:w="899" w:type="pct"/>
            <w:tcBorders>
              <w:top w:val="single" w:sz="4" w:space="0" w:color="595959" w:themeColor="text1" w:themeTint="A6"/>
            </w:tcBorders>
            <w:noWrap/>
            <w:vAlign w:val="center"/>
          </w:tcPr>
          <w:p w14:paraId="58F2D73E" w14:textId="03E720B1" w:rsidR="005C6E68" w:rsidRPr="00F65705" w:rsidRDefault="005C6E68" w:rsidP="005C6E68">
            <w:pPr>
              <w:jc w:val="center"/>
              <w:rPr>
                <w:rFonts w:asciiTheme="minorHAnsi" w:hAnsiTheme="minorHAnsi"/>
                <w:sz w:val="22"/>
              </w:rPr>
            </w:pPr>
            <w:r w:rsidRPr="00F65705">
              <w:rPr>
                <w:rFonts w:ascii="Calibri" w:hAnsi="Calibri" w:cs="Calibri"/>
                <w:sz w:val="22"/>
                <w:szCs w:val="22"/>
              </w:rPr>
              <w:t>$39.70</w:t>
            </w:r>
          </w:p>
        </w:tc>
        <w:tc>
          <w:tcPr>
            <w:tcW w:w="899" w:type="pct"/>
            <w:tcBorders>
              <w:top w:val="single" w:sz="4" w:space="0" w:color="595959" w:themeColor="text1" w:themeTint="A6"/>
            </w:tcBorders>
            <w:noWrap/>
            <w:vAlign w:val="center"/>
          </w:tcPr>
          <w:p w14:paraId="773852D7" w14:textId="3FB61B8D" w:rsidR="005C6E68" w:rsidRPr="00F65705" w:rsidRDefault="005C6E68" w:rsidP="005C6E68">
            <w:pPr>
              <w:jc w:val="center"/>
              <w:rPr>
                <w:rFonts w:asciiTheme="minorHAnsi" w:hAnsiTheme="minorHAnsi"/>
                <w:sz w:val="22"/>
              </w:rPr>
            </w:pPr>
            <w:r w:rsidRPr="00F65705">
              <w:rPr>
                <w:rFonts w:asciiTheme="minorHAnsi" w:hAnsiTheme="minorHAnsi"/>
                <w:sz w:val="22"/>
              </w:rPr>
              <w:t>$40.64</w:t>
            </w:r>
          </w:p>
        </w:tc>
        <w:tc>
          <w:tcPr>
            <w:tcW w:w="899" w:type="pct"/>
            <w:tcBorders>
              <w:top w:val="single" w:sz="4" w:space="0" w:color="595959" w:themeColor="text1" w:themeTint="A6"/>
            </w:tcBorders>
            <w:noWrap/>
            <w:vAlign w:val="center"/>
          </w:tcPr>
          <w:p w14:paraId="46CF02D5" w14:textId="484BBF92" w:rsidR="005C6E68" w:rsidRPr="00F65705" w:rsidRDefault="005C6E68" w:rsidP="005C6E68">
            <w:pPr>
              <w:jc w:val="center"/>
              <w:rPr>
                <w:rFonts w:asciiTheme="minorHAnsi" w:hAnsiTheme="minorHAnsi"/>
                <w:sz w:val="22"/>
              </w:rPr>
            </w:pPr>
            <w:r w:rsidRPr="00F65705">
              <w:rPr>
                <w:rFonts w:asciiTheme="minorHAnsi" w:hAnsiTheme="minorHAnsi"/>
                <w:sz w:val="22"/>
              </w:rPr>
              <w:t>$41.32</w:t>
            </w:r>
          </w:p>
        </w:tc>
        <w:tc>
          <w:tcPr>
            <w:tcW w:w="899" w:type="pct"/>
            <w:tcBorders>
              <w:top w:val="single" w:sz="4" w:space="0" w:color="595959" w:themeColor="text1" w:themeTint="A6"/>
            </w:tcBorders>
            <w:vAlign w:val="center"/>
          </w:tcPr>
          <w:p w14:paraId="7F9514A5" w14:textId="1D012B98" w:rsidR="005C6E68" w:rsidRPr="00F65705" w:rsidRDefault="005C6E68" w:rsidP="005C6E68">
            <w:pPr>
              <w:jc w:val="center"/>
              <w:rPr>
                <w:rFonts w:asciiTheme="minorHAnsi" w:hAnsiTheme="minorHAnsi"/>
                <w:sz w:val="22"/>
              </w:rPr>
            </w:pPr>
            <w:r w:rsidRPr="00F65705">
              <w:rPr>
                <w:rFonts w:asciiTheme="minorHAnsi" w:hAnsiTheme="minorHAnsi"/>
                <w:sz w:val="22"/>
              </w:rPr>
              <w:t>$42.05</w:t>
            </w:r>
          </w:p>
        </w:tc>
      </w:tr>
      <w:tr w:rsidR="00F65705" w:rsidRPr="00F65705" w14:paraId="5E70C5DE" w14:textId="15460AF6" w:rsidTr="00C21B8A">
        <w:trPr>
          <w:trHeight w:val="537"/>
          <w:jc w:val="center"/>
        </w:trPr>
        <w:tc>
          <w:tcPr>
            <w:tcW w:w="1404" w:type="pct"/>
            <w:noWrap/>
            <w:vAlign w:val="center"/>
            <w:hideMark/>
          </w:tcPr>
          <w:p w14:paraId="0AF554E1" w14:textId="77777777" w:rsidR="005C6E68" w:rsidRPr="00F65705" w:rsidRDefault="005C6E68" w:rsidP="005C6E68">
            <w:pPr>
              <w:rPr>
                <w:rFonts w:asciiTheme="minorHAnsi" w:hAnsiTheme="minorHAnsi" w:cstheme="minorHAnsi"/>
                <w:sz w:val="22"/>
                <w:szCs w:val="22"/>
              </w:rPr>
            </w:pPr>
            <w:r w:rsidRPr="00F65705">
              <w:rPr>
                <w:rFonts w:asciiTheme="minorHAnsi" w:hAnsiTheme="minorHAnsi" w:cstheme="minorHAnsi"/>
                <w:sz w:val="22"/>
                <w:szCs w:val="22"/>
              </w:rPr>
              <w:t>Combined Revenue = Y</w:t>
            </w:r>
          </w:p>
        </w:tc>
        <w:tc>
          <w:tcPr>
            <w:tcW w:w="899" w:type="pct"/>
            <w:noWrap/>
            <w:vAlign w:val="center"/>
          </w:tcPr>
          <w:p w14:paraId="47A17E2F" w14:textId="54DDDC79" w:rsidR="005C6E68" w:rsidRPr="00F65705" w:rsidRDefault="005C6E68" w:rsidP="005C6E68">
            <w:pPr>
              <w:jc w:val="center"/>
              <w:rPr>
                <w:rFonts w:asciiTheme="minorHAnsi" w:hAnsiTheme="minorHAnsi"/>
                <w:sz w:val="22"/>
              </w:rPr>
            </w:pPr>
            <w:r w:rsidRPr="00F65705">
              <w:rPr>
                <w:rFonts w:ascii="Calibri" w:hAnsi="Calibri" w:cs="Calibri"/>
                <w:sz w:val="22"/>
                <w:szCs w:val="22"/>
              </w:rPr>
              <w:t>$32.05</w:t>
            </w:r>
          </w:p>
        </w:tc>
        <w:tc>
          <w:tcPr>
            <w:tcW w:w="899" w:type="pct"/>
            <w:noWrap/>
            <w:vAlign w:val="center"/>
          </w:tcPr>
          <w:p w14:paraId="19729F3A" w14:textId="50F21ABE" w:rsidR="005C6E68" w:rsidRPr="00F65705" w:rsidRDefault="005C6E68" w:rsidP="005C6E68">
            <w:pPr>
              <w:jc w:val="center"/>
              <w:rPr>
                <w:rFonts w:asciiTheme="minorHAnsi" w:hAnsiTheme="minorHAnsi"/>
                <w:sz w:val="22"/>
              </w:rPr>
            </w:pPr>
            <w:r w:rsidRPr="00F65705">
              <w:rPr>
                <w:rFonts w:asciiTheme="minorHAnsi" w:hAnsiTheme="minorHAnsi"/>
                <w:sz w:val="22"/>
              </w:rPr>
              <w:t>$32.80</w:t>
            </w:r>
          </w:p>
        </w:tc>
        <w:tc>
          <w:tcPr>
            <w:tcW w:w="899" w:type="pct"/>
            <w:noWrap/>
            <w:vAlign w:val="center"/>
          </w:tcPr>
          <w:p w14:paraId="5D534451" w14:textId="72F8D186" w:rsidR="005C6E68" w:rsidRPr="00F65705" w:rsidRDefault="005C6E68" w:rsidP="005C6E68">
            <w:pPr>
              <w:jc w:val="center"/>
              <w:rPr>
                <w:rFonts w:asciiTheme="minorHAnsi" w:hAnsiTheme="minorHAnsi"/>
                <w:sz w:val="22"/>
              </w:rPr>
            </w:pPr>
            <w:r w:rsidRPr="00F65705">
              <w:rPr>
                <w:rFonts w:asciiTheme="minorHAnsi" w:hAnsiTheme="minorHAnsi"/>
                <w:sz w:val="22"/>
              </w:rPr>
              <w:t>$33.34</w:t>
            </w:r>
          </w:p>
        </w:tc>
        <w:tc>
          <w:tcPr>
            <w:tcW w:w="899" w:type="pct"/>
            <w:vAlign w:val="center"/>
          </w:tcPr>
          <w:p w14:paraId="3B1F2D26" w14:textId="4E8AEE1A" w:rsidR="005C6E68" w:rsidRPr="00F65705" w:rsidRDefault="005C6E68" w:rsidP="005C6E68">
            <w:pPr>
              <w:jc w:val="center"/>
              <w:rPr>
                <w:rFonts w:asciiTheme="minorHAnsi" w:hAnsiTheme="minorHAnsi"/>
                <w:sz w:val="22"/>
              </w:rPr>
            </w:pPr>
            <w:r w:rsidRPr="00F65705">
              <w:rPr>
                <w:rFonts w:asciiTheme="minorHAnsi" w:hAnsiTheme="minorHAnsi"/>
                <w:sz w:val="22"/>
              </w:rPr>
              <w:t>$33.92</w:t>
            </w:r>
          </w:p>
        </w:tc>
      </w:tr>
      <w:tr w:rsidR="00F65705" w:rsidRPr="00F65705" w14:paraId="07B975D7" w14:textId="3613E3F8" w:rsidTr="00C21B8A">
        <w:trPr>
          <w:trHeight w:val="537"/>
          <w:jc w:val="center"/>
        </w:trPr>
        <w:tc>
          <w:tcPr>
            <w:tcW w:w="1404" w:type="pct"/>
            <w:noWrap/>
            <w:vAlign w:val="center"/>
            <w:hideMark/>
          </w:tcPr>
          <w:p w14:paraId="3A8EAF33" w14:textId="075DBC06" w:rsidR="005C6E68" w:rsidRPr="00F65705" w:rsidRDefault="005C6E68" w:rsidP="005C6E68">
            <w:pPr>
              <w:rPr>
                <w:rFonts w:asciiTheme="minorHAnsi" w:hAnsiTheme="minorHAnsi" w:cstheme="minorHAnsi"/>
                <w:sz w:val="22"/>
                <w:szCs w:val="22"/>
              </w:rPr>
            </w:pPr>
            <w:r w:rsidRPr="00F65705">
              <w:rPr>
                <w:rFonts w:asciiTheme="minorHAnsi" w:hAnsiTheme="minorHAnsi" w:cstheme="minorHAnsi"/>
                <w:sz w:val="22"/>
                <w:szCs w:val="22"/>
              </w:rPr>
              <w:t>Balance = Y – X</w:t>
            </w:r>
          </w:p>
        </w:tc>
        <w:tc>
          <w:tcPr>
            <w:tcW w:w="899" w:type="pct"/>
            <w:noWrap/>
            <w:vAlign w:val="center"/>
          </w:tcPr>
          <w:p w14:paraId="5AEEBDB0" w14:textId="5E5FF44F" w:rsidR="005C6E68" w:rsidRPr="00F65705" w:rsidRDefault="005C6E68" w:rsidP="005C6E68">
            <w:pPr>
              <w:jc w:val="center"/>
              <w:rPr>
                <w:rFonts w:asciiTheme="minorHAnsi" w:hAnsiTheme="minorHAnsi"/>
                <w:sz w:val="22"/>
              </w:rPr>
            </w:pPr>
            <w:r w:rsidRPr="00F65705">
              <w:rPr>
                <w:rFonts w:ascii="Calibri" w:hAnsi="Calibri" w:cs="Calibri"/>
                <w:sz w:val="22"/>
                <w:szCs w:val="22"/>
              </w:rPr>
              <w:t>-$7.65</w:t>
            </w:r>
          </w:p>
        </w:tc>
        <w:tc>
          <w:tcPr>
            <w:tcW w:w="899" w:type="pct"/>
            <w:noWrap/>
            <w:vAlign w:val="center"/>
          </w:tcPr>
          <w:p w14:paraId="13EFE03B" w14:textId="42DD2EFE" w:rsidR="005C6E68" w:rsidRPr="00F65705" w:rsidRDefault="005C6E68" w:rsidP="005C6E68">
            <w:pPr>
              <w:jc w:val="center"/>
              <w:rPr>
                <w:rFonts w:asciiTheme="minorHAnsi" w:hAnsiTheme="minorHAnsi"/>
                <w:sz w:val="22"/>
              </w:rPr>
            </w:pPr>
            <w:r w:rsidRPr="00F65705">
              <w:rPr>
                <w:rFonts w:asciiTheme="minorHAnsi" w:hAnsiTheme="minorHAnsi"/>
                <w:sz w:val="22"/>
              </w:rPr>
              <w:t>-$7.84</w:t>
            </w:r>
          </w:p>
        </w:tc>
        <w:tc>
          <w:tcPr>
            <w:tcW w:w="899" w:type="pct"/>
            <w:noWrap/>
            <w:vAlign w:val="center"/>
          </w:tcPr>
          <w:p w14:paraId="747A025C" w14:textId="3A608E0E" w:rsidR="005C6E68" w:rsidRPr="00F65705" w:rsidRDefault="005C6E68" w:rsidP="005C6E68">
            <w:pPr>
              <w:jc w:val="center"/>
              <w:rPr>
                <w:rFonts w:asciiTheme="minorHAnsi" w:hAnsiTheme="minorHAnsi"/>
                <w:sz w:val="22"/>
              </w:rPr>
            </w:pPr>
            <w:r w:rsidRPr="00F65705">
              <w:rPr>
                <w:rFonts w:asciiTheme="minorHAnsi" w:hAnsiTheme="minorHAnsi"/>
                <w:sz w:val="22"/>
              </w:rPr>
              <w:t>-$7.98</w:t>
            </w:r>
          </w:p>
        </w:tc>
        <w:tc>
          <w:tcPr>
            <w:tcW w:w="899" w:type="pct"/>
            <w:vAlign w:val="center"/>
          </w:tcPr>
          <w:p w14:paraId="341D80C7" w14:textId="25368960" w:rsidR="005C6E68" w:rsidRPr="00F65705" w:rsidRDefault="005C6E68" w:rsidP="005C6E68">
            <w:pPr>
              <w:jc w:val="center"/>
              <w:rPr>
                <w:rFonts w:asciiTheme="minorHAnsi" w:hAnsiTheme="minorHAnsi"/>
                <w:sz w:val="22"/>
              </w:rPr>
            </w:pPr>
            <w:r w:rsidRPr="00F65705">
              <w:rPr>
                <w:rFonts w:asciiTheme="minorHAnsi" w:hAnsiTheme="minorHAnsi"/>
                <w:sz w:val="22"/>
              </w:rPr>
              <w:t>-$8.13</w:t>
            </w:r>
          </w:p>
        </w:tc>
      </w:tr>
      <w:tr w:rsidR="00F65705" w:rsidRPr="00F65705" w14:paraId="326B38AB" w14:textId="6AE22A68" w:rsidTr="00C21B8A">
        <w:trPr>
          <w:trHeight w:val="683"/>
          <w:jc w:val="center"/>
        </w:trPr>
        <w:tc>
          <w:tcPr>
            <w:tcW w:w="1404" w:type="pct"/>
            <w:noWrap/>
            <w:vAlign w:val="center"/>
            <w:hideMark/>
          </w:tcPr>
          <w:p w14:paraId="6E70C97C" w14:textId="196B3764" w:rsidR="005C6E68" w:rsidRPr="00F65705" w:rsidRDefault="005C6E68" w:rsidP="005C6E68">
            <w:pPr>
              <w:rPr>
                <w:rFonts w:asciiTheme="minorHAnsi" w:hAnsiTheme="minorHAnsi" w:cstheme="minorHAnsi"/>
                <w:sz w:val="22"/>
                <w:szCs w:val="22"/>
              </w:rPr>
            </w:pPr>
            <w:r w:rsidRPr="00F65705">
              <w:rPr>
                <w:rFonts w:asciiTheme="minorHAnsi" w:hAnsiTheme="minorHAnsi" w:cstheme="minorHAnsi"/>
                <w:sz w:val="22"/>
                <w:szCs w:val="22"/>
              </w:rPr>
              <w:t>Cumulative Balance</w:t>
            </w:r>
          </w:p>
        </w:tc>
        <w:tc>
          <w:tcPr>
            <w:tcW w:w="899" w:type="pct"/>
            <w:noWrap/>
            <w:vAlign w:val="center"/>
          </w:tcPr>
          <w:p w14:paraId="16756873" w14:textId="57554F3D" w:rsidR="005C6E68" w:rsidRPr="00F65705" w:rsidRDefault="005C6E68" w:rsidP="005C6E68">
            <w:pPr>
              <w:jc w:val="center"/>
              <w:rPr>
                <w:rFonts w:asciiTheme="minorHAnsi" w:hAnsiTheme="minorHAnsi"/>
                <w:sz w:val="22"/>
              </w:rPr>
            </w:pPr>
            <w:r w:rsidRPr="00F65705">
              <w:rPr>
                <w:rFonts w:ascii="Calibri" w:hAnsi="Calibri" w:cs="Calibri"/>
                <w:sz w:val="22"/>
                <w:szCs w:val="22"/>
              </w:rPr>
              <w:t>-$37.43</w:t>
            </w:r>
            <w:r w:rsidR="00FA0790" w:rsidRPr="00F65705">
              <w:rPr>
                <w:rStyle w:val="FootnoteReference"/>
                <w:rFonts w:cs="Calibri"/>
                <w:color w:val="auto"/>
                <w:sz w:val="22"/>
                <w:szCs w:val="22"/>
              </w:rPr>
              <w:footnoteReference w:id="9"/>
            </w:r>
          </w:p>
        </w:tc>
        <w:tc>
          <w:tcPr>
            <w:tcW w:w="899" w:type="pct"/>
            <w:noWrap/>
            <w:vAlign w:val="center"/>
          </w:tcPr>
          <w:p w14:paraId="3134C471" w14:textId="3840FCFF" w:rsidR="005C6E68" w:rsidRPr="00F65705" w:rsidRDefault="005C6E68" w:rsidP="005C6E68">
            <w:pPr>
              <w:jc w:val="center"/>
              <w:rPr>
                <w:rFonts w:asciiTheme="minorHAnsi" w:hAnsiTheme="minorHAnsi"/>
                <w:sz w:val="22"/>
              </w:rPr>
            </w:pPr>
            <w:r w:rsidRPr="00F65705">
              <w:rPr>
                <w:rFonts w:asciiTheme="minorHAnsi" w:hAnsiTheme="minorHAnsi"/>
                <w:sz w:val="22"/>
              </w:rPr>
              <w:t>-$46.50</w:t>
            </w:r>
          </w:p>
        </w:tc>
        <w:tc>
          <w:tcPr>
            <w:tcW w:w="899" w:type="pct"/>
            <w:noWrap/>
            <w:vAlign w:val="center"/>
          </w:tcPr>
          <w:p w14:paraId="5060F386" w14:textId="3036834D" w:rsidR="005C6E68" w:rsidRPr="00F65705" w:rsidRDefault="005C6E68" w:rsidP="005C6E68">
            <w:pPr>
              <w:jc w:val="center"/>
              <w:rPr>
                <w:rFonts w:asciiTheme="minorHAnsi" w:hAnsiTheme="minorHAnsi"/>
                <w:sz w:val="22"/>
              </w:rPr>
            </w:pPr>
            <w:r w:rsidRPr="00F65705">
              <w:rPr>
                <w:rFonts w:asciiTheme="minorHAnsi" w:hAnsiTheme="minorHAnsi"/>
                <w:sz w:val="22"/>
              </w:rPr>
              <w:t>-$54.48</w:t>
            </w:r>
          </w:p>
        </w:tc>
        <w:tc>
          <w:tcPr>
            <w:tcW w:w="899" w:type="pct"/>
            <w:vAlign w:val="center"/>
          </w:tcPr>
          <w:p w14:paraId="0181C901" w14:textId="3657F172" w:rsidR="005C6E68" w:rsidRPr="00F65705" w:rsidRDefault="005C6E68" w:rsidP="005C6E68">
            <w:pPr>
              <w:jc w:val="center"/>
              <w:rPr>
                <w:rFonts w:asciiTheme="minorHAnsi" w:hAnsiTheme="minorHAnsi"/>
                <w:sz w:val="22"/>
              </w:rPr>
            </w:pPr>
            <w:r w:rsidRPr="00F65705">
              <w:rPr>
                <w:rFonts w:asciiTheme="minorHAnsi" w:hAnsiTheme="minorHAnsi"/>
                <w:sz w:val="22"/>
              </w:rPr>
              <w:t>-$61.38</w:t>
            </w:r>
          </w:p>
        </w:tc>
      </w:tr>
      <w:tr w:rsidR="00F65705" w:rsidRPr="00F65705" w14:paraId="4C172747" w14:textId="6B08CA28" w:rsidTr="00C21B8A">
        <w:trPr>
          <w:trHeight w:val="328"/>
          <w:jc w:val="center"/>
        </w:trPr>
        <w:tc>
          <w:tcPr>
            <w:tcW w:w="1404" w:type="pct"/>
            <w:noWrap/>
            <w:vAlign w:val="center"/>
          </w:tcPr>
          <w:p w14:paraId="5669BB8E" w14:textId="77777777" w:rsidR="00220F10" w:rsidRPr="00F65705" w:rsidRDefault="00220F10" w:rsidP="00DC62CD">
            <w:pPr>
              <w:rPr>
                <w:rFonts w:asciiTheme="minorHAnsi" w:hAnsiTheme="minorHAnsi" w:cstheme="minorHAnsi"/>
                <w:sz w:val="22"/>
                <w:szCs w:val="22"/>
              </w:rPr>
            </w:pPr>
            <w:r w:rsidRPr="00F65705">
              <w:rPr>
                <w:rFonts w:asciiTheme="minorHAnsi" w:hAnsiTheme="minorHAnsi" w:cstheme="minorHAnsi"/>
                <w:sz w:val="22"/>
                <w:szCs w:val="22"/>
              </w:rPr>
              <w:t xml:space="preserve">Balance management </w:t>
            </w:r>
          </w:p>
          <w:p w14:paraId="314D22B5" w14:textId="77777777" w:rsidR="00220F10" w:rsidRPr="00F65705" w:rsidRDefault="00220F10" w:rsidP="00DC62CD">
            <w:pPr>
              <w:rPr>
                <w:rFonts w:asciiTheme="minorHAnsi" w:hAnsiTheme="minorHAnsi" w:cstheme="minorHAnsi"/>
                <w:sz w:val="22"/>
                <w:szCs w:val="22"/>
              </w:rPr>
            </w:pPr>
            <w:r w:rsidRPr="00F65705">
              <w:rPr>
                <w:rFonts w:asciiTheme="minorHAnsi" w:hAnsiTheme="minorHAnsi" w:cstheme="minorHAnsi"/>
                <w:sz w:val="22"/>
                <w:szCs w:val="22"/>
              </w:rPr>
              <w:t>strategy explanation</w:t>
            </w:r>
          </w:p>
        </w:tc>
        <w:tc>
          <w:tcPr>
            <w:tcW w:w="3596" w:type="pct"/>
            <w:gridSpan w:val="4"/>
            <w:noWrap/>
          </w:tcPr>
          <w:p w14:paraId="15D6F14F" w14:textId="6BC191FD" w:rsidR="00220F10" w:rsidRPr="00F65705" w:rsidRDefault="00220F10" w:rsidP="00DC62CD">
            <w:pPr>
              <w:rPr>
                <w:rFonts w:asciiTheme="minorHAnsi" w:hAnsiTheme="minorHAnsi" w:cstheme="minorHAnsi"/>
                <w:sz w:val="18"/>
                <w:szCs w:val="18"/>
              </w:rPr>
            </w:pPr>
            <w:r w:rsidRPr="00F65705">
              <w:rPr>
                <w:rFonts w:asciiTheme="minorHAnsi" w:hAnsiTheme="minorHAnsi" w:cstheme="minorHAnsi"/>
                <w:sz w:val="18"/>
                <w:szCs w:val="18"/>
              </w:rPr>
              <w:t xml:space="preserve">The continuing forecast under recovery of expenses represented in the growing size of the cumulative balance is due to the </w:t>
            </w:r>
            <w:r w:rsidR="00C6745C" w:rsidRPr="00F65705">
              <w:rPr>
                <w:rFonts w:asciiTheme="minorHAnsi" w:hAnsiTheme="minorHAnsi" w:cstheme="minorHAnsi"/>
                <w:sz w:val="18"/>
                <w:szCs w:val="18"/>
              </w:rPr>
              <w:t xml:space="preserve">partial cost recovery arrangements in place, including </w:t>
            </w:r>
            <w:r w:rsidRPr="00F65705">
              <w:rPr>
                <w:rFonts w:asciiTheme="minorHAnsi" w:hAnsiTheme="minorHAnsi" w:cstheme="minorHAnsi"/>
                <w:sz w:val="18"/>
                <w:szCs w:val="18"/>
              </w:rPr>
              <w:t>post</w:t>
            </w:r>
            <w:r w:rsidR="009304F0" w:rsidRPr="00F65705">
              <w:rPr>
                <w:rFonts w:asciiTheme="minorHAnsi" w:hAnsiTheme="minorHAnsi" w:cstheme="minorHAnsi"/>
                <w:sz w:val="18"/>
                <w:szCs w:val="18"/>
              </w:rPr>
              <w:t>-listing</w:t>
            </w:r>
            <w:r w:rsidRPr="00F65705">
              <w:rPr>
                <w:rFonts w:asciiTheme="minorHAnsi" w:hAnsiTheme="minorHAnsi" w:cstheme="minorHAnsi"/>
                <w:sz w:val="18"/>
                <w:szCs w:val="18"/>
              </w:rPr>
              <w:t xml:space="preserve"> activities that are not cost recovered along with revenue foregone from waivers and exemptions.</w:t>
            </w:r>
            <w:r w:rsidRPr="00F65705">
              <w:rPr>
                <w:rFonts w:asciiTheme="minorHAnsi" w:hAnsiTheme="minorHAnsi" w:cstheme="minorHAnsi"/>
                <w:sz w:val="18"/>
                <w:szCs w:val="18"/>
              </w:rPr>
              <w:br/>
            </w:r>
            <w:r w:rsidRPr="00F65705">
              <w:rPr>
                <w:rFonts w:asciiTheme="minorHAnsi" w:hAnsiTheme="minorHAnsi" w:cstheme="minorHAnsi"/>
                <w:sz w:val="18"/>
                <w:szCs w:val="18"/>
              </w:rPr>
              <w:tab/>
            </w:r>
            <w:r w:rsidRPr="00F65705">
              <w:rPr>
                <w:rFonts w:asciiTheme="minorHAnsi" w:hAnsiTheme="minorHAnsi" w:cstheme="minorHAnsi"/>
                <w:sz w:val="18"/>
                <w:szCs w:val="18"/>
              </w:rPr>
              <w:tab/>
            </w:r>
            <w:r w:rsidRPr="00F65705">
              <w:rPr>
                <w:rFonts w:asciiTheme="minorHAnsi" w:hAnsiTheme="minorHAnsi" w:cstheme="minorHAnsi"/>
                <w:sz w:val="18"/>
                <w:szCs w:val="18"/>
              </w:rPr>
              <w:tab/>
            </w:r>
            <w:r w:rsidRPr="00F65705">
              <w:rPr>
                <w:rFonts w:asciiTheme="minorHAnsi" w:hAnsiTheme="minorHAnsi" w:cstheme="minorHAnsi"/>
                <w:sz w:val="18"/>
                <w:szCs w:val="18"/>
              </w:rPr>
              <w:tab/>
            </w:r>
          </w:p>
          <w:p w14:paraId="4B405379" w14:textId="71F42F4D" w:rsidR="00220F10" w:rsidRPr="00F65705" w:rsidRDefault="00220F10" w:rsidP="00DC62CD">
            <w:pPr>
              <w:rPr>
                <w:rFonts w:asciiTheme="minorHAnsi" w:hAnsiTheme="minorHAnsi" w:cstheme="minorHAnsi"/>
                <w:sz w:val="20"/>
                <w:szCs w:val="22"/>
              </w:rPr>
            </w:pPr>
            <w:r w:rsidRPr="00F65705">
              <w:rPr>
                <w:rFonts w:asciiTheme="minorHAnsi" w:hAnsiTheme="minorHAnsi" w:cstheme="minorHAnsi"/>
                <w:sz w:val="18"/>
                <w:szCs w:val="18"/>
              </w:rPr>
              <w:t xml:space="preserve">This will be monitored over time to ensure the degree of alignment between expenses and revenue is appropriate </w:t>
            </w:r>
            <w:r w:rsidRPr="00F65705">
              <w:rPr>
                <w:rFonts w:asciiTheme="minorHAnsi" w:hAnsiTheme="minorHAnsi" w:cstheme="minorHAnsi"/>
                <w:sz w:val="18"/>
                <w:szCs w:val="18"/>
              </w:rPr>
              <w:tab/>
            </w:r>
            <w:r w:rsidRPr="00F65705">
              <w:rPr>
                <w:rFonts w:asciiTheme="minorHAnsi" w:hAnsiTheme="minorHAnsi" w:cstheme="minorHAnsi"/>
                <w:sz w:val="20"/>
                <w:szCs w:val="22"/>
              </w:rPr>
              <w:tab/>
            </w:r>
            <w:r w:rsidRPr="00F65705">
              <w:rPr>
                <w:rFonts w:asciiTheme="minorHAnsi" w:hAnsiTheme="minorHAnsi" w:cstheme="minorHAnsi"/>
                <w:sz w:val="20"/>
                <w:szCs w:val="22"/>
              </w:rPr>
              <w:tab/>
            </w:r>
            <w:r w:rsidRPr="00F65705">
              <w:rPr>
                <w:rFonts w:asciiTheme="minorHAnsi" w:hAnsiTheme="minorHAnsi" w:cstheme="minorHAnsi"/>
                <w:sz w:val="20"/>
                <w:szCs w:val="22"/>
              </w:rPr>
              <w:tab/>
            </w:r>
          </w:p>
        </w:tc>
      </w:tr>
    </w:tbl>
    <w:p w14:paraId="609B44D9" w14:textId="77777777" w:rsidR="00865C8A" w:rsidRPr="00F65705" w:rsidRDefault="00865C8A" w:rsidP="00865C8A">
      <w:pPr>
        <w:spacing w:before="480" w:after="160" w:line="259" w:lineRule="auto"/>
        <w:rPr>
          <w:rFonts w:asciiTheme="minorHAnsi" w:hAnsiTheme="minorHAnsi"/>
          <w:b/>
          <w:sz w:val="28"/>
          <w:szCs w:val="28"/>
        </w:rPr>
      </w:pPr>
      <w:r w:rsidRPr="00F65705">
        <w:rPr>
          <w:rFonts w:asciiTheme="minorHAnsi" w:hAnsiTheme="minorHAnsi"/>
          <w:b/>
          <w:sz w:val="28"/>
          <w:szCs w:val="28"/>
        </w:rPr>
        <w:t>7A.</w:t>
      </w:r>
      <w:r w:rsidRPr="00F65705">
        <w:rPr>
          <w:rFonts w:asciiTheme="minorHAnsi" w:hAnsiTheme="minorHAnsi"/>
          <w:b/>
          <w:sz w:val="28"/>
          <w:szCs w:val="28"/>
        </w:rPr>
        <w:tab/>
        <w:t xml:space="preserve">FINANCIAL PERFORMANCE </w:t>
      </w:r>
    </w:p>
    <w:p w14:paraId="3FAD12AC" w14:textId="77777777" w:rsidR="00865C8A" w:rsidRPr="00F65705" w:rsidRDefault="00865C8A" w:rsidP="00865C8A">
      <w:pPr>
        <w:spacing w:before="120" w:after="120"/>
        <w:rPr>
          <w:rFonts w:asciiTheme="minorHAnsi" w:hAnsiTheme="minorHAnsi" w:cstheme="minorHAnsi"/>
          <w:iCs/>
          <w:sz w:val="22"/>
          <w:szCs w:val="22"/>
        </w:rPr>
      </w:pPr>
      <w:r w:rsidRPr="00F65705">
        <w:rPr>
          <w:rFonts w:asciiTheme="minorHAnsi" w:hAnsiTheme="minorHAnsi" w:cstheme="minorHAnsi"/>
          <w:iCs/>
          <w:sz w:val="22"/>
          <w:szCs w:val="22"/>
        </w:rPr>
        <w:t xml:space="preserve">Table 11 below will be updated after each financial year to report on the actual financial performance. </w:t>
      </w:r>
      <w:r w:rsidRPr="00F65705">
        <w:rPr>
          <w:rFonts w:asciiTheme="minorHAnsi" w:hAnsiTheme="minorHAnsi" w:cstheme="minorHAnsi"/>
          <w:iCs/>
          <w:sz w:val="22"/>
          <w:szCs w:val="22"/>
        </w:rPr>
        <w:br/>
        <w:t xml:space="preserve">The forecast financial performance as published in the CRIS will be compared with the actual financial performance for each financial year. Any variance greater than 5 per cent will be identified and explained. </w:t>
      </w:r>
    </w:p>
    <w:p w14:paraId="6DB22227" w14:textId="77777777" w:rsidR="00865C8A" w:rsidRPr="00F65705" w:rsidRDefault="00865C8A" w:rsidP="00865C8A">
      <w:pPr>
        <w:spacing w:before="120" w:after="120"/>
        <w:rPr>
          <w:rFonts w:asciiTheme="minorHAnsi" w:hAnsiTheme="minorHAnsi" w:cstheme="minorHAnsi"/>
          <w:iCs/>
          <w:sz w:val="22"/>
          <w:szCs w:val="22"/>
        </w:rPr>
      </w:pPr>
      <w:r w:rsidRPr="00F65705">
        <w:rPr>
          <w:rFonts w:asciiTheme="minorHAnsi" w:hAnsiTheme="minorHAnsi" w:cstheme="minorHAnsi"/>
          <w:iCs/>
          <w:sz w:val="22"/>
          <w:szCs w:val="22"/>
        </w:rPr>
        <w:t>As PBS/NIP listings are only partially cost recovered, the aim of comparing the actual financial results with forecasted financial estimates over a 5-year period is to ensure that the degree of alignment of under</w:t>
      </w:r>
      <w:r w:rsidRPr="00F65705">
        <w:rPr>
          <w:rFonts w:asciiTheme="minorHAnsi" w:hAnsiTheme="minorHAnsi" w:cstheme="minorHAnsi"/>
          <w:iCs/>
          <w:sz w:val="22"/>
          <w:szCs w:val="22"/>
        </w:rPr>
        <w:noBreakHyphen/>
        <w:t xml:space="preserve">recovery of costs is as agreed by the Government as part of the Department’s financial balance management strategy. </w:t>
      </w:r>
    </w:p>
    <w:p w14:paraId="65D531EB" w14:textId="77777777" w:rsidR="00865C8A" w:rsidRPr="00F65705" w:rsidRDefault="00865C8A" w:rsidP="00865C8A">
      <w:pPr>
        <w:spacing w:before="120" w:after="120"/>
        <w:rPr>
          <w:rFonts w:asciiTheme="minorHAnsi" w:hAnsiTheme="minorHAnsi" w:cstheme="minorHAnsi"/>
          <w:iCs/>
          <w:sz w:val="22"/>
          <w:szCs w:val="22"/>
        </w:rPr>
      </w:pPr>
      <w:r w:rsidRPr="00F65705">
        <w:rPr>
          <w:rFonts w:asciiTheme="minorHAnsi" w:hAnsiTheme="minorHAnsi"/>
          <w:b/>
          <w:sz w:val="22"/>
          <w:szCs w:val="22"/>
        </w:rPr>
        <w:t xml:space="preserve">Table 11: Financial performance for cost recovered </w:t>
      </w:r>
      <w:proofErr w:type="gramStart"/>
      <w:r w:rsidRPr="00F65705">
        <w:rPr>
          <w:rFonts w:asciiTheme="minorHAnsi" w:hAnsiTheme="minorHAnsi"/>
          <w:b/>
          <w:sz w:val="22"/>
          <w:szCs w:val="22"/>
        </w:rPr>
        <w:t>activities</w:t>
      </w:r>
      <w:proofErr w:type="gramEnd"/>
      <w:r w:rsidRPr="00F65705">
        <w:rPr>
          <w:rFonts w:asciiTheme="minorHAnsi" w:hAnsiTheme="minorHAnsi"/>
          <w:b/>
          <w:sz w:val="22"/>
          <w:szCs w:val="22"/>
        </w:rPr>
        <w:t xml:space="preserve"> </w:t>
      </w:r>
    </w:p>
    <w:tbl>
      <w:tblPr>
        <w:tblW w:w="5011" w:type="pct"/>
        <w:tblInd w:w="-10" w:type="dxa"/>
        <w:tblLayout w:type="fixed"/>
        <w:tblLook w:val="04A0" w:firstRow="1" w:lastRow="0" w:firstColumn="1" w:lastColumn="0" w:noHBand="0" w:noVBand="1"/>
        <w:tblCaption w:val="Table 12: Financial performance for cost recovered activities"/>
        <w:tblDescription w:val="This table provides a comparison from the preceding financial year financial forecasts to the actual preceding financial year results, with a material variance explanation where the difference is more than 5% and the Department's balance management strategy explanation for the period."/>
      </w:tblPr>
      <w:tblGrid>
        <w:gridCol w:w="2552"/>
        <w:gridCol w:w="1558"/>
        <w:gridCol w:w="1419"/>
        <w:gridCol w:w="1417"/>
        <w:gridCol w:w="1419"/>
        <w:gridCol w:w="1274"/>
      </w:tblGrid>
      <w:tr w:rsidR="00F65705" w:rsidRPr="00F65705" w14:paraId="1E2F52D1" w14:textId="77777777" w:rsidTr="00DC62CD">
        <w:trPr>
          <w:trHeight w:val="440"/>
          <w:tblHeader/>
        </w:trPr>
        <w:tc>
          <w:tcPr>
            <w:tcW w:w="1324" w:type="pct"/>
            <w:vMerge w:val="restart"/>
            <w:tcBorders>
              <w:top w:val="single" w:sz="8" w:space="0" w:color="808080"/>
              <w:left w:val="single" w:sz="8" w:space="0" w:color="808080"/>
              <w:bottom w:val="single" w:sz="4" w:space="0" w:color="808080"/>
              <w:right w:val="single" w:sz="4" w:space="0" w:color="808080"/>
            </w:tcBorders>
            <w:shd w:val="clear" w:color="000000" w:fill="D9D9D9"/>
            <w:vAlign w:val="center"/>
            <w:hideMark/>
          </w:tcPr>
          <w:p w14:paraId="3EE8F909" w14:textId="77777777" w:rsidR="00865C8A" w:rsidRPr="00F65705" w:rsidRDefault="00865C8A" w:rsidP="00DC62CD">
            <w:pPr>
              <w:rPr>
                <w:rFonts w:asciiTheme="minorHAnsi" w:hAnsiTheme="minorHAnsi" w:cstheme="minorHAnsi"/>
                <w:b/>
                <w:bCs/>
                <w:sz w:val="20"/>
                <w:szCs w:val="20"/>
                <w:lang w:eastAsia="en-AU"/>
              </w:rPr>
            </w:pPr>
            <w:r w:rsidRPr="00F65705">
              <w:rPr>
                <w:rFonts w:asciiTheme="minorHAnsi" w:hAnsiTheme="minorHAnsi" w:cstheme="minorHAnsi"/>
                <w:b/>
                <w:bCs/>
                <w:sz w:val="20"/>
                <w:szCs w:val="20"/>
                <w:lang w:eastAsia="en-AU"/>
              </w:rPr>
              <w:t>Actual Financial Results</w:t>
            </w:r>
          </w:p>
        </w:tc>
        <w:tc>
          <w:tcPr>
            <w:tcW w:w="808" w:type="pct"/>
            <w:tcBorders>
              <w:top w:val="single" w:sz="8" w:space="0" w:color="808080"/>
              <w:left w:val="nil"/>
              <w:right w:val="single" w:sz="4" w:space="0" w:color="A5A5A5" w:themeColor="accent3"/>
            </w:tcBorders>
            <w:shd w:val="clear" w:color="000000" w:fill="D9D9D9"/>
            <w:vAlign w:val="center"/>
          </w:tcPr>
          <w:p w14:paraId="0AA6A0FE" w14:textId="77777777" w:rsidR="00865C8A" w:rsidRPr="00F65705" w:rsidRDefault="00865C8A" w:rsidP="00DC62CD">
            <w:pPr>
              <w:jc w:val="center"/>
              <w:rPr>
                <w:rFonts w:asciiTheme="minorHAnsi" w:hAnsiTheme="minorHAnsi" w:cstheme="minorHAnsi"/>
                <w:sz w:val="20"/>
                <w:szCs w:val="20"/>
                <w:lang w:eastAsia="en-AU"/>
              </w:rPr>
            </w:pPr>
            <w:r w:rsidRPr="00F65705">
              <w:rPr>
                <w:rFonts w:asciiTheme="minorHAnsi" w:hAnsiTheme="minorHAnsi" w:cstheme="minorHAnsi"/>
                <w:b/>
                <w:bCs/>
                <w:sz w:val="20"/>
                <w:szCs w:val="20"/>
                <w:lang w:eastAsia="en-AU"/>
              </w:rPr>
              <w:t>2019–20</w:t>
            </w:r>
          </w:p>
        </w:tc>
        <w:tc>
          <w:tcPr>
            <w:tcW w:w="736" w:type="pct"/>
            <w:tcBorders>
              <w:top w:val="single" w:sz="8" w:space="0" w:color="808080"/>
              <w:left w:val="nil"/>
              <w:bottom w:val="nil"/>
              <w:right w:val="single" w:sz="8" w:space="0" w:color="808080"/>
            </w:tcBorders>
            <w:shd w:val="clear" w:color="000000" w:fill="D9D9D9"/>
            <w:vAlign w:val="center"/>
          </w:tcPr>
          <w:p w14:paraId="357AF821" w14:textId="77777777" w:rsidR="00865C8A" w:rsidRPr="00F65705" w:rsidRDefault="00865C8A" w:rsidP="00DC62CD">
            <w:pPr>
              <w:jc w:val="center"/>
              <w:rPr>
                <w:rFonts w:asciiTheme="minorHAnsi" w:hAnsiTheme="minorHAnsi" w:cstheme="minorHAnsi"/>
                <w:b/>
                <w:bCs/>
                <w:sz w:val="20"/>
                <w:szCs w:val="20"/>
                <w:lang w:eastAsia="en-AU"/>
              </w:rPr>
            </w:pPr>
            <w:r w:rsidRPr="00F65705">
              <w:rPr>
                <w:rFonts w:asciiTheme="minorHAnsi" w:hAnsiTheme="minorHAnsi" w:cstheme="minorHAnsi"/>
                <w:b/>
                <w:bCs/>
                <w:sz w:val="20"/>
                <w:szCs w:val="20"/>
                <w:lang w:eastAsia="en-AU"/>
              </w:rPr>
              <w:t>2020–21</w:t>
            </w:r>
          </w:p>
        </w:tc>
        <w:tc>
          <w:tcPr>
            <w:tcW w:w="735" w:type="pct"/>
            <w:tcBorders>
              <w:top w:val="single" w:sz="8" w:space="0" w:color="808080"/>
              <w:left w:val="single" w:sz="8" w:space="0" w:color="808080"/>
              <w:bottom w:val="nil"/>
              <w:right w:val="single" w:sz="4" w:space="0" w:color="808080"/>
            </w:tcBorders>
            <w:shd w:val="clear" w:color="000000" w:fill="D9D9D9"/>
            <w:vAlign w:val="center"/>
            <w:hideMark/>
          </w:tcPr>
          <w:p w14:paraId="498DEB3F" w14:textId="77777777" w:rsidR="00865C8A" w:rsidRPr="00F65705" w:rsidRDefault="00865C8A" w:rsidP="00DC62CD">
            <w:pPr>
              <w:jc w:val="center"/>
              <w:rPr>
                <w:rFonts w:asciiTheme="minorHAnsi" w:hAnsiTheme="minorHAnsi" w:cstheme="minorHAnsi"/>
                <w:b/>
                <w:bCs/>
                <w:sz w:val="20"/>
                <w:szCs w:val="20"/>
                <w:lang w:eastAsia="en-AU"/>
              </w:rPr>
            </w:pPr>
            <w:r w:rsidRPr="00F65705">
              <w:rPr>
                <w:rFonts w:asciiTheme="minorHAnsi" w:hAnsiTheme="minorHAnsi" w:cstheme="minorHAnsi"/>
                <w:b/>
                <w:bCs/>
                <w:sz w:val="20"/>
                <w:szCs w:val="20"/>
                <w:lang w:eastAsia="en-AU"/>
              </w:rPr>
              <w:t>2021–22</w:t>
            </w:r>
          </w:p>
        </w:tc>
        <w:tc>
          <w:tcPr>
            <w:tcW w:w="736" w:type="pct"/>
            <w:tcBorders>
              <w:top w:val="single" w:sz="8" w:space="0" w:color="808080"/>
              <w:left w:val="nil"/>
              <w:bottom w:val="nil"/>
              <w:right w:val="single" w:sz="4" w:space="0" w:color="808080"/>
            </w:tcBorders>
            <w:shd w:val="clear" w:color="000000" w:fill="D9D9D9"/>
            <w:vAlign w:val="center"/>
            <w:hideMark/>
          </w:tcPr>
          <w:p w14:paraId="6486A0E2" w14:textId="77777777" w:rsidR="00865C8A" w:rsidRPr="00F65705" w:rsidRDefault="00865C8A" w:rsidP="00DC62CD">
            <w:pPr>
              <w:jc w:val="center"/>
              <w:rPr>
                <w:rFonts w:asciiTheme="minorHAnsi" w:hAnsiTheme="minorHAnsi" w:cstheme="minorHAnsi"/>
                <w:b/>
                <w:bCs/>
                <w:sz w:val="20"/>
                <w:szCs w:val="20"/>
                <w:lang w:eastAsia="en-AU"/>
              </w:rPr>
            </w:pPr>
            <w:r w:rsidRPr="00F65705">
              <w:rPr>
                <w:rFonts w:asciiTheme="minorHAnsi" w:hAnsiTheme="minorHAnsi" w:cstheme="minorHAnsi"/>
                <w:b/>
                <w:bCs/>
                <w:sz w:val="20"/>
                <w:szCs w:val="20"/>
                <w:lang w:eastAsia="en-AU"/>
              </w:rPr>
              <w:t>2022–23</w:t>
            </w:r>
          </w:p>
        </w:tc>
        <w:tc>
          <w:tcPr>
            <w:tcW w:w="661" w:type="pct"/>
            <w:tcBorders>
              <w:top w:val="single" w:sz="8" w:space="0" w:color="808080"/>
              <w:left w:val="nil"/>
              <w:bottom w:val="nil"/>
              <w:right w:val="single" w:sz="8" w:space="0" w:color="808080"/>
            </w:tcBorders>
            <w:shd w:val="clear" w:color="000000" w:fill="D9D9D9"/>
            <w:vAlign w:val="center"/>
          </w:tcPr>
          <w:p w14:paraId="1BD6E581" w14:textId="77777777" w:rsidR="00865C8A" w:rsidRPr="00F65705" w:rsidRDefault="00865C8A" w:rsidP="00DC62CD">
            <w:pPr>
              <w:jc w:val="center"/>
              <w:rPr>
                <w:rFonts w:asciiTheme="minorHAnsi" w:hAnsiTheme="minorHAnsi" w:cstheme="minorHAnsi"/>
                <w:b/>
                <w:bCs/>
                <w:sz w:val="20"/>
                <w:szCs w:val="20"/>
                <w:lang w:eastAsia="en-AU"/>
              </w:rPr>
            </w:pPr>
            <w:r w:rsidRPr="00F65705">
              <w:rPr>
                <w:rFonts w:asciiTheme="minorHAnsi" w:hAnsiTheme="minorHAnsi" w:cstheme="minorHAnsi"/>
                <w:b/>
                <w:bCs/>
                <w:sz w:val="20"/>
                <w:szCs w:val="20"/>
                <w:lang w:eastAsia="en-AU"/>
              </w:rPr>
              <w:t>2023-24</w:t>
            </w:r>
          </w:p>
        </w:tc>
      </w:tr>
      <w:tr w:rsidR="00F65705" w:rsidRPr="00F65705" w14:paraId="31D36466" w14:textId="77777777" w:rsidTr="00DC62CD">
        <w:trPr>
          <w:trHeight w:val="364"/>
        </w:trPr>
        <w:tc>
          <w:tcPr>
            <w:tcW w:w="1324" w:type="pct"/>
            <w:vMerge/>
            <w:tcBorders>
              <w:top w:val="single" w:sz="8" w:space="0" w:color="808080"/>
              <w:left w:val="single" w:sz="8" w:space="0" w:color="808080"/>
              <w:bottom w:val="single" w:sz="4" w:space="0" w:color="808080"/>
              <w:right w:val="single" w:sz="4" w:space="0" w:color="808080"/>
            </w:tcBorders>
            <w:vAlign w:val="center"/>
            <w:hideMark/>
          </w:tcPr>
          <w:p w14:paraId="1888E44F" w14:textId="77777777" w:rsidR="00865C8A" w:rsidRPr="00F65705" w:rsidRDefault="00865C8A" w:rsidP="00DC62CD">
            <w:pPr>
              <w:rPr>
                <w:rFonts w:asciiTheme="minorHAnsi" w:hAnsiTheme="minorHAnsi" w:cstheme="minorHAnsi"/>
                <w:b/>
                <w:bCs/>
                <w:sz w:val="20"/>
                <w:szCs w:val="20"/>
                <w:lang w:eastAsia="en-AU"/>
              </w:rPr>
            </w:pPr>
          </w:p>
        </w:tc>
        <w:tc>
          <w:tcPr>
            <w:tcW w:w="808" w:type="pct"/>
            <w:tcBorders>
              <w:top w:val="nil"/>
              <w:left w:val="nil"/>
              <w:bottom w:val="single" w:sz="4" w:space="0" w:color="808080"/>
              <w:right w:val="single" w:sz="4" w:space="0" w:color="A5A5A5" w:themeColor="accent3"/>
            </w:tcBorders>
            <w:shd w:val="clear" w:color="000000" w:fill="D9D9D9"/>
            <w:vAlign w:val="center"/>
          </w:tcPr>
          <w:p w14:paraId="56AB7002" w14:textId="77777777" w:rsidR="00865C8A" w:rsidRPr="00F65705" w:rsidRDefault="00865C8A" w:rsidP="00DC62CD">
            <w:pPr>
              <w:jc w:val="center"/>
              <w:rPr>
                <w:rFonts w:asciiTheme="minorHAnsi" w:hAnsiTheme="minorHAnsi" w:cstheme="minorHAnsi"/>
                <w:sz w:val="20"/>
                <w:szCs w:val="20"/>
                <w:lang w:eastAsia="en-AU"/>
              </w:rPr>
            </w:pPr>
            <w:r w:rsidRPr="00F65705">
              <w:rPr>
                <w:rFonts w:asciiTheme="minorHAnsi" w:hAnsiTheme="minorHAnsi" w:cstheme="minorHAnsi"/>
                <w:sz w:val="18"/>
                <w:szCs w:val="18"/>
                <w:lang w:eastAsia="en-AU"/>
              </w:rPr>
              <w:t>($ millions)</w:t>
            </w:r>
          </w:p>
        </w:tc>
        <w:tc>
          <w:tcPr>
            <w:tcW w:w="736" w:type="pct"/>
            <w:tcBorders>
              <w:top w:val="nil"/>
              <w:left w:val="nil"/>
              <w:bottom w:val="single" w:sz="4" w:space="0" w:color="808080"/>
              <w:right w:val="single" w:sz="8" w:space="0" w:color="808080"/>
            </w:tcBorders>
            <w:shd w:val="clear" w:color="000000" w:fill="D9D9D9"/>
            <w:vAlign w:val="center"/>
          </w:tcPr>
          <w:p w14:paraId="09F4D73E" w14:textId="77777777" w:rsidR="00865C8A" w:rsidRPr="00F65705" w:rsidRDefault="00865C8A" w:rsidP="00DC62CD">
            <w:pPr>
              <w:jc w:val="center"/>
              <w:rPr>
                <w:rFonts w:asciiTheme="minorHAnsi" w:hAnsiTheme="minorHAnsi" w:cstheme="minorHAnsi"/>
                <w:sz w:val="18"/>
                <w:szCs w:val="18"/>
                <w:lang w:eastAsia="en-AU"/>
              </w:rPr>
            </w:pPr>
            <w:r w:rsidRPr="00F65705">
              <w:rPr>
                <w:rFonts w:asciiTheme="minorHAnsi" w:hAnsiTheme="minorHAnsi" w:cstheme="minorHAnsi"/>
                <w:sz w:val="18"/>
                <w:szCs w:val="18"/>
                <w:lang w:eastAsia="en-AU"/>
              </w:rPr>
              <w:t>($ millions)</w:t>
            </w:r>
          </w:p>
        </w:tc>
        <w:tc>
          <w:tcPr>
            <w:tcW w:w="735" w:type="pct"/>
            <w:tcBorders>
              <w:top w:val="nil"/>
              <w:left w:val="single" w:sz="8" w:space="0" w:color="808080"/>
              <w:bottom w:val="single" w:sz="4" w:space="0" w:color="808080"/>
              <w:right w:val="single" w:sz="4" w:space="0" w:color="808080"/>
            </w:tcBorders>
            <w:shd w:val="clear" w:color="000000" w:fill="D9D9D9"/>
            <w:vAlign w:val="center"/>
            <w:hideMark/>
          </w:tcPr>
          <w:p w14:paraId="10F22930" w14:textId="77777777" w:rsidR="00865C8A" w:rsidRPr="00F65705" w:rsidRDefault="00865C8A" w:rsidP="00DC62CD">
            <w:pPr>
              <w:jc w:val="center"/>
              <w:rPr>
                <w:rFonts w:asciiTheme="minorHAnsi" w:hAnsiTheme="minorHAnsi" w:cstheme="minorHAnsi"/>
                <w:sz w:val="18"/>
                <w:szCs w:val="18"/>
                <w:lang w:eastAsia="en-AU"/>
              </w:rPr>
            </w:pPr>
            <w:r w:rsidRPr="00F65705">
              <w:rPr>
                <w:rFonts w:asciiTheme="minorHAnsi" w:hAnsiTheme="minorHAnsi" w:cstheme="minorHAnsi"/>
                <w:sz w:val="18"/>
                <w:szCs w:val="18"/>
                <w:lang w:eastAsia="en-AU"/>
              </w:rPr>
              <w:t>($ millions)</w:t>
            </w:r>
          </w:p>
        </w:tc>
        <w:tc>
          <w:tcPr>
            <w:tcW w:w="736" w:type="pct"/>
            <w:tcBorders>
              <w:top w:val="nil"/>
              <w:left w:val="nil"/>
              <w:bottom w:val="single" w:sz="4" w:space="0" w:color="808080"/>
              <w:right w:val="single" w:sz="4" w:space="0" w:color="808080"/>
            </w:tcBorders>
            <w:shd w:val="clear" w:color="000000" w:fill="D9D9D9"/>
            <w:vAlign w:val="center"/>
            <w:hideMark/>
          </w:tcPr>
          <w:p w14:paraId="3522CABD" w14:textId="77777777" w:rsidR="00865C8A" w:rsidRPr="00F65705" w:rsidRDefault="00865C8A" w:rsidP="00DC62CD">
            <w:pPr>
              <w:jc w:val="center"/>
              <w:rPr>
                <w:rFonts w:asciiTheme="minorHAnsi" w:hAnsiTheme="minorHAnsi" w:cstheme="minorHAnsi"/>
                <w:sz w:val="18"/>
                <w:szCs w:val="18"/>
                <w:lang w:eastAsia="en-AU"/>
              </w:rPr>
            </w:pPr>
            <w:r w:rsidRPr="00F65705">
              <w:rPr>
                <w:rFonts w:asciiTheme="minorHAnsi" w:hAnsiTheme="minorHAnsi" w:cstheme="minorHAnsi"/>
                <w:sz w:val="18"/>
                <w:szCs w:val="18"/>
                <w:lang w:eastAsia="en-AU"/>
              </w:rPr>
              <w:t>($ millions)</w:t>
            </w:r>
          </w:p>
        </w:tc>
        <w:tc>
          <w:tcPr>
            <w:tcW w:w="661" w:type="pct"/>
            <w:tcBorders>
              <w:top w:val="nil"/>
              <w:left w:val="nil"/>
              <w:bottom w:val="single" w:sz="4" w:space="0" w:color="808080"/>
              <w:right w:val="single" w:sz="8" w:space="0" w:color="808080"/>
            </w:tcBorders>
            <w:shd w:val="clear" w:color="000000" w:fill="D9D9D9"/>
            <w:vAlign w:val="center"/>
          </w:tcPr>
          <w:p w14:paraId="12C88643" w14:textId="77777777" w:rsidR="00865C8A" w:rsidRPr="00F65705" w:rsidRDefault="00865C8A" w:rsidP="00DC62CD">
            <w:pPr>
              <w:jc w:val="center"/>
              <w:rPr>
                <w:rFonts w:asciiTheme="minorHAnsi" w:hAnsiTheme="minorHAnsi" w:cstheme="minorHAnsi"/>
                <w:sz w:val="18"/>
                <w:szCs w:val="18"/>
                <w:lang w:eastAsia="en-AU"/>
              </w:rPr>
            </w:pPr>
            <w:r w:rsidRPr="00F65705">
              <w:rPr>
                <w:rFonts w:asciiTheme="minorHAnsi" w:hAnsiTheme="minorHAnsi" w:cstheme="minorHAnsi"/>
                <w:sz w:val="18"/>
                <w:szCs w:val="18"/>
                <w:lang w:eastAsia="en-AU"/>
              </w:rPr>
              <w:t>($ millions)</w:t>
            </w:r>
          </w:p>
        </w:tc>
      </w:tr>
      <w:tr w:rsidR="00F65705" w:rsidRPr="00F65705" w14:paraId="0C49F55F" w14:textId="77777777" w:rsidTr="00DC62CD">
        <w:trPr>
          <w:trHeight w:val="490"/>
        </w:trPr>
        <w:tc>
          <w:tcPr>
            <w:tcW w:w="1324" w:type="pct"/>
            <w:tcBorders>
              <w:top w:val="nil"/>
              <w:left w:val="single" w:sz="8" w:space="0" w:color="808080"/>
              <w:bottom w:val="single" w:sz="4" w:space="0" w:color="808080"/>
              <w:right w:val="single" w:sz="4" w:space="0" w:color="808080"/>
            </w:tcBorders>
            <w:shd w:val="clear" w:color="auto" w:fill="auto"/>
            <w:vAlign w:val="center"/>
            <w:hideMark/>
          </w:tcPr>
          <w:p w14:paraId="15BF6F67" w14:textId="77777777" w:rsidR="00B428AA" w:rsidRPr="00F65705" w:rsidRDefault="00B428AA" w:rsidP="00B428AA">
            <w:pPr>
              <w:rPr>
                <w:rFonts w:asciiTheme="minorHAnsi" w:hAnsiTheme="minorHAnsi" w:cstheme="minorHAnsi"/>
                <w:sz w:val="20"/>
                <w:szCs w:val="20"/>
                <w:lang w:eastAsia="en-AU"/>
              </w:rPr>
            </w:pPr>
            <w:r w:rsidRPr="00F65705">
              <w:rPr>
                <w:rFonts w:asciiTheme="minorHAnsi" w:hAnsiTheme="minorHAnsi" w:cstheme="minorHAnsi"/>
                <w:sz w:val="20"/>
                <w:szCs w:val="20"/>
                <w:lang w:eastAsia="en-AU"/>
              </w:rPr>
              <w:t>Expenses = X</w:t>
            </w:r>
          </w:p>
        </w:tc>
        <w:tc>
          <w:tcPr>
            <w:tcW w:w="808" w:type="pct"/>
            <w:tcBorders>
              <w:top w:val="single" w:sz="4" w:space="0" w:color="808080"/>
              <w:left w:val="nil"/>
              <w:bottom w:val="single" w:sz="4" w:space="0" w:color="808080"/>
              <w:right w:val="single" w:sz="4" w:space="0" w:color="A5A5A5" w:themeColor="accent3"/>
            </w:tcBorders>
            <w:vAlign w:val="center"/>
          </w:tcPr>
          <w:p w14:paraId="6C218DCB" w14:textId="77777777" w:rsidR="00B428AA" w:rsidRPr="00F65705" w:rsidRDefault="00B428AA" w:rsidP="00B428AA">
            <w:pPr>
              <w:jc w:val="center"/>
              <w:rPr>
                <w:rFonts w:asciiTheme="minorHAnsi" w:hAnsiTheme="minorHAnsi" w:cstheme="minorHAnsi"/>
                <w:sz w:val="20"/>
                <w:szCs w:val="20"/>
                <w:lang w:eastAsia="en-AU"/>
              </w:rPr>
            </w:pPr>
            <w:r w:rsidRPr="00F65705">
              <w:rPr>
                <w:rFonts w:asciiTheme="minorHAnsi" w:hAnsiTheme="minorHAnsi" w:cstheme="minorHAnsi"/>
                <w:sz w:val="20"/>
                <w:szCs w:val="20"/>
                <w:lang w:eastAsia="en-AU"/>
              </w:rPr>
              <w:t>$29.59</w:t>
            </w:r>
          </w:p>
        </w:tc>
        <w:tc>
          <w:tcPr>
            <w:tcW w:w="736" w:type="pct"/>
            <w:tcBorders>
              <w:top w:val="nil"/>
              <w:left w:val="nil"/>
              <w:bottom w:val="single" w:sz="4" w:space="0" w:color="808080"/>
              <w:right w:val="single" w:sz="8" w:space="0" w:color="808080"/>
            </w:tcBorders>
            <w:vAlign w:val="center"/>
          </w:tcPr>
          <w:p w14:paraId="5E499A9B" w14:textId="77777777" w:rsidR="00B428AA" w:rsidRPr="00F65705" w:rsidRDefault="00B428AA" w:rsidP="00B428AA">
            <w:pPr>
              <w:jc w:val="center"/>
              <w:rPr>
                <w:rFonts w:asciiTheme="minorHAnsi" w:hAnsiTheme="minorHAnsi" w:cstheme="minorHAnsi"/>
                <w:sz w:val="20"/>
                <w:szCs w:val="20"/>
                <w:lang w:eastAsia="en-AU"/>
              </w:rPr>
            </w:pPr>
            <w:r w:rsidRPr="00F65705">
              <w:rPr>
                <w:rFonts w:ascii="Calibri" w:hAnsi="Calibri" w:cs="Calibri"/>
                <w:sz w:val="20"/>
                <w:szCs w:val="20"/>
              </w:rPr>
              <w:t>$31.44</w:t>
            </w:r>
          </w:p>
        </w:tc>
        <w:tc>
          <w:tcPr>
            <w:tcW w:w="735" w:type="pct"/>
            <w:tcBorders>
              <w:top w:val="nil"/>
              <w:left w:val="single" w:sz="8" w:space="0" w:color="808080"/>
              <w:bottom w:val="single" w:sz="4" w:space="0" w:color="808080"/>
              <w:right w:val="single" w:sz="4" w:space="0" w:color="808080"/>
            </w:tcBorders>
            <w:shd w:val="clear" w:color="auto" w:fill="auto"/>
            <w:vAlign w:val="center"/>
          </w:tcPr>
          <w:p w14:paraId="48BD21DF" w14:textId="77777777" w:rsidR="00B428AA" w:rsidRPr="00F65705" w:rsidRDefault="00B428AA" w:rsidP="00B428AA">
            <w:pPr>
              <w:jc w:val="center"/>
              <w:rPr>
                <w:rFonts w:asciiTheme="minorHAnsi" w:hAnsiTheme="minorHAnsi" w:cstheme="minorHAnsi"/>
                <w:sz w:val="20"/>
                <w:szCs w:val="20"/>
                <w:lang w:eastAsia="en-AU"/>
              </w:rPr>
            </w:pPr>
            <w:r w:rsidRPr="00F65705">
              <w:rPr>
                <w:rFonts w:asciiTheme="minorHAnsi" w:hAnsiTheme="minorHAnsi" w:cstheme="minorHAnsi"/>
                <w:sz w:val="20"/>
                <w:szCs w:val="20"/>
                <w:lang w:eastAsia="en-AU"/>
              </w:rPr>
              <w:t>$31.76</w:t>
            </w:r>
          </w:p>
        </w:tc>
        <w:tc>
          <w:tcPr>
            <w:tcW w:w="736" w:type="pct"/>
            <w:tcBorders>
              <w:top w:val="nil"/>
              <w:left w:val="nil"/>
              <w:bottom w:val="single" w:sz="4" w:space="0" w:color="808080"/>
              <w:right w:val="single" w:sz="4" w:space="0" w:color="808080"/>
            </w:tcBorders>
            <w:shd w:val="clear" w:color="auto" w:fill="auto"/>
            <w:vAlign w:val="center"/>
            <w:hideMark/>
          </w:tcPr>
          <w:p w14:paraId="1AC941A1" w14:textId="54225A7A" w:rsidR="00B428AA" w:rsidRPr="00F65705" w:rsidRDefault="00B428AA" w:rsidP="00F3673F">
            <w:pPr>
              <w:jc w:val="center"/>
              <w:rPr>
                <w:rFonts w:asciiTheme="minorHAnsi" w:hAnsiTheme="minorHAnsi" w:cstheme="minorHAnsi"/>
                <w:sz w:val="20"/>
                <w:szCs w:val="20"/>
                <w:lang w:eastAsia="en-AU"/>
              </w:rPr>
            </w:pPr>
            <w:r w:rsidRPr="00F65705">
              <w:rPr>
                <w:rFonts w:asciiTheme="minorHAnsi" w:hAnsiTheme="minorHAnsi" w:cstheme="minorHAnsi"/>
                <w:sz w:val="20"/>
                <w:szCs w:val="20"/>
                <w:lang w:eastAsia="en-AU"/>
              </w:rPr>
              <w:t>$32.88</w:t>
            </w:r>
          </w:p>
        </w:tc>
        <w:tc>
          <w:tcPr>
            <w:tcW w:w="661" w:type="pct"/>
            <w:tcBorders>
              <w:top w:val="single" w:sz="4" w:space="0" w:color="808080"/>
              <w:left w:val="nil"/>
              <w:bottom w:val="single" w:sz="4" w:space="0" w:color="808080"/>
              <w:right w:val="single" w:sz="8" w:space="0" w:color="808080"/>
            </w:tcBorders>
            <w:shd w:val="clear" w:color="auto" w:fill="auto"/>
            <w:vAlign w:val="center"/>
            <w:hideMark/>
          </w:tcPr>
          <w:p w14:paraId="35E77A42" w14:textId="77777777" w:rsidR="00B428AA" w:rsidRPr="00F65705" w:rsidRDefault="00B428AA" w:rsidP="00B428AA">
            <w:pPr>
              <w:rPr>
                <w:rFonts w:asciiTheme="minorHAnsi" w:hAnsiTheme="minorHAnsi" w:cstheme="minorHAnsi"/>
                <w:sz w:val="20"/>
                <w:szCs w:val="20"/>
                <w:lang w:eastAsia="en-AU"/>
              </w:rPr>
            </w:pPr>
            <w:r w:rsidRPr="00F65705">
              <w:rPr>
                <w:rFonts w:asciiTheme="minorHAnsi" w:hAnsiTheme="minorHAnsi" w:cstheme="minorHAnsi"/>
                <w:sz w:val="20"/>
                <w:szCs w:val="20"/>
                <w:lang w:eastAsia="en-AU"/>
              </w:rPr>
              <w:t> </w:t>
            </w:r>
          </w:p>
        </w:tc>
      </w:tr>
      <w:tr w:rsidR="00F65705" w:rsidRPr="00F65705" w14:paraId="1B13D6E6" w14:textId="77777777" w:rsidTr="00DC62CD">
        <w:trPr>
          <w:trHeight w:val="490"/>
        </w:trPr>
        <w:tc>
          <w:tcPr>
            <w:tcW w:w="1324" w:type="pct"/>
            <w:tcBorders>
              <w:top w:val="nil"/>
              <w:left w:val="single" w:sz="8" w:space="0" w:color="808080"/>
              <w:bottom w:val="single" w:sz="4" w:space="0" w:color="808080"/>
              <w:right w:val="single" w:sz="4" w:space="0" w:color="808080"/>
            </w:tcBorders>
            <w:shd w:val="clear" w:color="auto" w:fill="auto"/>
            <w:vAlign w:val="center"/>
            <w:hideMark/>
          </w:tcPr>
          <w:p w14:paraId="0C56E441" w14:textId="77777777" w:rsidR="00B428AA" w:rsidRPr="00F65705" w:rsidRDefault="00B428AA" w:rsidP="00B428AA">
            <w:pPr>
              <w:rPr>
                <w:rFonts w:asciiTheme="minorHAnsi" w:hAnsiTheme="minorHAnsi" w:cstheme="minorHAnsi"/>
                <w:sz w:val="20"/>
                <w:szCs w:val="20"/>
                <w:lang w:eastAsia="en-AU"/>
              </w:rPr>
            </w:pPr>
            <w:r w:rsidRPr="00F65705">
              <w:rPr>
                <w:rFonts w:asciiTheme="minorHAnsi" w:hAnsiTheme="minorHAnsi" w:cstheme="minorHAnsi"/>
                <w:sz w:val="20"/>
                <w:szCs w:val="20"/>
                <w:lang w:eastAsia="en-AU"/>
              </w:rPr>
              <w:t>Revenue = Y</w:t>
            </w:r>
          </w:p>
        </w:tc>
        <w:tc>
          <w:tcPr>
            <w:tcW w:w="808" w:type="pct"/>
            <w:tcBorders>
              <w:top w:val="single" w:sz="4" w:space="0" w:color="808080"/>
              <w:left w:val="nil"/>
              <w:bottom w:val="single" w:sz="4" w:space="0" w:color="808080"/>
              <w:right w:val="single" w:sz="4" w:space="0" w:color="A5A5A5" w:themeColor="accent3"/>
            </w:tcBorders>
            <w:vAlign w:val="center"/>
          </w:tcPr>
          <w:p w14:paraId="7C7F4190" w14:textId="77777777" w:rsidR="00B428AA" w:rsidRPr="00F65705" w:rsidRDefault="00B428AA" w:rsidP="00B428AA">
            <w:pPr>
              <w:jc w:val="center"/>
              <w:rPr>
                <w:rFonts w:asciiTheme="minorHAnsi" w:hAnsiTheme="minorHAnsi" w:cstheme="minorHAnsi"/>
                <w:sz w:val="20"/>
                <w:szCs w:val="20"/>
                <w:lang w:eastAsia="en-AU"/>
              </w:rPr>
            </w:pPr>
            <w:r w:rsidRPr="00F65705">
              <w:rPr>
                <w:rFonts w:asciiTheme="minorHAnsi" w:hAnsiTheme="minorHAnsi" w:cstheme="minorHAnsi"/>
                <w:sz w:val="20"/>
                <w:szCs w:val="20"/>
                <w:lang w:eastAsia="en-AU"/>
              </w:rPr>
              <w:t>$19.51</w:t>
            </w:r>
          </w:p>
        </w:tc>
        <w:tc>
          <w:tcPr>
            <w:tcW w:w="736" w:type="pct"/>
            <w:tcBorders>
              <w:top w:val="nil"/>
              <w:left w:val="nil"/>
              <w:bottom w:val="single" w:sz="4" w:space="0" w:color="808080"/>
              <w:right w:val="single" w:sz="8" w:space="0" w:color="808080"/>
            </w:tcBorders>
            <w:vAlign w:val="center"/>
          </w:tcPr>
          <w:p w14:paraId="39033B1B" w14:textId="77777777" w:rsidR="00B428AA" w:rsidRPr="00F65705" w:rsidRDefault="00B428AA" w:rsidP="00B428AA">
            <w:pPr>
              <w:jc w:val="center"/>
              <w:rPr>
                <w:rFonts w:asciiTheme="minorHAnsi" w:hAnsiTheme="minorHAnsi" w:cstheme="minorHAnsi"/>
                <w:sz w:val="20"/>
                <w:szCs w:val="20"/>
                <w:lang w:eastAsia="en-AU"/>
              </w:rPr>
            </w:pPr>
            <w:r w:rsidRPr="00F65705">
              <w:rPr>
                <w:rFonts w:ascii="Calibri" w:hAnsi="Calibri" w:cs="Calibri"/>
                <w:sz w:val="20"/>
                <w:szCs w:val="20"/>
              </w:rPr>
              <w:t>$22.53</w:t>
            </w:r>
          </w:p>
        </w:tc>
        <w:tc>
          <w:tcPr>
            <w:tcW w:w="735" w:type="pct"/>
            <w:tcBorders>
              <w:top w:val="nil"/>
              <w:left w:val="single" w:sz="8" w:space="0" w:color="808080"/>
              <w:bottom w:val="single" w:sz="4" w:space="0" w:color="808080"/>
              <w:right w:val="single" w:sz="4" w:space="0" w:color="808080"/>
            </w:tcBorders>
            <w:shd w:val="clear" w:color="auto" w:fill="auto"/>
            <w:vAlign w:val="center"/>
          </w:tcPr>
          <w:p w14:paraId="4BFF5625" w14:textId="77777777" w:rsidR="00B428AA" w:rsidRPr="00F65705" w:rsidRDefault="00B428AA" w:rsidP="00B428AA">
            <w:pPr>
              <w:jc w:val="center"/>
              <w:rPr>
                <w:rFonts w:asciiTheme="minorHAnsi" w:hAnsiTheme="minorHAnsi" w:cstheme="minorHAnsi"/>
                <w:sz w:val="20"/>
                <w:szCs w:val="20"/>
                <w:lang w:eastAsia="en-AU"/>
              </w:rPr>
            </w:pPr>
            <w:r w:rsidRPr="00F65705">
              <w:rPr>
                <w:rFonts w:asciiTheme="minorHAnsi" w:hAnsiTheme="minorHAnsi" w:cstheme="minorHAnsi"/>
                <w:sz w:val="20"/>
                <w:szCs w:val="20"/>
                <w:lang w:eastAsia="en-AU"/>
              </w:rPr>
              <w:t>$26.90</w:t>
            </w:r>
          </w:p>
        </w:tc>
        <w:tc>
          <w:tcPr>
            <w:tcW w:w="736" w:type="pct"/>
            <w:tcBorders>
              <w:top w:val="nil"/>
              <w:left w:val="nil"/>
              <w:bottom w:val="single" w:sz="4" w:space="0" w:color="808080"/>
              <w:right w:val="single" w:sz="4" w:space="0" w:color="808080"/>
            </w:tcBorders>
            <w:shd w:val="clear" w:color="auto" w:fill="auto"/>
            <w:vAlign w:val="center"/>
            <w:hideMark/>
          </w:tcPr>
          <w:p w14:paraId="1D98B364" w14:textId="247D2A38" w:rsidR="00B428AA" w:rsidRPr="00F65705" w:rsidRDefault="00B428AA" w:rsidP="00F3673F">
            <w:pPr>
              <w:jc w:val="center"/>
              <w:rPr>
                <w:rFonts w:asciiTheme="minorHAnsi" w:hAnsiTheme="minorHAnsi" w:cstheme="minorHAnsi"/>
                <w:sz w:val="20"/>
                <w:szCs w:val="20"/>
                <w:lang w:eastAsia="en-AU"/>
              </w:rPr>
            </w:pPr>
            <w:r w:rsidRPr="00F65705">
              <w:rPr>
                <w:rFonts w:asciiTheme="minorHAnsi" w:hAnsiTheme="minorHAnsi" w:cstheme="minorHAnsi"/>
                <w:sz w:val="20"/>
                <w:szCs w:val="20"/>
                <w:lang w:eastAsia="en-AU"/>
              </w:rPr>
              <w:t>$26.95</w:t>
            </w:r>
          </w:p>
        </w:tc>
        <w:tc>
          <w:tcPr>
            <w:tcW w:w="661" w:type="pct"/>
            <w:tcBorders>
              <w:top w:val="single" w:sz="4" w:space="0" w:color="808080"/>
              <w:left w:val="nil"/>
              <w:bottom w:val="single" w:sz="4" w:space="0" w:color="808080"/>
              <w:right w:val="single" w:sz="8" w:space="0" w:color="808080"/>
            </w:tcBorders>
            <w:shd w:val="clear" w:color="auto" w:fill="auto"/>
            <w:vAlign w:val="center"/>
            <w:hideMark/>
          </w:tcPr>
          <w:p w14:paraId="0626D707" w14:textId="77777777" w:rsidR="00B428AA" w:rsidRPr="00F65705" w:rsidRDefault="00B428AA" w:rsidP="00B428AA">
            <w:pPr>
              <w:rPr>
                <w:rFonts w:asciiTheme="minorHAnsi" w:hAnsiTheme="minorHAnsi" w:cstheme="minorHAnsi"/>
                <w:sz w:val="20"/>
                <w:szCs w:val="20"/>
                <w:lang w:eastAsia="en-AU"/>
              </w:rPr>
            </w:pPr>
            <w:r w:rsidRPr="00F65705">
              <w:rPr>
                <w:rFonts w:asciiTheme="minorHAnsi" w:hAnsiTheme="minorHAnsi" w:cstheme="minorHAnsi"/>
                <w:sz w:val="20"/>
                <w:szCs w:val="20"/>
                <w:lang w:eastAsia="en-AU"/>
              </w:rPr>
              <w:t> </w:t>
            </w:r>
          </w:p>
        </w:tc>
      </w:tr>
      <w:tr w:rsidR="00F65705" w:rsidRPr="00F65705" w14:paraId="6249890B" w14:textId="77777777" w:rsidTr="00DC62CD">
        <w:trPr>
          <w:trHeight w:val="734"/>
        </w:trPr>
        <w:tc>
          <w:tcPr>
            <w:tcW w:w="1324" w:type="pct"/>
            <w:tcBorders>
              <w:top w:val="nil"/>
              <w:left w:val="single" w:sz="8" w:space="0" w:color="808080"/>
              <w:bottom w:val="single" w:sz="4" w:space="0" w:color="808080"/>
              <w:right w:val="single" w:sz="4" w:space="0" w:color="808080"/>
            </w:tcBorders>
            <w:shd w:val="clear" w:color="auto" w:fill="auto"/>
            <w:vAlign w:val="center"/>
            <w:hideMark/>
          </w:tcPr>
          <w:p w14:paraId="63280799" w14:textId="381E3CBC" w:rsidR="00B428AA" w:rsidRPr="00F65705" w:rsidRDefault="00B428AA" w:rsidP="00B428AA">
            <w:pPr>
              <w:rPr>
                <w:rFonts w:asciiTheme="minorHAnsi" w:hAnsiTheme="minorHAnsi" w:cstheme="minorHAnsi"/>
                <w:sz w:val="20"/>
                <w:szCs w:val="20"/>
                <w:lang w:val="es-ES" w:eastAsia="en-AU"/>
              </w:rPr>
            </w:pPr>
            <w:r w:rsidRPr="00F65705">
              <w:rPr>
                <w:rFonts w:asciiTheme="minorHAnsi" w:hAnsiTheme="minorHAnsi" w:cstheme="minorHAnsi"/>
                <w:sz w:val="20"/>
                <w:szCs w:val="20"/>
                <w:lang w:val="es-ES" w:eastAsia="en-AU"/>
              </w:rPr>
              <w:t>Balance = Y – X</w:t>
            </w:r>
          </w:p>
        </w:tc>
        <w:tc>
          <w:tcPr>
            <w:tcW w:w="808" w:type="pct"/>
            <w:tcBorders>
              <w:top w:val="single" w:sz="4" w:space="0" w:color="808080"/>
              <w:left w:val="nil"/>
              <w:bottom w:val="single" w:sz="4" w:space="0" w:color="808080"/>
              <w:right w:val="single" w:sz="4" w:space="0" w:color="A5A5A5" w:themeColor="accent3"/>
            </w:tcBorders>
            <w:vAlign w:val="center"/>
          </w:tcPr>
          <w:p w14:paraId="11B874D1" w14:textId="2F38EF6B" w:rsidR="00B428AA" w:rsidRPr="00F65705" w:rsidRDefault="00B428AA" w:rsidP="00B428AA">
            <w:pPr>
              <w:jc w:val="center"/>
              <w:rPr>
                <w:rFonts w:asciiTheme="minorHAnsi" w:hAnsiTheme="minorHAnsi" w:cstheme="minorHAnsi"/>
                <w:sz w:val="20"/>
                <w:szCs w:val="20"/>
                <w:lang w:eastAsia="en-AU"/>
              </w:rPr>
            </w:pPr>
            <w:r w:rsidRPr="00F65705">
              <w:rPr>
                <w:rFonts w:asciiTheme="minorHAnsi" w:hAnsiTheme="minorHAnsi" w:cstheme="minorHAnsi"/>
                <w:sz w:val="20"/>
                <w:szCs w:val="20"/>
                <w:lang w:eastAsia="en-AU"/>
              </w:rPr>
              <w:t>-$10.08</w:t>
            </w:r>
          </w:p>
        </w:tc>
        <w:tc>
          <w:tcPr>
            <w:tcW w:w="736" w:type="pct"/>
            <w:tcBorders>
              <w:top w:val="nil"/>
              <w:left w:val="nil"/>
              <w:bottom w:val="single" w:sz="4" w:space="0" w:color="808080"/>
              <w:right w:val="single" w:sz="8" w:space="0" w:color="808080"/>
            </w:tcBorders>
            <w:vAlign w:val="center"/>
          </w:tcPr>
          <w:p w14:paraId="6C662F8B" w14:textId="2B7E371C" w:rsidR="00B428AA" w:rsidRPr="00F65705" w:rsidRDefault="00B428AA" w:rsidP="00B428AA">
            <w:pPr>
              <w:jc w:val="center"/>
              <w:rPr>
                <w:rFonts w:asciiTheme="minorHAnsi" w:hAnsiTheme="minorHAnsi" w:cstheme="minorHAnsi"/>
                <w:sz w:val="20"/>
                <w:szCs w:val="20"/>
                <w:lang w:eastAsia="en-AU"/>
              </w:rPr>
            </w:pPr>
            <w:r w:rsidRPr="00F65705">
              <w:rPr>
                <w:rFonts w:ascii="Calibri" w:hAnsi="Calibri" w:cs="Calibri"/>
                <w:sz w:val="20"/>
                <w:szCs w:val="20"/>
              </w:rPr>
              <w:t>-$8.91</w:t>
            </w:r>
          </w:p>
        </w:tc>
        <w:tc>
          <w:tcPr>
            <w:tcW w:w="735" w:type="pct"/>
            <w:tcBorders>
              <w:top w:val="nil"/>
              <w:left w:val="single" w:sz="8" w:space="0" w:color="808080"/>
              <w:bottom w:val="single" w:sz="4" w:space="0" w:color="808080"/>
              <w:right w:val="single" w:sz="4" w:space="0" w:color="808080"/>
            </w:tcBorders>
            <w:shd w:val="clear" w:color="auto" w:fill="auto"/>
            <w:vAlign w:val="center"/>
            <w:hideMark/>
          </w:tcPr>
          <w:p w14:paraId="273ADB7D" w14:textId="53620ACA" w:rsidR="00B428AA" w:rsidRPr="00F65705" w:rsidRDefault="00B428AA" w:rsidP="00B428AA">
            <w:pPr>
              <w:jc w:val="center"/>
              <w:rPr>
                <w:rFonts w:asciiTheme="minorHAnsi" w:hAnsiTheme="minorHAnsi" w:cstheme="minorHAnsi"/>
                <w:sz w:val="20"/>
                <w:szCs w:val="20"/>
                <w:lang w:eastAsia="en-AU"/>
              </w:rPr>
            </w:pPr>
            <w:r w:rsidRPr="00F65705">
              <w:rPr>
                <w:rFonts w:asciiTheme="minorHAnsi" w:hAnsiTheme="minorHAnsi" w:cstheme="minorHAnsi"/>
                <w:sz w:val="20"/>
                <w:szCs w:val="20"/>
                <w:lang w:eastAsia="en-AU"/>
              </w:rPr>
              <w:t>-$4.86</w:t>
            </w:r>
          </w:p>
        </w:tc>
        <w:tc>
          <w:tcPr>
            <w:tcW w:w="736" w:type="pct"/>
            <w:tcBorders>
              <w:top w:val="nil"/>
              <w:left w:val="nil"/>
              <w:bottom w:val="single" w:sz="4" w:space="0" w:color="808080"/>
              <w:right w:val="single" w:sz="4" w:space="0" w:color="808080"/>
            </w:tcBorders>
            <w:shd w:val="clear" w:color="auto" w:fill="auto"/>
            <w:vAlign w:val="center"/>
            <w:hideMark/>
          </w:tcPr>
          <w:p w14:paraId="180304C8" w14:textId="77737FDD" w:rsidR="00B428AA" w:rsidRPr="00F65705" w:rsidRDefault="00B428AA" w:rsidP="00F3673F">
            <w:pPr>
              <w:jc w:val="center"/>
              <w:rPr>
                <w:rFonts w:asciiTheme="minorHAnsi" w:hAnsiTheme="minorHAnsi" w:cstheme="minorHAnsi"/>
                <w:sz w:val="20"/>
                <w:szCs w:val="20"/>
                <w:lang w:eastAsia="en-AU"/>
              </w:rPr>
            </w:pPr>
            <w:r w:rsidRPr="00F65705">
              <w:rPr>
                <w:rFonts w:asciiTheme="minorHAnsi" w:hAnsiTheme="minorHAnsi" w:cstheme="minorHAnsi"/>
                <w:sz w:val="20"/>
                <w:szCs w:val="20"/>
                <w:lang w:eastAsia="en-AU"/>
              </w:rPr>
              <w:t>-$5.93</w:t>
            </w:r>
          </w:p>
        </w:tc>
        <w:tc>
          <w:tcPr>
            <w:tcW w:w="661" w:type="pct"/>
            <w:tcBorders>
              <w:top w:val="single" w:sz="4" w:space="0" w:color="808080"/>
              <w:left w:val="nil"/>
              <w:bottom w:val="single" w:sz="4" w:space="0" w:color="808080"/>
              <w:right w:val="single" w:sz="8" w:space="0" w:color="808080"/>
            </w:tcBorders>
            <w:shd w:val="clear" w:color="auto" w:fill="auto"/>
            <w:vAlign w:val="center"/>
            <w:hideMark/>
          </w:tcPr>
          <w:p w14:paraId="46DB333D" w14:textId="77777777" w:rsidR="00B428AA" w:rsidRPr="00F65705" w:rsidRDefault="00B428AA" w:rsidP="00B428AA">
            <w:pPr>
              <w:rPr>
                <w:rFonts w:asciiTheme="minorHAnsi" w:hAnsiTheme="minorHAnsi" w:cstheme="minorHAnsi"/>
                <w:sz w:val="20"/>
                <w:szCs w:val="20"/>
                <w:lang w:eastAsia="en-AU"/>
              </w:rPr>
            </w:pPr>
            <w:r w:rsidRPr="00F65705">
              <w:rPr>
                <w:rFonts w:asciiTheme="minorHAnsi" w:hAnsiTheme="minorHAnsi" w:cstheme="minorHAnsi"/>
                <w:sz w:val="20"/>
                <w:szCs w:val="20"/>
                <w:lang w:eastAsia="en-AU"/>
              </w:rPr>
              <w:t> </w:t>
            </w:r>
          </w:p>
        </w:tc>
      </w:tr>
      <w:tr w:rsidR="00F65705" w:rsidRPr="00F65705" w14:paraId="72C6E86B" w14:textId="77777777" w:rsidTr="00DC62CD">
        <w:trPr>
          <w:trHeight w:val="508"/>
        </w:trPr>
        <w:tc>
          <w:tcPr>
            <w:tcW w:w="1324" w:type="pct"/>
            <w:tcBorders>
              <w:top w:val="nil"/>
              <w:left w:val="single" w:sz="8" w:space="0" w:color="808080"/>
              <w:bottom w:val="single" w:sz="8" w:space="0" w:color="808080"/>
              <w:right w:val="single" w:sz="4" w:space="0" w:color="808080"/>
            </w:tcBorders>
            <w:shd w:val="clear" w:color="auto" w:fill="auto"/>
            <w:vAlign w:val="center"/>
            <w:hideMark/>
          </w:tcPr>
          <w:p w14:paraId="3A1B5BB0" w14:textId="1C8DCCCC" w:rsidR="00B428AA" w:rsidRPr="00F65705" w:rsidRDefault="00B428AA" w:rsidP="00B428AA">
            <w:pPr>
              <w:rPr>
                <w:rFonts w:asciiTheme="minorHAnsi" w:hAnsiTheme="minorHAnsi" w:cstheme="minorHAnsi"/>
                <w:b/>
                <w:bCs/>
                <w:sz w:val="20"/>
                <w:szCs w:val="20"/>
                <w:lang w:eastAsia="en-AU"/>
              </w:rPr>
            </w:pPr>
            <w:r w:rsidRPr="00F65705">
              <w:rPr>
                <w:rFonts w:asciiTheme="minorHAnsi" w:hAnsiTheme="minorHAnsi" w:cstheme="minorHAnsi"/>
                <w:b/>
                <w:bCs/>
                <w:sz w:val="20"/>
                <w:szCs w:val="20"/>
                <w:lang w:eastAsia="en-AU"/>
              </w:rPr>
              <w:t>Cumulative balance</w:t>
            </w:r>
          </w:p>
        </w:tc>
        <w:tc>
          <w:tcPr>
            <w:tcW w:w="808" w:type="pct"/>
            <w:tcBorders>
              <w:top w:val="single" w:sz="4" w:space="0" w:color="808080"/>
              <w:left w:val="nil"/>
              <w:bottom w:val="single" w:sz="8" w:space="0" w:color="808080"/>
              <w:right w:val="single" w:sz="4" w:space="0" w:color="A5A5A5" w:themeColor="accent3"/>
            </w:tcBorders>
            <w:vAlign w:val="center"/>
          </w:tcPr>
          <w:p w14:paraId="46994FF8" w14:textId="323C3C48" w:rsidR="00B428AA" w:rsidRPr="00F65705" w:rsidRDefault="00B428AA" w:rsidP="00B428AA">
            <w:pPr>
              <w:jc w:val="center"/>
              <w:rPr>
                <w:rFonts w:asciiTheme="minorHAnsi" w:hAnsiTheme="minorHAnsi" w:cstheme="minorHAnsi"/>
                <w:b/>
                <w:bCs/>
                <w:sz w:val="20"/>
                <w:szCs w:val="20"/>
                <w:lang w:eastAsia="en-AU"/>
              </w:rPr>
            </w:pPr>
            <w:r w:rsidRPr="00F65705">
              <w:rPr>
                <w:rFonts w:asciiTheme="minorHAnsi" w:hAnsiTheme="minorHAnsi" w:cstheme="minorHAnsi"/>
                <w:b/>
                <w:bCs/>
                <w:sz w:val="20"/>
                <w:szCs w:val="20"/>
                <w:lang w:eastAsia="en-AU"/>
              </w:rPr>
              <w:t>-$10.08</w:t>
            </w:r>
          </w:p>
        </w:tc>
        <w:tc>
          <w:tcPr>
            <w:tcW w:w="736" w:type="pct"/>
            <w:tcBorders>
              <w:top w:val="nil"/>
              <w:left w:val="nil"/>
              <w:bottom w:val="single" w:sz="8" w:space="0" w:color="808080"/>
              <w:right w:val="single" w:sz="8" w:space="0" w:color="808080"/>
            </w:tcBorders>
            <w:vAlign w:val="center"/>
          </w:tcPr>
          <w:p w14:paraId="029DBF8E" w14:textId="2189E735" w:rsidR="00B428AA" w:rsidRPr="00F65705" w:rsidRDefault="00B428AA" w:rsidP="00B428AA">
            <w:pPr>
              <w:jc w:val="center"/>
              <w:rPr>
                <w:rFonts w:asciiTheme="minorHAnsi" w:hAnsiTheme="minorHAnsi" w:cstheme="minorHAnsi"/>
                <w:b/>
                <w:bCs/>
                <w:sz w:val="20"/>
                <w:szCs w:val="20"/>
                <w:lang w:eastAsia="en-AU"/>
              </w:rPr>
            </w:pPr>
            <w:r w:rsidRPr="00F65705">
              <w:rPr>
                <w:rFonts w:ascii="Calibri" w:hAnsi="Calibri" w:cs="Calibri"/>
                <w:b/>
                <w:bCs/>
                <w:sz w:val="20"/>
                <w:szCs w:val="20"/>
              </w:rPr>
              <w:t>-$18.99</w:t>
            </w:r>
          </w:p>
        </w:tc>
        <w:tc>
          <w:tcPr>
            <w:tcW w:w="735" w:type="pct"/>
            <w:tcBorders>
              <w:top w:val="nil"/>
              <w:left w:val="single" w:sz="8" w:space="0" w:color="808080"/>
              <w:bottom w:val="single" w:sz="8" w:space="0" w:color="808080"/>
              <w:right w:val="single" w:sz="4" w:space="0" w:color="808080"/>
            </w:tcBorders>
            <w:shd w:val="clear" w:color="auto" w:fill="auto"/>
            <w:vAlign w:val="center"/>
            <w:hideMark/>
          </w:tcPr>
          <w:p w14:paraId="78CA519F" w14:textId="04D3D0EE" w:rsidR="00B428AA" w:rsidRPr="00F65705" w:rsidRDefault="00B428AA" w:rsidP="00B428AA">
            <w:pPr>
              <w:jc w:val="center"/>
              <w:rPr>
                <w:rFonts w:asciiTheme="minorHAnsi" w:hAnsiTheme="minorHAnsi" w:cstheme="minorHAnsi"/>
                <w:b/>
                <w:bCs/>
                <w:sz w:val="20"/>
                <w:szCs w:val="20"/>
                <w:lang w:eastAsia="en-AU"/>
              </w:rPr>
            </w:pPr>
            <w:r w:rsidRPr="00F65705">
              <w:rPr>
                <w:rFonts w:asciiTheme="minorHAnsi" w:hAnsiTheme="minorHAnsi" w:cstheme="minorHAnsi"/>
                <w:b/>
                <w:bCs/>
                <w:sz w:val="20"/>
                <w:szCs w:val="20"/>
                <w:lang w:eastAsia="en-AU"/>
              </w:rPr>
              <w:t>-$23.85</w:t>
            </w:r>
          </w:p>
        </w:tc>
        <w:tc>
          <w:tcPr>
            <w:tcW w:w="736" w:type="pct"/>
            <w:tcBorders>
              <w:top w:val="nil"/>
              <w:left w:val="nil"/>
              <w:bottom w:val="single" w:sz="8" w:space="0" w:color="808080"/>
              <w:right w:val="single" w:sz="4" w:space="0" w:color="808080"/>
            </w:tcBorders>
            <w:shd w:val="clear" w:color="auto" w:fill="auto"/>
            <w:vAlign w:val="center"/>
            <w:hideMark/>
          </w:tcPr>
          <w:p w14:paraId="04AA32F5" w14:textId="214ABB3B" w:rsidR="00B428AA" w:rsidRPr="00F65705" w:rsidRDefault="00B428AA" w:rsidP="00F3673F">
            <w:pPr>
              <w:jc w:val="center"/>
              <w:rPr>
                <w:rFonts w:asciiTheme="minorHAnsi" w:hAnsiTheme="minorHAnsi" w:cstheme="minorHAnsi"/>
                <w:b/>
                <w:bCs/>
                <w:sz w:val="20"/>
                <w:szCs w:val="20"/>
                <w:lang w:eastAsia="en-AU"/>
              </w:rPr>
            </w:pPr>
            <w:r w:rsidRPr="00F65705">
              <w:rPr>
                <w:rFonts w:ascii="Calibri" w:hAnsi="Calibri" w:cs="Calibri"/>
                <w:sz w:val="22"/>
                <w:szCs w:val="22"/>
              </w:rPr>
              <w:t>-</w:t>
            </w:r>
            <w:r w:rsidRPr="00F65705">
              <w:rPr>
                <w:rFonts w:asciiTheme="minorHAnsi" w:hAnsiTheme="minorHAnsi" w:cstheme="minorHAnsi"/>
                <w:b/>
                <w:bCs/>
                <w:sz w:val="20"/>
                <w:szCs w:val="20"/>
                <w:lang w:eastAsia="en-AU"/>
              </w:rPr>
              <w:t>$29.78</w:t>
            </w:r>
          </w:p>
        </w:tc>
        <w:tc>
          <w:tcPr>
            <w:tcW w:w="661" w:type="pct"/>
            <w:tcBorders>
              <w:top w:val="single" w:sz="4" w:space="0" w:color="808080"/>
              <w:left w:val="nil"/>
              <w:bottom w:val="single" w:sz="4" w:space="0" w:color="808080"/>
              <w:right w:val="single" w:sz="8" w:space="0" w:color="808080"/>
            </w:tcBorders>
            <w:shd w:val="clear" w:color="auto" w:fill="auto"/>
            <w:vAlign w:val="center"/>
            <w:hideMark/>
          </w:tcPr>
          <w:p w14:paraId="1071A4AB" w14:textId="77777777" w:rsidR="00B428AA" w:rsidRPr="00F65705" w:rsidRDefault="00B428AA" w:rsidP="00B428AA">
            <w:pPr>
              <w:rPr>
                <w:rFonts w:asciiTheme="minorHAnsi" w:hAnsiTheme="minorHAnsi" w:cstheme="minorHAnsi"/>
                <w:sz w:val="20"/>
                <w:szCs w:val="20"/>
                <w:lang w:eastAsia="en-AU"/>
              </w:rPr>
            </w:pPr>
            <w:r w:rsidRPr="00F65705">
              <w:rPr>
                <w:rFonts w:asciiTheme="minorHAnsi" w:hAnsiTheme="minorHAnsi" w:cstheme="minorHAnsi"/>
                <w:sz w:val="20"/>
                <w:szCs w:val="20"/>
                <w:lang w:eastAsia="en-AU"/>
              </w:rPr>
              <w:t> </w:t>
            </w:r>
          </w:p>
        </w:tc>
      </w:tr>
      <w:tr w:rsidR="00F65705" w:rsidRPr="00F65705" w14:paraId="1443E9D3" w14:textId="77777777" w:rsidTr="00F01E0D">
        <w:trPr>
          <w:trHeight w:val="700"/>
        </w:trPr>
        <w:tc>
          <w:tcPr>
            <w:tcW w:w="1324" w:type="pct"/>
            <w:tcBorders>
              <w:top w:val="nil"/>
              <w:left w:val="single" w:sz="8" w:space="0" w:color="808080"/>
              <w:bottom w:val="single" w:sz="8" w:space="0" w:color="808080"/>
              <w:right w:val="single" w:sz="4" w:space="0" w:color="808080"/>
            </w:tcBorders>
            <w:shd w:val="clear" w:color="auto" w:fill="auto"/>
            <w:vAlign w:val="center"/>
          </w:tcPr>
          <w:p w14:paraId="53CF48D5" w14:textId="77777777" w:rsidR="0061320B" w:rsidRPr="00F65705" w:rsidRDefault="0061320B" w:rsidP="0061320B">
            <w:pPr>
              <w:rPr>
                <w:rFonts w:asciiTheme="minorHAnsi" w:hAnsiTheme="minorHAnsi"/>
                <w:b/>
                <w:sz w:val="20"/>
              </w:rPr>
            </w:pPr>
            <w:r w:rsidRPr="00F65705">
              <w:rPr>
                <w:rFonts w:asciiTheme="minorHAnsi" w:hAnsiTheme="minorHAnsi" w:cstheme="minorHAnsi"/>
                <w:bCs/>
                <w:sz w:val="20"/>
                <w:szCs w:val="20"/>
                <w:lang w:eastAsia="en-AU"/>
              </w:rPr>
              <w:t>Material variance explanation</w:t>
            </w:r>
          </w:p>
        </w:tc>
        <w:tc>
          <w:tcPr>
            <w:tcW w:w="3676" w:type="pct"/>
            <w:gridSpan w:val="5"/>
            <w:tcBorders>
              <w:top w:val="nil"/>
              <w:left w:val="nil"/>
              <w:bottom w:val="single" w:sz="8" w:space="0" w:color="808080"/>
              <w:right w:val="single" w:sz="8" w:space="0" w:color="808080"/>
            </w:tcBorders>
          </w:tcPr>
          <w:p w14:paraId="2ACD84FA" w14:textId="475FC7BA" w:rsidR="0061320B" w:rsidRPr="00F65705" w:rsidRDefault="0061320B" w:rsidP="0061320B">
            <w:pPr>
              <w:rPr>
                <w:rFonts w:ascii="Calibri" w:hAnsi="Calibri" w:cs="Calibri"/>
                <w:sz w:val="18"/>
                <w:szCs w:val="18"/>
              </w:rPr>
            </w:pPr>
            <w:bookmarkStart w:id="10" w:name="_Hlk87607026"/>
            <w:r w:rsidRPr="00F65705">
              <w:rPr>
                <w:rFonts w:ascii="Calibri" w:hAnsi="Calibri" w:cs="Calibri"/>
                <w:sz w:val="18"/>
                <w:szCs w:val="18"/>
              </w:rPr>
              <w:t xml:space="preserve">The revenue </w:t>
            </w:r>
            <w:r w:rsidR="004C6D96" w:rsidRPr="00F65705">
              <w:rPr>
                <w:rFonts w:ascii="Calibri" w:hAnsi="Calibri" w:cs="Calibri"/>
                <w:sz w:val="18"/>
                <w:szCs w:val="18"/>
              </w:rPr>
              <w:t>in</w:t>
            </w:r>
            <w:r w:rsidRPr="00F65705">
              <w:rPr>
                <w:rFonts w:ascii="Calibri" w:hAnsi="Calibri" w:cs="Calibri"/>
                <w:sz w:val="18"/>
                <w:szCs w:val="18"/>
              </w:rPr>
              <w:t xml:space="preserve"> 2022-23 </w:t>
            </w:r>
            <w:r w:rsidR="004C6D96" w:rsidRPr="00F65705">
              <w:rPr>
                <w:rFonts w:ascii="Calibri" w:hAnsi="Calibri" w:cs="Calibri"/>
                <w:sz w:val="18"/>
                <w:szCs w:val="18"/>
              </w:rPr>
              <w:t>was</w:t>
            </w:r>
            <w:r w:rsidRPr="00F65705">
              <w:rPr>
                <w:rFonts w:ascii="Calibri" w:hAnsi="Calibri" w:cs="Calibri"/>
                <w:sz w:val="18"/>
                <w:szCs w:val="18"/>
              </w:rPr>
              <w:t xml:space="preserve"> $0.89 million (3%) lower than forecast and the </w:t>
            </w:r>
            <w:r w:rsidR="009312F2" w:rsidRPr="00F65705">
              <w:rPr>
                <w:rFonts w:ascii="Calibri" w:hAnsi="Calibri" w:cs="Calibri"/>
                <w:sz w:val="18"/>
                <w:szCs w:val="18"/>
              </w:rPr>
              <w:t xml:space="preserve">actual </w:t>
            </w:r>
            <w:r w:rsidRPr="00F65705">
              <w:rPr>
                <w:rFonts w:ascii="Calibri" w:hAnsi="Calibri" w:cs="Calibri"/>
                <w:sz w:val="18"/>
                <w:szCs w:val="18"/>
              </w:rPr>
              <w:t xml:space="preserve">expenses  </w:t>
            </w:r>
            <w:r w:rsidR="009312F2" w:rsidRPr="00F65705">
              <w:rPr>
                <w:rFonts w:ascii="Calibri" w:hAnsi="Calibri" w:cs="Calibri"/>
                <w:sz w:val="18"/>
                <w:szCs w:val="18"/>
              </w:rPr>
              <w:t>were</w:t>
            </w:r>
            <w:r w:rsidRPr="00F65705">
              <w:rPr>
                <w:rFonts w:ascii="Calibri" w:hAnsi="Calibri" w:cs="Calibri"/>
                <w:sz w:val="18"/>
                <w:szCs w:val="18"/>
              </w:rPr>
              <w:t xml:space="preserve"> $2.12 million (6%) </w:t>
            </w:r>
            <w:r w:rsidR="009312F2" w:rsidRPr="00F65705">
              <w:rPr>
                <w:rFonts w:ascii="Calibri" w:hAnsi="Calibri" w:cs="Calibri"/>
                <w:sz w:val="18"/>
                <w:szCs w:val="18"/>
              </w:rPr>
              <w:t xml:space="preserve">lower than </w:t>
            </w:r>
            <w:r w:rsidRPr="00F65705">
              <w:rPr>
                <w:rFonts w:ascii="Calibri" w:hAnsi="Calibri" w:cs="Calibri"/>
                <w:sz w:val="18"/>
                <w:szCs w:val="18"/>
              </w:rPr>
              <w:t xml:space="preserve">forecast. </w:t>
            </w:r>
            <w:r w:rsidR="009312F2" w:rsidRPr="00F65705">
              <w:rPr>
                <w:rFonts w:ascii="Calibri" w:hAnsi="Calibri" w:cs="Calibri"/>
                <w:sz w:val="18"/>
                <w:szCs w:val="18"/>
              </w:rPr>
              <w:t xml:space="preserve">This is due to a </w:t>
            </w:r>
            <w:r w:rsidRPr="00F65705">
              <w:rPr>
                <w:rFonts w:ascii="Calibri" w:hAnsi="Calibri" w:cs="Calibri"/>
                <w:sz w:val="18"/>
                <w:szCs w:val="18"/>
              </w:rPr>
              <w:t xml:space="preserve">combination of factors including </w:t>
            </w:r>
            <w:r w:rsidRPr="00F65705">
              <w:rPr>
                <w:rFonts w:ascii="Calibri" w:hAnsi="Calibri" w:cs="Calibri"/>
                <w:sz w:val="18"/>
                <w:szCs w:val="18"/>
              </w:rPr>
              <w:lastRenderedPageBreak/>
              <w:t xml:space="preserve">the actual volume and range of submission types received compared to forecasts, and a higher number of withdrawn applications. </w:t>
            </w:r>
            <w:bookmarkEnd w:id="10"/>
          </w:p>
          <w:p w14:paraId="26EC566B" w14:textId="47DA4448" w:rsidR="009C1590" w:rsidRPr="00F65705" w:rsidRDefault="009312F2" w:rsidP="0061320B">
            <w:pPr>
              <w:spacing w:before="120" w:after="120"/>
              <w:rPr>
                <w:rFonts w:ascii="Calibri" w:hAnsi="Calibri" w:cs="Calibri"/>
                <w:sz w:val="18"/>
                <w:szCs w:val="18"/>
              </w:rPr>
            </w:pPr>
            <w:r w:rsidRPr="00F65705">
              <w:rPr>
                <w:rFonts w:ascii="Calibri" w:hAnsi="Calibri" w:cs="Calibri"/>
                <w:sz w:val="18"/>
                <w:szCs w:val="18"/>
              </w:rPr>
              <w:t xml:space="preserve">In 2022-23 there was a </w:t>
            </w:r>
            <w:r w:rsidR="0061320B" w:rsidRPr="00F65705">
              <w:rPr>
                <w:rFonts w:ascii="Calibri" w:hAnsi="Calibri" w:cs="Calibri"/>
                <w:sz w:val="18"/>
                <w:szCs w:val="18"/>
              </w:rPr>
              <w:t xml:space="preserve">deficit of $5.93 million </w:t>
            </w:r>
            <w:r w:rsidRPr="00F65705">
              <w:rPr>
                <w:rFonts w:ascii="Calibri" w:hAnsi="Calibri" w:cs="Calibri"/>
                <w:sz w:val="18"/>
                <w:szCs w:val="18"/>
              </w:rPr>
              <w:t xml:space="preserve">because </w:t>
            </w:r>
            <w:r w:rsidR="0061320B" w:rsidRPr="00F65705">
              <w:rPr>
                <w:rFonts w:ascii="Calibri" w:hAnsi="Calibri" w:cs="Calibri"/>
                <w:sz w:val="18"/>
                <w:szCs w:val="18"/>
              </w:rPr>
              <w:t>of fee waivers</w:t>
            </w:r>
            <w:r w:rsidR="0021725C" w:rsidRPr="00F65705">
              <w:rPr>
                <w:rFonts w:ascii="Calibri" w:hAnsi="Calibri" w:cs="Calibri"/>
                <w:sz w:val="18"/>
                <w:szCs w:val="18"/>
              </w:rPr>
              <w:t>, fee</w:t>
            </w:r>
            <w:r w:rsidR="0061320B" w:rsidRPr="00F65705">
              <w:rPr>
                <w:rFonts w:ascii="Calibri" w:hAnsi="Calibri" w:cs="Calibri"/>
                <w:sz w:val="18"/>
                <w:szCs w:val="18"/>
              </w:rPr>
              <w:t xml:space="preserve"> exemptions and forgone revenue </w:t>
            </w:r>
            <w:r w:rsidRPr="00F65705">
              <w:rPr>
                <w:rFonts w:ascii="Calibri" w:hAnsi="Calibri" w:cs="Calibri"/>
                <w:sz w:val="18"/>
                <w:szCs w:val="18"/>
              </w:rPr>
              <w:t>from</w:t>
            </w:r>
            <w:r w:rsidR="0061320B" w:rsidRPr="00F65705">
              <w:rPr>
                <w:rFonts w:ascii="Calibri" w:hAnsi="Calibri" w:cs="Calibri"/>
                <w:sz w:val="18"/>
                <w:szCs w:val="18"/>
              </w:rPr>
              <w:t xml:space="preserve"> post-listing activities </w:t>
            </w:r>
            <w:r w:rsidRPr="00F65705">
              <w:rPr>
                <w:rFonts w:ascii="Calibri" w:hAnsi="Calibri" w:cs="Calibri"/>
                <w:sz w:val="18"/>
                <w:szCs w:val="18"/>
              </w:rPr>
              <w:t xml:space="preserve">that </w:t>
            </w:r>
            <w:r w:rsidR="0061320B" w:rsidRPr="00F65705">
              <w:rPr>
                <w:rFonts w:ascii="Calibri" w:hAnsi="Calibri" w:cs="Calibri"/>
                <w:sz w:val="18"/>
                <w:szCs w:val="18"/>
              </w:rPr>
              <w:t>are not cost recovered.</w:t>
            </w:r>
          </w:p>
          <w:p w14:paraId="2AB59C8F" w14:textId="01E42ADB" w:rsidR="009C1590" w:rsidRPr="00F65705" w:rsidRDefault="009C1590" w:rsidP="009C1590">
            <w:pPr>
              <w:spacing w:before="120" w:after="120"/>
              <w:rPr>
                <w:rFonts w:ascii="Calibri" w:hAnsi="Calibri" w:cs="Calibri"/>
                <w:sz w:val="18"/>
                <w:szCs w:val="18"/>
              </w:rPr>
            </w:pPr>
            <w:r w:rsidRPr="00F65705">
              <w:rPr>
                <w:rFonts w:ascii="Calibri" w:hAnsi="Calibri" w:cs="Calibri"/>
                <w:sz w:val="18"/>
                <w:szCs w:val="18"/>
              </w:rPr>
              <w:t xml:space="preserve">Revised cost recovery arrangements were introduced in 2019-20 </w:t>
            </w:r>
            <w:r w:rsidR="009312F2" w:rsidRPr="00F65705">
              <w:rPr>
                <w:rFonts w:ascii="Calibri" w:hAnsi="Calibri" w:cs="Calibri"/>
                <w:sz w:val="18"/>
                <w:szCs w:val="18"/>
              </w:rPr>
              <w:t>where</w:t>
            </w:r>
            <w:r w:rsidR="004C6D96" w:rsidRPr="00F65705">
              <w:rPr>
                <w:rFonts w:ascii="Calibri" w:hAnsi="Calibri" w:cs="Calibri"/>
                <w:sz w:val="18"/>
                <w:szCs w:val="18"/>
              </w:rPr>
              <w:t xml:space="preserve"> t</w:t>
            </w:r>
            <w:r w:rsidRPr="00F65705">
              <w:rPr>
                <w:rFonts w:ascii="Calibri" w:hAnsi="Calibri" w:cs="Calibri"/>
                <w:sz w:val="18"/>
                <w:szCs w:val="18"/>
              </w:rPr>
              <w:t>he cumulative balance was re-set.</w:t>
            </w:r>
          </w:p>
        </w:tc>
      </w:tr>
      <w:tr w:rsidR="00F65705" w:rsidRPr="00F65705" w14:paraId="677B1C54" w14:textId="77777777" w:rsidTr="00DC62CD">
        <w:trPr>
          <w:trHeight w:val="508"/>
        </w:trPr>
        <w:tc>
          <w:tcPr>
            <w:tcW w:w="1324" w:type="pct"/>
            <w:tcBorders>
              <w:top w:val="nil"/>
              <w:left w:val="single" w:sz="8" w:space="0" w:color="808080"/>
              <w:bottom w:val="single" w:sz="8" w:space="0" w:color="808080"/>
              <w:right w:val="single" w:sz="4" w:space="0" w:color="808080"/>
            </w:tcBorders>
            <w:shd w:val="clear" w:color="auto" w:fill="auto"/>
            <w:vAlign w:val="center"/>
          </w:tcPr>
          <w:p w14:paraId="0C6E0F42" w14:textId="469ACA17" w:rsidR="0061320B" w:rsidRPr="00F65705" w:rsidRDefault="0061320B" w:rsidP="0061320B">
            <w:pPr>
              <w:rPr>
                <w:rFonts w:asciiTheme="minorHAnsi" w:hAnsiTheme="minorHAnsi"/>
                <w:b/>
                <w:sz w:val="20"/>
              </w:rPr>
            </w:pPr>
            <w:r w:rsidRPr="00F65705">
              <w:rPr>
                <w:rFonts w:asciiTheme="minorHAnsi" w:hAnsiTheme="minorHAnsi" w:cstheme="minorHAnsi"/>
                <w:bCs/>
                <w:sz w:val="20"/>
                <w:szCs w:val="20"/>
                <w:lang w:eastAsia="en-AU"/>
              </w:rPr>
              <w:lastRenderedPageBreak/>
              <w:t>Balance management strategy</w:t>
            </w:r>
          </w:p>
        </w:tc>
        <w:tc>
          <w:tcPr>
            <w:tcW w:w="3676" w:type="pct"/>
            <w:gridSpan w:val="5"/>
            <w:tcBorders>
              <w:top w:val="nil"/>
              <w:left w:val="nil"/>
              <w:bottom w:val="single" w:sz="8" w:space="0" w:color="808080"/>
              <w:right w:val="single" w:sz="8" w:space="0" w:color="808080"/>
            </w:tcBorders>
          </w:tcPr>
          <w:p w14:paraId="5F94B89C" w14:textId="5C97F247" w:rsidR="0061320B" w:rsidRPr="00F65705" w:rsidRDefault="00C93838" w:rsidP="0061320B">
            <w:pPr>
              <w:rPr>
                <w:rFonts w:ascii="Calibri" w:hAnsi="Calibri" w:cs="Calibri"/>
                <w:sz w:val="18"/>
                <w:szCs w:val="18"/>
              </w:rPr>
            </w:pPr>
            <w:r w:rsidRPr="00F65705">
              <w:rPr>
                <w:rFonts w:ascii="Calibri" w:hAnsi="Calibri" w:cs="Calibri"/>
                <w:sz w:val="18"/>
                <w:szCs w:val="18"/>
              </w:rPr>
              <w:t>P</w:t>
            </w:r>
            <w:r w:rsidR="0061320B" w:rsidRPr="00F65705">
              <w:rPr>
                <w:rFonts w:ascii="Calibri" w:hAnsi="Calibri" w:cs="Calibri"/>
                <w:sz w:val="18"/>
                <w:szCs w:val="18"/>
              </w:rPr>
              <w:t>artial cost recovery arrangements</w:t>
            </w:r>
            <w:r w:rsidRPr="00F65705">
              <w:rPr>
                <w:rFonts w:ascii="Calibri" w:hAnsi="Calibri" w:cs="Calibri"/>
                <w:sz w:val="18"/>
                <w:szCs w:val="18"/>
              </w:rPr>
              <w:t xml:space="preserve"> are</w:t>
            </w:r>
            <w:r w:rsidR="0061320B" w:rsidRPr="00F65705">
              <w:rPr>
                <w:rFonts w:ascii="Calibri" w:hAnsi="Calibri" w:cs="Calibri"/>
                <w:sz w:val="18"/>
                <w:szCs w:val="18"/>
              </w:rPr>
              <w:t xml:space="preserve"> in place. </w:t>
            </w:r>
            <w:r w:rsidRPr="00F65705">
              <w:rPr>
                <w:rFonts w:ascii="Calibri" w:hAnsi="Calibri" w:cs="Calibri"/>
                <w:sz w:val="18"/>
                <w:szCs w:val="18"/>
              </w:rPr>
              <w:t>The Australian Government is</w:t>
            </w:r>
            <w:r w:rsidR="0061320B" w:rsidRPr="00F65705">
              <w:rPr>
                <w:rFonts w:ascii="Calibri" w:hAnsi="Calibri" w:cs="Calibri"/>
                <w:sz w:val="18"/>
                <w:szCs w:val="18"/>
              </w:rPr>
              <w:t xml:space="preserve"> funding applications </w:t>
            </w:r>
            <w:r w:rsidR="004C6D96" w:rsidRPr="00F65705">
              <w:rPr>
                <w:rFonts w:ascii="Calibri" w:hAnsi="Calibri" w:cs="Calibri"/>
                <w:sz w:val="18"/>
                <w:szCs w:val="18"/>
              </w:rPr>
              <w:t>where</w:t>
            </w:r>
            <w:r w:rsidR="007E295E" w:rsidRPr="00F65705">
              <w:rPr>
                <w:rFonts w:ascii="Calibri" w:hAnsi="Calibri" w:cs="Calibri"/>
                <w:sz w:val="18"/>
                <w:szCs w:val="18"/>
              </w:rPr>
              <w:t xml:space="preserve"> fee</w:t>
            </w:r>
            <w:r w:rsidR="004C6D96" w:rsidRPr="00F65705">
              <w:rPr>
                <w:rFonts w:ascii="Calibri" w:hAnsi="Calibri" w:cs="Calibri"/>
                <w:sz w:val="18"/>
                <w:szCs w:val="18"/>
              </w:rPr>
              <w:t>s are</w:t>
            </w:r>
            <w:r w:rsidR="007E295E" w:rsidRPr="00F65705">
              <w:rPr>
                <w:rFonts w:ascii="Calibri" w:hAnsi="Calibri" w:cs="Calibri"/>
                <w:sz w:val="18"/>
                <w:szCs w:val="18"/>
              </w:rPr>
              <w:t xml:space="preserve"> </w:t>
            </w:r>
            <w:r w:rsidR="004C6D96" w:rsidRPr="00F65705">
              <w:rPr>
                <w:rFonts w:ascii="Calibri" w:hAnsi="Calibri" w:cs="Calibri"/>
                <w:sz w:val="18"/>
                <w:szCs w:val="18"/>
              </w:rPr>
              <w:t xml:space="preserve">waived or exempt under legislation, </w:t>
            </w:r>
            <w:r w:rsidR="007E295E" w:rsidRPr="00F65705">
              <w:rPr>
                <w:rFonts w:ascii="Calibri" w:hAnsi="Calibri" w:cs="Calibri"/>
                <w:sz w:val="18"/>
                <w:szCs w:val="18"/>
              </w:rPr>
              <w:t>as well as</w:t>
            </w:r>
            <w:r w:rsidR="0061320B" w:rsidRPr="00F65705">
              <w:rPr>
                <w:rFonts w:ascii="Calibri" w:hAnsi="Calibri" w:cs="Calibri"/>
                <w:sz w:val="18"/>
                <w:szCs w:val="18"/>
              </w:rPr>
              <w:t xml:space="preserve"> post-listing activities</w:t>
            </w:r>
            <w:r w:rsidR="007E295E" w:rsidRPr="00F65705">
              <w:rPr>
                <w:rFonts w:ascii="Calibri" w:hAnsi="Calibri" w:cs="Calibri"/>
                <w:sz w:val="18"/>
                <w:szCs w:val="18"/>
              </w:rPr>
              <w:t xml:space="preserve"> that are not cost recovered</w:t>
            </w:r>
            <w:r w:rsidR="0061320B" w:rsidRPr="00F65705">
              <w:rPr>
                <w:rFonts w:ascii="Calibri" w:hAnsi="Calibri" w:cs="Calibri"/>
                <w:sz w:val="18"/>
                <w:szCs w:val="18"/>
              </w:rPr>
              <w:t>.</w:t>
            </w:r>
          </w:p>
        </w:tc>
      </w:tr>
    </w:tbl>
    <w:p w14:paraId="78FAA352" w14:textId="77777777" w:rsidR="00865C8A" w:rsidRPr="00F65705" w:rsidRDefault="00865C8A" w:rsidP="00865C8A">
      <w:pPr>
        <w:spacing w:before="600"/>
        <w:rPr>
          <w:rFonts w:asciiTheme="minorHAnsi" w:hAnsiTheme="minorHAnsi"/>
          <w:b/>
          <w:sz w:val="28"/>
          <w:szCs w:val="28"/>
        </w:rPr>
      </w:pPr>
      <w:r w:rsidRPr="00F65705">
        <w:rPr>
          <w:rFonts w:asciiTheme="minorHAnsi" w:hAnsiTheme="minorHAnsi"/>
          <w:b/>
          <w:sz w:val="28"/>
          <w:szCs w:val="28"/>
        </w:rPr>
        <w:t>7B.</w:t>
      </w:r>
      <w:r w:rsidRPr="00F65705">
        <w:rPr>
          <w:rFonts w:asciiTheme="minorHAnsi" w:hAnsiTheme="minorHAnsi"/>
          <w:b/>
          <w:sz w:val="28"/>
          <w:szCs w:val="28"/>
        </w:rPr>
        <w:tab/>
        <w:t xml:space="preserve">NON-FINANCIAL PERFORMANCE </w:t>
      </w:r>
    </w:p>
    <w:p w14:paraId="425874B4" w14:textId="67DC19F0" w:rsidR="00865C8A" w:rsidRPr="00F65705" w:rsidRDefault="00865C8A" w:rsidP="00865C8A">
      <w:pPr>
        <w:spacing w:before="120" w:after="120"/>
        <w:jc w:val="both"/>
        <w:rPr>
          <w:rStyle w:val="Emphasis"/>
          <w:rFonts w:asciiTheme="minorHAnsi" w:eastAsia="Arial" w:hAnsiTheme="minorHAnsi" w:cstheme="minorHAnsi"/>
          <w:i w:val="0"/>
          <w:sz w:val="22"/>
          <w:szCs w:val="22"/>
        </w:rPr>
      </w:pPr>
      <w:r w:rsidRPr="00F65705">
        <w:rPr>
          <w:rStyle w:val="Emphasis"/>
          <w:rFonts w:asciiTheme="minorHAnsi" w:eastAsia="Arial" w:hAnsiTheme="minorHAnsi" w:cstheme="minorHAnsi"/>
          <w:i w:val="0"/>
          <w:sz w:val="22"/>
          <w:szCs w:val="22"/>
        </w:rPr>
        <w:t xml:space="preserve">The Australian Government Charging Framework has been developed to apply across the general government sector. It includes performance requirements based on Section 38 of </w:t>
      </w:r>
      <w:r w:rsidRPr="00F65705">
        <w:rPr>
          <w:rStyle w:val="Emphasis"/>
          <w:rFonts w:asciiTheme="minorHAnsi" w:eastAsia="Arial" w:hAnsiTheme="minorHAnsi" w:cstheme="minorHAnsi"/>
          <w:sz w:val="22"/>
          <w:szCs w:val="22"/>
        </w:rPr>
        <w:t>the Public Governance, Performance and Accountability Act 2013</w:t>
      </w:r>
      <w:r w:rsidRPr="00F65705">
        <w:rPr>
          <w:rStyle w:val="Emphasis"/>
          <w:rFonts w:asciiTheme="minorHAnsi" w:eastAsia="Arial" w:hAnsiTheme="minorHAnsi" w:cstheme="minorHAnsi"/>
          <w:i w:val="0"/>
          <w:sz w:val="22"/>
          <w:szCs w:val="22"/>
        </w:rPr>
        <w:t xml:space="preserve"> (the PGPA Act), which is ‘</w:t>
      </w:r>
      <w:r w:rsidRPr="00F65705">
        <w:rPr>
          <w:rStyle w:val="Emphasis"/>
          <w:rFonts w:asciiTheme="minorHAnsi" w:eastAsia="Arial" w:hAnsiTheme="minorHAnsi" w:cstheme="minorHAnsi"/>
          <w:sz w:val="22"/>
          <w:szCs w:val="22"/>
        </w:rPr>
        <w:t>Measuring and assessing performance of Commonwealth entities</w:t>
      </w:r>
      <w:r w:rsidRPr="00F65705">
        <w:rPr>
          <w:rStyle w:val="Emphasis"/>
          <w:rFonts w:asciiTheme="minorHAnsi" w:eastAsia="Arial" w:hAnsiTheme="minorHAnsi" w:cstheme="minorHAnsi"/>
          <w:i w:val="0"/>
          <w:sz w:val="22"/>
          <w:szCs w:val="22"/>
        </w:rPr>
        <w:t xml:space="preserve">’. </w:t>
      </w:r>
    </w:p>
    <w:p w14:paraId="5681F73B" w14:textId="77777777" w:rsidR="00865C8A" w:rsidRPr="00F65705" w:rsidRDefault="00865C8A" w:rsidP="00865C8A">
      <w:pPr>
        <w:spacing w:before="120" w:after="120"/>
        <w:jc w:val="both"/>
        <w:rPr>
          <w:rStyle w:val="Emphasis"/>
          <w:rFonts w:asciiTheme="minorHAnsi" w:eastAsia="Arial" w:hAnsiTheme="minorHAnsi" w:cstheme="minorHAnsi"/>
          <w:i w:val="0"/>
          <w:sz w:val="22"/>
          <w:szCs w:val="22"/>
        </w:rPr>
      </w:pPr>
      <w:r w:rsidRPr="00F65705">
        <w:rPr>
          <w:rStyle w:val="Emphasis"/>
          <w:rFonts w:asciiTheme="minorHAnsi" w:eastAsia="Arial" w:hAnsiTheme="minorHAnsi" w:cstheme="minorHAnsi"/>
          <w:i w:val="0"/>
          <w:sz w:val="22"/>
          <w:szCs w:val="22"/>
        </w:rPr>
        <w:t>The non-financial performance of the activities explained in this CRIS is monitored through a set of requirements under subsection 99YBC (5) of the Act included in the Department’s annual report, consistent with the PGPA Act. The performance requirements are:</w:t>
      </w:r>
      <w:r w:rsidRPr="00F65705">
        <w:rPr>
          <w:rStyle w:val="FootnoteReference"/>
          <w:rFonts w:eastAsia="Arial" w:cstheme="minorHAnsi"/>
          <w:iCs/>
          <w:color w:val="auto"/>
          <w:sz w:val="22"/>
          <w:szCs w:val="22"/>
        </w:rPr>
        <w:footnoteReference w:id="10"/>
      </w:r>
    </w:p>
    <w:p w14:paraId="52F6641B" w14:textId="77777777" w:rsidR="00865C8A" w:rsidRPr="00F65705" w:rsidRDefault="00865C8A" w:rsidP="00865C8A">
      <w:pPr>
        <w:spacing w:before="120" w:after="120"/>
        <w:jc w:val="both"/>
        <w:rPr>
          <w:rStyle w:val="Emphasis"/>
          <w:rFonts w:asciiTheme="minorHAnsi" w:eastAsia="Arial" w:hAnsiTheme="minorHAnsi" w:cstheme="minorHAnsi"/>
          <w:sz w:val="22"/>
          <w:szCs w:val="22"/>
        </w:rPr>
      </w:pPr>
      <w:r w:rsidRPr="00F65705">
        <w:rPr>
          <w:rStyle w:val="Emphasis"/>
          <w:rFonts w:asciiTheme="minorHAnsi" w:eastAsia="Arial" w:hAnsiTheme="minorHAnsi" w:cstheme="minorHAnsi"/>
          <w:iCs w:val="0"/>
          <w:sz w:val="22"/>
          <w:szCs w:val="22"/>
        </w:rPr>
        <w:t xml:space="preserve">The Secretary must, as soon as practicable after June 30 in each year, prepare and give to the Minister a report on processes leading up to the Pharmaceutical Benefits Advisory Committee consideration, including: </w:t>
      </w:r>
    </w:p>
    <w:p w14:paraId="516B3933" w14:textId="77777777" w:rsidR="00865C8A" w:rsidRPr="00F65705" w:rsidRDefault="00865C8A" w:rsidP="00865C8A">
      <w:pPr>
        <w:pStyle w:val="ListParagraph"/>
        <w:numPr>
          <w:ilvl w:val="0"/>
          <w:numId w:val="7"/>
        </w:numPr>
        <w:spacing w:before="120" w:after="120"/>
        <w:jc w:val="both"/>
        <w:rPr>
          <w:rStyle w:val="Emphasis"/>
          <w:rFonts w:asciiTheme="minorHAnsi" w:eastAsia="Arial" w:hAnsiTheme="minorHAnsi" w:cstheme="minorHAnsi"/>
          <w:sz w:val="22"/>
          <w:szCs w:val="22"/>
        </w:rPr>
      </w:pPr>
      <w:r w:rsidRPr="00F65705">
        <w:rPr>
          <w:rStyle w:val="Emphasis"/>
          <w:rFonts w:asciiTheme="minorHAnsi" w:eastAsia="Arial" w:hAnsiTheme="minorHAnsi" w:cstheme="minorHAnsi"/>
          <w:iCs w:val="0"/>
          <w:sz w:val="22"/>
          <w:szCs w:val="22"/>
        </w:rPr>
        <w:t xml:space="preserve">the extent and timeliness with which responsible persons are provided copies of documents relevant to their submission to the Pharmaceutical Benefits Advisory </w:t>
      </w:r>
      <w:proofErr w:type="gramStart"/>
      <w:r w:rsidRPr="00F65705">
        <w:rPr>
          <w:rStyle w:val="Emphasis"/>
          <w:rFonts w:asciiTheme="minorHAnsi" w:eastAsia="Arial" w:hAnsiTheme="minorHAnsi" w:cstheme="minorHAnsi"/>
          <w:iCs w:val="0"/>
          <w:sz w:val="22"/>
          <w:szCs w:val="22"/>
        </w:rPr>
        <w:t>Committee;</w:t>
      </w:r>
      <w:proofErr w:type="gramEnd"/>
    </w:p>
    <w:p w14:paraId="197E27C1" w14:textId="77777777" w:rsidR="00865C8A" w:rsidRPr="00F65705" w:rsidRDefault="00865C8A" w:rsidP="00865C8A">
      <w:pPr>
        <w:pStyle w:val="ListParagraph"/>
        <w:numPr>
          <w:ilvl w:val="0"/>
          <w:numId w:val="7"/>
        </w:numPr>
        <w:spacing w:before="120" w:after="120"/>
        <w:jc w:val="both"/>
        <w:rPr>
          <w:rStyle w:val="Emphasis"/>
          <w:rFonts w:asciiTheme="minorHAnsi" w:eastAsia="Arial" w:hAnsiTheme="minorHAnsi" w:cstheme="minorHAnsi"/>
          <w:sz w:val="22"/>
          <w:szCs w:val="22"/>
        </w:rPr>
      </w:pPr>
      <w:r w:rsidRPr="00F65705">
        <w:rPr>
          <w:rStyle w:val="Emphasis"/>
          <w:rFonts w:asciiTheme="minorHAnsi" w:eastAsia="Arial" w:hAnsiTheme="minorHAnsi" w:cstheme="minorHAnsi"/>
          <w:iCs w:val="0"/>
          <w:sz w:val="22"/>
          <w:szCs w:val="22"/>
        </w:rPr>
        <w:t>the extent to which responsible persons exercise their right to comment on these documents, including appearing at hearings before the Pharmaceutical Benefits Advisory Committee; and</w:t>
      </w:r>
    </w:p>
    <w:p w14:paraId="17C7E2DE" w14:textId="77777777" w:rsidR="00865C8A" w:rsidRPr="00F65705" w:rsidRDefault="00865C8A" w:rsidP="00865C8A">
      <w:pPr>
        <w:pStyle w:val="ListParagraph"/>
        <w:numPr>
          <w:ilvl w:val="0"/>
          <w:numId w:val="7"/>
        </w:numPr>
        <w:spacing w:before="120" w:after="120"/>
        <w:jc w:val="both"/>
        <w:rPr>
          <w:rStyle w:val="Emphasis"/>
          <w:i w:val="0"/>
        </w:rPr>
      </w:pPr>
      <w:r w:rsidRPr="00F65705">
        <w:rPr>
          <w:rStyle w:val="Emphasis"/>
          <w:rFonts w:asciiTheme="minorHAnsi" w:eastAsia="Arial" w:hAnsiTheme="minorHAnsi" w:cstheme="minorHAnsi"/>
          <w:iCs w:val="0"/>
          <w:sz w:val="22"/>
          <w:szCs w:val="22"/>
        </w:rPr>
        <w:t>the number of responsible persons seeking a review of the Pharmaceutical Benefits Advisory Committee recommendation.</w:t>
      </w:r>
    </w:p>
    <w:p w14:paraId="6A572AA0" w14:textId="77777777" w:rsidR="00865C8A" w:rsidRPr="00F65705" w:rsidRDefault="00865C8A" w:rsidP="00865C8A">
      <w:pPr>
        <w:pStyle w:val="ListParagraph"/>
        <w:spacing w:before="120" w:after="120"/>
        <w:jc w:val="both"/>
        <w:rPr>
          <w:rFonts w:asciiTheme="minorHAnsi" w:hAnsiTheme="minorHAnsi" w:cstheme="minorHAnsi"/>
          <w:bCs/>
          <w:sz w:val="22"/>
          <w:szCs w:val="22"/>
        </w:rPr>
      </w:pPr>
    </w:p>
    <w:p w14:paraId="2D0B1D02" w14:textId="77777777" w:rsidR="00865C8A" w:rsidRPr="00F65705" w:rsidRDefault="00865C8A" w:rsidP="00865C8A">
      <w:pPr>
        <w:spacing w:after="160" w:line="259" w:lineRule="auto"/>
        <w:rPr>
          <w:rFonts w:asciiTheme="minorHAnsi" w:hAnsiTheme="minorHAnsi" w:cstheme="minorHAnsi"/>
          <w:b/>
          <w:bCs/>
          <w:sz w:val="22"/>
          <w:szCs w:val="22"/>
        </w:rPr>
      </w:pPr>
      <w:r w:rsidRPr="00F65705">
        <w:rPr>
          <w:rFonts w:asciiTheme="minorHAnsi" w:hAnsiTheme="minorHAnsi" w:cstheme="minorHAnsi"/>
          <w:b/>
          <w:bCs/>
          <w:sz w:val="22"/>
          <w:szCs w:val="22"/>
        </w:rPr>
        <w:t>Ensuring access to cost-effective, innovative, clinically effective medicines through the PBS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Performance Measures - Ensuring access to innovative, clinically effective and cost-effective medicines through the PBS"/>
        <w:tblDescription w:val="Percentage of submissions for new medicines that are recommended for listing by Pharmaceutical Benefits Advisory Committee (PBAC), that are listed on the PBS within six months of agreement of budget impact and price."/>
      </w:tblPr>
      <w:tblGrid>
        <w:gridCol w:w="1694"/>
        <w:gridCol w:w="1560"/>
        <w:gridCol w:w="1560"/>
        <w:gridCol w:w="1558"/>
        <w:gridCol w:w="1560"/>
        <w:gridCol w:w="1696"/>
      </w:tblGrid>
      <w:tr w:rsidR="00F65705" w:rsidRPr="00F65705" w14:paraId="16E40888" w14:textId="77777777" w:rsidTr="00DC62CD">
        <w:trPr>
          <w:tblHeader/>
          <w:jc w:val="center"/>
        </w:trPr>
        <w:tc>
          <w:tcPr>
            <w:tcW w:w="5000" w:type="pct"/>
            <w:gridSpan w:val="6"/>
            <w:shd w:val="clear" w:color="auto" w:fill="F2F2F2" w:themeFill="background1" w:themeFillShade="F2"/>
          </w:tcPr>
          <w:p w14:paraId="1E64AA40" w14:textId="77777777" w:rsidR="00865C8A" w:rsidRPr="00F65705" w:rsidRDefault="00865C8A" w:rsidP="00DC62CD">
            <w:pPr>
              <w:spacing w:before="120" w:after="120"/>
              <w:jc w:val="both"/>
              <w:rPr>
                <w:rFonts w:asciiTheme="minorHAnsi" w:hAnsiTheme="minorHAnsi" w:cstheme="minorHAnsi"/>
                <w:sz w:val="20"/>
                <w:szCs w:val="20"/>
              </w:rPr>
            </w:pPr>
            <w:r w:rsidRPr="00F65705">
              <w:rPr>
                <w:rFonts w:asciiTheme="minorHAnsi" w:hAnsiTheme="minorHAnsi" w:cstheme="minorHAnsi"/>
                <w:sz w:val="20"/>
                <w:szCs w:val="20"/>
              </w:rPr>
              <w:t>Percentage of new medicines recommended by the Pharmaceutical Benefits Advisory Committee (PBAC) that are listed on the Pharmaceutical Benefits Scheme within 6 months of in-</w:t>
            </w:r>
            <w:proofErr w:type="gramStart"/>
            <w:r w:rsidRPr="00F65705">
              <w:rPr>
                <w:rFonts w:asciiTheme="minorHAnsi" w:hAnsiTheme="minorHAnsi" w:cstheme="minorHAnsi"/>
                <w:sz w:val="20"/>
                <w:szCs w:val="20"/>
              </w:rPr>
              <w:t>principle</w:t>
            </w:r>
            <w:proofErr w:type="gramEnd"/>
            <w:r w:rsidRPr="00F65705">
              <w:rPr>
                <w:rFonts w:asciiTheme="minorHAnsi" w:hAnsiTheme="minorHAnsi" w:cstheme="minorHAnsi"/>
                <w:sz w:val="20"/>
                <w:szCs w:val="20"/>
              </w:rPr>
              <w:t xml:space="preserve"> agreement to listing arrangements.</w:t>
            </w:r>
          </w:p>
        </w:tc>
      </w:tr>
      <w:tr w:rsidR="00F65705" w:rsidRPr="00F65705" w14:paraId="2DA6B30A" w14:textId="77777777" w:rsidTr="00DC62CD">
        <w:trPr>
          <w:trHeight w:val="403"/>
          <w:tblHeader/>
          <w:jc w:val="center"/>
        </w:trPr>
        <w:tc>
          <w:tcPr>
            <w:tcW w:w="5000" w:type="pct"/>
            <w:gridSpan w:val="6"/>
            <w:tcBorders>
              <w:bottom w:val="single" w:sz="4" w:space="0" w:color="auto"/>
            </w:tcBorders>
          </w:tcPr>
          <w:p w14:paraId="4528147C" w14:textId="54DCFF11" w:rsidR="00865C8A" w:rsidRPr="00F65705" w:rsidRDefault="00865C8A" w:rsidP="00DC62CD">
            <w:pPr>
              <w:spacing w:before="120" w:after="120"/>
              <w:jc w:val="both"/>
              <w:rPr>
                <w:rFonts w:asciiTheme="minorHAnsi" w:hAnsiTheme="minorHAnsi" w:cstheme="minorHAnsi"/>
                <w:i/>
                <w:sz w:val="20"/>
                <w:szCs w:val="20"/>
              </w:rPr>
            </w:pPr>
            <w:r w:rsidRPr="00F65705">
              <w:rPr>
                <w:rFonts w:asciiTheme="minorHAnsi" w:hAnsiTheme="minorHAnsi" w:cstheme="minorHAnsi"/>
                <w:i/>
                <w:sz w:val="20"/>
                <w:szCs w:val="20"/>
              </w:rPr>
              <w:t xml:space="preserve">Source: </w:t>
            </w:r>
            <w:r w:rsidR="00D617D1" w:rsidRPr="00F65705">
              <w:rPr>
                <w:rFonts w:asciiTheme="minorHAnsi" w:hAnsiTheme="minorHAnsi" w:cstheme="minorHAnsi"/>
                <w:i/>
                <w:sz w:val="20"/>
                <w:szCs w:val="20"/>
              </w:rPr>
              <w:t>Department of Health and Aged Care Annual Report 2022-23, p. 72.</w:t>
            </w:r>
          </w:p>
        </w:tc>
      </w:tr>
      <w:tr w:rsidR="00F65705" w:rsidRPr="00F65705" w14:paraId="318214AD" w14:textId="77777777" w:rsidTr="00431E22">
        <w:trPr>
          <w:trHeight w:val="473"/>
          <w:tblHeader/>
          <w:jc w:val="center"/>
        </w:trPr>
        <w:tc>
          <w:tcPr>
            <w:tcW w:w="880" w:type="pct"/>
            <w:shd w:val="clear" w:color="auto" w:fill="F2F2F2" w:themeFill="background1" w:themeFillShade="F2"/>
            <w:vAlign w:val="center"/>
          </w:tcPr>
          <w:p w14:paraId="6F2F3FE0" w14:textId="0B811267" w:rsidR="00431E22" w:rsidRPr="00F65705" w:rsidRDefault="00431E22" w:rsidP="00431E22">
            <w:pPr>
              <w:spacing w:before="120" w:after="120"/>
              <w:jc w:val="center"/>
              <w:rPr>
                <w:rFonts w:asciiTheme="minorHAnsi" w:hAnsiTheme="minorHAnsi" w:cstheme="minorHAnsi"/>
                <w:b/>
                <w:sz w:val="20"/>
                <w:szCs w:val="20"/>
              </w:rPr>
            </w:pPr>
            <w:r w:rsidRPr="00F65705">
              <w:rPr>
                <w:rFonts w:asciiTheme="minorHAnsi" w:hAnsiTheme="minorHAnsi" w:cstheme="minorHAnsi"/>
                <w:b/>
                <w:sz w:val="20"/>
                <w:szCs w:val="20"/>
              </w:rPr>
              <w:t>2022-23</w:t>
            </w:r>
            <w:r w:rsidRPr="00F65705">
              <w:rPr>
                <w:rFonts w:asciiTheme="minorHAnsi" w:hAnsiTheme="minorHAnsi"/>
                <w:b/>
                <w:sz w:val="20"/>
              </w:rPr>
              <w:t xml:space="preserve"> Target</w:t>
            </w:r>
          </w:p>
        </w:tc>
        <w:tc>
          <w:tcPr>
            <w:tcW w:w="810" w:type="pct"/>
            <w:shd w:val="clear" w:color="auto" w:fill="F2F2F2" w:themeFill="background1" w:themeFillShade="F2"/>
            <w:vAlign w:val="center"/>
          </w:tcPr>
          <w:p w14:paraId="02B26BE4" w14:textId="0F739221" w:rsidR="00431E22" w:rsidRPr="00F65705" w:rsidRDefault="00431E22" w:rsidP="00431E22">
            <w:pPr>
              <w:spacing w:before="120" w:after="120"/>
              <w:jc w:val="center"/>
              <w:rPr>
                <w:rFonts w:asciiTheme="minorHAnsi" w:hAnsiTheme="minorHAnsi" w:cstheme="minorHAnsi"/>
                <w:b/>
                <w:sz w:val="20"/>
                <w:szCs w:val="20"/>
              </w:rPr>
            </w:pPr>
            <w:r w:rsidRPr="00F65705">
              <w:rPr>
                <w:rFonts w:asciiTheme="minorHAnsi" w:hAnsiTheme="minorHAnsi" w:cstheme="minorHAnsi"/>
                <w:b/>
                <w:sz w:val="20"/>
                <w:szCs w:val="20"/>
              </w:rPr>
              <w:t>2022-23</w:t>
            </w:r>
          </w:p>
        </w:tc>
        <w:tc>
          <w:tcPr>
            <w:tcW w:w="810" w:type="pct"/>
            <w:shd w:val="clear" w:color="auto" w:fill="F2F2F2" w:themeFill="background1" w:themeFillShade="F2"/>
            <w:vAlign w:val="center"/>
          </w:tcPr>
          <w:p w14:paraId="11E1B284" w14:textId="04A6AB97" w:rsidR="00431E22" w:rsidRPr="00F65705" w:rsidRDefault="00431E22" w:rsidP="00431E22">
            <w:pPr>
              <w:spacing w:before="120" w:after="120"/>
              <w:jc w:val="center"/>
              <w:rPr>
                <w:rFonts w:asciiTheme="minorHAnsi" w:hAnsiTheme="minorHAnsi" w:cstheme="minorHAnsi"/>
                <w:b/>
                <w:sz w:val="20"/>
                <w:szCs w:val="20"/>
              </w:rPr>
            </w:pPr>
            <w:r w:rsidRPr="00F65705">
              <w:rPr>
                <w:rFonts w:asciiTheme="minorHAnsi" w:hAnsiTheme="minorHAnsi" w:cstheme="minorHAnsi"/>
                <w:b/>
                <w:sz w:val="20"/>
                <w:szCs w:val="20"/>
              </w:rPr>
              <w:t>2021-22</w:t>
            </w:r>
          </w:p>
        </w:tc>
        <w:tc>
          <w:tcPr>
            <w:tcW w:w="809" w:type="pct"/>
            <w:shd w:val="clear" w:color="auto" w:fill="F2F2F2" w:themeFill="background1" w:themeFillShade="F2"/>
            <w:vAlign w:val="center"/>
          </w:tcPr>
          <w:p w14:paraId="1A8A3DA3" w14:textId="2ECBCF57" w:rsidR="00431E22" w:rsidRPr="00F65705" w:rsidRDefault="00431E22" w:rsidP="00431E22">
            <w:pPr>
              <w:spacing w:before="120" w:after="120"/>
              <w:jc w:val="center"/>
              <w:rPr>
                <w:rFonts w:asciiTheme="minorHAnsi" w:hAnsiTheme="minorHAnsi" w:cstheme="minorHAnsi"/>
                <w:b/>
                <w:sz w:val="20"/>
                <w:szCs w:val="20"/>
              </w:rPr>
            </w:pPr>
            <w:r w:rsidRPr="00F65705">
              <w:rPr>
                <w:rFonts w:asciiTheme="minorHAnsi" w:hAnsiTheme="minorHAnsi" w:cstheme="minorHAnsi"/>
                <w:b/>
                <w:sz w:val="20"/>
                <w:szCs w:val="20"/>
              </w:rPr>
              <w:t>2020-21</w:t>
            </w:r>
            <w:r w:rsidRPr="00F65705">
              <w:rPr>
                <w:rFonts w:asciiTheme="minorHAnsi" w:hAnsiTheme="minorHAnsi"/>
                <w:b/>
                <w:sz w:val="20"/>
              </w:rPr>
              <w:t xml:space="preserve"> </w:t>
            </w:r>
          </w:p>
        </w:tc>
        <w:tc>
          <w:tcPr>
            <w:tcW w:w="810" w:type="pct"/>
            <w:shd w:val="clear" w:color="auto" w:fill="F2F2F2" w:themeFill="background1" w:themeFillShade="F2"/>
            <w:vAlign w:val="center"/>
          </w:tcPr>
          <w:p w14:paraId="446B4BDD" w14:textId="5BDE086E" w:rsidR="00431E22" w:rsidRPr="00F65705" w:rsidRDefault="00431E22" w:rsidP="00431E22">
            <w:pPr>
              <w:spacing w:before="120" w:after="120"/>
              <w:jc w:val="center"/>
              <w:rPr>
                <w:rFonts w:asciiTheme="minorHAnsi" w:hAnsiTheme="minorHAnsi" w:cstheme="minorHAnsi"/>
                <w:b/>
                <w:sz w:val="20"/>
                <w:szCs w:val="20"/>
              </w:rPr>
            </w:pPr>
            <w:r w:rsidRPr="00F65705">
              <w:rPr>
                <w:rFonts w:asciiTheme="minorHAnsi" w:hAnsiTheme="minorHAnsi" w:cstheme="minorHAnsi"/>
                <w:b/>
                <w:sz w:val="20"/>
                <w:szCs w:val="20"/>
              </w:rPr>
              <w:t>2019-20</w:t>
            </w:r>
          </w:p>
        </w:tc>
        <w:tc>
          <w:tcPr>
            <w:tcW w:w="880" w:type="pct"/>
            <w:shd w:val="clear" w:color="auto" w:fill="F2F2F2" w:themeFill="background1" w:themeFillShade="F2"/>
            <w:vAlign w:val="center"/>
          </w:tcPr>
          <w:p w14:paraId="634A3938" w14:textId="5964FCD4" w:rsidR="00431E22" w:rsidRPr="00F65705" w:rsidRDefault="00431E22" w:rsidP="00431E22">
            <w:pPr>
              <w:spacing w:before="120" w:after="120"/>
              <w:jc w:val="center"/>
              <w:rPr>
                <w:rFonts w:asciiTheme="minorHAnsi" w:hAnsiTheme="minorHAnsi"/>
                <w:b/>
                <w:sz w:val="20"/>
              </w:rPr>
            </w:pPr>
            <w:r w:rsidRPr="00F65705">
              <w:rPr>
                <w:rFonts w:asciiTheme="minorHAnsi" w:hAnsiTheme="minorHAnsi" w:cstheme="minorHAnsi"/>
                <w:b/>
                <w:sz w:val="20"/>
                <w:szCs w:val="20"/>
              </w:rPr>
              <w:t>2018-19</w:t>
            </w:r>
          </w:p>
        </w:tc>
      </w:tr>
      <w:tr w:rsidR="00F65705" w:rsidRPr="00F65705" w14:paraId="328391E4" w14:textId="77777777" w:rsidTr="00431E22">
        <w:trPr>
          <w:tblHeader/>
          <w:jc w:val="center"/>
        </w:trPr>
        <w:tc>
          <w:tcPr>
            <w:tcW w:w="8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6009EF" w14:textId="77777777" w:rsidR="00431E22" w:rsidRPr="00F65705" w:rsidRDefault="00431E22" w:rsidP="00431E22">
            <w:pPr>
              <w:spacing w:before="120" w:after="120"/>
              <w:jc w:val="center"/>
              <w:rPr>
                <w:rFonts w:asciiTheme="minorHAnsi" w:hAnsiTheme="minorHAnsi" w:cstheme="minorHAnsi"/>
                <w:sz w:val="20"/>
                <w:szCs w:val="20"/>
              </w:rPr>
            </w:pPr>
            <w:r w:rsidRPr="00F65705">
              <w:rPr>
                <w:rFonts w:asciiTheme="minorHAnsi" w:hAnsiTheme="minorHAnsi" w:cstheme="minorHAnsi"/>
                <w:sz w:val="20"/>
                <w:szCs w:val="20"/>
              </w:rPr>
              <w:t>≥80%</w:t>
            </w:r>
          </w:p>
        </w:tc>
        <w:tc>
          <w:tcPr>
            <w:tcW w:w="810" w:type="pct"/>
            <w:tcBorders>
              <w:top w:val="single" w:sz="4" w:space="0" w:color="auto"/>
              <w:left w:val="single" w:sz="4" w:space="0" w:color="auto"/>
              <w:bottom w:val="single" w:sz="4" w:space="0" w:color="auto"/>
              <w:right w:val="single" w:sz="4" w:space="0" w:color="auto"/>
            </w:tcBorders>
          </w:tcPr>
          <w:p w14:paraId="0D6A14E8" w14:textId="420E075D" w:rsidR="00431E22" w:rsidRPr="00F65705" w:rsidRDefault="00A86085" w:rsidP="00431E22">
            <w:pPr>
              <w:spacing w:before="120" w:after="120"/>
              <w:jc w:val="center"/>
              <w:rPr>
                <w:rFonts w:asciiTheme="minorHAnsi" w:hAnsiTheme="minorHAnsi" w:cstheme="minorHAnsi"/>
                <w:sz w:val="20"/>
                <w:szCs w:val="20"/>
              </w:rPr>
            </w:pPr>
            <w:r w:rsidRPr="00F65705">
              <w:rPr>
                <w:rFonts w:asciiTheme="minorHAnsi" w:hAnsiTheme="minorHAnsi" w:cstheme="minorHAnsi"/>
                <w:sz w:val="20"/>
                <w:szCs w:val="20"/>
              </w:rPr>
              <w:t>100%</w:t>
            </w:r>
          </w:p>
        </w:tc>
        <w:tc>
          <w:tcPr>
            <w:tcW w:w="810" w:type="pct"/>
            <w:tcBorders>
              <w:top w:val="single" w:sz="4" w:space="0" w:color="auto"/>
              <w:left w:val="single" w:sz="4" w:space="0" w:color="auto"/>
              <w:bottom w:val="single" w:sz="4" w:space="0" w:color="auto"/>
              <w:right w:val="single" w:sz="4" w:space="0" w:color="auto"/>
            </w:tcBorders>
            <w:shd w:val="clear" w:color="auto" w:fill="auto"/>
          </w:tcPr>
          <w:p w14:paraId="39B0BE28" w14:textId="12442610" w:rsidR="00431E22" w:rsidRPr="00F65705" w:rsidRDefault="00431E22" w:rsidP="00431E22">
            <w:pPr>
              <w:spacing w:before="120" w:after="120"/>
              <w:jc w:val="center"/>
              <w:rPr>
                <w:rFonts w:asciiTheme="minorHAnsi" w:hAnsiTheme="minorHAnsi" w:cstheme="minorHAnsi"/>
                <w:sz w:val="20"/>
                <w:szCs w:val="20"/>
              </w:rPr>
            </w:pPr>
            <w:r w:rsidRPr="00F65705">
              <w:rPr>
                <w:rFonts w:asciiTheme="minorHAnsi" w:hAnsiTheme="minorHAnsi" w:cstheme="minorHAnsi"/>
                <w:sz w:val="20"/>
                <w:szCs w:val="20"/>
              </w:rPr>
              <w:t xml:space="preserve">100% </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C7BCF02" w14:textId="5B74ED82" w:rsidR="00431E22" w:rsidRPr="00F65705" w:rsidRDefault="00431E22" w:rsidP="00431E22">
            <w:pPr>
              <w:spacing w:before="120" w:after="120"/>
              <w:jc w:val="center"/>
              <w:rPr>
                <w:rFonts w:asciiTheme="minorHAnsi" w:hAnsiTheme="minorHAnsi" w:cstheme="minorHAnsi"/>
                <w:sz w:val="20"/>
                <w:szCs w:val="20"/>
              </w:rPr>
            </w:pPr>
            <w:r w:rsidRPr="00F65705">
              <w:rPr>
                <w:rFonts w:asciiTheme="minorHAnsi" w:hAnsiTheme="minorHAnsi" w:cstheme="minorHAnsi"/>
                <w:sz w:val="20"/>
                <w:szCs w:val="20"/>
              </w:rPr>
              <w:t>100%</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44C16EB2" w14:textId="2FC868D2" w:rsidR="00431E22" w:rsidRPr="00F65705" w:rsidRDefault="00431E22" w:rsidP="00431E22">
            <w:pPr>
              <w:spacing w:before="120" w:after="120"/>
              <w:jc w:val="center"/>
              <w:rPr>
                <w:rFonts w:asciiTheme="minorHAnsi" w:hAnsiTheme="minorHAnsi" w:cstheme="minorHAnsi"/>
                <w:sz w:val="20"/>
                <w:szCs w:val="20"/>
              </w:rPr>
            </w:pPr>
            <w:r w:rsidRPr="00F65705">
              <w:rPr>
                <w:rFonts w:asciiTheme="minorHAnsi" w:hAnsiTheme="minorHAnsi" w:cstheme="minorHAnsi"/>
                <w:sz w:val="20"/>
                <w:szCs w:val="20"/>
              </w:rPr>
              <w:t>100%</w:t>
            </w:r>
          </w:p>
        </w:tc>
        <w:tc>
          <w:tcPr>
            <w:tcW w:w="880" w:type="pct"/>
            <w:tcBorders>
              <w:top w:val="single" w:sz="4" w:space="0" w:color="auto"/>
              <w:left w:val="single" w:sz="4" w:space="0" w:color="auto"/>
              <w:bottom w:val="single" w:sz="4" w:space="0" w:color="auto"/>
              <w:right w:val="single" w:sz="4" w:space="0" w:color="auto"/>
            </w:tcBorders>
            <w:vAlign w:val="center"/>
          </w:tcPr>
          <w:p w14:paraId="4BC07CE1" w14:textId="1FE390E1" w:rsidR="00431E22" w:rsidRPr="00F65705" w:rsidRDefault="00431E22" w:rsidP="00431E22">
            <w:pPr>
              <w:spacing w:before="120" w:after="120"/>
              <w:jc w:val="center"/>
              <w:rPr>
                <w:rFonts w:asciiTheme="minorHAnsi" w:hAnsiTheme="minorHAnsi" w:cstheme="minorHAnsi"/>
                <w:sz w:val="20"/>
                <w:szCs w:val="20"/>
              </w:rPr>
            </w:pPr>
            <w:r w:rsidRPr="00F65705">
              <w:rPr>
                <w:rFonts w:asciiTheme="minorHAnsi" w:hAnsiTheme="minorHAnsi" w:cstheme="minorHAnsi"/>
                <w:sz w:val="20"/>
                <w:szCs w:val="20"/>
              </w:rPr>
              <w:t>100%</w:t>
            </w:r>
          </w:p>
        </w:tc>
      </w:tr>
      <w:tr w:rsidR="00F65705" w:rsidRPr="00F65705" w14:paraId="74560FEE" w14:textId="77777777" w:rsidTr="00431E22">
        <w:trPr>
          <w:trHeight w:val="70"/>
          <w:tblHeader/>
          <w:jc w:val="center"/>
        </w:trPr>
        <w:tc>
          <w:tcPr>
            <w:tcW w:w="880" w:type="pct"/>
            <w:vMerge/>
            <w:tcBorders>
              <w:top w:val="single" w:sz="4" w:space="0" w:color="auto"/>
              <w:left w:val="single" w:sz="4" w:space="0" w:color="auto"/>
              <w:bottom w:val="single" w:sz="4" w:space="0" w:color="auto"/>
              <w:right w:val="single" w:sz="4" w:space="0" w:color="auto"/>
            </w:tcBorders>
            <w:shd w:val="clear" w:color="auto" w:fill="auto"/>
          </w:tcPr>
          <w:p w14:paraId="7C809C9C" w14:textId="77777777" w:rsidR="00865C8A" w:rsidRPr="00F65705" w:rsidRDefault="00865C8A" w:rsidP="00DC62CD">
            <w:pPr>
              <w:spacing w:before="120" w:after="120"/>
              <w:jc w:val="center"/>
              <w:rPr>
                <w:rFonts w:asciiTheme="minorHAnsi" w:hAnsiTheme="minorHAnsi" w:cstheme="minorHAnsi"/>
                <w:b/>
                <w:sz w:val="20"/>
                <w:szCs w:val="20"/>
              </w:rPr>
            </w:pPr>
          </w:p>
        </w:tc>
        <w:tc>
          <w:tcPr>
            <w:tcW w:w="4120" w:type="pct"/>
            <w:gridSpan w:val="5"/>
            <w:tcBorders>
              <w:top w:val="single" w:sz="4" w:space="0" w:color="auto"/>
              <w:left w:val="single" w:sz="4" w:space="0" w:color="auto"/>
              <w:bottom w:val="single" w:sz="4" w:space="0" w:color="auto"/>
              <w:right w:val="single" w:sz="4" w:space="0" w:color="auto"/>
            </w:tcBorders>
          </w:tcPr>
          <w:p w14:paraId="6D050322" w14:textId="77777777" w:rsidR="00865C8A" w:rsidRPr="00F65705" w:rsidRDefault="00865C8A" w:rsidP="00DC62CD">
            <w:pPr>
              <w:spacing w:before="120" w:after="120"/>
              <w:jc w:val="center"/>
              <w:rPr>
                <w:rFonts w:asciiTheme="minorHAnsi" w:hAnsiTheme="minorHAnsi" w:cstheme="minorHAnsi"/>
                <w:sz w:val="20"/>
                <w:szCs w:val="20"/>
              </w:rPr>
            </w:pPr>
            <w:r w:rsidRPr="00F65705">
              <w:rPr>
                <w:rFonts w:asciiTheme="minorHAnsi" w:hAnsiTheme="minorHAnsi"/>
                <w:b/>
                <w:sz w:val="20"/>
              </w:rPr>
              <w:t>Result:</w:t>
            </w:r>
            <w:r w:rsidRPr="00F65705">
              <w:rPr>
                <w:rFonts w:asciiTheme="minorHAnsi" w:hAnsiTheme="minorHAnsi" w:cstheme="minorHAnsi"/>
                <w:sz w:val="20"/>
                <w:szCs w:val="20"/>
              </w:rPr>
              <w:t xml:space="preserve"> Met</w:t>
            </w:r>
          </w:p>
        </w:tc>
      </w:tr>
    </w:tbl>
    <w:p w14:paraId="24AE22E9" w14:textId="7FE6BAEC" w:rsidR="00865C8A" w:rsidRPr="00F65705" w:rsidRDefault="00865C8A" w:rsidP="00865C8A">
      <w:pPr>
        <w:spacing w:before="240"/>
        <w:rPr>
          <w:rStyle w:val="Emphasis"/>
          <w:rFonts w:eastAsiaTheme="minorHAnsi" w:cstheme="minorHAnsi"/>
          <w:i w:val="0"/>
          <w:iCs w:val="0"/>
          <w:sz w:val="22"/>
          <w:szCs w:val="22"/>
        </w:rPr>
      </w:pPr>
      <w:r w:rsidRPr="00F65705">
        <w:rPr>
          <w:rFonts w:asciiTheme="minorHAnsi" w:eastAsiaTheme="minorHAnsi" w:hAnsiTheme="minorHAnsi" w:cstheme="minorHAnsi"/>
          <w:sz w:val="22"/>
          <w:szCs w:val="22"/>
        </w:rPr>
        <w:t xml:space="preserve">Metrics to reflect PBS process improvements and target 2017 Strategic Agreement objectives have been developed by the Access to Medicines Working Group. A subset of agreed metrics </w:t>
      </w:r>
      <w:proofErr w:type="gramStart"/>
      <w:r w:rsidRPr="00F65705">
        <w:rPr>
          <w:rFonts w:asciiTheme="minorHAnsi" w:eastAsiaTheme="minorHAnsi" w:hAnsiTheme="minorHAnsi" w:cstheme="minorHAnsi"/>
          <w:sz w:val="22"/>
          <w:szCs w:val="22"/>
        </w:rPr>
        <w:t>are</w:t>
      </w:r>
      <w:proofErr w:type="gramEnd"/>
      <w:r w:rsidRPr="00F65705">
        <w:rPr>
          <w:rFonts w:asciiTheme="minorHAnsi" w:eastAsiaTheme="minorHAnsi" w:hAnsiTheme="minorHAnsi" w:cstheme="minorHAnsi"/>
          <w:sz w:val="22"/>
          <w:szCs w:val="22"/>
        </w:rPr>
        <w:t xml:space="preserve"> published annually on the</w:t>
      </w:r>
      <w:r w:rsidR="003E6518" w:rsidRPr="00F65705">
        <w:rPr>
          <w:rFonts w:asciiTheme="minorHAnsi" w:eastAsiaTheme="minorHAnsi" w:hAnsiTheme="minorHAnsi" w:cstheme="minorHAnsi"/>
          <w:sz w:val="22"/>
          <w:szCs w:val="22"/>
        </w:rPr>
        <w:t xml:space="preserve"> </w:t>
      </w:r>
      <w:hyperlink r:id="rId13" w:history="1">
        <w:r w:rsidR="003E6518" w:rsidRPr="00F65705">
          <w:rPr>
            <w:rStyle w:val="Hyperlink"/>
            <w:rFonts w:asciiTheme="minorHAnsi" w:eastAsiaTheme="minorHAnsi" w:hAnsiTheme="minorHAnsi" w:cstheme="minorHAnsi"/>
            <w:color w:val="auto"/>
            <w:sz w:val="22"/>
            <w:szCs w:val="22"/>
          </w:rPr>
          <w:t>PBS website</w:t>
        </w:r>
      </w:hyperlink>
      <w:r w:rsidR="003E6518" w:rsidRPr="00F65705">
        <w:rPr>
          <w:rFonts w:asciiTheme="minorHAnsi" w:eastAsiaTheme="minorHAnsi" w:hAnsiTheme="minorHAnsi" w:cstheme="minorHAnsi"/>
          <w:sz w:val="22"/>
          <w:szCs w:val="22"/>
        </w:rPr>
        <w:t>.</w:t>
      </w:r>
    </w:p>
    <w:p w14:paraId="6DF12084" w14:textId="5574FF1C" w:rsidR="00865C8A" w:rsidRPr="00F65705" w:rsidRDefault="00865C8A" w:rsidP="00BC2489">
      <w:pPr>
        <w:spacing w:before="600" w:after="160" w:line="259" w:lineRule="auto"/>
        <w:rPr>
          <w:rStyle w:val="Emphasis"/>
          <w:i w:val="0"/>
          <w:iCs w:val="0"/>
          <w:sz w:val="28"/>
          <w:szCs w:val="28"/>
        </w:rPr>
      </w:pPr>
      <w:r w:rsidRPr="00F65705">
        <w:rPr>
          <w:rFonts w:asciiTheme="minorHAnsi" w:hAnsiTheme="minorHAnsi"/>
          <w:b/>
          <w:sz w:val="28"/>
          <w:szCs w:val="28"/>
        </w:rPr>
        <w:lastRenderedPageBreak/>
        <w:t xml:space="preserve">8. </w:t>
      </w:r>
      <w:r w:rsidRPr="00F65705">
        <w:rPr>
          <w:rFonts w:asciiTheme="minorHAnsi" w:hAnsiTheme="minorHAnsi"/>
          <w:b/>
          <w:sz w:val="28"/>
          <w:szCs w:val="28"/>
        </w:rPr>
        <w:tab/>
        <w:t>KEY FORWARD DATES AND EVENTS</w:t>
      </w:r>
    </w:p>
    <w:tbl>
      <w:tblPr>
        <w:tblStyle w:val="ListTable3"/>
        <w:tblW w:w="5000" w:type="pct"/>
        <w:tblLook w:val="01E0" w:firstRow="1" w:lastRow="1" w:firstColumn="1" w:lastColumn="1" w:noHBand="0" w:noVBand="0"/>
      </w:tblPr>
      <w:tblGrid>
        <w:gridCol w:w="7304"/>
        <w:gridCol w:w="2324"/>
      </w:tblGrid>
      <w:tr w:rsidR="00F65705" w:rsidRPr="00F65705" w14:paraId="7D525D84" w14:textId="77777777" w:rsidTr="00036FE2">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793" w:type="pct"/>
            <w:tcBorders>
              <w:bottom w:val="single" w:sz="4" w:space="0" w:color="auto"/>
            </w:tcBorders>
          </w:tcPr>
          <w:p w14:paraId="44205D54" w14:textId="77777777" w:rsidR="00BC2489" w:rsidRPr="00F65705" w:rsidRDefault="00BC2489" w:rsidP="00036FE2">
            <w:pPr>
              <w:keepNext/>
              <w:keepLines/>
              <w:spacing w:before="120" w:after="120"/>
              <w:rPr>
                <w:rFonts w:asciiTheme="minorHAnsi" w:hAnsiTheme="minorHAnsi" w:cstheme="minorHAnsi"/>
                <w:color w:val="auto"/>
                <w:sz w:val="22"/>
                <w:szCs w:val="22"/>
              </w:rPr>
            </w:pPr>
            <w:bookmarkStart w:id="11" w:name="_Hlk87548140"/>
            <w:r w:rsidRPr="00F65705">
              <w:rPr>
                <w:rFonts w:asciiTheme="minorHAnsi" w:hAnsiTheme="minorHAnsi" w:cstheme="minorHAnsi"/>
                <w:color w:val="auto"/>
                <w:sz w:val="22"/>
                <w:szCs w:val="22"/>
              </w:rPr>
              <w:t xml:space="preserve">Activity </w:t>
            </w:r>
          </w:p>
        </w:tc>
        <w:tc>
          <w:tcPr>
            <w:cnfStyle w:val="000100001000" w:firstRow="0" w:lastRow="0" w:firstColumn="0" w:lastColumn="1" w:oddVBand="0" w:evenVBand="0" w:oddHBand="0" w:evenHBand="0" w:firstRowFirstColumn="0" w:firstRowLastColumn="1" w:lastRowFirstColumn="0" w:lastRowLastColumn="0"/>
            <w:tcW w:w="1207" w:type="pct"/>
            <w:tcBorders>
              <w:bottom w:val="single" w:sz="4" w:space="0" w:color="auto"/>
            </w:tcBorders>
          </w:tcPr>
          <w:p w14:paraId="28A92DE4" w14:textId="77777777" w:rsidR="00BC2489" w:rsidRPr="00F65705" w:rsidRDefault="00BC2489" w:rsidP="00036FE2">
            <w:pPr>
              <w:keepNext/>
              <w:keepLines/>
              <w:spacing w:before="120" w:after="120"/>
              <w:rPr>
                <w:rFonts w:asciiTheme="minorHAnsi" w:hAnsiTheme="minorHAnsi" w:cstheme="minorHAnsi"/>
                <w:color w:val="auto"/>
                <w:sz w:val="22"/>
                <w:szCs w:val="22"/>
              </w:rPr>
            </w:pPr>
            <w:r w:rsidRPr="00F65705">
              <w:rPr>
                <w:rFonts w:asciiTheme="minorHAnsi" w:hAnsiTheme="minorHAnsi" w:cstheme="minorHAnsi"/>
                <w:color w:val="auto"/>
                <w:sz w:val="22"/>
                <w:szCs w:val="22"/>
              </w:rPr>
              <w:t>Date</w:t>
            </w:r>
          </w:p>
        </w:tc>
      </w:tr>
      <w:tr w:rsidR="00F65705" w:rsidRPr="00F65705" w14:paraId="534F0789" w14:textId="77777777" w:rsidTr="00036FE2">
        <w:trPr>
          <w:cnfStyle w:val="010000000000" w:firstRow="0" w:lastRow="1" w:firstColumn="0" w:lastColumn="0" w:oddVBand="0" w:evenVBand="0" w:oddHBand="0" w:evenHBand="0" w:firstRowFirstColumn="0" w:firstRowLastColumn="0" w:lastRowFirstColumn="0" w:lastRowLastColumn="0"/>
          <w:trHeight w:val="279"/>
        </w:trPr>
        <w:tc>
          <w:tcPr>
            <w:cnfStyle w:val="001000000001" w:firstRow="0" w:lastRow="0" w:firstColumn="1" w:lastColumn="0" w:oddVBand="0" w:evenVBand="0" w:oddHBand="0" w:evenHBand="0" w:firstRowFirstColumn="0" w:firstRowLastColumn="0" w:lastRowFirstColumn="1" w:lastRowLastColumn="0"/>
            <w:tcW w:w="3793" w:type="pct"/>
            <w:tcBorders>
              <w:top w:val="single" w:sz="4" w:space="0" w:color="auto"/>
              <w:left w:val="single" w:sz="4" w:space="0" w:color="auto"/>
              <w:bottom w:val="single" w:sz="4" w:space="0" w:color="auto"/>
              <w:right w:val="single" w:sz="4" w:space="0" w:color="auto"/>
            </w:tcBorders>
          </w:tcPr>
          <w:p w14:paraId="5BDA7B0D" w14:textId="77777777" w:rsidR="00BC2489" w:rsidRPr="00F65705" w:rsidRDefault="00BC2489" w:rsidP="00BC2489">
            <w:pPr>
              <w:pStyle w:val="TableParagraph"/>
              <w:rPr>
                <w:rFonts w:eastAsia="Arial" w:cstheme="minorHAnsi"/>
              </w:rPr>
            </w:pPr>
            <w:r w:rsidRPr="00F65705">
              <w:rPr>
                <w:rFonts w:eastAsia="Arial" w:cstheme="minorHAnsi"/>
                <w:b w:val="0"/>
                <w:bCs w:val="0"/>
              </w:rPr>
              <w:t>Update CRIS for 2024-25</w:t>
            </w:r>
          </w:p>
        </w:tc>
        <w:tc>
          <w:tcPr>
            <w:cnfStyle w:val="000100000010" w:firstRow="0" w:lastRow="0" w:firstColumn="0" w:lastColumn="1" w:oddVBand="0" w:evenVBand="0" w:oddHBand="0" w:evenHBand="0" w:firstRowFirstColumn="0" w:firstRowLastColumn="0" w:lastRowFirstColumn="0" w:lastRowLastColumn="1"/>
            <w:tcW w:w="1207" w:type="pct"/>
            <w:tcBorders>
              <w:top w:val="single" w:sz="4" w:space="0" w:color="auto"/>
              <w:left w:val="single" w:sz="4" w:space="0" w:color="auto"/>
              <w:bottom w:val="single" w:sz="4" w:space="0" w:color="auto"/>
              <w:right w:val="single" w:sz="4" w:space="0" w:color="auto"/>
            </w:tcBorders>
          </w:tcPr>
          <w:p w14:paraId="67AF835A" w14:textId="77777777" w:rsidR="00BC2489" w:rsidRPr="00F65705" w:rsidRDefault="00BC2489" w:rsidP="00BC2489">
            <w:pPr>
              <w:pStyle w:val="TableParagraph"/>
              <w:rPr>
                <w:rFonts w:eastAsia="Arial" w:cstheme="minorHAnsi"/>
              </w:rPr>
            </w:pPr>
            <w:r w:rsidRPr="00F65705">
              <w:rPr>
                <w:rFonts w:eastAsia="Arial" w:cstheme="minorHAnsi"/>
                <w:b w:val="0"/>
                <w:bCs w:val="0"/>
              </w:rPr>
              <w:t>June 2024</w:t>
            </w:r>
          </w:p>
        </w:tc>
      </w:tr>
    </w:tbl>
    <w:bookmarkEnd w:id="11"/>
    <w:p w14:paraId="0A52DBA5" w14:textId="0ECD8620" w:rsidR="00865C8A" w:rsidRPr="00F65705" w:rsidRDefault="00865C8A" w:rsidP="00BC2489">
      <w:pPr>
        <w:spacing w:before="600" w:after="160" w:line="259" w:lineRule="auto"/>
        <w:rPr>
          <w:rFonts w:asciiTheme="minorHAnsi" w:eastAsia="Arial" w:hAnsiTheme="minorHAnsi" w:cstheme="minorHAnsi"/>
          <w:iCs/>
          <w:sz w:val="22"/>
          <w:szCs w:val="22"/>
          <w:highlight w:val="yellow"/>
        </w:rPr>
      </w:pPr>
      <w:r w:rsidRPr="00F65705">
        <w:rPr>
          <w:rFonts w:asciiTheme="minorHAnsi" w:hAnsiTheme="minorHAnsi"/>
          <w:b/>
          <w:sz w:val="28"/>
          <w:szCs w:val="28"/>
        </w:rPr>
        <w:t xml:space="preserve">9. </w:t>
      </w:r>
      <w:r w:rsidRPr="00F65705">
        <w:rPr>
          <w:rFonts w:asciiTheme="minorHAnsi" w:hAnsiTheme="minorHAnsi"/>
          <w:b/>
          <w:sz w:val="28"/>
          <w:szCs w:val="28"/>
        </w:rPr>
        <w:tab/>
        <w:t>CRIS APPROVAL AND CHANGE REGISTER</w:t>
      </w:r>
    </w:p>
    <w:tbl>
      <w:tblPr>
        <w:tblStyle w:val="GridTable4"/>
        <w:tblW w:w="5236" w:type="pct"/>
        <w:jc w:val="center"/>
        <w:tblLook w:val="0620" w:firstRow="1" w:lastRow="0" w:firstColumn="0" w:lastColumn="0" w:noHBand="1" w:noVBand="1"/>
        <w:tblCaption w:val="CRIS approval and change register"/>
        <w:tblDescription w:val="This table outlines the date, content of CRIS change and approver details."/>
      </w:tblPr>
      <w:tblGrid>
        <w:gridCol w:w="2074"/>
        <w:gridCol w:w="2670"/>
        <w:gridCol w:w="2670"/>
        <w:gridCol w:w="2668"/>
      </w:tblGrid>
      <w:tr w:rsidR="00F65705" w:rsidRPr="00F65705" w14:paraId="0761730C" w14:textId="77777777" w:rsidTr="00DC62CD">
        <w:trPr>
          <w:cnfStyle w:val="100000000000" w:firstRow="1" w:lastRow="0" w:firstColumn="0" w:lastColumn="0" w:oddVBand="0" w:evenVBand="0" w:oddHBand="0" w:evenHBand="0" w:firstRowFirstColumn="0" w:firstRowLastColumn="0" w:lastRowFirstColumn="0" w:lastRowLastColumn="0"/>
          <w:trHeight w:hRule="exact" w:val="611"/>
          <w:tblHeader/>
          <w:jc w:val="center"/>
        </w:trPr>
        <w:tc>
          <w:tcPr>
            <w:tcW w:w="1029" w:type="pct"/>
            <w:tcBorders>
              <w:top w:val="single" w:sz="4" w:space="0" w:color="auto"/>
              <w:left w:val="single" w:sz="4" w:space="0" w:color="auto"/>
              <w:bottom w:val="single" w:sz="4" w:space="0" w:color="auto"/>
              <w:right w:val="single" w:sz="4" w:space="0" w:color="auto"/>
            </w:tcBorders>
            <w:vAlign w:val="center"/>
          </w:tcPr>
          <w:p w14:paraId="27C0FAFF" w14:textId="77777777" w:rsidR="00865C8A" w:rsidRPr="00F65705" w:rsidRDefault="00865C8A" w:rsidP="00DC62CD">
            <w:pPr>
              <w:pStyle w:val="TableParagraph"/>
              <w:jc w:val="center"/>
              <w:rPr>
                <w:rFonts w:cstheme="minorHAnsi"/>
                <w:color w:val="auto"/>
                <w:w w:val="90"/>
              </w:rPr>
            </w:pPr>
            <w:r w:rsidRPr="00F65705">
              <w:rPr>
                <w:rFonts w:cstheme="minorHAnsi"/>
                <w:color w:val="auto"/>
                <w:w w:val="90"/>
              </w:rPr>
              <w:t>Date of CRIS change</w:t>
            </w:r>
          </w:p>
        </w:tc>
        <w:tc>
          <w:tcPr>
            <w:tcW w:w="1324" w:type="pct"/>
            <w:tcBorders>
              <w:top w:val="single" w:sz="4" w:space="0" w:color="auto"/>
              <w:left w:val="single" w:sz="4" w:space="0" w:color="auto"/>
              <w:bottom w:val="single" w:sz="4" w:space="0" w:color="auto"/>
              <w:right w:val="single" w:sz="4" w:space="0" w:color="auto"/>
            </w:tcBorders>
            <w:vAlign w:val="center"/>
          </w:tcPr>
          <w:p w14:paraId="3169C900" w14:textId="77777777" w:rsidR="00865C8A" w:rsidRPr="00F65705" w:rsidRDefault="00865C8A" w:rsidP="00DC62CD">
            <w:pPr>
              <w:pStyle w:val="TableParagraph"/>
              <w:jc w:val="center"/>
              <w:rPr>
                <w:rFonts w:cstheme="minorHAnsi"/>
                <w:color w:val="auto"/>
                <w:w w:val="90"/>
              </w:rPr>
            </w:pPr>
            <w:r w:rsidRPr="00F65705">
              <w:rPr>
                <w:rFonts w:cstheme="minorHAnsi"/>
                <w:color w:val="auto"/>
                <w:w w:val="90"/>
              </w:rPr>
              <w:t>CRIS change</w:t>
            </w:r>
          </w:p>
        </w:tc>
        <w:tc>
          <w:tcPr>
            <w:tcW w:w="1324" w:type="pct"/>
            <w:tcBorders>
              <w:top w:val="single" w:sz="4" w:space="0" w:color="auto"/>
              <w:left w:val="single" w:sz="4" w:space="0" w:color="auto"/>
              <w:bottom w:val="single" w:sz="4" w:space="0" w:color="auto"/>
              <w:right w:val="single" w:sz="4" w:space="0" w:color="auto"/>
            </w:tcBorders>
            <w:vAlign w:val="center"/>
          </w:tcPr>
          <w:p w14:paraId="4250DFF7" w14:textId="77777777" w:rsidR="00865C8A" w:rsidRPr="00F65705" w:rsidRDefault="00865C8A" w:rsidP="00DC62CD">
            <w:pPr>
              <w:pStyle w:val="TableParagraph"/>
              <w:jc w:val="center"/>
              <w:rPr>
                <w:rFonts w:cstheme="minorHAnsi"/>
                <w:color w:val="auto"/>
                <w:w w:val="90"/>
              </w:rPr>
            </w:pPr>
            <w:r w:rsidRPr="00F65705">
              <w:rPr>
                <w:rFonts w:cstheme="minorHAnsi"/>
                <w:color w:val="auto"/>
                <w:w w:val="90"/>
              </w:rPr>
              <w:t>Approver</w:t>
            </w:r>
          </w:p>
        </w:tc>
        <w:tc>
          <w:tcPr>
            <w:tcW w:w="1323" w:type="pct"/>
            <w:tcBorders>
              <w:top w:val="single" w:sz="4" w:space="0" w:color="auto"/>
              <w:left w:val="single" w:sz="4" w:space="0" w:color="auto"/>
              <w:bottom w:val="single" w:sz="4" w:space="0" w:color="auto"/>
              <w:right w:val="single" w:sz="4" w:space="0" w:color="auto"/>
            </w:tcBorders>
            <w:vAlign w:val="center"/>
          </w:tcPr>
          <w:p w14:paraId="33ACCDD7" w14:textId="77777777" w:rsidR="00865C8A" w:rsidRPr="00F65705" w:rsidRDefault="00865C8A" w:rsidP="00DC62CD">
            <w:pPr>
              <w:pStyle w:val="TableParagraph"/>
              <w:jc w:val="center"/>
              <w:rPr>
                <w:rFonts w:cstheme="minorHAnsi"/>
                <w:color w:val="auto"/>
                <w:w w:val="90"/>
              </w:rPr>
            </w:pPr>
            <w:r w:rsidRPr="00F65705">
              <w:rPr>
                <w:rFonts w:cstheme="minorHAnsi"/>
                <w:color w:val="auto"/>
                <w:w w:val="90"/>
              </w:rPr>
              <w:t>Basis for change</w:t>
            </w:r>
          </w:p>
        </w:tc>
      </w:tr>
      <w:tr w:rsidR="00F65705" w:rsidRPr="00F65705" w14:paraId="3DC8BFE1" w14:textId="77777777" w:rsidTr="007E6C76">
        <w:trPr>
          <w:trHeight w:hRule="exact" w:val="1562"/>
          <w:jc w:val="center"/>
        </w:trPr>
        <w:tc>
          <w:tcPr>
            <w:tcW w:w="1029" w:type="pct"/>
            <w:vAlign w:val="center"/>
          </w:tcPr>
          <w:p w14:paraId="5A7DE0B0" w14:textId="720B3C0C" w:rsidR="00853F4E" w:rsidRPr="00F65705" w:rsidRDefault="00F5268E" w:rsidP="00853F4E">
            <w:pPr>
              <w:pStyle w:val="TableParagraph"/>
              <w:rPr>
                <w:rFonts w:eastAsia="Arial" w:cstheme="minorHAnsi"/>
              </w:rPr>
            </w:pPr>
            <w:r w:rsidRPr="00F65705">
              <w:rPr>
                <w:rFonts w:eastAsia="Arial" w:cstheme="minorHAnsi"/>
              </w:rPr>
              <w:t xml:space="preserve">TBA </w:t>
            </w:r>
            <w:r w:rsidR="00853F4E" w:rsidRPr="00F65705">
              <w:rPr>
                <w:rFonts w:eastAsia="Arial" w:cstheme="minorHAnsi"/>
              </w:rPr>
              <w:t>2023</w:t>
            </w:r>
          </w:p>
        </w:tc>
        <w:tc>
          <w:tcPr>
            <w:tcW w:w="1324" w:type="pct"/>
            <w:vAlign w:val="center"/>
          </w:tcPr>
          <w:p w14:paraId="2A21A9D0" w14:textId="118CD75A" w:rsidR="00853F4E" w:rsidRPr="00F65705" w:rsidRDefault="00853F4E" w:rsidP="00853F4E">
            <w:pPr>
              <w:pStyle w:val="TableParagraph"/>
              <w:rPr>
                <w:rFonts w:eastAsia="Arial" w:cstheme="minorHAnsi"/>
              </w:rPr>
            </w:pPr>
            <w:r w:rsidRPr="00F65705">
              <w:rPr>
                <w:rFonts w:eastAsia="Arial" w:cstheme="minorHAnsi"/>
              </w:rPr>
              <w:t>Approval of amend</w:t>
            </w:r>
            <w:r w:rsidR="00BC2489" w:rsidRPr="00F65705">
              <w:rPr>
                <w:rFonts w:eastAsia="Arial" w:cstheme="minorHAnsi"/>
              </w:rPr>
              <w:t>ed</w:t>
            </w:r>
            <w:r w:rsidRPr="00F65705">
              <w:rPr>
                <w:rFonts w:eastAsia="Arial" w:cstheme="minorHAnsi"/>
              </w:rPr>
              <w:t xml:space="preserve"> 2023-24 CRIS (V1.8)</w:t>
            </w:r>
          </w:p>
        </w:tc>
        <w:tc>
          <w:tcPr>
            <w:tcW w:w="1324" w:type="pct"/>
            <w:vAlign w:val="center"/>
          </w:tcPr>
          <w:p w14:paraId="687C5D49" w14:textId="7D210F3F" w:rsidR="00853F4E" w:rsidRPr="00F65705" w:rsidRDefault="00853F4E" w:rsidP="00853F4E">
            <w:pPr>
              <w:pStyle w:val="TableParagraph"/>
              <w:rPr>
                <w:rFonts w:eastAsia="Arial" w:cstheme="minorHAnsi"/>
              </w:rPr>
            </w:pPr>
            <w:r w:rsidRPr="00F65705">
              <w:rPr>
                <w:rFonts w:eastAsia="Arial" w:cstheme="minorHAnsi"/>
              </w:rPr>
              <w:t>First Assistant Secretary, Technology Assessment and Access Division</w:t>
            </w:r>
          </w:p>
        </w:tc>
        <w:tc>
          <w:tcPr>
            <w:tcW w:w="1323" w:type="pct"/>
            <w:vAlign w:val="center"/>
          </w:tcPr>
          <w:p w14:paraId="0613B9BA" w14:textId="54BEAE9E" w:rsidR="00853F4E" w:rsidRPr="00F65705" w:rsidRDefault="00BC2489" w:rsidP="00853F4E">
            <w:pPr>
              <w:pStyle w:val="TableParagraph"/>
            </w:pPr>
            <w:r w:rsidRPr="00F65705">
              <w:t>Updated for 2022-23 financial results</w:t>
            </w:r>
          </w:p>
        </w:tc>
      </w:tr>
      <w:tr w:rsidR="00F65705" w:rsidRPr="00F65705" w14:paraId="7723F6C8" w14:textId="77777777" w:rsidTr="007E6C76">
        <w:trPr>
          <w:trHeight w:hRule="exact" w:val="1562"/>
          <w:jc w:val="center"/>
        </w:trPr>
        <w:tc>
          <w:tcPr>
            <w:tcW w:w="1029" w:type="pct"/>
            <w:vAlign w:val="center"/>
          </w:tcPr>
          <w:p w14:paraId="6E40527F" w14:textId="2D7099A4" w:rsidR="00A30646" w:rsidRPr="00F65705" w:rsidRDefault="008A7B40" w:rsidP="007E6C76">
            <w:pPr>
              <w:pStyle w:val="TableParagraph"/>
              <w:rPr>
                <w:rFonts w:eastAsia="Arial" w:cstheme="minorHAnsi"/>
              </w:rPr>
            </w:pPr>
            <w:r w:rsidRPr="00F65705">
              <w:rPr>
                <w:rFonts w:eastAsia="Arial" w:cstheme="minorHAnsi"/>
              </w:rPr>
              <w:t>1 July 2023</w:t>
            </w:r>
          </w:p>
        </w:tc>
        <w:tc>
          <w:tcPr>
            <w:tcW w:w="1324" w:type="pct"/>
            <w:vAlign w:val="center"/>
          </w:tcPr>
          <w:p w14:paraId="34A9B7F7" w14:textId="3253C76F" w:rsidR="00A30646" w:rsidRPr="00F65705" w:rsidRDefault="00A30646" w:rsidP="007E6C76">
            <w:pPr>
              <w:pStyle w:val="TableParagraph"/>
              <w:rPr>
                <w:rFonts w:eastAsia="Arial" w:cstheme="minorHAnsi"/>
              </w:rPr>
            </w:pPr>
            <w:r w:rsidRPr="00F65705">
              <w:rPr>
                <w:rFonts w:eastAsia="Arial" w:cstheme="minorHAnsi"/>
              </w:rPr>
              <w:t>Approval of the final 2023-24 CRIS (V1.7)</w:t>
            </w:r>
          </w:p>
        </w:tc>
        <w:tc>
          <w:tcPr>
            <w:tcW w:w="1324" w:type="pct"/>
            <w:vAlign w:val="center"/>
          </w:tcPr>
          <w:p w14:paraId="6E0352DF" w14:textId="33FD2DB8" w:rsidR="00A30646" w:rsidRPr="00F65705" w:rsidRDefault="00A30646" w:rsidP="007E6C76">
            <w:pPr>
              <w:pStyle w:val="TableParagraph"/>
              <w:rPr>
                <w:rFonts w:eastAsia="Arial" w:cstheme="minorHAnsi"/>
              </w:rPr>
            </w:pPr>
            <w:r w:rsidRPr="00F65705">
              <w:rPr>
                <w:rFonts w:eastAsia="Arial" w:cstheme="minorHAnsi"/>
              </w:rPr>
              <w:t xml:space="preserve">Minister </w:t>
            </w:r>
            <w:r w:rsidR="00E07DD9" w:rsidRPr="00F65705">
              <w:rPr>
                <w:rFonts w:eastAsia="Arial" w:cstheme="minorHAnsi"/>
              </w:rPr>
              <w:t>for Health and Aged Care</w:t>
            </w:r>
          </w:p>
        </w:tc>
        <w:tc>
          <w:tcPr>
            <w:tcW w:w="1323" w:type="pct"/>
            <w:vAlign w:val="center"/>
          </w:tcPr>
          <w:p w14:paraId="60DF71F7" w14:textId="3A9505B4" w:rsidR="00A30646" w:rsidRPr="00F65705" w:rsidRDefault="00A30646" w:rsidP="007E6C76">
            <w:pPr>
              <w:pStyle w:val="TableParagraph"/>
            </w:pPr>
            <w:r w:rsidRPr="00F65705">
              <w:t>Further clarification following consultation feedback.</w:t>
            </w:r>
          </w:p>
        </w:tc>
      </w:tr>
      <w:tr w:rsidR="00F65705" w:rsidRPr="00F65705" w14:paraId="5C0701C1" w14:textId="77777777" w:rsidTr="00DC62CD">
        <w:trPr>
          <w:trHeight w:hRule="exact" w:val="1562"/>
          <w:jc w:val="center"/>
        </w:trPr>
        <w:tc>
          <w:tcPr>
            <w:tcW w:w="1029" w:type="pct"/>
            <w:vAlign w:val="center"/>
          </w:tcPr>
          <w:p w14:paraId="274EA284" w14:textId="5B215007" w:rsidR="00A30646" w:rsidRPr="00F65705" w:rsidRDefault="00A30646" w:rsidP="00A30646">
            <w:pPr>
              <w:pStyle w:val="TableParagraph"/>
              <w:rPr>
                <w:rFonts w:eastAsia="Arial" w:cstheme="minorHAnsi"/>
              </w:rPr>
            </w:pPr>
            <w:r w:rsidRPr="00F65705">
              <w:rPr>
                <w:rFonts w:eastAsia="Arial" w:cstheme="minorHAnsi"/>
              </w:rPr>
              <w:t>3 May 2023</w:t>
            </w:r>
          </w:p>
        </w:tc>
        <w:tc>
          <w:tcPr>
            <w:tcW w:w="1324" w:type="pct"/>
            <w:vAlign w:val="center"/>
          </w:tcPr>
          <w:p w14:paraId="0EBD6B3D" w14:textId="2807FC61" w:rsidR="00A30646" w:rsidRPr="00F65705" w:rsidRDefault="00A30646" w:rsidP="00A30646">
            <w:pPr>
              <w:pStyle w:val="TableParagraph"/>
              <w:rPr>
                <w:rFonts w:eastAsia="Arial" w:cstheme="minorHAnsi"/>
              </w:rPr>
            </w:pPr>
            <w:r w:rsidRPr="00F65705">
              <w:rPr>
                <w:rFonts w:eastAsia="Arial" w:cstheme="minorHAnsi"/>
              </w:rPr>
              <w:t>Approval for the consultation draft of 2023-24 CRIS (V1.7)</w:t>
            </w:r>
          </w:p>
        </w:tc>
        <w:tc>
          <w:tcPr>
            <w:tcW w:w="1324" w:type="pct"/>
            <w:vAlign w:val="center"/>
          </w:tcPr>
          <w:p w14:paraId="13C7A901" w14:textId="5569D4ED" w:rsidR="00A30646" w:rsidRPr="00F65705" w:rsidRDefault="00A30646" w:rsidP="00A30646">
            <w:pPr>
              <w:pStyle w:val="TableParagraph"/>
              <w:rPr>
                <w:rFonts w:eastAsia="Arial" w:cstheme="minorHAnsi"/>
              </w:rPr>
            </w:pPr>
            <w:r w:rsidRPr="00F65705">
              <w:rPr>
                <w:rFonts w:eastAsia="Arial" w:cstheme="minorHAnsi"/>
              </w:rPr>
              <w:t>First Assistant Secretary, Technology Assessment and Access Division</w:t>
            </w:r>
          </w:p>
        </w:tc>
        <w:tc>
          <w:tcPr>
            <w:tcW w:w="1323" w:type="pct"/>
            <w:vAlign w:val="center"/>
          </w:tcPr>
          <w:p w14:paraId="581A7112" w14:textId="77777777" w:rsidR="00A30646" w:rsidRPr="00F65705" w:rsidRDefault="00A30646" w:rsidP="00A30646">
            <w:pPr>
              <w:pStyle w:val="TableParagraph"/>
            </w:pPr>
            <w:r w:rsidRPr="00F65705">
              <w:t>Revised fees to reflect annual indexation in line with the Australian Government Charging Framework</w:t>
            </w:r>
          </w:p>
          <w:p w14:paraId="6DAB346C" w14:textId="77777777" w:rsidR="00A30646" w:rsidRPr="00F65705" w:rsidRDefault="00A30646" w:rsidP="00A30646">
            <w:pPr>
              <w:pStyle w:val="TableParagraph"/>
            </w:pPr>
          </w:p>
        </w:tc>
      </w:tr>
      <w:tr w:rsidR="00F65705" w:rsidRPr="00F65705" w14:paraId="12A258DC" w14:textId="77777777" w:rsidTr="00DC62CD">
        <w:trPr>
          <w:trHeight w:hRule="exact" w:val="1562"/>
          <w:jc w:val="center"/>
        </w:trPr>
        <w:tc>
          <w:tcPr>
            <w:tcW w:w="1029" w:type="pct"/>
            <w:vAlign w:val="center"/>
          </w:tcPr>
          <w:p w14:paraId="4148C6F0" w14:textId="77777777" w:rsidR="00A30646" w:rsidRPr="00F65705" w:rsidRDefault="00A30646" w:rsidP="00A30646">
            <w:pPr>
              <w:pStyle w:val="TableParagraph"/>
              <w:rPr>
                <w:rFonts w:eastAsia="Arial" w:cstheme="minorHAnsi"/>
              </w:rPr>
            </w:pPr>
            <w:r w:rsidRPr="00F65705">
              <w:rPr>
                <w:rFonts w:eastAsia="Arial" w:cstheme="minorHAnsi"/>
              </w:rPr>
              <w:t>28 October 2022</w:t>
            </w:r>
          </w:p>
        </w:tc>
        <w:tc>
          <w:tcPr>
            <w:tcW w:w="1324" w:type="pct"/>
            <w:vAlign w:val="center"/>
          </w:tcPr>
          <w:p w14:paraId="2004BCDB" w14:textId="77777777" w:rsidR="00A30646" w:rsidRPr="00F65705" w:rsidRDefault="00A30646" w:rsidP="00A30646">
            <w:pPr>
              <w:pStyle w:val="TableParagraph"/>
              <w:rPr>
                <w:rFonts w:eastAsia="Arial" w:cstheme="minorHAnsi"/>
              </w:rPr>
            </w:pPr>
            <w:r w:rsidRPr="00F65705">
              <w:rPr>
                <w:rFonts w:eastAsia="Arial" w:cstheme="minorHAnsi"/>
              </w:rPr>
              <w:t>Approval for the final 2022-23 CRIS (V1.6)</w:t>
            </w:r>
          </w:p>
        </w:tc>
        <w:tc>
          <w:tcPr>
            <w:tcW w:w="1324" w:type="pct"/>
            <w:vAlign w:val="center"/>
          </w:tcPr>
          <w:p w14:paraId="70CDE4F6" w14:textId="77777777" w:rsidR="00A30646" w:rsidRPr="00F65705" w:rsidRDefault="00A30646" w:rsidP="00A30646">
            <w:pPr>
              <w:pStyle w:val="TableParagraph"/>
              <w:rPr>
                <w:rFonts w:eastAsia="Arial" w:cstheme="minorHAnsi"/>
              </w:rPr>
            </w:pPr>
            <w:r w:rsidRPr="00F65705">
              <w:rPr>
                <w:rFonts w:eastAsia="Arial" w:cstheme="minorHAnsi"/>
              </w:rPr>
              <w:t>First Assistant Secretary, Technology Assessment and Access Division</w:t>
            </w:r>
          </w:p>
        </w:tc>
        <w:tc>
          <w:tcPr>
            <w:tcW w:w="1323" w:type="pct"/>
            <w:vAlign w:val="center"/>
          </w:tcPr>
          <w:p w14:paraId="25D5B58B" w14:textId="77777777" w:rsidR="00A30646" w:rsidRPr="00F65705" w:rsidRDefault="00A30646" w:rsidP="00A30646">
            <w:pPr>
              <w:pStyle w:val="TableParagraph"/>
            </w:pPr>
            <w:r w:rsidRPr="00F65705">
              <w:t>Reporting on financial and non-financial performance for 2021-22.</w:t>
            </w:r>
          </w:p>
        </w:tc>
      </w:tr>
      <w:tr w:rsidR="00F65705" w:rsidRPr="00F65705" w14:paraId="00643196" w14:textId="77777777" w:rsidTr="00DC62CD">
        <w:trPr>
          <w:trHeight w:hRule="exact" w:val="1562"/>
          <w:jc w:val="center"/>
        </w:trPr>
        <w:tc>
          <w:tcPr>
            <w:tcW w:w="1029" w:type="pct"/>
            <w:vAlign w:val="center"/>
          </w:tcPr>
          <w:p w14:paraId="7937AEB5" w14:textId="77777777" w:rsidR="00A30646" w:rsidRPr="00F65705" w:rsidRDefault="00A30646" w:rsidP="00A30646">
            <w:pPr>
              <w:pStyle w:val="TableParagraph"/>
              <w:rPr>
                <w:rFonts w:eastAsia="Arial" w:cstheme="minorHAnsi"/>
              </w:rPr>
            </w:pPr>
            <w:r w:rsidRPr="00F65705">
              <w:rPr>
                <w:rFonts w:eastAsia="Arial" w:cstheme="minorHAnsi"/>
              </w:rPr>
              <w:t>1 August 2022</w:t>
            </w:r>
          </w:p>
        </w:tc>
        <w:tc>
          <w:tcPr>
            <w:tcW w:w="1324" w:type="pct"/>
            <w:vAlign w:val="center"/>
          </w:tcPr>
          <w:p w14:paraId="68365E32" w14:textId="77777777" w:rsidR="00A30646" w:rsidRPr="00F65705" w:rsidRDefault="00A30646" w:rsidP="00A30646">
            <w:pPr>
              <w:pStyle w:val="TableParagraph"/>
              <w:rPr>
                <w:rFonts w:eastAsia="Arial" w:cstheme="minorHAnsi"/>
              </w:rPr>
            </w:pPr>
            <w:r w:rsidRPr="00F65705">
              <w:rPr>
                <w:rFonts w:eastAsia="Arial" w:cstheme="minorHAnsi"/>
              </w:rPr>
              <w:t>Approval for the final 2022-23 CRIS (V1.5)</w:t>
            </w:r>
          </w:p>
        </w:tc>
        <w:tc>
          <w:tcPr>
            <w:tcW w:w="1324" w:type="pct"/>
            <w:vAlign w:val="center"/>
          </w:tcPr>
          <w:p w14:paraId="08C89B87" w14:textId="77777777" w:rsidR="00A30646" w:rsidRPr="00F65705" w:rsidRDefault="00A30646" w:rsidP="00A30646">
            <w:pPr>
              <w:pStyle w:val="TableParagraph"/>
              <w:rPr>
                <w:rFonts w:eastAsia="Arial" w:cstheme="minorHAnsi"/>
              </w:rPr>
            </w:pPr>
            <w:r w:rsidRPr="00F65705">
              <w:rPr>
                <w:rFonts w:eastAsia="Arial" w:cstheme="minorHAnsi"/>
              </w:rPr>
              <w:t>First Assistant Secretary, Technology Assessment and Access Division</w:t>
            </w:r>
          </w:p>
        </w:tc>
        <w:tc>
          <w:tcPr>
            <w:tcW w:w="1323" w:type="pct"/>
            <w:vAlign w:val="center"/>
          </w:tcPr>
          <w:p w14:paraId="13034B15" w14:textId="77777777" w:rsidR="00A30646" w:rsidRPr="00F65705" w:rsidRDefault="00A30646" w:rsidP="00A30646">
            <w:pPr>
              <w:pStyle w:val="TableParagraph"/>
            </w:pPr>
            <w:r w:rsidRPr="00F65705">
              <w:t>Further clarification following consultation feedback.</w:t>
            </w:r>
          </w:p>
        </w:tc>
      </w:tr>
      <w:tr w:rsidR="00F65705" w:rsidRPr="00F65705" w14:paraId="077426A1" w14:textId="77777777" w:rsidTr="00DC62CD">
        <w:trPr>
          <w:trHeight w:hRule="exact" w:val="1562"/>
          <w:jc w:val="center"/>
        </w:trPr>
        <w:tc>
          <w:tcPr>
            <w:tcW w:w="1029" w:type="pct"/>
            <w:vAlign w:val="center"/>
          </w:tcPr>
          <w:p w14:paraId="1ECEE983" w14:textId="77777777" w:rsidR="00A30646" w:rsidRPr="00F65705" w:rsidRDefault="00A30646" w:rsidP="00A30646">
            <w:pPr>
              <w:pStyle w:val="TableParagraph"/>
              <w:rPr>
                <w:rFonts w:eastAsia="Arial" w:cstheme="minorHAnsi"/>
              </w:rPr>
            </w:pPr>
            <w:r w:rsidRPr="00F65705">
              <w:rPr>
                <w:rFonts w:eastAsia="Arial" w:cstheme="minorHAnsi"/>
              </w:rPr>
              <w:t>15 June 2022</w:t>
            </w:r>
          </w:p>
        </w:tc>
        <w:tc>
          <w:tcPr>
            <w:tcW w:w="1324" w:type="pct"/>
            <w:vAlign w:val="center"/>
          </w:tcPr>
          <w:p w14:paraId="02E10BE7" w14:textId="77777777" w:rsidR="00A30646" w:rsidRPr="00F65705" w:rsidRDefault="00A30646" w:rsidP="00A30646">
            <w:pPr>
              <w:pStyle w:val="TableParagraph"/>
              <w:rPr>
                <w:rFonts w:eastAsia="Arial" w:cstheme="minorHAnsi"/>
              </w:rPr>
            </w:pPr>
            <w:r w:rsidRPr="00F65705">
              <w:rPr>
                <w:rFonts w:eastAsia="Arial" w:cstheme="minorHAnsi"/>
              </w:rPr>
              <w:t>Approval for the consultation draft of 2022-23 CRIS (V1.4)</w:t>
            </w:r>
          </w:p>
        </w:tc>
        <w:tc>
          <w:tcPr>
            <w:tcW w:w="1324" w:type="pct"/>
            <w:vAlign w:val="center"/>
          </w:tcPr>
          <w:p w14:paraId="0E925F75" w14:textId="77777777" w:rsidR="00A30646" w:rsidRPr="00F65705" w:rsidRDefault="00A30646" w:rsidP="00A30646">
            <w:pPr>
              <w:pStyle w:val="TableParagraph"/>
              <w:rPr>
                <w:rFonts w:eastAsia="Arial" w:cstheme="minorHAnsi"/>
              </w:rPr>
            </w:pPr>
            <w:r w:rsidRPr="00F65705">
              <w:rPr>
                <w:rFonts w:eastAsia="Arial" w:cstheme="minorHAnsi"/>
              </w:rPr>
              <w:t>Acting First Assistant Secretary, Technology Assessment and Access Division</w:t>
            </w:r>
          </w:p>
        </w:tc>
        <w:tc>
          <w:tcPr>
            <w:tcW w:w="1323" w:type="pct"/>
            <w:vAlign w:val="center"/>
          </w:tcPr>
          <w:p w14:paraId="2064CA60" w14:textId="77777777" w:rsidR="00A30646" w:rsidRPr="00F65705" w:rsidRDefault="00A30646" w:rsidP="00A30646">
            <w:pPr>
              <w:pStyle w:val="TableParagraph"/>
            </w:pPr>
            <w:r w:rsidRPr="00F65705">
              <w:t>Revised fees to reflect annual indexation in line with the Australian Government Charging Framework</w:t>
            </w:r>
          </w:p>
          <w:p w14:paraId="55B47833" w14:textId="77777777" w:rsidR="00A30646" w:rsidRPr="00F65705" w:rsidRDefault="00A30646" w:rsidP="00A30646">
            <w:pPr>
              <w:pStyle w:val="TableParagraph"/>
            </w:pPr>
          </w:p>
        </w:tc>
      </w:tr>
      <w:tr w:rsidR="00F65705" w:rsidRPr="00F65705" w14:paraId="74D468B9" w14:textId="77777777" w:rsidTr="00DC62CD">
        <w:trPr>
          <w:trHeight w:hRule="exact" w:val="1562"/>
          <w:jc w:val="center"/>
        </w:trPr>
        <w:tc>
          <w:tcPr>
            <w:tcW w:w="1029" w:type="pct"/>
            <w:vAlign w:val="center"/>
          </w:tcPr>
          <w:p w14:paraId="0DFAA9C3" w14:textId="77777777" w:rsidR="00A30646" w:rsidRPr="00F65705" w:rsidRDefault="00A30646" w:rsidP="00A30646">
            <w:pPr>
              <w:pStyle w:val="TableParagraph"/>
              <w:rPr>
                <w:rFonts w:eastAsia="Arial" w:cstheme="minorHAnsi"/>
              </w:rPr>
            </w:pPr>
            <w:r w:rsidRPr="00F65705">
              <w:rPr>
                <w:rFonts w:eastAsia="Arial" w:cstheme="minorHAnsi"/>
              </w:rPr>
              <w:t>22 April 2022</w:t>
            </w:r>
          </w:p>
        </w:tc>
        <w:tc>
          <w:tcPr>
            <w:tcW w:w="1324" w:type="pct"/>
            <w:vAlign w:val="center"/>
          </w:tcPr>
          <w:p w14:paraId="644F44F3" w14:textId="77777777" w:rsidR="00A30646" w:rsidRPr="00F65705" w:rsidRDefault="00A30646" w:rsidP="00A30646">
            <w:pPr>
              <w:pStyle w:val="TableParagraph"/>
              <w:rPr>
                <w:rFonts w:eastAsia="Arial" w:cstheme="minorHAnsi"/>
              </w:rPr>
            </w:pPr>
            <w:r w:rsidRPr="00F65705">
              <w:rPr>
                <w:rFonts w:eastAsia="Arial" w:cstheme="minorHAnsi"/>
              </w:rPr>
              <w:t xml:space="preserve">Approval for update to 2021-2022 CRIS (V1.3) </w:t>
            </w:r>
          </w:p>
        </w:tc>
        <w:tc>
          <w:tcPr>
            <w:tcW w:w="1324" w:type="pct"/>
            <w:vAlign w:val="center"/>
          </w:tcPr>
          <w:p w14:paraId="50151770" w14:textId="77777777" w:rsidR="00A30646" w:rsidRPr="00F65705" w:rsidRDefault="00A30646" w:rsidP="00A30646">
            <w:pPr>
              <w:pStyle w:val="TableParagraph"/>
              <w:rPr>
                <w:rFonts w:eastAsia="Arial" w:cstheme="minorHAnsi"/>
              </w:rPr>
            </w:pPr>
            <w:r w:rsidRPr="00F65705">
              <w:rPr>
                <w:rFonts w:eastAsia="Arial" w:cstheme="minorHAnsi"/>
              </w:rPr>
              <w:t>Technology Assessment and Access Division</w:t>
            </w:r>
          </w:p>
        </w:tc>
        <w:tc>
          <w:tcPr>
            <w:tcW w:w="1323" w:type="pct"/>
            <w:vAlign w:val="center"/>
          </w:tcPr>
          <w:p w14:paraId="5430F283" w14:textId="77777777" w:rsidR="00A30646" w:rsidRPr="00F65705" w:rsidRDefault="00A30646" w:rsidP="00A30646">
            <w:pPr>
              <w:pStyle w:val="TableParagraph"/>
            </w:pPr>
            <w:r w:rsidRPr="00F65705">
              <w:rPr>
                <w:rFonts w:eastAsia="Arial" w:cstheme="minorHAnsi"/>
              </w:rPr>
              <w:t xml:space="preserve">References to the new </w:t>
            </w:r>
            <w:r w:rsidRPr="00F65705">
              <w:rPr>
                <w:rFonts w:eastAsia="Arial" w:cstheme="minorHAnsi"/>
                <w:i/>
                <w:iCs/>
              </w:rPr>
              <w:t>National Health (Pharmaceuticals and Vaccines—Cost Recovery) Regulations 2022</w:t>
            </w:r>
            <w:r w:rsidRPr="00F65705">
              <w:rPr>
                <w:rFonts w:eastAsia="Arial"/>
                <w:i/>
                <w:iCs/>
              </w:rPr>
              <w:t xml:space="preserve"> </w:t>
            </w:r>
            <w:r w:rsidRPr="00F65705">
              <w:rPr>
                <w:rFonts w:eastAsia="Arial"/>
              </w:rPr>
              <w:t>updated.</w:t>
            </w:r>
          </w:p>
        </w:tc>
      </w:tr>
      <w:tr w:rsidR="00F65705" w:rsidRPr="00F65705" w14:paraId="35F30586" w14:textId="77777777" w:rsidTr="00DC62CD">
        <w:trPr>
          <w:trHeight w:hRule="exact" w:val="1562"/>
          <w:jc w:val="center"/>
        </w:trPr>
        <w:tc>
          <w:tcPr>
            <w:tcW w:w="1029" w:type="pct"/>
            <w:vAlign w:val="center"/>
          </w:tcPr>
          <w:p w14:paraId="13C278F2" w14:textId="77777777" w:rsidR="00A30646" w:rsidRPr="00F65705" w:rsidRDefault="00A30646" w:rsidP="00A30646">
            <w:pPr>
              <w:pStyle w:val="TableParagraph"/>
              <w:rPr>
                <w:rFonts w:eastAsia="Arial" w:cstheme="minorHAnsi"/>
              </w:rPr>
            </w:pPr>
            <w:r w:rsidRPr="00F65705">
              <w:rPr>
                <w:rFonts w:eastAsia="Arial" w:cstheme="minorHAnsi"/>
              </w:rPr>
              <w:lastRenderedPageBreak/>
              <w:t>30</w:t>
            </w:r>
            <w:r w:rsidRPr="00F65705">
              <w:t xml:space="preserve"> November 2021</w:t>
            </w:r>
          </w:p>
        </w:tc>
        <w:tc>
          <w:tcPr>
            <w:tcW w:w="1324" w:type="pct"/>
            <w:vAlign w:val="center"/>
          </w:tcPr>
          <w:p w14:paraId="26A69995" w14:textId="77777777" w:rsidR="00A30646" w:rsidRPr="00F65705" w:rsidRDefault="00A30646" w:rsidP="00A30646">
            <w:pPr>
              <w:pStyle w:val="TableParagraph"/>
              <w:rPr>
                <w:rFonts w:eastAsia="Arial" w:cstheme="minorHAnsi"/>
              </w:rPr>
            </w:pPr>
            <w:r w:rsidRPr="00F65705">
              <w:rPr>
                <w:rFonts w:eastAsia="Arial" w:cstheme="minorHAnsi"/>
              </w:rPr>
              <w:t>Approval for the 2021</w:t>
            </w:r>
            <w:r w:rsidRPr="00F65705">
              <w:rPr>
                <w:rFonts w:eastAsia="Arial" w:cstheme="minorHAnsi"/>
              </w:rPr>
              <w:noBreakHyphen/>
              <w:t>2022 CRIS</w:t>
            </w:r>
          </w:p>
          <w:p w14:paraId="605EAF69" w14:textId="77777777" w:rsidR="00A30646" w:rsidRPr="00F65705" w:rsidRDefault="00A30646" w:rsidP="00A30646">
            <w:pPr>
              <w:pStyle w:val="TableParagraph"/>
              <w:rPr>
                <w:rFonts w:eastAsia="Arial" w:cstheme="minorHAnsi"/>
              </w:rPr>
            </w:pPr>
            <w:r w:rsidRPr="00F65705">
              <w:rPr>
                <w:rFonts w:eastAsia="Arial" w:cstheme="minorHAnsi"/>
              </w:rPr>
              <w:t>(V1.2)</w:t>
            </w:r>
          </w:p>
        </w:tc>
        <w:tc>
          <w:tcPr>
            <w:tcW w:w="1324" w:type="pct"/>
            <w:vAlign w:val="center"/>
          </w:tcPr>
          <w:p w14:paraId="2B7C3785" w14:textId="77777777" w:rsidR="00A30646" w:rsidRPr="00F65705" w:rsidRDefault="00A30646" w:rsidP="00A30646">
            <w:pPr>
              <w:pStyle w:val="TableParagraph"/>
              <w:rPr>
                <w:rFonts w:eastAsia="Arial" w:cstheme="minorHAnsi"/>
              </w:rPr>
            </w:pPr>
            <w:r w:rsidRPr="00F65705">
              <w:rPr>
                <w:rFonts w:eastAsia="Arial" w:cstheme="minorHAnsi"/>
              </w:rPr>
              <w:t>First Assistant Secretary, Technology Assessment and Access Division</w:t>
            </w:r>
          </w:p>
        </w:tc>
        <w:tc>
          <w:tcPr>
            <w:tcW w:w="1323" w:type="pct"/>
            <w:vAlign w:val="center"/>
          </w:tcPr>
          <w:p w14:paraId="576AC421" w14:textId="77777777" w:rsidR="00A30646" w:rsidRPr="00F65705" w:rsidRDefault="00A30646" w:rsidP="00A30646">
            <w:pPr>
              <w:pStyle w:val="TableParagraph"/>
            </w:pPr>
            <w:r w:rsidRPr="00F65705">
              <w:t>Reporting on financial and non-financial performance for 2020-21.</w:t>
            </w:r>
          </w:p>
        </w:tc>
      </w:tr>
      <w:tr w:rsidR="00F65705" w:rsidRPr="00F65705" w14:paraId="43B766B1" w14:textId="77777777" w:rsidTr="00DC62CD">
        <w:trPr>
          <w:trHeight w:hRule="exact" w:val="1562"/>
          <w:jc w:val="center"/>
        </w:trPr>
        <w:tc>
          <w:tcPr>
            <w:tcW w:w="1029" w:type="pct"/>
            <w:vAlign w:val="center"/>
          </w:tcPr>
          <w:p w14:paraId="4727AFDC" w14:textId="77777777" w:rsidR="00A30646" w:rsidRPr="00F65705" w:rsidRDefault="00A30646" w:rsidP="00A30646">
            <w:pPr>
              <w:pStyle w:val="TableParagraph"/>
              <w:rPr>
                <w:rFonts w:eastAsia="Arial" w:cstheme="minorHAnsi"/>
              </w:rPr>
            </w:pPr>
            <w:r w:rsidRPr="00F65705">
              <w:rPr>
                <w:rFonts w:eastAsia="Arial" w:cstheme="minorHAnsi"/>
              </w:rPr>
              <w:t>21 June 2021</w:t>
            </w:r>
          </w:p>
        </w:tc>
        <w:tc>
          <w:tcPr>
            <w:tcW w:w="1324" w:type="pct"/>
            <w:vAlign w:val="center"/>
          </w:tcPr>
          <w:p w14:paraId="58925E04" w14:textId="77777777" w:rsidR="00A30646" w:rsidRPr="00F65705" w:rsidRDefault="00A30646" w:rsidP="00A30646">
            <w:pPr>
              <w:pStyle w:val="TableParagraph"/>
              <w:rPr>
                <w:rFonts w:eastAsia="Arial" w:cstheme="minorHAnsi"/>
              </w:rPr>
            </w:pPr>
            <w:r w:rsidRPr="00F65705">
              <w:rPr>
                <w:rFonts w:eastAsia="Arial" w:cstheme="minorHAnsi"/>
              </w:rPr>
              <w:t>Approval for the 2021-2022 CRIS</w:t>
            </w:r>
          </w:p>
          <w:p w14:paraId="022DAA28" w14:textId="77777777" w:rsidR="00A30646" w:rsidRPr="00F65705" w:rsidRDefault="00A30646" w:rsidP="00A30646">
            <w:pPr>
              <w:pStyle w:val="TableParagraph"/>
              <w:rPr>
                <w:rFonts w:eastAsia="Arial" w:cstheme="minorHAnsi"/>
              </w:rPr>
            </w:pPr>
            <w:r w:rsidRPr="00F65705">
              <w:rPr>
                <w:rFonts w:eastAsia="Arial" w:cstheme="minorHAnsi"/>
              </w:rPr>
              <w:t xml:space="preserve">(V1.1) </w:t>
            </w:r>
          </w:p>
        </w:tc>
        <w:tc>
          <w:tcPr>
            <w:tcW w:w="1324" w:type="pct"/>
            <w:vAlign w:val="center"/>
          </w:tcPr>
          <w:p w14:paraId="2CE566D2" w14:textId="77777777" w:rsidR="00A30646" w:rsidRPr="00F65705" w:rsidRDefault="00A30646" w:rsidP="00A30646">
            <w:pPr>
              <w:pStyle w:val="TableParagraph"/>
              <w:rPr>
                <w:rFonts w:eastAsia="Arial" w:cstheme="minorHAnsi"/>
              </w:rPr>
            </w:pPr>
            <w:r w:rsidRPr="00F65705">
              <w:rPr>
                <w:rFonts w:eastAsia="Arial" w:cstheme="minorHAnsi"/>
              </w:rPr>
              <w:t>Acting First Assistant Secretary, Technology Assessment and Access Division</w:t>
            </w:r>
          </w:p>
        </w:tc>
        <w:tc>
          <w:tcPr>
            <w:tcW w:w="1323" w:type="pct"/>
            <w:vAlign w:val="center"/>
          </w:tcPr>
          <w:p w14:paraId="77A65929" w14:textId="77777777" w:rsidR="00A30646" w:rsidRPr="00F65705" w:rsidRDefault="00A30646" w:rsidP="00A30646">
            <w:pPr>
              <w:pStyle w:val="TableParagraph"/>
            </w:pPr>
            <w:r w:rsidRPr="00F65705">
              <w:t>Further clarification on fees following consultation feedback.</w:t>
            </w:r>
          </w:p>
        </w:tc>
      </w:tr>
      <w:tr w:rsidR="00F65705" w:rsidRPr="00F65705" w14:paraId="41E1D5E5" w14:textId="77777777" w:rsidTr="00DC62CD">
        <w:trPr>
          <w:trHeight w:hRule="exact" w:val="1562"/>
          <w:jc w:val="center"/>
        </w:trPr>
        <w:tc>
          <w:tcPr>
            <w:tcW w:w="1029" w:type="pct"/>
            <w:vAlign w:val="center"/>
          </w:tcPr>
          <w:p w14:paraId="6DEB643F" w14:textId="77777777" w:rsidR="00A30646" w:rsidRPr="00F65705" w:rsidRDefault="00A30646" w:rsidP="00A30646">
            <w:pPr>
              <w:pStyle w:val="TableParagraph"/>
              <w:rPr>
                <w:rFonts w:eastAsia="Arial" w:cstheme="minorHAnsi"/>
              </w:rPr>
            </w:pPr>
            <w:r w:rsidRPr="00F65705">
              <w:rPr>
                <w:rFonts w:eastAsia="Arial" w:cstheme="minorHAnsi"/>
              </w:rPr>
              <w:t>9 April 2021</w:t>
            </w:r>
          </w:p>
        </w:tc>
        <w:tc>
          <w:tcPr>
            <w:tcW w:w="1324" w:type="pct"/>
            <w:vAlign w:val="center"/>
          </w:tcPr>
          <w:p w14:paraId="7A71BDD1" w14:textId="77777777" w:rsidR="00A30646" w:rsidRPr="00F65705" w:rsidRDefault="00A30646" w:rsidP="00A30646">
            <w:pPr>
              <w:pStyle w:val="TableParagraph"/>
              <w:rPr>
                <w:rFonts w:eastAsia="Arial" w:cstheme="minorHAnsi"/>
              </w:rPr>
            </w:pPr>
            <w:r w:rsidRPr="00F65705">
              <w:rPr>
                <w:rFonts w:eastAsia="Arial" w:cstheme="minorHAnsi"/>
              </w:rPr>
              <w:t>Approval of consultation draft of 2021-2022 CRIS (V1.0)</w:t>
            </w:r>
          </w:p>
        </w:tc>
        <w:tc>
          <w:tcPr>
            <w:tcW w:w="1324" w:type="pct"/>
            <w:vAlign w:val="center"/>
          </w:tcPr>
          <w:p w14:paraId="788C01B8" w14:textId="77777777" w:rsidR="00A30646" w:rsidRPr="00F65705" w:rsidRDefault="00A30646" w:rsidP="00A30646">
            <w:pPr>
              <w:pStyle w:val="TableParagraph"/>
              <w:rPr>
                <w:rFonts w:eastAsia="Arial" w:cstheme="minorHAnsi"/>
              </w:rPr>
            </w:pPr>
            <w:r w:rsidRPr="00F65705">
              <w:rPr>
                <w:rFonts w:eastAsia="Arial" w:cstheme="minorHAnsi"/>
              </w:rPr>
              <w:t>Assistant Secretary, Health Technology Assessment – Policy Branch</w:t>
            </w:r>
          </w:p>
        </w:tc>
        <w:tc>
          <w:tcPr>
            <w:tcW w:w="1323" w:type="pct"/>
            <w:vAlign w:val="center"/>
          </w:tcPr>
          <w:p w14:paraId="2E2AE75B" w14:textId="77777777" w:rsidR="00A30646" w:rsidRPr="00F65705" w:rsidRDefault="00A30646" w:rsidP="00A30646">
            <w:pPr>
              <w:pStyle w:val="TableParagraph"/>
            </w:pPr>
            <w:r w:rsidRPr="00F65705">
              <w:t>Revised fees to reflect annual indexation in line with the Australian Government Charging Framework</w:t>
            </w:r>
          </w:p>
          <w:p w14:paraId="3EFA5D1C" w14:textId="77777777" w:rsidR="00A30646" w:rsidRPr="00F65705" w:rsidRDefault="00A30646" w:rsidP="00A30646"/>
          <w:p w14:paraId="25D2C6DA" w14:textId="77777777" w:rsidR="00A30646" w:rsidRPr="00F65705" w:rsidRDefault="00A30646" w:rsidP="00A30646"/>
          <w:p w14:paraId="22235E35" w14:textId="77777777" w:rsidR="00A30646" w:rsidRPr="00F65705" w:rsidRDefault="00A30646" w:rsidP="00A30646">
            <w:pPr>
              <w:pStyle w:val="TableParagraph"/>
            </w:pPr>
          </w:p>
        </w:tc>
      </w:tr>
      <w:tr w:rsidR="00F65705" w:rsidRPr="00F65705" w14:paraId="15E4E930" w14:textId="77777777" w:rsidTr="00DC62CD">
        <w:trPr>
          <w:trHeight w:hRule="exact" w:val="1562"/>
          <w:jc w:val="center"/>
        </w:trPr>
        <w:tc>
          <w:tcPr>
            <w:tcW w:w="1029" w:type="pct"/>
            <w:vAlign w:val="center"/>
          </w:tcPr>
          <w:p w14:paraId="0FD78657" w14:textId="77777777" w:rsidR="00A30646" w:rsidRPr="00F65705" w:rsidRDefault="00A30646" w:rsidP="00A30646">
            <w:pPr>
              <w:pStyle w:val="TableParagraph"/>
              <w:rPr>
                <w:rFonts w:eastAsia="Arial" w:cstheme="minorHAnsi"/>
              </w:rPr>
            </w:pPr>
            <w:r w:rsidRPr="00F65705">
              <w:rPr>
                <w:rFonts w:eastAsia="Arial" w:cstheme="minorHAnsi"/>
              </w:rPr>
              <w:t>1 December 2020</w:t>
            </w:r>
          </w:p>
        </w:tc>
        <w:tc>
          <w:tcPr>
            <w:tcW w:w="1324" w:type="pct"/>
            <w:vAlign w:val="center"/>
          </w:tcPr>
          <w:p w14:paraId="5A496A68" w14:textId="77777777" w:rsidR="00A30646" w:rsidRPr="00F65705" w:rsidRDefault="00A30646" w:rsidP="00A30646">
            <w:pPr>
              <w:pStyle w:val="TableParagraph"/>
              <w:rPr>
                <w:rFonts w:eastAsia="Arial" w:cstheme="minorHAnsi"/>
              </w:rPr>
            </w:pPr>
            <w:r w:rsidRPr="00F65705">
              <w:rPr>
                <w:rFonts w:eastAsia="Arial" w:cstheme="minorHAnsi"/>
              </w:rPr>
              <w:t>Approval for the 2019-20 CRIS V1.3 release</w:t>
            </w:r>
          </w:p>
        </w:tc>
        <w:tc>
          <w:tcPr>
            <w:tcW w:w="1324" w:type="pct"/>
            <w:vAlign w:val="center"/>
          </w:tcPr>
          <w:p w14:paraId="4D83F777" w14:textId="77777777" w:rsidR="00A30646" w:rsidRPr="00F65705" w:rsidRDefault="00A30646" w:rsidP="00A30646">
            <w:pPr>
              <w:pStyle w:val="TableParagraph"/>
              <w:rPr>
                <w:rFonts w:eastAsia="Arial" w:cstheme="minorHAnsi"/>
              </w:rPr>
            </w:pPr>
            <w:r w:rsidRPr="00F65705">
              <w:rPr>
                <w:rFonts w:eastAsia="Arial" w:cstheme="minorHAnsi"/>
              </w:rPr>
              <w:t>Minister for Health</w:t>
            </w:r>
          </w:p>
        </w:tc>
        <w:tc>
          <w:tcPr>
            <w:tcW w:w="1323" w:type="pct"/>
            <w:vAlign w:val="center"/>
          </w:tcPr>
          <w:p w14:paraId="5AB96858" w14:textId="77777777" w:rsidR="00A30646" w:rsidRPr="00F65705" w:rsidRDefault="00A30646" w:rsidP="00A30646">
            <w:pPr>
              <w:pStyle w:val="TableParagraph"/>
            </w:pPr>
            <w:r w:rsidRPr="00F65705">
              <w:t xml:space="preserve">New regulatory charging activity and </w:t>
            </w:r>
            <w:r w:rsidRPr="00F65705">
              <w:rPr>
                <w:rFonts w:eastAsia="Arial" w:cstheme="minorHAnsi"/>
              </w:rPr>
              <w:t>2019-20 outcome statement</w:t>
            </w:r>
          </w:p>
        </w:tc>
      </w:tr>
      <w:tr w:rsidR="00F65705" w:rsidRPr="00F65705" w14:paraId="1299C074" w14:textId="77777777" w:rsidTr="00DC62CD">
        <w:trPr>
          <w:trHeight w:hRule="exact" w:val="1562"/>
          <w:jc w:val="center"/>
        </w:trPr>
        <w:tc>
          <w:tcPr>
            <w:tcW w:w="1029" w:type="pct"/>
            <w:vAlign w:val="center"/>
          </w:tcPr>
          <w:p w14:paraId="09D29B86" w14:textId="77777777" w:rsidR="00A30646" w:rsidRPr="00F65705" w:rsidRDefault="00A30646" w:rsidP="00A30646">
            <w:pPr>
              <w:pStyle w:val="TableParagraph"/>
              <w:rPr>
                <w:rFonts w:eastAsia="Arial" w:cstheme="minorHAnsi"/>
              </w:rPr>
            </w:pPr>
            <w:r w:rsidRPr="00F65705">
              <w:rPr>
                <w:rFonts w:eastAsia="Arial" w:cstheme="minorHAnsi"/>
              </w:rPr>
              <w:t>24 September 2020</w:t>
            </w:r>
          </w:p>
        </w:tc>
        <w:tc>
          <w:tcPr>
            <w:tcW w:w="1324" w:type="pct"/>
            <w:vAlign w:val="center"/>
          </w:tcPr>
          <w:p w14:paraId="6FA52949" w14:textId="77777777" w:rsidR="00A30646" w:rsidRPr="00F65705" w:rsidRDefault="00A30646" w:rsidP="00A30646">
            <w:pPr>
              <w:pStyle w:val="TableParagraph"/>
              <w:rPr>
                <w:rFonts w:eastAsia="Arial" w:cstheme="minorHAnsi"/>
              </w:rPr>
            </w:pPr>
            <w:r w:rsidRPr="00F65705">
              <w:rPr>
                <w:rFonts w:eastAsia="Arial" w:cstheme="minorHAnsi"/>
              </w:rPr>
              <w:t xml:space="preserve">Approval of consultation on the draft 2020-21 CRIS </w:t>
            </w:r>
          </w:p>
        </w:tc>
        <w:tc>
          <w:tcPr>
            <w:tcW w:w="1324" w:type="pct"/>
            <w:vAlign w:val="center"/>
          </w:tcPr>
          <w:p w14:paraId="2E2DCBE8" w14:textId="77777777" w:rsidR="00A30646" w:rsidRPr="00F65705" w:rsidRDefault="00A30646" w:rsidP="00A30646">
            <w:pPr>
              <w:pStyle w:val="TableParagraph"/>
              <w:rPr>
                <w:rFonts w:eastAsia="Arial" w:cstheme="minorHAnsi"/>
              </w:rPr>
            </w:pPr>
            <w:r w:rsidRPr="00F65705">
              <w:rPr>
                <w:rFonts w:eastAsia="Arial" w:cstheme="minorHAnsi"/>
              </w:rPr>
              <w:t>Assistant Secretary, Health Technology Assessment – Policy Branch</w:t>
            </w:r>
          </w:p>
        </w:tc>
        <w:tc>
          <w:tcPr>
            <w:tcW w:w="1323" w:type="pct"/>
            <w:vAlign w:val="center"/>
          </w:tcPr>
          <w:p w14:paraId="2DF45CD2" w14:textId="77777777" w:rsidR="00A30646" w:rsidRPr="00F65705" w:rsidRDefault="00A30646" w:rsidP="00A30646">
            <w:pPr>
              <w:pStyle w:val="TableParagraph"/>
            </w:pPr>
            <w:r w:rsidRPr="00F65705">
              <w:rPr>
                <w:rFonts w:eastAsia="Arial" w:cstheme="minorHAnsi"/>
              </w:rPr>
              <w:t>Changes to the costing model to support stage 2 PBS process improvements (operational change)</w:t>
            </w:r>
          </w:p>
        </w:tc>
      </w:tr>
      <w:tr w:rsidR="00F65705" w:rsidRPr="00F65705" w14:paraId="5D214FCE" w14:textId="77777777" w:rsidTr="00DC62CD">
        <w:trPr>
          <w:trHeight w:hRule="exact" w:val="1562"/>
          <w:jc w:val="center"/>
        </w:trPr>
        <w:tc>
          <w:tcPr>
            <w:tcW w:w="1029" w:type="pct"/>
            <w:vAlign w:val="center"/>
          </w:tcPr>
          <w:p w14:paraId="2F78E5A7" w14:textId="77777777" w:rsidR="00A30646" w:rsidRPr="00F65705" w:rsidRDefault="00A30646" w:rsidP="00A30646">
            <w:pPr>
              <w:pStyle w:val="TableParagraph"/>
              <w:rPr>
                <w:rFonts w:eastAsia="Arial" w:cstheme="minorHAnsi"/>
              </w:rPr>
            </w:pPr>
            <w:r w:rsidRPr="00F65705">
              <w:rPr>
                <w:rFonts w:eastAsia="Arial" w:cstheme="minorHAnsi"/>
              </w:rPr>
              <w:t>19 June 2020</w:t>
            </w:r>
          </w:p>
        </w:tc>
        <w:tc>
          <w:tcPr>
            <w:tcW w:w="1324" w:type="pct"/>
            <w:vAlign w:val="center"/>
          </w:tcPr>
          <w:p w14:paraId="4C0F0465" w14:textId="77777777" w:rsidR="00A30646" w:rsidRPr="00F65705" w:rsidRDefault="00A30646" w:rsidP="00A30646">
            <w:pPr>
              <w:pStyle w:val="TableParagraph"/>
              <w:rPr>
                <w:rFonts w:eastAsia="Arial" w:cstheme="minorHAnsi"/>
              </w:rPr>
            </w:pPr>
            <w:r w:rsidRPr="00F65705">
              <w:rPr>
                <w:rFonts w:eastAsia="Arial" w:cstheme="minorHAnsi"/>
              </w:rPr>
              <w:t>Approval for the 2020-21 CRIS V1.0 release</w:t>
            </w:r>
          </w:p>
        </w:tc>
        <w:tc>
          <w:tcPr>
            <w:tcW w:w="1324" w:type="pct"/>
            <w:vAlign w:val="center"/>
          </w:tcPr>
          <w:p w14:paraId="77287087" w14:textId="77777777" w:rsidR="00A30646" w:rsidRPr="00F65705" w:rsidRDefault="00A30646" w:rsidP="00A30646">
            <w:pPr>
              <w:pStyle w:val="TableParagraph"/>
              <w:rPr>
                <w:rFonts w:eastAsia="Arial" w:cstheme="minorHAnsi"/>
              </w:rPr>
            </w:pPr>
            <w:r w:rsidRPr="00F65705">
              <w:rPr>
                <w:rFonts w:eastAsia="Arial" w:cstheme="minorHAnsi"/>
              </w:rPr>
              <w:t>Acting Secretary for Health</w:t>
            </w:r>
          </w:p>
        </w:tc>
        <w:tc>
          <w:tcPr>
            <w:tcW w:w="1323" w:type="pct"/>
            <w:vAlign w:val="center"/>
          </w:tcPr>
          <w:p w14:paraId="6571E313" w14:textId="77777777" w:rsidR="00A30646" w:rsidRPr="00F65705" w:rsidRDefault="00A30646" w:rsidP="00A30646">
            <w:pPr>
              <w:pStyle w:val="TableParagraph"/>
            </w:pPr>
            <w:r w:rsidRPr="00F65705">
              <w:rPr>
                <w:rFonts w:eastAsia="Arial" w:cstheme="minorHAnsi"/>
              </w:rPr>
              <w:t>Updated to reflect introduction of ATAGI fees (operational change)</w:t>
            </w:r>
          </w:p>
        </w:tc>
      </w:tr>
      <w:tr w:rsidR="00F65705" w:rsidRPr="00F65705" w14:paraId="37C7E673" w14:textId="77777777" w:rsidTr="00DC62CD">
        <w:trPr>
          <w:trHeight w:hRule="exact" w:val="1562"/>
          <w:jc w:val="center"/>
        </w:trPr>
        <w:tc>
          <w:tcPr>
            <w:tcW w:w="1029" w:type="pct"/>
            <w:vAlign w:val="center"/>
          </w:tcPr>
          <w:p w14:paraId="61FF6DFF" w14:textId="77777777" w:rsidR="00A30646" w:rsidRPr="00F65705" w:rsidRDefault="00A30646" w:rsidP="00A30646">
            <w:pPr>
              <w:pStyle w:val="TableParagraph"/>
              <w:rPr>
                <w:rFonts w:eastAsia="Arial" w:cstheme="minorHAnsi"/>
              </w:rPr>
            </w:pPr>
            <w:r w:rsidRPr="00F65705">
              <w:rPr>
                <w:rFonts w:eastAsia="Arial" w:cstheme="minorHAnsi"/>
              </w:rPr>
              <w:t>9 December 2019</w:t>
            </w:r>
          </w:p>
        </w:tc>
        <w:tc>
          <w:tcPr>
            <w:tcW w:w="1324" w:type="pct"/>
            <w:vAlign w:val="center"/>
          </w:tcPr>
          <w:p w14:paraId="1F2BB983" w14:textId="77777777" w:rsidR="00A30646" w:rsidRPr="00F65705" w:rsidRDefault="00A30646" w:rsidP="00A30646">
            <w:pPr>
              <w:pStyle w:val="TableParagraph"/>
              <w:rPr>
                <w:rFonts w:eastAsia="Arial" w:cstheme="minorHAnsi"/>
              </w:rPr>
            </w:pPr>
            <w:r w:rsidRPr="00F65705">
              <w:rPr>
                <w:rFonts w:eastAsia="Arial" w:cstheme="minorHAnsi"/>
              </w:rPr>
              <w:t xml:space="preserve">Reporting on financial performance </w:t>
            </w:r>
          </w:p>
        </w:tc>
        <w:tc>
          <w:tcPr>
            <w:tcW w:w="1324" w:type="pct"/>
            <w:vAlign w:val="center"/>
          </w:tcPr>
          <w:p w14:paraId="6B78A350" w14:textId="77777777" w:rsidR="00A30646" w:rsidRPr="00F65705" w:rsidRDefault="00A30646" w:rsidP="00A30646">
            <w:pPr>
              <w:pStyle w:val="TableParagraph"/>
              <w:rPr>
                <w:rFonts w:eastAsia="Arial" w:cstheme="minorHAnsi"/>
              </w:rPr>
            </w:pPr>
            <w:r w:rsidRPr="00F65705">
              <w:rPr>
                <w:rFonts w:eastAsia="Arial" w:cstheme="minorHAnsi"/>
              </w:rPr>
              <w:t>First Assistant Secretary, Technology Assessment and Access Division</w:t>
            </w:r>
          </w:p>
        </w:tc>
        <w:tc>
          <w:tcPr>
            <w:tcW w:w="1323" w:type="pct"/>
            <w:vAlign w:val="center"/>
          </w:tcPr>
          <w:p w14:paraId="0E1E3445" w14:textId="77777777" w:rsidR="00A30646" w:rsidRPr="00F65705" w:rsidRDefault="00A30646" w:rsidP="00A30646">
            <w:pPr>
              <w:pStyle w:val="TableParagraph"/>
            </w:pPr>
            <w:r w:rsidRPr="00F65705">
              <w:rPr>
                <w:rFonts w:eastAsia="Arial" w:cstheme="minorHAnsi"/>
              </w:rPr>
              <w:t>2018-19 outcome statement</w:t>
            </w:r>
          </w:p>
        </w:tc>
      </w:tr>
      <w:tr w:rsidR="00F65705" w:rsidRPr="00F65705" w14:paraId="36F7A5CB" w14:textId="77777777" w:rsidTr="00DC62CD">
        <w:trPr>
          <w:trHeight w:hRule="exact" w:val="1562"/>
          <w:jc w:val="center"/>
        </w:trPr>
        <w:tc>
          <w:tcPr>
            <w:tcW w:w="1029" w:type="pct"/>
            <w:vAlign w:val="center"/>
          </w:tcPr>
          <w:p w14:paraId="0AE0AA24" w14:textId="77777777" w:rsidR="00A30646" w:rsidRPr="00F65705" w:rsidRDefault="00A30646" w:rsidP="00A30646">
            <w:pPr>
              <w:pStyle w:val="TableParagraph"/>
              <w:rPr>
                <w:rFonts w:eastAsia="Arial" w:cstheme="minorHAnsi"/>
              </w:rPr>
            </w:pPr>
            <w:r w:rsidRPr="00F65705">
              <w:rPr>
                <w:rFonts w:eastAsia="Arial" w:cstheme="minorHAnsi"/>
              </w:rPr>
              <w:t>11 June 2019</w:t>
            </w:r>
          </w:p>
        </w:tc>
        <w:tc>
          <w:tcPr>
            <w:tcW w:w="1324" w:type="pct"/>
            <w:vAlign w:val="center"/>
          </w:tcPr>
          <w:p w14:paraId="67EBCAD1" w14:textId="77777777" w:rsidR="00A30646" w:rsidRPr="00F65705" w:rsidRDefault="00A30646" w:rsidP="00A30646">
            <w:pPr>
              <w:pStyle w:val="TableParagraph"/>
              <w:rPr>
                <w:rFonts w:eastAsia="Arial" w:cstheme="minorHAnsi"/>
              </w:rPr>
            </w:pPr>
            <w:r w:rsidRPr="00F65705">
              <w:rPr>
                <w:rFonts w:eastAsia="Arial" w:cstheme="minorHAnsi"/>
              </w:rPr>
              <w:t>Approval of the 2019-20 CRIS V2.0</w:t>
            </w:r>
          </w:p>
        </w:tc>
        <w:tc>
          <w:tcPr>
            <w:tcW w:w="1324" w:type="pct"/>
            <w:vAlign w:val="center"/>
          </w:tcPr>
          <w:p w14:paraId="5BD0A66A" w14:textId="77777777" w:rsidR="00A30646" w:rsidRPr="00F65705" w:rsidRDefault="00A30646" w:rsidP="00A30646">
            <w:pPr>
              <w:pStyle w:val="TableParagraph"/>
              <w:rPr>
                <w:rFonts w:eastAsia="Arial" w:cstheme="minorHAnsi"/>
              </w:rPr>
            </w:pPr>
            <w:r w:rsidRPr="00F65705">
              <w:rPr>
                <w:rFonts w:eastAsia="Arial" w:cstheme="minorHAnsi"/>
              </w:rPr>
              <w:t>Minister for Health</w:t>
            </w:r>
          </w:p>
        </w:tc>
        <w:tc>
          <w:tcPr>
            <w:tcW w:w="1323" w:type="pct"/>
            <w:vAlign w:val="center"/>
          </w:tcPr>
          <w:p w14:paraId="6E8D1F53" w14:textId="77777777" w:rsidR="00A30646" w:rsidRPr="00F65705" w:rsidRDefault="00A30646" w:rsidP="00A30646">
            <w:pPr>
              <w:pStyle w:val="TableParagraph"/>
            </w:pPr>
            <w:r w:rsidRPr="00F65705">
              <w:t>Revalidation of the costing model – to reflect delay to ATAGI and deed management fees (policy change)</w:t>
            </w:r>
          </w:p>
        </w:tc>
      </w:tr>
      <w:tr w:rsidR="00F65705" w:rsidRPr="00F65705" w14:paraId="083514CC" w14:textId="77777777" w:rsidTr="00DC62CD">
        <w:trPr>
          <w:trHeight w:hRule="exact" w:val="1562"/>
          <w:jc w:val="center"/>
        </w:trPr>
        <w:tc>
          <w:tcPr>
            <w:tcW w:w="1029" w:type="pct"/>
            <w:vAlign w:val="center"/>
          </w:tcPr>
          <w:p w14:paraId="55A0334A" w14:textId="77777777" w:rsidR="00A30646" w:rsidRPr="00F65705" w:rsidRDefault="00A30646" w:rsidP="00A30646">
            <w:pPr>
              <w:pStyle w:val="TableParagraph"/>
              <w:rPr>
                <w:rFonts w:eastAsia="Arial" w:cstheme="minorHAnsi"/>
              </w:rPr>
            </w:pPr>
            <w:r w:rsidRPr="00F65705">
              <w:rPr>
                <w:rFonts w:eastAsia="Arial" w:cstheme="minorHAnsi"/>
              </w:rPr>
              <w:t>18 May 2019</w:t>
            </w:r>
          </w:p>
        </w:tc>
        <w:tc>
          <w:tcPr>
            <w:tcW w:w="1324" w:type="pct"/>
            <w:vAlign w:val="center"/>
          </w:tcPr>
          <w:p w14:paraId="7DDC6FDA" w14:textId="77777777" w:rsidR="00A30646" w:rsidRPr="00F65705" w:rsidRDefault="00A30646" w:rsidP="00A30646">
            <w:pPr>
              <w:pStyle w:val="TableParagraph"/>
              <w:rPr>
                <w:rFonts w:eastAsia="Arial" w:cstheme="minorHAnsi"/>
              </w:rPr>
            </w:pPr>
            <w:r w:rsidRPr="00F65705">
              <w:rPr>
                <w:rFonts w:eastAsia="Arial" w:cstheme="minorHAnsi"/>
              </w:rPr>
              <w:t xml:space="preserve">Approval of consultation on the draft 2020-21 CRIS </w:t>
            </w:r>
          </w:p>
        </w:tc>
        <w:tc>
          <w:tcPr>
            <w:tcW w:w="1324" w:type="pct"/>
            <w:vAlign w:val="center"/>
          </w:tcPr>
          <w:p w14:paraId="0CBBF376" w14:textId="77777777" w:rsidR="00A30646" w:rsidRPr="00F65705" w:rsidRDefault="00A30646" w:rsidP="00A30646">
            <w:pPr>
              <w:pStyle w:val="TableParagraph"/>
              <w:rPr>
                <w:rFonts w:eastAsia="Arial" w:cstheme="minorHAnsi"/>
              </w:rPr>
            </w:pPr>
            <w:r w:rsidRPr="00F65705">
              <w:rPr>
                <w:rFonts w:eastAsia="Arial" w:cstheme="minorHAnsi"/>
              </w:rPr>
              <w:t>Assistant Secretary, Health Technology Assessment – Policy Branch</w:t>
            </w:r>
          </w:p>
        </w:tc>
        <w:tc>
          <w:tcPr>
            <w:tcW w:w="1323" w:type="pct"/>
            <w:vAlign w:val="center"/>
          </w:tcPr>
          <w:p w14:paraId="2177B3AF" w14:textId="77777777" w:rsidR="00A30646" w:rsidRPr="00F65705" w:rsidRDefault="00A30646" w:rsidP="00A30646">
            <w:pPr>
              <w:pStyle w:val="TableParagraph"/>
            </w:pPr>
            <w:r w:rsidRPr="00F65705">
              <w:rPr>
                <w:rFonts w:eastAsia="Arial" w:cstheme="minorHAnsi"/>
              </w:rPr>
              <w:t>Updated to reflect introduction of ATAGI fees (operational change)</w:t>
            </w:r>
          </w:p>
        </w:tc>
      </w:tr>
      <w:tr w:rsidR="00F65705" w:rsidRPr="00F65705" w14:paraId="7A915ACE" w14:textId="77777777" w:rsidTr="00DC62CD">
        <w:trPr>
          <w:trHeight w:hRule="exact" w:val="1562"/>
          <w:jc w:val="center"/>
        </w:trPr>
        <w:tc>
          <w:tcPr>
            <w:tcW w:w="1029" w:type="pct"/>
            <w:vAlign w:val="center"/>
          </w:tcPr>
          <w:p w14:paraId="776B8FE0" w14:textId="77777777" w:rsidR="00A30646" w:rsidRPr="00F65705" w:rsidRDefault="00A30646" w:rsidP="00A30646">
            <w:pPr>
              <w:pStyle w:val="TableParagraph"/>
              <w:rPr>
                <w:rFonts w:eastAsia="Arial" w:cstheme="minorHAnsi"/>
              </w:rPr>
            </w:pPr>
            <w:r w:rsidRPr="00F65705">
              <w:rPr>
                <w:rFonts w:eastAsia="Arial" w:cstheme="minorHAnsi"/>
              </w:rPr>
              <w:lastRenderedPageBreak/>
              <w:t>10 April 2019</w:t>
            </w:r>
          </w:p>
        </w:tc>
        <w:tc>
          <w:tcPr>
            <w:tcW w:w="1324" w:type="pct"/>
            <w:vAlign w:val="center"/>
          </w:tcPr>
          <w:p w14:paraId="747B864C" w14:textId="77777777" w:rsidR="00A30646" w:rsidRPr="00F65705" w:rsidRDefault="00A30646" w:rsidP="00A30646">
            <w:pPr>
              <w:pStyle w:val="TableParagraph"/>
              <w:rPr>
                <w:rFonts w:eastAsia="Arial" w:cstheme="minorHAnsi"/>
              </w:rPr>
            </w:pPr>
            <w:r w:rsidRPr="00F65705">
              <w:rPr>
                <w:rFonts w:eastAsia="Arial" w:cstheme="minorHAnsi"/>
              </w:rPr>
              <w:t>Approval for the CRIS 2019-20 V1.0 release</w:t>
            </w:r>
          </w:p>
        </w:tc>
        <w:tc>
          <w:tcPr>
            <w:tcW w:w="1324" w:type="pct"/>
            <w:vAlign w:val="center"/>
          </w:tcPr>
          <w:p w14:paraId="41DC109D" w14:textId="77777777" w:rsidR="00A30646" w:rsidRPr="00F65705" w:rsidRDefault="00A30646" w:rsidP="00A30646">
            <w:pPr>
              <w:pStyle w:val="TableParagraph"/>
              <w:rPr>
                <w:rFonts w:eastAsia="Arial" w:cstheme="minorHAnsi"/>
              </w:rPr>
            </w:pPr>
            <w:r w:rsidRPr="00F65705">
              <w:rPr>
                <w:rFonts w:eastAsia="Arial" w:cstheme="minorHAnsi"/>
              </w:rPr>
              <w:t>Minister for Finance and the Public Service</w:t>
            </w:r>
          </w:p>
        </w:tc>
        <w:tc>
          <w:tcPr>
            <w:tcW w:w="1323" w:type="pct"/>
            <w:vAlign w:val="center"/>
          </w:tcPr>
          <w:p w14:paraId="32762C61" w14:textId="77777777" w:rsidR="00A30646" w:rsidRPr="00F65705" w:rsidRDefault="00A30646" w:rsidP="00A30646">
            <w:pPr>
              <w:pStyle w:val="TableParagraph"/>
            </w:pPr>
            <w:r w:rsidRPr="00F65705">
              <w:rPr>
                <w:rFonts w:eastAsia="Arial" w:cstheme="minorHAnsi"/>
              </w:rPr>
              <w:t>New regulatory charging activity</w:t>
            </w:r>
          </w:p>
        </w:tc>
      </w:tr>
      <w:tr w:rsidR="00F65705" w:rsidRPr="00F65705" w14:paraId="2FE3150F" w14:textId="77777777" w:rsidTr="00DC62CD">
        <w:trPr>
          <w:trHeight w:hRule="exact" w:val="1562"/>
          <w:jc w:val="center"/>
        </w:trPr>
        <w:tc>
          <w:tcPr>
            <w:tcW w:w="1029" w:type="pct"/>
            <w:vAlign w:val="center"/>
          </w:tcPr>
          <w:p w14:paraId="35557B4F" w14:textId="77777777" w:rsidR="00A30646" w:rsidRPr="00F65705" w:rsidRDefault="00A30646" w:rsidP="00A30646">
            <w:pPr>
              <w:pStyle w:val="TableParagraph"/>
              <w:rPr>
                <w:rFonts w:eastAsia="Arial" w:cstheme="minorHAnsi"/>
              </w:rPr>
            </w:pPr>
            <w:r w:rsidRPr="00F65705">
              <w:rPr>
                <w:rFonts w:eastAsia="Arial" w:cstheme="minorHAnsi"/>
              </w:rPr>
              <w:t>13 March 2019</w:t>
            </w:r>
          </w:p>
        </w:tc>
        <w:tc>
          <w:tcPr>
            <w:tcW w:w="1324" w:type="pct"/>
            <w:vAlign w:val="center"/>
          </w:tcPr>
          <w:p w14:paraId="2B6863E3" w14:textId="77777777" w:rsidR="00A30646" w:rsidRPr="00F65705" w:rsidRDefault="00A30646" w:rsidP="00A30646">
            <w:pPr>
              <w:pStyle w:val="TableParagraph"/>
              <w:rPr>
                <w:rFonts w:eastAsia="Arial" w:cstheme="minorHAnsi"/>
              </w:rPr>
            </w:pPr>
            <w:r w:rsidRPr="00F65705">
              <w:rPr>
                <w:rFonts w:eastAsia="Arial" w:cstheme="minorHAnsi"/>
              </w:rPr>
              <w:t xml:space="preserve">Agreement to the </w:t>
            </w:r>
            <w:r w:rsidRPr="00F65705">
              <w:rPr>
                <w:rFonts w:eastAsia="Arial" w:cstheme="minorHAnsi"/>
              </w:rPr>
              <w:br/>
              <w:t>2019-20 CRIS V1.0</w:t>
            </w:r>
          </w:p>
        </w:tc>
        <w:tc>
          <w:tcPr>
            <w:tcW w:w="1324" w:type="pct"/>
            <w:vAlign w:val="center"/>
          </w:tcPr>
          <w:p w14:paraId="5ECCBB4D" w14:textId="77777777" w:rsidR="00A30646" w:rsidRPr="00F65705" w:rsidRDefault="00A30646" w:rsidP="00A30646">
            <w:pPr>
              <w:pStyle w:val="TableParagraph"/>
              <w:rPr>
                <w:rFonts w:eastAsia="Arial" w:cstheme="minorHAnsi"/>
              </w:rPr>
            </w:pPr>
            <w:r w:rsidRPr="00F65705">
              <w:rPr>
                <w:rFonts w:eastAsia="Arial" w:cstheme="minorHAnsi"/>
              </w:rPr>
              <w:t>Minister for Health</w:t>
            </w:r>
          </w:p>
        </w:tc>
        <w:tc>
          <w:tcPr>
            <w:tcW w:w="1323" w:type="pct"/>
            <w:vAlign w:val="center"/>
          </w:tcPr>
          <w:p w14:paraId="6F3A6FE2" w14:textId="77777777" w:rsidR="00A30646" w:rsidRPr="00F65705" w:rsidRDefault="00A30646" w:rsidP="00A30646">
            <w:pPr>
              <w:pStyle w:val="TableParagraph"/>
            </w:pPr>
            <w:r w:rsidRPr="00F65705">
              <w:rPr>
                <w:rFonts w:eastAsia="Arial" w:cstheme="minorHAnsi"/>
              </w:rPr>
              <w:t>New regulatory charging activity</w:t>
            </w:r>
          </w:p>
        </w:tc>
      </w:tr>
      <w:tr w:rsidR="00F65705" w:rsidRPr="00F65705" w14:paraId="4A93093A" w14:textId="77777777" w:rsidTr="00DC62CD">
        <w:trPr>
          <w:trHeight w:hRule="exact" w:val="1562"/>
          <w:jc w:val="center"/>
        </w:trPr>
        <w:tc>
          <w:tcPr>
            <w:tcW w:w="1029" w:type="pct"/>
            <w:vAlign w:val="center"/>
          </w:tcPr>
          <w:p w14:paraId="35AB9FEA" w14:textId="77777777" w:rsidR="00A30646" w:rsidRPr="00F65705" w:rsidRDefault="00A30646" w:rsidP="00A30646">
            <w:pPr>
              <w:pStyle w:val="TableParagraph"/>
              <w:rPr>
                <w:rFonts w:eastAsia="Arial" w:cstheme="minorHAnsi"/>
              </w:rPr>
            </w:pPr>
            <w:r w:rsidRPr="00F65705">
              <w:rPr>
                <w:rFonts w:eastAsia="Arial" w:cstheme="minorHAnsi"/>
              </w:rPr>
              <w:t>7 March 2019</w:t>
            </w:r>
          </w:p>
        </w:tc>
        <w:tc>
          <w:tcPr>
            <w:tcW w:w="1324" w:type="pct"/>
            <w:vAlign w:val="center"/>
          </w:tcPr>
          <w:p w14:paraId="1422A815" w14:textId="77777777" w:rsidR="00A30646" w:rsidRPr="00F65705" w:rsidRDefault="00A30646" w:rsidP="00A30646">
            <w:pPr>
              <w:pStyle w:val="TableParagraph"/>
              <w:rPr>
                <w:rFonts w:eastAsia="Arial" w:cstheme="minorHAnsi"/>
              </w:rPr>
            </w:pPr>
            <w:r w:rsidRPr="00F65705">
              <w:rPr>
                <w:rFonts w:eastAsia="Arial" w:cstheme="minorHAnsi"/>
              </w:rPr>
              <w:t>Certification of the CRIS</w:t>
            </w:r>
          </w:p>
        </w:tc>
        <w:tc>
          <w:tcPr>
            <w:tcW w:w="1324" w:type="pct"/>
            <w:vAlign w:val="center"/>
          </w:tcPr>
          <w:p w14:paraId="1096D977" w14:textId="77777777" w:rsidR="00A30646" w:rsidRPr="00F65705" w:rsidRDefault="00A30646" w:rsidP="00A30646">
            <w:pPr>
              <w:pStyle w:val="TableParagraph"/>
              <w:rPr>
                <w:rFonts w:eastAsia="Arial" w:cstheme="minorHAnsi"/>
              </w:rPr>
            </w:pPr>
            <w:r w:rsidRPr="00F65705">
              <w:rPr>
                <w:rFonts w:eastAsia="Arial" w:cstheme="minorHAnsi"/>
              </w:rPr>
              <w:t>Secretary for Health</w:t>
            </w:r>
          </w:p>
        </w:tc>
        <w:tc>
          <w:tcPr>
            <w:tcW w:w="1323" w:type="pct"/>
            <w:vAlign w:val="center"/>
          </w:tcPr>
          <w:p w14:paraId="062167AD" w14:textId="77777777" w:rsidR="00A30646" w:rsidRPr="00F65705" w:rsidRDefault="00A30646" w:rsidP="00A30646">
            <w:pPr>
              <w:pStyle w:val="TableParagraph"/>
            </w:pPr>
            <w:r w:rsidRPr="00F65705">
              <w:rPr>
                <w:rFonts w:eastAsia="Arial" w:cstheme="minorHAnsi"/>
              </w:rPr>
              <w:t>To ensure compliance with Australian Government Cost Recovery Guidelines and Government</w:t>
            </w:r>
          </w:p>
        </w:tc>
      </w:tr>
    </w:tbl>
    <w:p w14:paraId="74DE231A" w14:textId="4B27C500" w:rsidR="00865C8A" w:rsidRPr="00F65705" w:rsidRDefault="00865C8A" w:rsidP="00865C8A">
      <w:pPr>
        <w:spacing w:after="160" w:line="259" w:lineRule="auto"/>
        <w:rPr>
          <w:rFonts w:asciiTheme="minorHAnsi" w:hAnsiTheme="minorHAnsi"/>
          <w:b/>
          <w:sz w:val="28"/>
          <w:szCs w:val="28"/>
        </w:rPr>
        <w:sectPr w:rsidR="00865C8A" w:rsidRPr="00F65705" w:rsidSect="004D2612">
          <w:footerReference w:type="default" r:id="rId14"/>
          <w:pgSz w:w="11906" w:h="16838"/>
          <w:pgMar w:top="1134" w:right="1134" w:bottom="851" w:left="1134" w:header="709" w:footer="709" w:gutter="0"/>
          <w:cols w:space="708"/>
          <w:docGrid w:linePitch="360"/>
        </w:sectPr>
      </w:pPr>
    </w:p>
    <w:p w14:paraId="64080609" w14:textId="109B745E" w:rsidR="005B44FF" w:rsidRPr="00F65705" w:rsidRDefault="005B44FF" w:rsidP="005B44FF">
      <w:pPr>
        <w:rPr>
          <w:rFonts w:asciiTheme="minorHAnsi" w:hAnsiTheme="minorHAnsi" w:cstheme="minorHAnsi"/>
          <w:b/>
          <w:sz w:val="28"/>
          <w:szCs w:val="28"/>
        </w:rPr>
      </w:pPr>
      <w:bookmarkStart w:id="12" w:name="_Hlk109131743"/>
      <w:r w:rsidRPr="00F65705">
        <w:rPr>
          <w:rFonts w:asciiTheme="minorHAnsi" w:hAnsiTheme="minorHAnsi" w:cstheme="minorHAnsi"/>
          <w:b/>
          <w:sz w:val="28"/>
          <w:szCs w:val="28"/>
        </w:rPr>
        <w:lastRenderedPageBreak/>
        <w:t>9. ATTACHMENT A – SUMMARY OF MAIN STAKEHOLDER VIEWS ON REQUIRED CRIS CONSULTATION AND RELATED DEPARTMENT RESPONSES  2023-24</w:t>
      </w:r>
    </w:p>
    <w:tbl>
      <w:tblPr>
        <w:tblStyle w:val="TableGrid"/>
        <w:tblW w:w="0" w:type="auto"/>
        <w:tblLook w:val="04A0" w:firstRow="1" w:lastRow="0" w:firstColumn="1" w:lastColumn="0" w:noHBand="0" w:noVBand="1"/>
      </w:tblPr>
      <w:tblGrid>
        <w:gridCol w:w="7015"/>
        <w:gridCol w:w="6933"/>
      </w:tblGrid>
      <w:tr w:rsidR="00F65705" w:rsidRPr="00F65705" w14:paraId="6BE2E8AA" w14:textId="77777777" w:rsidTr="00140BED">
        <w:tc>
          <w:tcPr>
            <w:tcW w:w="7015" w:type="dxa"/>
            <w:shd w:val="clear" w:color="auto" w:fill="000000" w:themeFill="text1"/>
          </w:tcPr>
          <w:p w14:paraId="22DC751E" w14:textId="77777777" w:rsidR="005B44FF" w:rsidRPr="00F65705" w:rsidRDefault="005B44FF" w:rsidP="007E6C76">
            <w:pPr>
              <w:spacing w:before="120" w:after="120" w:line="259" w:lineRule="auto"/>
              <w:jc w:val="center"/>
              <w:rPr>
                <w:rFonts w:asciiTheme="minorHAnsi" w:hAnsiTheme="minorHAnsi"/>
                <w:b/>
                <w:sz w:val="22"/>
                <w:szCs w:val="22"/>
              </w:rPr>
            </w:pPr>
            <w:r w:rsidRPr="00F65705">
              <w:rPr>
                <w:rFonts w:asciiTheme="minorHAnsi" w:hAnsiTheme="minorHAnsi"/>
                <w:b/>
                <w:sz w:val="22"/>
                <w:szCs w:val="22"/>
              </w:rPr>
              <w:t>Stakeholder Comment</w:t>
            </w:r>
          </w:p>
        </w:tc>
        <w:tc>
          <w:tcPr>
            <w:tcW w:w="6933" w:type="dxa"/>
            <w:shd w:val="clear" w:color="auto" w:fill="000000" w:themeFill="text1"/>
          </w:tcPr>
          <w:p w14:paraId="7E85BE4F" w14:textId="77777777" w:rsidR="005B44FF" w:rsidRPr="00F65705" w:rsidRDefault="005B44FF" w:rsidP="007E6C76">
            <w:pPr>
              <w:spacing w:before="120" w:after="120" w:line="259" w:lineRule="auto"/>
              <w:jc w:val="center"/>
              <w:rPr>
                <w:rFonts w:asciiTheme="minorHAnsi" w:hAnsiTheme="minorHAnsi"/>
                <w:b/>
                <w:sz w:val="22"/>
                <w:szCs w:val="22"/>
              </w:rPr>
            </w:pPr>
            <w:r w:rsidRPr="00F65705">
              <w:rPr>
                <w:rFonts w:asciiTheme="minorHAnsi" w:hAnsiTheme="minorHAnsi"/>
                <w:b/>
                <w:sz w:val="22"/>
                <w:szCs w:val="22"/>
              </w:rPr>
              <w:t>Response</w:t>
            </w:r>
          </w:p>
        </w:tc>
      </w:tr>
      <w:tr w:rsidR="00F65705" w:rsidRPr="00F65705" w14:paraId="7C927A27" w14:textId="77777777" w:rsidTr="00140BED">
        <w:tc>
          <w:tcPr>
            <w:tcW w:w="13948" w:type="dxa"/>
            <w:gridSpan w:val="2"/>
            <w:shd w:val="clear" w:color="auto" w:fill="D9D9D9" w:themeFill="background1" w:themeFillShade="D9"/>
          </w:tcPr>
          <w:p w14:paraId="7B04A748" w14:textId="0BCA38F8" w:rsidR="005B44FF" w:rsidRPr="00F65705" w:rsidRDefault="00C23B40" w:rsidP="007E6C76">
            <w:pPr>
              <w:spacing w:before="120" w:after="120" w:line="259" w:lineRule="auto"/>
              <w:rPr>
                <w:rFonts w:asciiTheme="minorHAnsi" w:hAnsiTheme="minorHAnsi"/>
                <w:bCs/>
                <w:i/>
                <w:iCs/>
                <w:sz w:val="22"/>
                <w:szCs w:val="22"/>
              </w:rPr>
            </w:pPr>
            <w:r w:rsidRPr="00F65705">
              <w:rPr>
                <w:rFonts w:asciiTheme="minorHAnsi" w:hAnsiTheme="minorHAnsi"/>
                <w:bCs/>
                <w:i/>
                <w:iCs/>
                <w:sz w:val="22"/>
                <w:szCs w:val="22"/>
              </w:rPr>
              <w:t>Fee changes</w:t>
            </w:r>
            <w:r w:rsidR="00396148" w:rsidRPr="00F65705">
              <w:rPr>
                <w:rFonts w:asciiTheme="minorHAnsi" w:hAnsiTheme="minorHAnsi"/>
                <w:bCs/>
                <w:i/>
                <w:iCs/>
                <w:sz w:val="22"/>
                <w:szCs w:val="22"/>
              </w:rPr>
              <w:t xml:space="preserve"> for 2023-24</w:t>
            </w:r>
          </w:p>
        </w:tc>
      </w:tr>
      <w:tr w:rsidR="00F65705" w:rsidRPr="00F65705" w14:paraId="03280CD7" w14:textId="77777777" w:rsidTr="00140BED">
        <w:tc>
          <w:tcPr>
            <w:tcW w:w="7015" w:type="dxa"/>
          </w:tcPr>
          <w:p w14:paraId="62920503" w14:textId="5315D904" w:rsidR="00C23B40" w:rsidRPr="00F65705" w:rsidRDefault="00C23B40" w:rsidP="00C23B40">
            <w:p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 xml:space="preserve">Stakeholders sought greater clarity on </w:t>
            </w:r>
            <w:r w:rsidR="00185A51" w:rsidRPr="00F65705">
              <w:rPr>
                <w:rFonts w:asciiTheme="minorHAnsi" w:hAnsiTheme="minorHAnsi" w:cstheme="minorHAnsi"/>
                <w:sz w:val="22"/>
                <w:szCs w:val="22"/>
              </w:rPr>
              <w:t>the reasons for the increase in</w:t>
            </w:r>
            <w:r w:rsidRPr="00F65705">
              <w:rPr>
                <w:rFonts w:asciiTheme="minorHAnsi" w:hAnsiTheme="minorHAnsi" w:cstheme="minorHAnsi"/>
                <w:sz w:val="22"/>
                <w:szCs w:val="22"/>
              </w:rPr>
              <w:t xml:space="preserve"> cost recovery fees for 202</w:t>
            </w:r>
            <w:r w:rsidR="00524677" w:rsidRPr="00F65705">
              <w:rPr>
                <w:rFonts w:asciiTheme="minorHAnsi" w:hAnsiTheme="minorHAnsi" w:cstheme="minorHAnsi"/>
                <w:sz w:val="22"/>
                <w:szCs w:val="22"/>
              </w:rPr>
              <w:t>3</w:t>
            </w:r>
            <w:r w:rsidRPr="00F65705">
              <w:rPr>
                <w:rFonts w:asciiTheme="minorHAnsi" w:hAnsiTheme="minorHAnsi" w:cstheme="minorHAnsi"/>
                <w:sz w:val="22"/>
                <w:szCs w:val="22"/>
              </w:rPr>
              <w:t>-2</w:t>
            </w:r>
            <w:r w:rsidR="00524677" w:rsidRPr="00F65705">
              <w:rPr>
                <w:rFonts w:asciiTheme="minorHAnsi" w:hAnsiTheme="minorHAnsi" w:cstheme="minorHAnsi"/>
                <w:sz w:val="22"/>
                <w:szCs w:val="22"/>
              </w:rPr>
              <w:t>4</w:t>
            </w:r>
            <w:r w:rsidRPr="00F65705">
              <w:rPr>
                <w:rFonts w:asciiTheme="minorHAnsi" w:hAnsiTheme="minorHAnsi" w:cstheme="minorHAnsi"/>
                <w:sz w:val="22"/>
                <w:szCs w:val="22"/>
              </w:rPr>
              <w:t xml:space="preserve">. </w:t>
            </w:r>
            <w:r w:rsidR="00524677" w:rsidRPr="00F65705">
              <w:rPr>
                <w:rFonts w:asciiTheme="minorHAnsi" w:hAnsiTheme="minorHAnsi" w:cstheme="minorHAnsi"/>
                <w:sz w:val="22"/>
                <w:szCs w:val="22"/>
              </w:rPr>
              <w:t>Stakeholders raised specific concerns regarding increase</w:t>
            </w:r>
            <w:r w:rsidR="00B50320" w:rsidRPr="00F65705">
              <w:rPr>
                <w:rFonts w:asciiTheme="minorHAnsi" w:hAnsiTheme="minorHAnsi" w:cstheme="minorHAnsi"/>
                <w:sz w:val="22"/>
                <w:szCs w:val="22"/>
              </w:rPr>
              <w:t>s</w:t>
            </w:r>
            <w:r w:rsidR="00524677" w:rsidRPr="00F65705">
              <w:rPr>
                <w:rFonts w:asciiTheme="minorHAnsi" w:hAnsiTheme="minorHAnsi" w:cstheme="minorHAnsi"/>
                <w:sz w:val="22"/>
                <w:szCs w:val="22"/>
              </w:rPr>
              <w:t xml:space="preserve"> to the following charging categories</w:t>
            </w:r>
            <w:r w:rsidRPr="00F65705">
              <w:rPr>
                <w:rFonts w:asciiTheme="minorHAnsi" w:hAnsiTheme="minorHAnsi" w:cstheme="minorHAnsi"/>
                <w:sz w:val="22"/>
                <w:szCs w:val="22"/>
              </w:rPr>
              <w:t>:</w:t>
            </w:r>
          </w:p>
          <w:p w14:paraId="17BF7622" w14:textId="7F01F344" w:rsidR="00C23B40" w:rsidRPr="00F65705" w:rsidRDefault="00F674CD" w:rsidP="00C23B40">
            <w:pPr>
              <w:pStyle w:val="ListParagraph"/>
              <w:numPr>
                <w:ilvl w:val="0"/>
                <w:numId w:val="29"/>
              </w:num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Category 1</w:t>
            </w:r>
          </w:p>
          <w:p w14:paraId="02214F89" w14:textId="08DE7B35" w:rsidR="00F674CD" w:rsidRPr="00F65705" w:rsidRDefault="00F674CD" w:rsidP="00C23B40">
            <w:pPr>
              <w:pStyle w:val="ListParagraph"/>
              <w:numPr>
                <w:ilvl w:val="0"/>
                <w:numId w:val="29"/>
              </w:num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Category 2</w:t>
            </w:r>
          </w:p>
          <w:p w14:paraId="32416DC6" w14:textId="7D3C0D16" w:rsidR="00F674CD" w:rsidRPr="00F65705" w:rsidRDefault="00F674CD" w:rsidP="00F674CD">
            <w:pPr>
              <w:pStyle w:val="ListParagraph"/>
              <w:numPr>
                <w:ilvl w:val="0"/>
                <w:numId w:val="29"/>
              </w:num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Standard re-entry</w:t>
            </w:r>
          </w:p>
          <w:p w14:paraId="292D6EB9" w14:textId="54BEF17E" w:rsidR="005B44FF" w:rsidRPr="00F65705" w:rsidRDefault="00F674CD" w:rsidP="00F674CD">
            <w:pPr>
              <w:pStyle w:val="ListParagraph"/>
              <w:numPr>
                <w:ilvl w:val="0"/>
                <w:numId w:val="29"/>
              </w:num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 xml:space="preserve">Facilitated resolution </w:t>
            </w:r>
            <w:proofErr w:type="gramStart"/>
            <w:r w:rsidRPr="00F65705">
              <w:rPr>
                <w:rFonts w:asciiTheme="minorHAnsi" w:hAnsiTheme="minorHAnsi" w:cstheme="minorHAnsi"/>
                <w:sz w:val="22"/>
                <w:szCs w:val="22"/>
              </w:rPr>
              <w:t>pathway</w:t>
            </w:r>
            <w:proofErr w:type="gramEnd"/>
          </w:p>
          <w:p w14:paraId="47DE5F32" w14:textId="0EC67908" w:rsidR="00F674CD" w:rsidRPr="00F65705" w:rsidRDefault="00F674CD" w:rsidP="00F674CD">
            <w:pPr>
              <w:pStyle w:val="ListParagraph"/>
              <w:numPr>
                <w:ilvl w:val="0"/>
                <w:numId w:val="29"/>
              </w:num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ATAGI – Complex</w:t>
            </w:r>
            <w:r w:rsidR="003E779F" w:rsidRPr="00F65705">
              <w:rPr>
                <w:rFonts w:asciiTheme="minorHAnsi" w:hAnsiTheme="minorHAnsi" w:cstheme="minorHAnsi"/>
                <w:sz w:val="22"/>
                <w:szCs w:val="22"/>
              </w:rPr>
              <w:t xml:space="preserve"> submission</w:t>
            </w:r>
            <w:r w:rsidRPr="00F65705">
              <w:rPr>
                <w:rFonts w:asciiTheme="minorHAnsi" w:hAnsiTheme="minorHAnsi" w:cstheme="minorHAnsi"/>
                <w:sz w:val="22"/>
                <w:szCs w:val="22"/>
              </w:rPr>
              <w:t xml:space="preserve"> </w:t>
            </w:r>
          </w:p>
          <w:p w14:paraId="5EFE7A74" w14:textId="77777777" w:rsidR="00F674CD" w:rsidRPr="00F65705" w:rsidRDefault="00F674CD" w:rsidP="00F674CD">
            <w:pPr>
              <w:pStyle w:val="ListParagraph"/>
              <w:numPr>
                <w:ilvl w:val="0"/>
                <w:numId w:val="29"/>
              </w:num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ATAGI – Simple</w:t>
            </w:r>
            <w:r w:rsidR="003E779F" w:rsidRPr="00F65705">
              <w:rPr>
                <w:rFonts w:asciiTheme="minorHAnsi" w:hAnsiTheme="minorHAnsi" w:cstheme="minorHAnsi"/>
                <w:sz w:val="22"/>
                <w:szCs w:val="22"/>
              </w:rPr>
              <w:t xml:space="preserve"> submission</w:t>
            </w:r>
          </w:p>
          <w:p w14:paraId="32B8F70F" w14:textId="083354CF" w:rsidR="008D0015" w:rsidRPr="00F65705" w:rsidRDefault="00B50320" w:rsidP="008D0015">
            <w:p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Additionally, s</w:t>
            </w:r>
            <w:r w:rsidR="008D0015" w:rsidRPr="00F65705">
              <w:rPr>
                <w:rFonts w:asciiTheme="minorHAnsi" w:hAnsiTheme="minorHAnsi" w:cstheme="minorHAnsi"/>
                <w:sz w:val="22"/>
                <w:szCs w:val="22"/>
              </w:rPr>
              <w:t xml:space="preserve">takeholders </w:t>
            </w:r>
            <w:r w:rsidRPr="00F65705">
              <w:rPr>
                <w:rFonts w:asciiTheme="minorHAnsi" w:hAnsiTheme="minorHAnsi" w:cstheme="minorHAnsi"/>
                <w:sz w:val="22"/>
                <w:szCs w:val="22"/>
              </w:rPr>
              <w:t xml:space="preserve">sought </w:t>
            </w:r>
            <w:r w:rsidR="008D0015" w:rsidRPr="00F65705">
              <w:rPr>
                <w:rFonts w:asciiTheme="minorHAnsi" w:hAnsiTheme="minorHAnsi" w:cstheme="minorHAnsi"/>
                <w:sz w:val="22"/>
                <w:szCs w:val="22"/>
              </w:rPr>
              <w:t xml:space="preserve">clarification on </w:t>
            </w:r>
            <w:r w:rsidR="00BF7086" w:rsidRPr="00F65705">
              <w:rPr>
                <w:rFonts w:asciiTheme="minorHAnsi" w:hAnsiTheme="minorHAnsi" w:cstheme="minorHAnsi"/>
                <w:sz w:val="22"/>
                <w:szCs w:val="22"/>
              </w:rPr>
              <w:t>the utilisation of additional</w:t>
            </w:r>
            <w:r w:rsidR="008D0015" w:rsidRPr="00F65705">
              <w:rPr>
                <w:rFonts w:asciiTheme="minorHAnsi" w:hAnsiTheme="minorHAnsi" w:cstheme="minorHAnsi"/>
                <w:sz w:val="22"/>
                <w:szCs w:val="22"/>
              </w:rPr>
              <w:t xml:space="preserve"> appropria</w:t>
            </w:r>
            <w:r w:rsidR="00BF7086" w:rsidRPr="00F65705">
              <w:rPr>
                <w:rFonts w:asciiTheme="minorHAnsi" w:hAnsiTheme="minorHAnsi" w:cstheme="minorHAnsi"/>
                <w:sz w:val="22"/>
                <w:szCs w:val="22"/>
              </w:rPr>
              <w:t>ted funds provided by Government.</w:t>
            </w:r>
          </w:p>
        </w:tc>
        <w:tc>
          <w:tcPr>
            <w:tcW w:w="6933" w:type="dxa"/>
          </w:tcPr>
          <w:p w14:paraId="703CA9F4" w14:textId="5BADA891" w:rsidR="00396148" w:rsidRPr="00F65705" w:rsidRDefault="00E07DD9" w:rsidP="007E6C76">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 xml:space="preserve">The CRIS </w:t>
            </w:r>
            <w:r w:rsidR="0011188B" w:rsidRPr="00F65705">
              <w:rPr>
                <w:rFonts w:asciiTheme="minorHAnsi" w:hAnsiTheme="minorHAnsi" w:cstheme="minorHAnsi"/>
                <w:sz w:val="22"/>
                <w:szCs w:val="22"/>
              </w:rPr>
              <w:t>has</w:t>
            </w:r>
            <w:r w:rsidRPr="00F65705">
              <w:rPr>
                <w:rFonts w:asciiTheme="minorHAnsi" w:hAnsiTheme="minorHAnsi" w:cstheme="minorHAnsi"/>
                <w:sz w:val="22"/>
                <w:szCs w:val="22"/>
              </w:rPr>
              <w:t xml:space="preserve"> been prepared in line with Department of Finance guidance, consistent with the Australian Government Cost Recovery Guidelines.</w:t>
            </w:r>
          </w:p>
          <w:p w14:paraId="3B22D192" w14:textId="49BFECF8" w:rsidR="00396148" w:rsidRPr="00F65705" w:rsidRDefault="008C2190" w:rsidP="007E6C76">
            <w:pPr>
              <w:spacing w:before="120" w:after="120" w:line="259" w:lineRule="auto"/>
              <w:rPr>
                <w:rFonts w:asciiTheme="minorHAnsi" w:hAnsiTheme="minorHAnsi"/>
                <w:bCs/>
                <w:sz w:val="22"/>
                <w:szCs w:val="22"/>
              </w:rPr>
            </w:pPr>
            <w:r w:rsidRPr="00F65705">
              <w:rPr>
                <w:rFonts w:asciiTheme="minorHAnsi" w:hAnsiTheme="minorHAnsi"/>
                <w:bCs/>
                <w:sz w:val="22"/>
                <w:szCs w:val="22"/>
              </w:rPr>
              <w:t>Cost recovery f</w:t>
            </w:r>
            <w:r w:rsidR="00396148" w:rsidRPr="00F65705">
              <w:rPr>
                <w:rFonts w:asciiTheme="minorHAnsi" w:hAnsiTheme="minorHAnsi"/>
                <w:bCs/>
                <w:sz w:val="22"/>
                <w:szCs w:val="22"/>
              </w:rPr>
              <w:t xml:space="preserve">ees are calculated using an </w:t>
            </w:r>
            <w:r w:rsidR="00185A51" w:rsidRPr="00F65705">
              <w:rPr>
                <w:rFonts w:asciiTheme="minorHAnsi" w:hAnsiTheme="minorHAnsi"/>
                <w:bCs/>
                <w:sz w:val="22"/>
                <w:szCs w:val="22"/>
              </w:rPr>
              <w:t>activity-based</w:t>
            </w:r>
            <w:r w:rsidR="00396148" w:rsidRPr="00F65705">
              <w:rPr>
                <w:rFonts w:asciiTheme="minorHAnsi" w:hAnsiTheme="minorHAnsi"/>
                <w:bCs/>
                <w:sz w:val="22"/>
                <w:szCs w:val="22"/>
              </w:rPr>
              <w:t xml:space="preserve"> cost model. This ensures that the minimum efficient cost incurred by </w:t>
            </w:r>
            <w:r w:rsidR="0011188B" w:rsidRPr="00F65705">
              <w:rPr>
                <w:rFonts w:asciiTheme="minorHAnsi" w:hAnsiTheme="minorHAnsi"/>
                <w:bCs/>
                <w:sz w:val="22"/>
                <w:szCs w:val="22"/>
              </w:rPr>
              <w:t xml:space="preserve">the </w:t>
            </w:r>
            <w:r w:rsidR="00396148" w:rsidRPr="00F65705">
              <w:rPr>
                <w:rFonts w:asciiTheme="minorHAnsi" w:hAnsiTheme="minorHAnsi"/>
                <w:bCs/>
                <w:sz w:val="22"/>
                <w:szCs w:val="22"/>
              </w:rPr>
              <w:t>Department in its performance of the cost recovered activit</w:t>
            </w:r>
            <w:r w:rsidRPr="00F65705">
              <w:rPr>
                <w:rFonts w:asciiTheme="minorHAnsi" w:hAnsiTheme="minorHAnsi"/>
                <w:bCs/>
                <w:sz w:val="22"/>
                <w:szCs w:val="22"/>
              </w:rPr>
              <w:t>ies</w:t>
            </w:r>
            <w:r w:rsidR="00396148" w:rsidRPr="00F65705">
              <w:rPr>
                <w:rFonts w:asciiTheme="minorHAnsi" w:hAnsiTheme="minorHAnsi"/>
                <w:bCs/>
                <w:sz w:val="22"/>
                <w:szCs w:val="22"/>
              </w:rPr>
              <w:t xml:space="preserve"> is accurate</w:t>
            </w:r>
            <w:r w:rsidRPr="00F65705">
              <w:rPr>
                <w:rFonts w:asciiTheme="minorHAnsi" w:hAnsiTheme="minorHAnsi"/>
                <w:bCs/>
                <w:sz w:val="22"/>
                <w:szCs w:val="22"/>
              </w:rPr>
              <w:t>ly</w:t>
            </w:r>
            <w:r w:rsidR="00396148" w:rsidRPr="00F65705">
              <w:rPr>
                <w:rFonts w:asciiTheme="minorHAnsi" w:hAnsiTheme="minorHAnsi"/>
                <w:bCs/>
                <w:sz w:val="22"/>
                <w:szCs w:val="22"/>
              </w:rPr>
              <w:t xml:space="preserve"> reflected in the fees charged. </w:t>
            </w:r>
          </w:p>
          <w:p w14:paraId="663F517C" w14:textId="04DACAD6" w:rsidR="008102C8" w:rsidRPr="00F65705" w:rsidRDefault="008102C8" w:rsidP="00F4372E">
            <w:pPr>
              <w:spacing w:after="160"/>
              <w:rPr>
                <w:rFonts w:asciiTheme="minorHAnsi" w:hAnsiTheme="minorHAnsi" w:cstheme="minorHAnsi"/>
                <w:sz w:val="22"/>
                <w:szCs w:val="22"/>
              </w:rPr>
            </w:pPr>
            <w:r w:rsidRPr="00F65705">
              <w:rPr>
                <w:rFonts w:asciiTheme="minorHAnsi" w:hAnsiTheme="minorHAnsi"/>
                <w:bCs/>
                <w:sz w:val="22"/>
                <w:szCs w:val="22"/>
              </w:rPr>
              <w:t xml:space="preserve">The annual review of cost recovery fees has identified </w:t>
            </w:r>
            <w:proofErr w:type="gramStart"/>
            <w:r w:rsidRPr="00F65705">
              <w:rPr>
                <w:rFonts w:asciiTheme="minorHAnsi" w:hAnsiTheme="minorHAnsi"/>
                <w:bCs/>
                <w:sz w:val="22"/>
                <w:szCs w:val="22"/>
              </w:rPr>
              <w:t>a number of</w:t>
            </w:r>
            <w:proofErr w:type="gramEnd"/>
            <w:r w:rsidRPr="00F65705">
              <w:rPr>
                <w:rFonts w:asciiTheme="minorHAnsi" w:hAnsiTheme="minorHAnsi"/>
                <w:bCs/>
                <w:sz w:val="22"/>
                <w:szCs w:val="22"/>
              </w:rPr>
              <w:t xml:space="preserve"> factors leading to increase in the cost base for 2023-24. This includes increases to s</w:t>
            </w:r>
            <w:r w:rsidRPr="00F65705">
              <w:rPr>
                <w:rFonts w:asciiTheme="minorHAnsi" w:hAnsiTheme="minorHAnsi" w:cstheme="minorHAnsi"/>
                <w:sz w:val="22"/>
                <w:szCs w:val="22"/>
              </w:rPr>
              <w:t>taff salary rates, supplier and IT related costs, overhead costs</w:t>
            </w:r>
            <w:r w:rsidR="000A7BC2" w:rsidRPr="00F65705">
              <w:rPr>
                <w:rFonts w:asciiTheme="minorHAnsi" w:hAnsiTheme="minorHAnsi" w:cstheme="minorHAnsi"/>
                <w:sz w:val="22"/>
                <w:szCs w:val="22"/>
              </w:rPr>
              <w:t xml:space="preserve"> including staff training, human resources and property operating expenses</w:t>
            </w:r>
            <w:r w:rsidRPr="00F65705">
              <w:rPr>
                <w:rFonts w:asciiTheme="minorHAnsi" w:hAnsiTheme="minorHAnsi" w:cstheme="minorHAnsi"/>
                <w:sz w:val="22"/>
                <w:szCs w:val="22"/>
              </w:rPr>
              <w:t xml:space="preserve"> and depreciation costs primarily relating to the ongoing build of the </w:t>
            </w:r>
            <w:proofErr w:type="gramStart"/>
            <w:r w:rsidRPr="00F65705">
              <w:rPr>
                <w:rFonts w:asciiTheme="minorHAnsi" w:hAnsiTheme="minorHAnsi" w:cstheme="minorHAnsi"/>
                <w:sz w:val="22"/>
                <w:szCs w:val="22"/>
              </w:rPr>
              <w:t>Health</w:t>
            </w:r>
            <w:proofErr w:type="gramEnd"/>
            <w:r w:rsidRPr="00F65705">
              <w:rPr>
                <w:rFonts w:asciiTheme="minorHAnsi" w:hAnsiTheme="minorHAnsi" w:cstheme="minorHAnsi"/>
                <w:sz w:val="22"/>
                <w:szCs w:val="22"/>
              </w:rPr>
              <w:t xml:space="preserve"> Products Portal (HPP).</w:t>
            </w:r>
          </w:p>
          <w:p w14:paraId="753D01C9" w14:textId="4CB343E6" w:rsidR="00D52AD0" w:rsidRPr="00F65705" w:rsidRDefault="00BF1FCF" w:rsidP="007E6C76">
            <w:pPr>
              <w:spacing w:before="120" w:after="120" w:line="259" w:lineRule="auto"/>
              <w:rPr>
                <w:rFonts w:asciiTheme="minorHAnsi" w:hAnsiTheme="minorHAnsi"/>
                <w:bCs/>
                <w:sz w:val="22"/>
                <w:szCs w:val="22"/>
              </w:rPr>
            </w:pPr>
            <w:r w:rsidRPr="00F65705">
              <w:rPr>
                <w:rFonts w:asciiTheme="minorHAnsi" w:hAnsiTheme="minorHAnsi"/>
                <w:bCs/>
                <w:sz w:val="22"/>
                <w:szCs w:val="22"/>
              </w:rPr>
              <w:t>Additionally</w:t>
            </w:r>
            <w:r w:rsidR="008102C8" w:rsidRPr="00F65705">
              <w:rPr>
                <w:rFonts w:asciiTheme="minorHAnsi" w:hAnsiTheme="minorHAnsi"/>
                <w:bCs/>
                <w:sz w:val="22"/>
                <w:szCs w:val="22"/>
              </w:rPr>
              <w:t>, complex submission categories including Category 1,</w:t>
            </w:r>
            <w:r w:rsidR="00185A51" w:rsidRPr="00F65705">
              <w:rPr>
                <w:rFonts w:asciiTheme="minorHAnsi" w:hAnsiTheme="minorHAnsi"/>
                <w:bCs/>
                <w:sz w:val="22"/>
                <w:szCs w:val="22"/>
              </w:rPr>
              <w:t xml:space="preserve"> Category</w:t>
            </w:r>
            <w:r w:rsidR="008102C8" w:rsidRPr="00F65705">
              <w:rPr>
                <w:rFonts w:asciiTheme="minorHAnsi" w:hAnsiTheme="minorHAnsi"/>
                <w:bCs/>
                <w:sz w:val="22"/>
                <w:szCs w:val="22"/>
              </w:rPr>
              <w:t xml:space="preserve"> 2, Standard Re-entry and Facilitated Resolution </w:t>
            </w:r>
            <w:r w:rsidR="008C2190" w:rsidRPr="00F65705">
              <w:rPr>
                <w:rFonts w:asciiTheme="minorHAnsi" w:hAnsiTheme="minorHAnsi"/>
                <w:bCs/>
                <w:sz w:val="22"/>
                <w:szCs w:val="22"/>
              </w:rPr>
              <w:t xml:space="preserve">submissions </w:t>
            </w:r>
            <w:r w:rsidR="008102C8" w:rsidRPr="00F65705">
              <w:rPr>
                <w:rFonts w:asciiTheme="minorHAnsi" w:hAnsiTheme="minorHAnsi"/>
                <w:bCs/>
                <w:sz w:val="22"/>
                <w:szCs w:val="22"/>
              </w:rPr>
              <w:t xml:space="preserve">have seen additional increases in costs. </w:t>
            </w:r>
            <w:r w:rsidR="000A7BC2" w:rsidRPr="00F65705">
              <w:rPr>
                <w:rFonts w:asciiTheme="minorHAnsi" w:hAnsiTheme="minorHAnsi"/>
                <w:bCs/>
                <w:sz w:val="22"/>
                <w:szCs w:val="22"/>
              </w:rPr>
              <w:t xml:space="preserve">As part of the 2023-24 Budget, Government </w:t>
            </w:r>
            <w:r w:rsidR="0078025D" w:rsidRPr="00F65705">
              <w:rPr>
                <w:rFonts w:asciiTheme="minorHAnsi" w:hAnsiTheme="minorHAnsi"/>
                <w:bCs/>
                <w:sz w:val="22"/>
                <w:szCs w:val="22"/>
              </w:rPr>
              <w:t>decided</w:t>
            </w:r>
            <w:r w:rsidR="000A7BC2" w:rsidRPr="00F65705">
              <w:rPr>
                <w:rFonts w:asciiTheme="minorHAnsi" w:hAnsiTheme="minorHAnsi"/>
                <w:bCs/>
                <w:sz w:val="22"/>
                <w:szCs w:val="22"/>
              </w:rPr>
              <w:t xml:space="preserve"> to provide additional funding to ensure that complex PBAC submissions continue to be robustly evaluated. This funding was provided in response to the rising complexity of PBAC submissions</w:t>
            </w:r>
            <w:r w:rsidR="008C2190" w:rsidRPr="00F65705">
              <w:rPr>
                <w:rFonts w:asciiTheme="minorHAnsi" w:hAnsiTheme="minorHAnsi"/>
                <w:bCs/>
                <w:sz w:val="22"/>
                <w:szCs w:val="22"/>
              </w:rPr>
              <w:t xml:space="preserve"> and will </w:t>
            </w:r>
            <w:r w:rsidR="00D52AD0" w:rsidRPr="00F65705">
              <w:rPr>
                <w:rFonts w:asciiTheme="minorHAnsi" w:hAnsiTheme="minorHAnsi"/>
                <w:bCs/>
                <w:sz w:val="22"/>
                <w:szCs w:val="22"/>
              </w:rPr>
              <w:t xml:space="preserve">ensure that the Department can continue to </w:t>
            </w:r>
            <w:r w:rsidR="0078025D" w:rsidRPr="00F65705">
              <w:rPr>
                <w:rFonts w:asciiTheme="minorHAnsi" w:hAnsiTheme="minorHAnsi"/>
                <w:bCs/>
                <w:sz w:val="22"/>
                <w:szCs w:val="22"/>
              </w:rPr>
              <w:t>employ</w:t>
            </w:r>
            <w:r w:rsidR="00D52AD0" w:rsidRPr="00F65705">
              <w:rPr>
                <w:rFonts w:asciiTheme="minorHAnsi" w:hAnsiTheme="minorHAnsi"/>
                <w:bCs/>
                <w:sz w:val="22"/>
                <w:szCs w:val="22"/>
              </w:rPr>
              <w:t xml:space="preserve"> staff with appropriate health technology assessment (HTA) expertise, as well as</w:t>
            </w:r>
            <w:r w:rsidR="0078025D" w:rsidRPr="00F65705">
              <w:rPr>
                <w:rFonts w:asciiTheme="minorHAnsi" w:hAnsiTheme="minorHAnsi"/>
                <w:bCs/>
                <w:sz w:val="22"/>
                <w:szCs w:val="22"/>
              </w:rPr>
              <w:t xml:space="preserve"> engage</w:t>
            </w:r>
            <w:r w:rsidR="00D52AD0" w:rsidRPr="00F65705">
              <w:rPr>
                <w:rFonts w:asciiTheme="minorHAnsi" w:hAnsiTheme="minorHAnsi"/>
                <w:bCs/>
                <w:sz w:val="22"/>
                <w:szCs w:val="22"/>
              </w:rPr>
              <w:t xml:space="preserve"> HTA assessment groups, for the evaluation of complex PBAC submissions. As this funding is directly attributable to complex PBAC submission categories, Government agreed that it will be cost recovered</w:t>
            </w:r>
            <w:r w:rsidR="00185A51" w:rsidRPr="00F65705">
              <w:rPr>
                <w:rFonts w:asciiTheme="minorHAnsi" w:hAnsiTheme="minorHAnsi"/>
                <w:bCs/>
                <w:sz w:val="22"/>
                <w:szCs w:val="22"/>
              </w:rPr>
              <w:t xml:space="preserve"> via the fees </w:t>
            </w:r>
            <w:r w:rsidR="00185A51" w:rsidRPr="00F65705">
              <w:rPr>
                <w:rFonts w:asciiTheme="minorHAnsi" w:hAnsiTheme="minorHAnsi"/>
                <w:bCs/>
                <w:sz w:val="22"/>
                <w:szCs w:val="22"/>
              </w:rPr>
              <w:lastRenderedPageBreak/>
              <w:t>for these complex submission categories</w:t>
            </w:r>
            <w:r w:rsidR="00D52AD0" w:rsidRPr="00F65705">
              <w:rPr>
                <w:rFonts w:asciiTheme="minorHAnsi" w:hAnsiTheme="minorHAnsi"/>
                <w:bCs/>
                <w:sz w:val="22"/>
                <w:szCs w:val="22"/>
              </w:rPr>
              <w:t xml:space="preserve">. </w:t>
            </w:r>
            <w:r w:rsidR="0078025D" w:rsidRPr="00F65705">
              <w:rPr>
                <w:rFonts w:asciiTheme="minorHAnsi" w:hAnsiTheme="minorHAnsi"/>
                <w:bCs/>
                <w:sz w:val="22"/>
                <w:szCs w:val="22"/>
              </w:rPr>
              <w:t>This</w:t>
            </w:r>
            <w:r w:rsidR="00D52AD0" w:rsidRPr="00F65705">
              <w:rPr>
                <w:rFonts w:asciiTheme="minorHAnsi" w:hAnsiTheme="minorHAnsi"/>
                <w:bCs/>
                <w:sz w:val="22"/>
                <w:szCs w:val="22"/>
              </w:rPr>
              <w:t xml:space="preserve"> funding does not impact fee changes to all other charging categories. </w:t>
            </w:r>
          </w:p>
          <w:p w14:paraId="5466B484" w14:textId="1440B8F5" w:rsidR="008D0015" w:rsidRPr="00F65705" w:rsidRDefault="00BF1FCF" w:rsidP="008C2190">
            <w:pPr>
              <w:spacing w:before="120" w:after="120" w:line="259" w:lineRule="auto"/>
              <w:rPr>
                <w:rFonts w:asciiTheme="minorHAnsi" w:hAnsiTheme="minorHAnsi"/>
                <w:bCs/>
                <w:sz w:val="22"/>
                <w:szCs w:val="22"/>
              </w:rPr>
            </w:pPr>
            <w:r w:rsidRPr="00F65705">
              <w:rPr>
                <w:rFonts w:asciiTheme="minorHAnsi" w:hAnsiTheme="minorHAnsi"/>
                <w:bCs/>
                <w:sz w:val="22"/>
                <w:szCs w:val="22"/>
              </w:rPr>
              <w:t>Costs related to both complex and simple ATAGI applications have also seen increases. The primary driver behind th</w:t>
            </w:r>
            <w:r w:rsidR="00185A51" w:rsidRPr="00F65705">
              <w:rPr>
                <w:rFonts w:asciiTheme="minorHAnsi" w:hAnsiTheme="minorHAnsi"/>
                <w:bCs/>
                <w:sz w:val="22"/>
                <w:szCs w:val="22"/>
              </w:rPr>
              <w:t>ese</w:t>
            </w:r>
            <w:r w:rsidRPr="00F65705">
              <w:rPr>
                <w:rFonts w:asciiTheme="minorHAnsi" w:hAnsiTheme="minorHAnsi"/>
                <w:bCs/>
                <w:sz w:val="22"/>
                <w:szCs w:val="22"/>
              </w:rPr>
              <w:t xml:space="preserve"> increase</w:t>
            </w:r>
            <w:r w:rsidR="00185A51" w:rsidRPr="00F65705">
              <w:rPr>
                <w:rFonts w:asciiTheme="minorHAnsi" w:hAnsiTheme="minorHAnsi"/>
                <w:bCs/>
                <w:sz w:val="22"/>
                <w:szCs w:val="22"/>
              </w:rPr>
              <w:t>s</w:t>
            </w:r>
            <w:r w:rsidRPr="00F65705">
              <w:rPr>
                <w:rFonts w:asciiTheme="minorHAnsi" w:hAnsiTheme="minorHAnsi"/>
                <w:bCs/>
                <w:sz w:val="22"/>
                <w:szCs w:val="22"/>
              </w:rPr>
              <w:t xml:space="preserve"> is the commencement of new panel arrangements for the </w:t>
            </w:r>
            <w:r w:rsidR="0078025D" w:rsidRPr="00F65705">
              <w:rPr>
                <w:rFonts w:asciiTheme="minorHAnsi" w:hAnsiTheme="minorHAnsi"/>
                <w:bCs/>
                <w:sz w:val="22"/>
                <w:szCs w:val="22"/>
              </w:rPr>
              <w:t>engagement</w:t>
            </w:r>
            <w:r w:rsidRPr="00F65705">
              <w:rPr>
                <w:rFonts w:asciiTheme="minorHAnsi" w:hAnsiTheme="minorHAnsi"/>
                <w:bCs/>
                <w:sz w:val="22"/>
                <w:szCs w:val="22"/>
              </w:rPr>
              <w:t xml:space="preserve"> of HTA groups to conduct </w:t>
            </w:r>
            <w:r w:rsidR="008C2190" w:rsidRPr="00F65705">
              <w:rPr>
                <w:rFonts w:asciiTheme="minorHAnsi" w:hAnsiTheme="minorHAnsi"/>
                <w:bCs/>
                <w:sz w:val="22"/>
                <w:szCs w:val="22"/>
              </w:rPr>
              <w:t xml:space="preserve">evaluation of </w:t>
            </w:r>
            <w:r w:rsidRPr="00F65705">
              <w:rPr>
                <w:rFonts w:asciiTheme="minorHAnsi" w:hAnsiTheme="minorHAnsi"/>
                <w:bCs/>
                <w:sz w:val="22"/>
                <w:szCs w:val="22"/>
              </w:rPr>
              <w:t xml:space="preserve">ATAGI </w:t>
            </w:r>
            <w:r w:rsidR="008C2190" w:rsidRPr="00F65705">
              <w:rPr>
                <w:rFonts w:asciiTheme="minorHAnsi" w:hAnsiTheme="minorHAnsi"/>
                <w:bCs/>
                <w:sz w:val="22"/>
                <w:szCs w:val="22"/>
              </w:rPr>
              <w:t>applications</w:t>
            </w:r>
            <w:r w:rsidRPr="00F65705">
              <w:rPr>
                <w:rFonts w:asciiTheme="minorHAnsi" w:hAnsiTheme="minorHAnsi"/>
                <w:bCs/>
                <w:sz w:val="22"/>
                <w:szCs w:val="22"/>
              </w:rPr>
              <w:t>. Th</w:t>
            </w:r>
            <w:r w:rsidR="008C2190" w:rsidRPr="00F65705">
              <w:rPr>
                <w:rFonts w:asciiTheme="minorHAnsi" w:hAnsiTheme="minorHAnsi"/>
                <w:bCs/>
                <w:sz w:val="22"/>
                <w:szCs w:val="22"/>
              </w:rPr>
              <w:t>e previous</w:t>
            </w:r>
            <w:r w:rsidRPr="00F65705">
              <w:rPr>
                <w:rFonts w:asciiTheme="minorHAnsi" w:hAnsiTheme="minorHAnsi"/>
                <w:bCs/>
                <w:sz w:val="22"/>
                <w:szCs w:val="22"/>
              </w:rPr>
              <w:t xml:space="preserve"> panel arrangements had </w:t>
            </w:r>
            <w:r w:rsidR="008C2190" w:rsidRPr="00F65705">
              <w:rPr>
                <w:rFonts w:asciiTheme="minorHAnsi" w:hAnsiTheme="minorHAnsi"/>
                <w:bCs/>
                <w:sz w:val="22"/>
                <w:szCs w:val="22"/>
              </w:rPr>
              <w:t xml:space="preserve">expired after </w:t>
            </w:r>
            <w:r w:rsidRPr="00F65705">
              <w:rPr>
                <w:rFonts w:asciiTheme="minorHAnsi" w:hAnsiTheme="minorHAnsi"/>
                <w:bCs/>
                <w:sz w:val="22"/>
                <w:szCs w:val="22"/>
              </w:rPr>
              <w:t>remain</w:t>
            </w:r>
            <w:r w:rsidR="008C2190" w:rsidRPr="00F65705">
              <w:rPr>
                <w:rFonts w:asciiTheme="minorHAnsi" w:hAnsiTheme="minorHAnsi"/>
                <w:bCs/>
                <w:sz w:val="22"/>
                <w:szCs w:val="22"/>
              </w:rPr>
              <w:t xml:space="preserve">ing </w:t>
            </w:r>
            <w:r w:rsidRPr="00F65705">
              <w:rPr>
                <w:rFonts w:asciiTheme="minorHAnsi" w:hAnsiTheme="minorHAnsi"/>
                <w:bCs/>
                <w:sz w:val="22"/>
                <w:szCs w:val="22"/>
              </w:rPr>
              <w:t>unchanged since the commencement of ATAGI cost recovery arrangements on 1 July 2019.</w:t>
            </w:r>
            <w:r w:rsidR="008C2190" w:rsidRPr="00F65705">
              <w:rPr>
                <w:rFonts w:asciiTheme="minorHAnsi" w:hAnsiTheme="minorHAnsi"/>
                <w:bCs/>
                <w:sz w:val="22"/>
                <w:szCs w:val="22"/>
              </w:rPr>
              <w:t xml:space="preserve"> The u</w:t>
            </w:r>
            <w:r w:rsidR="00824C52" w:rsidRPr="00F65705">
              <w:rPr>
                <w:rFonts w:asciiTheme="minorHAnsi" w:hAnsiTheme="minorHAnsi"/>
                <w:bCs/>
                <w:sz w:val="22"/>
                <w:szCs w:val="22"/>
              </w:rPr>
              <w:t xml:space="preserve">pdated panel </w:t>
            </w:r>
            <w:r w:rsidR="008C2190" w:rsidRPr="00F65705">
              <w:rPr>
                <w:rFonts w:asciiTheme="minorHAnsi" w:hAnsiTheme="minorHAnsi"/>
                <w:bCs/>
                <w:sz w:val="22"/>
                <w:szCs w:val="22"/>
              </w:rPr>
              <w:t xml:space="preserve">costs </w:t>
            </w:r>
            <w:r w:rsidR="00824C52" w:rsidRPr="00F65705">
              <w:rPr>
                <w:rFonts w:asciiTheme="minorHAnsi" w:hAnsiTheme="minorHAnsi"/>
                <w:bCs/>
                <w:sz w:val="22"/>
                <w:szCs w:val="22"/>
              </w:rPr>
              <w:t>have been</w:t>
            </w:r>
            <w:r w:rsidR="008C2190" w:rsidRPr="00F65705">
              <w:rPr>
                <w:rFonts w:asciiTheme="minorHAnsi" w:hAnsiTheme="minorHAnsi"/>
                <w:bCs/>
                <w:sz w:val="22"/>
                <w:szCs w:val="22"/>
              </w:rPr>
              <w:t xml:space="preserve"> appropriately</w:t>
            </w:r>
            <w:r w:rsidR="00824C52" w:rsidRPr="00F65705">
              <w:rPr>
                <w:rFonts w:asciiTheme="minorHAnsi" w:hAnsiTheme="minorHAnsi"/>
                <w:bCs/>
                <w:sz w:val="22"/>
                <w:szCs w:val="22"/>
              </w:rPr>
              <w:t xml:space="preserve"> incorporated into the </w:t>
            </w:r>
            <w:r w:rsidR="008C2190" w:rsidRPr="00F65705">
              <w:rPr>
                <w:rFonts w:asciiTheme="minorHAnsi" w:hAnsiTheme="minorHAnsi"/>
                <w:bCs/>
                <w:sz w:val="22"/>
                <w:szCs w:val="22"/>
              </w:rPr>
              <w:t xml:space="preserve">ATAGI application cost base for </w:t>
            </w:r>
            <w:r w:rsidR="00824C52" w:rsidRPr="00F65705">
              <w:rPr>
                <w:rFonts w:asciiTheme="minorHAnsi" w:hAnsiTheme="minorHAnsi"/>
                <w:bCs/>
                <w:sz w:val="22"/>
                <w:szCs w:val="22"/>
              </w:rPr>
              <w:t xml:space="preserve">2023-24. </w:t>
            </w:r>
          </w:p>
        </w:tc>
      </w:tr>
      <w:tr w:rsidR="00F65705" w:rsidRPr="00F65705" w14:paraId="23D7D9FD" w14:textId="77777777" w:rsidTr="00140BED">
        <w:tc>
          <w:tcPr>
            <w:tcW w:w="13948" w:type="dxa"/>
            <w:gridSpan w:val="2"/>
            <w:shd w:val="clear" w:color="auto" w:fill="D9D9D9" w:themeFill="background1" w:themeFillShade="D9"/>
          </w:tcPr>
          <w:p w14:paraId="32814243" w14:textId="17AC3B17" w:rsidR="005B44FF" w:rsidRPr="00F65705" w:rsidRDefault="00F674CD" w:rsidP="007E6C76">
            <w:pPr>
              <w:spacing w:before="120" w:after="120" w:line="259" w:lineRule="auto"/>
              <w:rPr>
                <w:rFonts w:asciiTheme="minorHAnsi" w:hAnsiTheme="minorHAnsi"/>
                <w:bCs/>
                <w:i/>
                <w:iCs/>
                <w:sz w:val="22"/>
                <w:szCs w:val="22"/>
              </w:rPr>
            </w:pPr>
            <w:r w:rsidRPr="00F65705">
              <w:rPr>
                <w:rFonts w:asciiTheme="minorHAnsi" w:hAnsiTheme="minorHAnsi"/>
                <w:bCs/>
                <w:i/>
                <w:iCs/>
                <w:sz w:val="22"/>
                <w:szCs w:val="22"/>
              </w:rPr>
              <w:lastRenderedPageBreak/>
              <w:t>Timely notification of fee changes</w:t>
            </w:r>
          </w:p>
        </w:tc>
      </w:tr>
      <w:tr w:rsidR="00F65705" w:rsidRPr="00F65705" w14:paraId="6C0A45D6" w14:textId="77777777" w:rsidTr="00140BED">
        <w:tc>
          <w:tcPr>
            <w:tcW w:w="7015" w:type="dxa"/>
          </w:tcPr>
          <w:p w14:paraId="2AD27AA1" w14:textId="2643D902" w:rsidR="005B44FF" w:rsidRPr="00F65705" w:rsidRDefault="00F674CD" w:rsidP="007E6C76">
            <w:p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Stakeholders highlighted the need for earlier stakeholder engagement to allow stakeholders adequate time for business planning</w:t>
            </w:r>
            <w:r w:rsidR="00BF7086" w:rsidRPr="00F65705">
              <w:rPr>
                <w:rFonts w:asciiTheme="minorHAnsi" w:hAnsiTheme="minorHAnsi" w:cstheme="minorHAnsi"/>
                <w:sz w:val="22"/>
                <w:szCs w:val="22"/>
              </w:rPr>
              <w:t xml:space="preserve"> and adjustment to fee changes. </w:t>
            </w:r>
          </w:p>
        </w:tc>
        <w:tc>
          <w:tcPr>
            <w:tcW w:w="6933" w:type="dxa"/>
          </w:tcPr>
          <w:p w14:paraId="6AC52E0E" w14:textId="0EA30206" w:rsidR="00E068E3" w:rsidRPr="00F65705" w:rsidRDefault="008D0015" w:rsidP="007E6C76">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 xml:space="preserve">The Department acknowledges </w:t>
            </w:r>
            <w:r w:rsidR="00E068E3" w:rsidRPr="00F65705">
              <w:rPr>
                <w:rFonts w:asciiTheme="minorHAnsi" w:hAnsiTheme="minorHAnsi" w:cstheme="minorHAnsi"/>
                <w:sz w:val="22"/>
                <w:szCs w:val="22"/>
              </w:rPr>
              <w:t xml:space="preserve">the </w:t>
            </w:r>
            <w:r w:rsidR="00BF7086" w:rsidRPr="00F65705">
              <w:rPr>
                <w:rFonts w:asciiTheme="minorHAnsi" w:hAnsiTheme="minorHAnsi" w:cstheme="minorHAnsi"/>
                <w:sz w:val="22"/>
                <w:szCs w:val="22"/>
              </w:rPr>
              <w:t>advance</w:t>
            </w:r>
            <w:r w:rsidRPr="00F65705">
              <w:rPr>
                <w:rFonts w:asciiTheme="minorHAnsi" w:hAnsiTheme="minorHAnsi" w:cstheme="minorHAnsi"/>
                <w:sz w:val="22"/>
                <w:szCs w:val="22"/>
              </w:rPr>
              <w:t xml:space="preserve"> planning</w:t>
            </w:r>
            <w:r w:rsidR="00E068E3" w:rsidRPr="00F65705">
              <w:rPr>
                <w:rFonts w:asciiTheme="minorHAnsi" w:hAnsiTheme="minorHAnsi" w:cstheme="minorHAnsi"/>
                <w:sz w:val="22"/>
                <w:szCs w:val="22"/>
              </w:rPr>
              <w:t xml:space="preserve"> required by prospective applicants prior to making</w:t>
            </w:r>
            <w:r w:rsidRPr="00F65705">
              <w:rPr>
                <w:rFonts w:asciiTheme="minorHAnsi" w:hAnsiTheme="minorHAnsi" w:cstheme="minorHAnsi"/>
                <w:sz w:val="22"/>
                <w:szCs w:val="22"/>
              </w:rPr>
              <w:t xml:space="preserve"> submissions</w:t>
            </w:r>
            <w:r w:rsidR="00E068E3" w:rsidRPr="00F65705">
              <w:rPr>
                <w:rFonts w:asciiTheme="minorHAnsi" w:hAnsiTheme="minorHAnsi" w:cstheme="minorHAnsi"/>
                <w:sz w:val="22"/>
                <w:szCs w:val="22"/>
              </w:rPr>
              <w:t xml:space="preserve"> and notes the consequential need for timely stakeholder engagement regarding </w:t>
            </w:r>
            <w:r w:rsidRPr="00F65705">
              <w:rPr>
                <w:rFonts w:asciiTheme="minorHAnsi" w:hAnsiTheme="minorHAnsi" w:cstheme="minorHAnsi"/>
                <w:sz w:val="22"/>
                <w:szCs w:val="22"/>
              </w:rPr>
              <w:t>changes in fees</w:t>
            </w:r>
            <w:r w:rsidR="00E068E3" w:rsidRPr="00F65705">
              <w:rPr>
                <w:rFonts w:asciiTheme="minorHAnsi" w:hAnsiTheme="minorHAnsi" w:cstheme="minorHAnsi"/>
                <w:sz w:val="22"/>
                <w:szCs w:val="22"/>
              </w:rPr>
              <w:t xml:space="preserve"> and other administrative changes that may occur</w:t>
            </w:r>
            <w:r w:rsidRPr="00F65705">
              <w:rPr>
                <w:rFonts w:asciiTheme="minorHAnsi" w:hAnsiTheme="minorHAnsi" w:cstheme="minorHAnsi"/>
                <w:sz w:val="22"/>
                <w:szCs w:val="22"/>
              </w:rPr>
              <w:t xml:space="preserve">. </w:t>
            </w:r>
          </w:p>
          <w:p w14:paraId="7CA1F393" w14:textId="160080C5" w:rsidR="005B44FF" w:rsidRPr="00F65705" w:rsidRDefault="008D0015" w:rsidP="007E6C76">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The Department</w:t>
            </w:r>
            <w:r w:rsidR="00E068E3" w:rsidRPr="00F65705">
              <w:rPr>
                <w:rFonts w:asciiTheme="minorHAnsi" w:hAnsiTheme="minorHAnsi" w:cstheme="minorHAnsi"/>
                <w:sz w:val="22"/>
                <w:szCs w:val="22"/>
              </w:rPr>
              <w:t xml:space="preserve"> will prioritise </w:t>
            </w:r>
            <w:r w:rsidR="00441737" w:rsidRPr="00F65705">
              <w:rPr>
                <w:rFonts w:asciiTheme="minorHAnsi" w:hAnsiTheme="minorHAnsi" w:cstheme="minorHAnsi"/>
                <w:sz w:val="22"/>
                <w:szCs w:val="22"/>
              </w:rPr>
              <w:t>the provision</w:t>
            </w:r>
            <w:r w:rsidR="00290FDC" w:rsidRPr="00F65705">
              <w:rPr>
                <w:rFonts w:asciiTheme="minorHAnsi" w:hAnsiTheme="minorHAnsi" w:cstheme="minorHAnsi"/>
                <w:sz w:val="22"/>
                <w:szCs w:val="22"/>
              </w:rPr>
              <w:t xml:space="preserve"> of</w:t>
            </w:r>
            <w:r w:rsidR="00E068E3" w:rsidRPr="00F65705">
              <w:rPr>
                <w:rFonts w:asciiTheme="minorHAnsi" w:hAnsiTheme="minorHAnsi" w:cstheme="minorHAnsi"/>
                <w:sz w:val="22"/>
                <w:szCs w:val="22"/>
              </w:rPr>
              <w:t xml:space="preserve"> additional lead time</w:t>
            </w:r>
            <w:r w:rsidR="00441737" w:rsidRPr="00F65705">
              <w:rPr>
                <w:rFonts w:asciiTheme="minorHAnsi" w:hAnsiTheme="minorHAnsi" w:cstheme="minorHAnsi"/>
                <w:sz w:val="22"/>
                <w:szCs w:val="22"/>
              </w:rPr>
              <w:t>,</w:t>
            </w:r>
            <w:r w:rsidR="00E068E3" w:rsidRPr="00F65705">
              <w:rPr>
                <w:rFonts w:asciiTheme="minorHAnsi" w:hAnsiTheme="minorHAnsi" w:cstheme="minorHAnsi"/>
                <w:sz w:val="22"/>
                <w:szCs w:val="22"/>
              </w:rPr>
              <w:t xml:space="preserve"> stakeholder consultation </w:t>
            </w:r>
            <w:r w:rsidR="00441737" w:rsidRPr="00F65705">
              <w:rPr>
                <w:rFonts w:asciiTheme="minorHAnsi" w:hAnsiTheme="minorHAnsi" w:cstheme="minorHAnsi"/>
                <w:sz w:val="22"/>
                <w:szCs w:val="22"/>
              </w:rPr>
              <w:t xml:space="preserve">and engagement with Medicines Australia </w:t>
            </w:r>
            <w:r w:rsidR="00E068E3" w:rsidRPr="00F65705">
              <w:rPr>
                <w:rFonts w:asciiTheme="minorHAnsi" w:hAnsiTheme="minorHAnsi" w:cstheme="minorHAnsi"/>
                <w:sz w:val="22"/>
                <w:szCs w:val="22"/>
              </w:rPr>
              <w:t xml:space="preserve">ahead of the commencement of </w:t>
            </w:r>
            <w:r w:rsidR="00441737" w:rsidRPr="00F65705">
              <w:rPr>
                <w:rFonts w:asciiTheme="minorHAnsi" w:hAnsiTheme="minorHAnsi" w:cstheme="minorHAnsi"/>
                <w:sz w:val="22"/>
                <w:szCs w:val="22"/>
              </w:rPr>
              <w:t xml:space="preserve">any </w:t>
            </w:r>
            <w:r w:rsidR="00E068E3" w:rsidRPr="00F65705">
              <w:rPr>
                <w:rFonts w:asciiTheme="minorHAnsi" w:hAnsiTheme="minorHAnsi" w:cstheme="minorHAnsi"/>
                <w:sz w:val="22"/>
                <w:szCs w:val="22"/>
              </w:rPr>
              <w:t xml:space="preserve">fee and administrative changes </w:t>
            </w:r>
            <w:r w:rsidR="00441737" w:rsidRPr="00F65705">
              <w:rPr>
                <w:rFonts w:asciiTheme="minorHAnsi" w:hAnsiTheme="minorHAnsi" w:cstheme="minorHAnsi"/>
                <w:sz w:val="22"/>
                <w:szCs w:val="22"/>
              </w:rPr>
              <w:t>in</w:t>
            </w:r>
            <w:r w:rsidR="00E068E3" w:rsidRPr="00F65705">
              <w:rPr>
                <w:rFonts w:asciiTheme="minorHAnsi" w:hAnsiTheme="minorHAnsi" w:cstheme="minorHAnsi"/>
                <w:sz w:val="22"/>
                <w:szCs w:val="22"/>
              </w:rPr>
              <w:t xml:space="preserve"> 2024-25.</w:t>
            </w:r>
            <w:r w:rsidRPr="00F65705">
              <w:rPr>
                <w:rFonts w:asciiTheme="minorHAnsi" w:hAnsiTheme="minorHAnsi" w:cstheme="minorHAnsi"/>
                <w:sz w:val="22"/>
                <w:szCs w:val="22"/>
              </w:rPr>
              <w:t xml:space="preserve"> </w:t>
            </w:r>
          </w:p>
        </w:tc>
      </w:tr>
      <w:tr w:rsidR="00F65705" w:rsidRPr="00F65705" w14:paraId="4E675DCE" w14:textId="77777777" w:rsidTr="00140BED">
        <w:tc>
          <w:tcPr>
            <w:tcW w:w="7015" w:type="dxa"/>
          </w:tcPr>
          <w:p w14:paraId="7FD6181B" w14:textId="3109560F" w:rsidR="00140BED" w:rsidRPr="00F65705" w:rsidRDefault="00140BED" w:rsidP="007E6C76">
            <w:p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Stakeholders requested the implementation of the 2023-24 PBAC/NIP cost recovery fees to be delayed until 1 January 2024.</w:t>
            </w:r>
          </w:p>
        </w:tc>
        <w:tc>
          <w:tcPr>
            <w:tcW w:w="6933" w:type="dxa"/>
          </w:tcPr>
          <w:p w14:paraId="5367C116" w14:textId="458BB73C" w:rsidR="00140BED" w:rsidRPr="00F65705" w:rsidRDefault="008B2DB0" w:rsidP="007E6C76">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 xml:space="preserve">The </w:t>
            </w:r>
            <w:r w:rsidR="00441737" w:rsidRPr="00F65705">
              <w:rPr>
                <w:rFonts w:asciiTheme="minorHAnsi" w:hAnsiTheme="minorHAnsi" w:cstheme="minorHAnsi"/>
                <w:sz w:val="22"/>
                <w:szCs w:val="22"/>
              </w:rPr>
              <w:t xml:space="preserve">implementation date of 1 July 2023 for the </w:t>
            </w:r>
            <w:r w:rsidR="003A4EDA" w:rsidRPr="00F65705">
              <w:rPr>
                <w:rFonts w:asciiTheme="minorHAnsi" w:hAnsiTheme="minorHAnsi" w:cstheme="minorHAnsi"/>
                <w:sz w:val="22"/>
                <w:szCs w:val="22"/>
              </w:rPr>
              <w:t xml:space="preserve">commencement of cost recovery of stockholding applications, changes to ministerial discretion applications and associated amendments to the </w:t>
            </w:r>
            <w:r w:rsidR="003A4EDA" w:rsidRPr="00F65705">
              <w:rPr>
                <w:rFonts w:asciiTheme="minorHAnsi" w:hAnsiTheme="minorHAnsi" w:cstheme="minorHAnsi"/>
                <w:i/>
                <w:iCs/>
                <w:sz w:val="22"/>
                <w:szCs w:val="22"/>
              </w:rPr>
              <w:t xml:space="preserve">National Health (Pharmaceuticals and Vaccines—Cost Recovery) Regulations 2022 </w:t>
            </w:r>
            <w:r w:rsidR="00441737" w:rsidRPr="00F65705">
              <w:rPr>
                <w:rFonts w:asciiTheme="minorHAnsi" w:hAnsiTheme="minorHAnsi" w:cstheme="minorHAnsi"/>
                <w:sz w:val="22"/>
                <w:szCs w:val="22"/>
              </w:rPr>
              <w:t>was agreed to by Government in the 2023-24 Budget</w:t>
            </w:r>
            <w:r w:rsidR="00C604F8" w:rsidRPr="00F65705">
              <w:rPr>
                <w:rFonts w:asciiTheme="minorHAnsi" w:hAnsiTheme="minorHAnsi" w:cstheme="minorHAnsi"/>
                <w:sz w:val="22"/>
                <w:szCs w:val="22"/>
              </w:rPr>
              <w:t xml:space="preserve"> and is legislated</w:t>
            </w:r>
            <w:r w:rsidR="00441737" w:rsidRPr="00F65705">
              <w:rPr>
                <w:rFonts w:asciiTheme="minorHAnsi" w:hAnsiTheme="minorHAnsi" w:cstheme="minorHAnsi"/>
                <w:sz w:val="22"/>
                <w:szCs w:val="22"/>
              </w:rPr>
              <w:t xml:space="preserve">. </w:t>
            </w:r>
            <w:r w:rsidR="003A4EDA" w:rsidRPr="00F65705">
              <w:rPr>
                <w:rFonts w:asciiTheme="minorHAnsi" w:hAnsiTheme="minorHAnsi" w:cstheme="minorHAnsi"/>
                <w:sz w:val="22"/>
                <w:szCs w:val="22"/>
              </w:rPr>
              <w:t>Aligning any changes with the commencement of the financial year where possible also</w:t>
            </w:r>
            <w:r w:rsidRPr="00F65705">
              <w:rPr>
                <w:rFonts w:asciiTheme="minorHAnsi" w:hAnsiTheme="minorHAnsi" w:cstheme="minorHAnsi"/>
                <w:sz w:val="22"/>
                <w:szCs w:val="22"/>
              </w:rPr>
              <w:t xml:space="preserve"> ensure</w:t>
            </w:r>
            <w:r w:rsidR="003A4EDA" w:rsidRPr="00F65705">
              <w:rPr>
                <w:rFonts w:asciiTheme="minorHAnsi" w:hAnsiTheme="minorHAnsi" w:cstheme="minorHAnsi"/>
                <w:sz w:val="22"/>
                <w:szCs w:val="22"/>
              </w:rPr>
              <w:t>s</w:t>
            </w:r>
            <w:r w:rsidRPr="00F65705">
              <w:rPr>
                <w:rFonts w:asciiTheme="minorHAnsi" w:hAnsiTheme="minorHAnsi" w:cstheme="minorHAnsi"/>
                <w:sz w:val="22"/>
                <w:szCs w:val="22"/>
              </w:rPr>
              <w:t xml:space="preserve"> compliance with the Australian Government Charging Framework. </w:t>
            </w:r>
            <w:r w:rsidR="003A4EDA" w:rsidRPr="00F65705">
              <w:rPr>
                <w:rFonts w:asciiTheme="minorHAnsi" w:hAnsiTheme="minorHAnsi" w:cstheme="minorHAnsi"/>
                <w:sz w:val="22"/>
                <w:szCs w:val="22"/>
              </w:rPr>
              <w:t xml:space="preserve">The Department is </w:t>
            </w:r>
            <w:r w:rsidR="00185A51" w:rsidRPr="00F65705">
              <w:rPr>
                <w:rFonts w:asciiTheme="minorHAnsi" w:hAnsiTheme="minorHAnsi" w:cstheme="minorHAnsi"/>
                <w:sz w:val="22"/>
                <w:szCs w:val="22"/>
              </w:rPr>
              <w:t xml:space="preserve">therefore </w:t>
            </w:r>
            <w:r w:rsidR="003A4EDA" w:rsidRPr="00F65705">
              <w:rPr>
                <w:rFonts w:asciiTheme="minorHAnsi" w:hAnsiTheme="minorHAnsi" w:cstheme="minorHAnsi"/>
                <w:sz w:val="22"/>
                <w:szCs w:val="22"/>
              </w:rPr>
              <w:t xml:space="preserve">unable to alter the date of implementation. </w:t>
            </w:r>
          </w:p>
        </w:tc>
      </w:tr>
      <w:tr w:rsidR="00F65705" w:rsidRPr="00F65705" w14:paraId="72F4D2E2" w14:textId="77777777" w:rsidTr="007E6C76">
        <w:tc>
          <w:tcPr>
            <w:tcW w:w="13948" w:type="dxa"/>
            <w:gridSpan w:val="2"/>
            <w:shd w:val="clear" w:color="auto" w:fill="D9D9D9" w:themeFill="background1" w:themeFillShade="D9"/>
          </w:tcPr>
          <w:p w14:paraId="43DC3BF4" w14:textId="305D24E3" w:rsidR="00140BED" w:rsidRPr="00F65705" w:rsidRDefault="003A4EDA" w:rsidP="007E6C76">
            <w:pPr>
              <w:spacing w:before="120" w:after="120" w:line="259" w:lineRule="auto"/>
              <w:rPr>
                <w:rFonts w:asciiTheme="minorHAnsi" w:hAnsiTheme="minorHAnsi"/>
                <w:bCs/>
                <w:i/>
                <w:iCs/>
                <w:sz w:val="22"/>
                <w:szCs w:val="22"/>
              </w:rPr>
            </w:pPr>
            <w:r w:rsidRPr="00F65705">
              <w:rPr>
                <w:rFonts w:asciiTheme="minorHAnsi" w:hAnsiTheme="minorHAnsi"/>
                <w:bCs/>
                <w:i/>
                <w:iCs/>
                <w:sz w:val="22"/>
                <w:szCs w:val="22"/>
              </w:rPr>
              <w:lastRenderedPageBreak/>
              <w:t>Cost recovery levy</w:t>
            </w:r>
          </w:p>
        </w:tc>
      </w:tr>
      <w:tr w:rsidR="00F65705" w:rsidRPr="00F65705" w14:paraId="4108C0E7" w14:textId="77777777" w:rsidTr="007E6C76">
        <w:tc>
          <w:tcPr>
            <w:tcW w:w="7015" w:type="dxa"/>
          </w:tcPr>
          <w:p w14:paraId="354B20BD" w14:textId="4D0B4B71" w:rsidR="00FF5ED2" w:rsidRPr="00F65705" w:rsidRDefault="00140BED" w:rsidP="007E6C76">
            <w:p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 xml:space="preserve">Stakeholders requested the removal of </w:t>
            </w:r>
            <w:r w:rsidR="003A4EDA" w:rsidRPr="00F65705">
              <w:rPr>
                <w:rFonts w:asciiTheme="minorHAnsi" w:hAnsiTheme="minorHAnsi" w:cstheme="minorHAnsi"/>
                <w:sz w:val="22"/>
                <w:szCs w:val="22"/>
              </w:rPr>
              <w:t>several</w:t>
            </w:r>
            <w:r w:rsidRPr="00F65705">
              <w:rPr>
                <w:rFonts w:asciiTheme="minorHAnsi" w:hAnsiTheme="minorHAnsi" w:cstheme="minorHAnsi"/>
                <w:sz w:val="22"/>
                <w:szCs w:val="22"/>
              </w:rPr>
              <w:t xml:space="preserve"> statement</w:t>
            </w:r>
            <w:r w:rsidR="008B2DB0" w:rsidRPr="00F65705">
              <w:rPr>
                <w:rFonts w:asciiTheme="minorHAnsi" w:hAnsiTheme="minorHAnsi" w:cstheme="minorHAnsi"/>
                <w:sz w:val="22"/>
                <w:szCs w:val="22"/>
              </w:rPr>
              <w:t>s</w:t>
            </w:r>
            <w:r w:rsidR="003A4EDA" w:rsidRPr="00F65705">
              <w:rPr>
                <w:rFonts w:asciiTheme="minorHAnsi" w:hAnsiTheme="minorHAnsi" w:cstheme="minorHAnsi"/>
                <w:sz w:val="22"/>
                <w:szCs w:val="22"/>
              </w:rPr>
              <w:t xml:space="preserve"> in section 2.1 of the CRIS, regarding a previously proposed levy which would have cost recovered applicant driven post-listing activities.</w:t>
            </w:r>
          </w:p>
        </w:tc>
        <w:tc>
          <w:tcPr>
            <w:tcW w:w="6933" w:type="dxa"/>
          </w:tcPr>
          <w:p w14:paraId="4F66BB5B" w14:textId="1F1FAA63" w:rsidR="008B2DB0" w:rsidRPr="00F65705" w:rsidRDefault="008B2DB0" w:rsidP="008B2DB0">
            <w:pPr>
              <w:spacing w:before="120" w:after="120" w:line="259" w:lineRule="auto"/>
              <w:rPr>
                <w:rFonts w:asciiTheme="minorHAnsi" w:hAnsiTheme="minorHAnsi"/>
                <w:bCs/>
                <w:sz w:val="22"/>
                <w:szCs w:val="22"/>
              </w:rPr>
            </w:pPr>
            <w:r w:rsidRPr="00F65705">
              <w:rPr>
                <w:rFonts w:asciiTheme="minorHAnsi" w:hAnsiTheme="minorHAnsi"/>
                <w:bCs/>
                <w:sz w:val="22"/>
                <w:szCs w:val="22"/>
              </w:rPr>
              <w:t xml:space="preserve">The Department notes </w:t>
            </w:r>
            <w:r w:rsidR="003A4EDA" w:rsidRPr="00F65705">
              <w:rPr>
                <w:rFonts w:asciiTheme="minorHAnsi" w:hAnsiTheme="minorHAnsi"/>
                <w:bCs/>
                <w:sz w:val="22"/>
                <w:szCs w:val="22"/>
              </w:rPr>
              <w:t xml:space="preserve">prior </w:t>
            </w:r>
            <w:r w:rsidRPr="00F65705">
              <w:rPr>
                <w:rFonts w:asciiTheme="minorHAnsi" w:hAnsiTheme="minorHAnsi"/>
                <w:bCs/>
                <w:sz w:val="22"/>
                <w:szCs w:val="22"/>
              </w:rPr>
              <w:t xml:space="preserve">feedback relating to the </w:t>
            </w:r>
            <w:r w:rsidR="003A4EDA" w:rsidRPr="00F65705">
              <w:rPr>
                <w:rFonts w:asciiTheme="minorHAnsi" w:hAnsiTheme="minorHAnsi"/>
                <w:bCs/>
                <w:sz w:val="22"/>
                <w:szCs w:val="22"/>
              </w:rPr>
              <w:t xml:space="preserve">potential </w:t>
            </w:r>
            <w:r w:rsidRPr="00F65705">
              <w:rPr>
                <w:rFonts w:asciiTheme="minorHAnsi" w:hAnsiTheme="minorHAnsi"/>
                <w:bCs/>
                <w:sz w:val="22"/>
                <w:szCs w:val="22"/>
              </w:rPr>
              <w:t xml:space="preserve">impact of the previously proposed levy on </w:t>
            </w:r>
            <w:r w:rsidR="003A4EDA" w:rsidRPr="00F65705">
              <w:rPr>
                <w:rFonts w:asciiTheme="minorHAnsi" w:hAnsiTheme="minorHAnsi"/>
                <w:bCs/>
                <w:sz w:val="22"/>
                <w:szCs w:val="22"/>
              </w:rPr>
              <w:t>post-listing activities</w:t>
            </w:r>
            <w:r w:rsidRPr="00F65705">
              <w:rPr>
                <w:rFonts w:asciiTheme="minorHAnsi" w:hAnsiTheme="minorHAnsi"/>
                <w:bCs/>
                <w:sz w:val="22"/>
                <w:szCs w:val="22"/>
              </w:rPr>
              <w:t>.</w:t>
            </w:r>
          </w:p>
          <w:p w14:paraId="332E6634" w14:textId="32CFC8D5" w:rsidR="008B2DB0" w:rsidRPr="00F65705" w:rsidRDefault="003A4EDA" w:rsidP="008B2DB0">
            <w:pPr>
              <w:spacing w:before="120" w:after="120" w:line="259" w:lineRule="auto"/>
              <w:rPr>
                <w:rFonts w:asciiTheme="minorHAnsi" w:hAnsiTheme="minorHAnsi"/>
                <w:bCs/>
                <w:sz w:val="22"/>
                <w:szCs w:val="22"/>
              </w:rPr>
            </w:pPr>
            <w:r w:rsidRPr="00F65705">
              <w:rPr>
                <w:rFonts w:asciiTheme="minorHAnsi" w:hAnsiTheme="minorHAnsi"/>
                <w:bCs/>
                <w:sz w:val="22"/>
                <w:szCs w:val="22"/>
              </w:rPr>
              <w:t xml:space="preserve">The Department views the existing statements on this matter in the CRIS as a factual </w:t>
            </w:r>
            <w:r w:rsidR="00B1155E" w:rsidRPr="00F65705">
              <w:rPr>
                <w:rFonts w:asciiTheme="minorHAnsi" w:hAnsiTheme="minorHAnsi"/>
                <w:bCs/>
                <w:sz w:val="22"/>
                <w:szCs w:val="22"/>
              </w:rPr>
              <w:t xml:space="preserve">account of the previous decision made by Government not to implement the levy. These statements also accurately reflect </w:t>
            </w:r>
            <w:r w:rsidR="001508FB" w:rsidRPr="00F65705">
              <w:rPr>
                <w:rFonts w:asciiTheme="minorHAnsi" w:hAnsiTheme="minorHAnsi"/>
                <w:bCs/>
                <w:sz w:val="22"/>
                <w:szCs w:val="22"/>
              </w:rPr>
              <w:t xml:space="preserve">both the current state and </w:t>
            </w:r>
            <w:r w:rsidR="00B1155E" w:rsidRPr="00F65705">
              <w:rPr>
                <w:rFonts w:asciiTheme="minorHAnsi" w:hAnsiTheme="minorHAnsi"/>
                <w:bCs/>
                <w:sz w:val="22"/>
                <w:szCs w:val="22"/>
              </w:rPr>
              <w:t xml:space="preserve">the reasoning behind </w:t>
            </w:r>
            <w:r w:rsidR="001508FB" w:rsidRPr="00F65705">
              <w:rPr>
                <w:rFonts w:asciiTheme="minorHAnsi" w:hAnsiTheme="minorHAnsi"/>
                <w:bCs/>
                <w:sz w:val="22"/>
                <w:szCs w:val="22"/>
              </w:rPr>
              <w:t xml:space="preserve">the </w:t>
            </w:r>
            <w:r w:rsidR="00B1155E" w:rsidRPr="00F65705">
              <w:rPr>
                <w:rFonts w:asciiTheme="minorHAnsi" w:hAnsiTheme="minorHAnsi"/>
                <w:bCs/>
                <w:sz w:val="22"/>
                <w:szCs w:val="22"/>
              </w:rPr>
              <w:t>partial cost recovery arrangements currently in place, as opposed to full cost recovery</w:t>
            </w:r>
            <w:r w:rsidR="001508FB" w:rsidRPr="00F65705">
              <w:rPr>
                <w:rFonts w:asciiTheme="minorHAnsi" w:hAnsiTheme="minorHAnsi"/>
                <w:bCs/>
                <w:sz w:val="22"/>
                <w:szCs w:val="22"/>
              </w:rPr>
              <w:t>,</w:t>
            </w:r>
            <w:r w:rsidR="00B1155E" w:rsidRPr="00F65705">
              <w:rPr>
                <w:rFonts w:asciiTheme="minorHAnsi" w:hAnsiTheme="minorHAnsi"/>
                <w:bCs/>
                <w:sz w:val="22"/>
                <w:szCs w:val="22"/>
              </w:rPr>
              <w:t xml:space="preserve"> which would also include the implementation of the levy. </w:t>
            </w:r>
          </w:p>
          <w:p w14:paraId="1613B20F" w14:textId="68586C3E" w:rsidR="008B2DB0" w:rsidRPr="00F65705" w:rsidRDefault="008B2DB0" w:rsidP="008B2DB0">
            <w:pPr>
              <w:spacing w:before="120" w:after="120" w:line="259" w:lineRule="auto"/>
              <w:rPr>
                <w:rFonts w:asciiTheme="minorHAnsi" w:hAnsiTheme="minorHAnsi"/>
                <w:bCs/>
                <w:sz w:val="22"/>
                <w:szCs w:val="22"/>
              </w:rPr>
            </w:pPr>
            <w:r w:rsidRPr="00F65705">
              <w:rPr>
                <w:rFonts w:asciiTheme="minorHAnsi" w:hAnsiTheme="minorHAnsi"/>
                <w:bCs/>
                <w:sz w:val="22"/>
                <w:szCs w:val="22"/>
              </w:rPr>
              <w:t xml:space="preserve">There </w:t>
            </w:r>
            <w:r w:rsidR="000B4B35" w:rsidRPr="00F65705">
              <w:rPr>
                <w:rFonts w:asciiTheme="minorHAnsi" w:hAnsiTheme="minorHAnsi"/>
                <w:bCs/>
                <w:sz w:val="22"/>
                <w:szCs w:val="22"/>
              </w:rPr>
              <w:t>are</w:t>
            </w:r>
            <w:r w:rsidRPr="00F65705">
              <w:rPr>
                <w:rFonts w:asciiTheme="minorHAnsi" w:hAnsiTheme="minorHAnsi"/>
                <w:bCs/>
                <w:sz w:val="22"/>
                <w:szCs w:val="22"/>
              </w:rPr>
              <w:t xml:space="preserve"> currently no proposed change</w:t>
            </w:r>
            <w:r w:rsidR="001508FB" w:rsidRPr="00F65705">
              <w:rPr>
                <w:rFonts w:asciiTheme="minorHAnsi" w:hAnsiTheme="minorHAnsi"/>
                <w:bCs/>
                <w:sz w:val="22"/>
                <w:szCs w:val="22"/>
              </w:rPr>
              <w:t>s to existing policy settings</w:t>
            </w:r>
            <w:r w:rsidRPr="00F65705">
              <w:rPr>
                <w:rFonts w:asciiTheme="minorHAnsi" w:hAnsiTheme="minorHAnsi"/>
                <w:bCs/>
                <w:sz w:val="22"/>
                <w:szCs w:val="22"/>
              </w:rPr>
              <w:t xml:space="preserve"> for existing partial cost recovery arrangements. </w:t>
            </w:r>
          </w:p>
          <w:p w14:paraId="1E33B739" w14:textId="4E304E80" w:rsidR="00140BED" w:rsidRPr="00F65705" w:rsidRDefault="008B2DB0" w:rsidP="008B2DB0">
            <w:pPr>
              <w:spacing w:before="120" w:after="120" w:line="259" w:lineRule="auto"/>
              <w:rPr>
                <w:rFonts w:asciiTheme="minorHAnsi" w:hAnsiTheme="minorHAnsi" w:cstheme="minorHAnsi"/>
                <w:sz w:val="22"/>
                <w:szCs w:val="22"/>
              </w:rPr>
            </w:pPr>
            <w:r w:rsidRPr="00F65705">
              <w:rPr>
                <w:rFonts w:asciiTheme="minorHAnsi" w:hAnsiTheme="minorHAnsi"/>
                <w:bCs/>
                <w:sz w:val="22"/>
                <w:szCs w:val="22"/>
              </w:rPr>
              <w:t xml:space="preserve">The Department </w:t>
            </w:r>
            <w:r w:rsidR="001508FB" w:rsidRPr="00F65705">
              <w:rPr>
                <w:rFonts w:asciiTheme="minorHAnsi" w:hAnsiTheme="minorHAnsi"/>
                <w:bCs/>
                <w:sz w:val="22"/>
                <w:szCs w:val="22"/>
              </w:rPr>
              <w:t xml:space="preserve">continues to </w:t>
            </w:r>
            <w:r w:rsidRPr="00F65705">
              <w:rPr>
                <w:rFonts w:asciiTheme="minorHAnsi" w:hAnsiTheme="minorHAnsi"/>
                <w:bCs/>
                <w:sz w:val="22"/>
                <w:szCs w:val="22"/>
              </w:rPr>
              <w:t xml:space="preserve">remain committed to ongoing </w:t>
            </w:r>
            <w:r w:rsidR="001508FB" w:rsidRPr="00F65705">
              <w:rPr>
                <w:rFonts w:asciiTheme="minorHAnsi" w:hAnsiTheme="minorHAnsi"/>
                <w:bCs/>
                <w:sz w:val="22"/>
                <w:szCs w:val="22"/>
              </w:rPr>
              <w:t xml:space="preserve">stakeholder </w:t>
            </w:r>
            <w:r w:rsidRPr="00F65705">
              <w:rPr>
                <w:rFonts w:asciiTheme="minorHAnsi" w:hAnsiTheme="minorHAnsi"/>
                <w:bCs/>
                <w:sz w:val="22"/>
                <w:szCs w:val="22"/>
              </w:rPr>
              <w:t>consultation on any future proposed changes to the structure of cost recovery fees.</w:t>
            </w:r>
          </w:p>
        </w:tc>
      </w:tr>
      <w:tr w:rsidR="00F65705" w:rsidRPr="00F65705" w14:paraId="49CB4084" w14:textId="77777777" w:rsidTr="007E6C76">
        <w:tc>
          <w:tcPr>
            <w:tcW w:w="13948" w:type="dxa"/>
            <w:gridSpan w:val="2"/>
            <w:shd w:val="clear" w:color="auto" w:fill="D9D9D9" w:themeFill="background1" w:themeFillShade="D9"/>
          </w:tcPr>
          <w:p w14:paraId="07DD246E" w14:textId="2E4053DA" w:rsidR="00140BED" w:rsidRPr="00F65705" w:rsidRDefault="00D3145A" w:rsidP="007E6C76">
            <w:pPr>
              <w:spacing w:before="120" w:after="120" w:line="259" w:lineRule="auto"/>
              <w:rPr>
                <w:rFonts w:asciiTheme="minorHAnsi" w:hAnsiTheme="minorHAnsi"/>
                <w:bCs/>
                <w:i/>
                <w:iCs/>
                <w:sz w:val="22"/>
                <w:szCs w:val="22"/>
              </w:rPr>
            </w:pPr>
            <w:r w:rsidRPr="00F65705">
              <w:rPr>
                <w:rFonts w:asciiTheme="minorHAnsi" w:hAnsiTheme="minorHAnsi"/>
                <w:bCs/>
                <w:i/>
                <w:iCs/>
                <w:sz w:val="22"/>
                <w:szCs w:val="22"/>
              </w:rPr>
              <w:t>Access to quality use of the PBS listed medicines and</w:t>
            </w:r>
            <w:r w:rsidR="002E616A" w:rsidRPr="00F65705">
              <w:rPr>
                <w:rFonts w:asciiTheme="minorHAnsi" w:hAnsiTheme="minorHAnsi"/>
                <w:bCs/>
                <w:i/>
                <w:iCs/>
                <w:sz w:val="22"/>
                <w:szCs w:val="22"/>
              </w:rPr>
              <w:t xml:space="preserve"> NIP listed</w:t>
            </w:r>
            <w:r w:rsidRPr="00F65705">
              <w:rPr>
                <w:rFonts w:asciiTheme="minorHAnsi" w:hAnsiTheme="minorHAnsi"/>
                <w:bCs/>
                <w:i/>
                <w:iCs/>
                <w:sz w:val="22"/>
                <w:szCs w:val="22"/>
              </w:rPr>
              <w:t xml:space="preserve"> vaccines </w:t>
            </w:r>
          </w:p>
        </w:tc>
      </w:tr>
      <w:tr w:rsidR="00F65705" w:rsidRPr="00F65705" w14:paraId="6884D4E1" w14:textId="77777777" w:rsidTr="007E6C76">
        <w:tc>
          <w:tcPr>
            <w:tcW w:w="7015" w:type="dxa"/>
          </w:tcPr>
          <w:p w14:paraId="1576D668" w14:textId="4FAA04E6" w:rsidR="00140BED" w:rsidRPr="00F65705" w:rsidRDefault="002E616A" w:rsidP="007E6C76">
            <w:p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S</w:t>
            </w:r>
            <w:r w:rsidR="00D3145A" w:rsidRPr="00F65705">
              <w:rPr>
                <w:rFonts w:asciiTheme="minorHAnsi" w:hAnsiTheme="minorHAnsi" w:cstheme="minorHAnsi"/>
                <w:sz w:val="22"/>
                <w:szCs w:val="22"/>
              </w:rPr>
              <w:t xml:space="preserve">takeholders commented on the need for an appropriate cost recovery fee </w:t>
            </w:r>
            <w:r w:rsidRPr="00F65705">
              <w:rPr>
                <w:rFonts w:asciiTheme="minorHAnsi" w:hAnsiTheme="minorHAnsi" w:cstheme="minorHAnsi"/>
                <w:sz w:val="22"/>
                <w:szCs w:val="22"/>
              </w:rPr>
              <w:t xml:space="preserve">structure. Support was </w:t>
            </w:r>
            <w:r w:rsidR="00D3145A" w:rsidRPr="00F65705">
              <w:rPr>
                <w:rFonts w:asciiTheme="minorHAnsi" w:hAnsiTheme="minorHAnsi" w:cstheme="minorHAnsi"/>
                <w:sz w:val="22"/>
                <w:szCs w:val="22"/>
              </w:rPr>
              <w:t xml:space="preserve">expressed </w:t>
            </w:r>
            <w:r w:rsidRPr="00F65705">
              <w:rPr>
                <w:rFonts w:asciiTheme="minorHAnsi" w:hAnsiTheme="minorHAnsi" w:cstheme="minorHAnsi"/>
                <w:sz w:val="22"/>
                <w:szCs w:val="22"/>
              </w:rPr>
              <w:t xml:space="preserve">for </w:t>
            </w:r>
            <w:r w:rsidR="00D3145A" w:rsidRPr="00F65705">
              <w:rPr>
                <w:rFonts w:asciiTheme="minorHAnsi" w:hAnsiTheme="minorHAnsi" w:cstheme="minorHAnsi"/>
                <w:sz w:val="22"/>
                <w:szCs w:val="22"/>
              </w:rPr>
              <w:t xml:space="preserve">the </w:t>
            </w:r>
            <w:r w:rsidRPr="00F65705">
              <w:rPr>
                <w:rFonts w:asciiTheme="minorHAnsi" w:hAnsiTheme="minorHAnsi" w:cstheme="minorHAnsi"/>
                <w:sz w:val="22"/>
                <w:szCs w:val="22"/>
              </w:rPr>
              <w:t xml:space="preserve">existing fee structure which contributes to </w:t>
            </w:r>
            <w:r w:rsidR="00D3145A" w:rsidRPr="00F65705">
              <w:rPr>
                <w:rFonts w:asciiTheme="minorHAnsi" w:hAnsiTheme="minorHAnsi" w:cstheme="minorHAnsi"/>
                <w:sz w:val="22"/>
                <w:szCs w:val="22"/>
              </w:rPr>
              <w:t xml:space="preserve">ensuring continuity of public access to cost-effective and affordable medicines listed on the PBS and vaccines </w:t>
            </w:r>
            <w:r w:rsidR="00791B91" w:rsidRPr="00F65705">
              <w:rPr>
                <w:rFonts w:asciiTheme="minorHAnsi" w:hAnsiTheme="minorHAnsi" w:cstheme="minorHAnsi"/>
                <w:sz w:val="22"/>
                <w:szCs w:val="22"/>
              </w:rPr>
              <w:t xml:space="preserve">listed </w:t>
            </w:r>
            <w:r w:rsidR="00D3145A" w:rsidRPr="00F65705">
              <w:rPr>
                <w:rFonts w:asciiTheme="minorHAnsi" w:hAnsiTheme="minorHAnsi" w:cstheme="minorHAnsi"/>
                <w:sz w:val="22"/>
                <w:szCs w:val="22"/>
              </w:rPr>
              <w:t xml:space="preserve">on the NIP. </w:t>
            </w:r>
          </w:p>
        </w:tc>
        <w:tc>
          <w:tcPr>
            <w:tcW w:w="6933" w:type="dxa"/>
          </w:tcPr>
          <w:p w14:paraId="0B0C0E14" w14:textId="012DE3F8" w:rsidR="00140BED" w:rsidRPr="00F65705" w:rsidRDefault="00FA4269" w:rsidP="007E6C76">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 xml:space="preserve">The Department </w:t>
            </w:r>
            <w:r w:rsidR="002E616A" w:rsidRPr="00F65705">
              <w:rPr>
                <w:rFonts w:asciiTheme="minorHAnsi" w:hAnsiTheme="minorHAnsi" w:cstheme="minorHAnsi"/>
                <w:sz w:val="22"/>
                <w:szCs w:val="22"/>
              </w:rPr>
              <w:t xml:space="preserve">remains committed to </w:t>
            </w:r>
            <w:r w:rsidR="00791B91" w:rsidRPr="00F65705">
              <w:rPr>
                <w:rFonts w:asciiTheme="minorHAnsi" w:hAnsiTheme="minorHAnsi" w:cstheme="minorHAnsi"/>
                <w:sz w:val="22"/>
                <w:szCs w:val="22"/>
              </w:rPr>
              <w:t xml:space="preserve">timely and affordable access to medicines listed on the PBS and vaccines listed on the NIP. </w:t>
            </w:r>
            <w:r w:rsidRPr="00F65705">
              <w:rPr>
                <w:rFonts w:asciiTheme="minorHAnsi" w:hAnsiTheme="minorHAnsi" w:cstheme="minorHAnsi"/>
                <w:sz w:val="22"/>
                <w:szCs w:val="22"/>
              </w:rPr>
              <w:t>The Department</w:t>
            </w:r>
            <w:r w:rsidR="00791B91" w:rsidRPr="00F65705">
              <w:rPr>
                <w:rFonts w:asciiTheme="minorHAnsi" w:hAnsiTheme="minorHAnsi" w:cstheme="minorHAnsi"/>
                <w:sz w:val="22"/>
                <w:szCs w:val="22"/>
              </w:rPr>
              <w:t xml:space="preserve"> conducts an annual review of the </w:t>
            </w:r>
            <w:r w:rsidR="00185A51" w:rsidRPr="00F65705">
              <w:rPr>
                <w:rFonts w:asciiTheme="minorHAnsi" w:hAnsiTheme="minorHAnsi" w:cstheme="minorHAnsi"/>
                <w:sz w:val="22"/>
                <w:szCs w:val="22"/>
              </w:rPr>
              <w:t>activity-based</w:t>
            </w:r>
            <w:r w:rsidR="00791B91" w:rsidRPr="00F65705">
              <w:rPr>
                <w:rFonts w:asciiTheme="minorHAnsi" w:hAnsiTheme="minorHAnsi" w:cstheme="minorHAnsi"/>
                <w:sz w:val="22"/>
                <w:szCs w:val="22"/>
              </w:rPr>
              <w:t xml:space="preserve"> cost model inputs to</w:t>
            </w:r>
            <w:r w:rsidRPr="00F65705">
              <w:rPr>
                <w:rFonts w:asciiTheme="minorHAnsi" w:hAnsiTheme="minorHAnsi" w:cstheme="minorHAnsi"/>
                <w:sz w:val="22"/>
                <w:szCs w:val="22"/>
              </w:rPr>
              <w:t xml:space="preserve"> </w:t>
            </w:r>
            <w:r w:rsidR="00791B91" w:rsidRPr="00F65705">
              <w:rPr>
                <w:rFonts w:asciiTheme="minorHAnsi" w:hAnsiTheme="minorHAnsi" w:cstheme="minorHAnsi"/>
                <w:sz w:val="22"/>
                <w:szCs w:val="22"/>
              </w:rPr>
              <w:t xml:space="preserve">ensure </w:t>
            </w:r>
            <w:r w:rsidR="00185A51" w:rsidRPr="00F65705">
              <w:rPr>
                <w:rFonts w:asciiTheme="minorHAnsi" w:hAnsiTheme="minorHAnsi" w:cstheme="minorHAnsi"/>
                <w:sz w:val="22"/>
                <w:szCs w:val="22"/>
              </w:rPr>
              <w:t>the model and associated fees</w:t>
            </w:r>
            <w:r w:rsidR="00791B91" w:rsidRPr="00F65705">
              <w:rPr>
                <w:rFonts w:asciiTheme="minorHAnsi" w:hAnsiTheme="minorHAnsi" w:cstheme="minorHAnsi"/>
                <w:sz w:val="22"/>
                <w:szCs w:val="22"/>
              </w:rPr>
              <w:t xml:space="preserve"> remain</w:t>
            </w:r>
            <w:r w:rsidR="00185A51" w:rsidRPr="00F65705">
              <w:rPr>
                <w:rFonts w:asciiTheme="minorHAnsi" w:hAnsiTheme="minorHAnsi" w:cstheme="minorHAnsi"/>
                <w:sz w:val="22"/>
                <w:szCs w:val="22"/>
              </w:rPr>
              <w:t>s</w:t>
            </w:r>
            <w:r w:rsidR="00791B91" w:rsidRPr="00F65705">
              <w:rPr>
                <w:rFonts w:asciiTheme="minorHAnsi" w:hAnsiTheme="minorHAnsi" w:cstheme="minorHAnsi"/>
                <w:sz w:val="22"/>
                <w:szCs w:val="22"/>
              </w:rPr>
              <w:t xml:space="preserve"> contemporary. </w:t>
            </w:r>
            <w:r w:rsidR="004E3572" w:rsidRPr="00F65705">
              <w:rPr>
                <w:rFonts w:asciiTheme="minorHAnsi" w:hAnsiTheme="minorHAnsi" w:cstheme="minorHAnsi"/>
                <w:sz w:val="22"/>
                <w:szCs w:val="22"/>
              </w:rPr>
              <w:t>Further, a</w:t>
            </w:r>
            <w:r w:rsidR="00791B91" w:rsidRPr="00F65705">
              <w:rPr>
                <w:rFonts w:asciiTheme="minorHAnsi" w:hAnsiTheme="minorHAnsi" w:cstheme="minorHAnsi"/>
                <w:sz w:val="22"/>
                <w:szCs w:val="22"/>
              </w:rPr>
              <w:t xml:space="preserve"> recent independent review of the </w:t>
            </w:r>
            <w:r w:rsidR="00185A51" w:rsidRPr="00F65705">
              <w:rPr>
                <w:rFonts w:asciiTheme="minorHAnsi" w:hAnsiTheme="minorHAnsi" w:cstheme="minorHAnsi"/>
                <w:sz w:val="22"/>
                <w:szCs w:val="22"/>
              </w:rPr>
              <w:t>activity-based</w:t>
            </w:r>
            <w:r w:rsidR="00791B91" w:rsidRPr="00F65705">
              <w:rPr>
                <w:rFonts w:asciiTheme="minorHAnsi" w:hAnsiTheme="minorHAnsi" w:cstheme="minorHAnsi"/>
                <w:sz w:val="22"/>
                <w:szCs w:val="22"/>
              </w:rPr>
              <w:t xml:space="preserve"> cost model found that the model remains appropriately structured and </w:t>
            </w:r>
            <w:r w:rsidR="004E3572" w:rsidRPr="00F65705">
              <w:rPr>
                <w:rFonts w:asciiTheme="minorHAnsi" w:hAnsiTheme="minorHAnsi" w:cstheme="minorHAnsi"/>
                <w:sz w:val="22"/>
                <w:szCs w:val="22"/>
              </w:rPr>
              <w:t>fit for purpose</w:t>
            </w:r>
            <w:r w:rsidR="00791B91" w:rsidRPr="00F65705">
              <w:rPr>
                <w:rFonts w:asciiTheme="minorHAnsi" w:hAnsiTheme="minorHAnsi" w:cstheme="minorHAnsi"/>
                <w:sz w:val="22"/>
                <w:szCs w:val="22"/>
              </w:rPr>
              <w:t xml:space="preserve">. Additionally, </w:t>
            </w:r>
            <w:proofErr w:type="gramStart"/>
            <w:r w:rsidR="004E3572" w:rsidRPr="00F65705">
              <w:rPr>
                <w:rFonts w:asciiTheme="minorHAnsi" w:hAnsiTheme="minorHAnsi" w:cstheme="minorHAnsi"/>
                <w:sz w:val="22"/>
                <w:szCs w:val="22"/>
              </w:rPr>
              <w:t>as a result of</w:t>
            </w:r>
            <w:proofErr w:type="gramEnd"/>
            <w:r w:rsidR="004E3572" w:rsidRPr="00F65705">
              <w:rPr>
                <w:rFonts w:asciiTheme="minorHAnsi" w:hAnsiTheme="minorHAnsi" w:cstheme="minorHAnsi"/>
                <w:sz w:val="22"/>
                <w:szCs w:val="22"/>
              </w:rPr>
              <w:t xml:space="preserve"> the independent review, </w:t>
            </w:r>
            <w:r w:rsidR="00791B91" w:rsidRPr="00F65705">
              <w:rPr>
                <w:rFonts w:asciiTheme="minorHAnsi" w:hAnsiTheme="minorHAnsi" w:cstheme="minorHAnsi"/>
                <w:sz w:val="22"/>
                <w:szCs w:val="22"/>
              </w:rPr>
              <w:t xml:space="preserve">the Department is conducting a time and motion study to review the full list of tasks accounted for in the cost model that make up the PBAC submission process to ensure that this list </w:t>
            </w:r>
            <w:r w:rsidR="004E3572" w:rsidRPr="00F65705">
              <w:rPr>
                <w:rFonts w:asciiTheme="minorHAnsi" w:hAnsiTheme="minorHAnsi" w:cstheme="minorHAnsi"/>
                <w:sz w:val="22"/>
                <w:szCs w:val="22"/>
              </w:rPr>
              <w:t>reflects current administrative processes.</w:t>
            </w:r>
            <w:r w:rsidRPr="00F65705">
              <w:rPr>
                <w:rFonts w:asciiTheme="minorHAnsi" w:hAnsiTheme="minorHAnsi" w:cstheme="minorHAnsi"/>
                <w:sz w:val="22"/>
                <w:szCs w:val="22"/>
              </w:rPr>
              <w:t xml:space="preserve"> </w:t>
            </w:r>
          </w:p>
        </w:tc>
      </w:tr>
      <w:tr w:rsidR="00F65705" w:rsidRPr="00F65705" w14:paraId="329B7258" w14:textId="77777777" w:rsidTr="007E6C76">
        <w:tc>
          <w:tcPr>
            <w:tcW w:w="13948" w:type="dxa"/>
            <w:gridSpan w:val="2"/>
            <w:shd w:val="clear" w:color="auto" w:fill="D9D9D9" w:themeFill="background1" w:themeFillShade="D9"/>
          </w:tcPr>
          <w:p w14:paraId="4AE79DBF" w14:textId="05360280" w:rsidR="00140BED" w:rsidRPr="00F65705" w:rsidRDefault="003130B8" w:rsidP="007E6C76">
            <w:pPr>
              <w:spacing w:before="120" w:after="120" w:line="259" w:lineRule="auto"/>
              <w:rPr>
                <w:rFonts w:asciiTheme="minorHAnsi" w:hAnsiTheme="minorHAnsi"/>
                <w:bCs/>
                <w:i/>
                <w:iCs/>
                <w:sz w:val="22"/>
                <w:szCs w:val="22"/>
              </w:rPr>
            </w:pPr>
            <w:r w:rsidRPr="00F65705">
              <w:rPr>
                <w:rFonts w:asciiTheme="minorHAnsi" w:hAnsiTheme="minorHAnsi"/>
                <w:bCs/>
                <w:i/>
                <w:iCs/>
                <w:sz w:val="22"/>
                <w:szCs w:val="22"/>
              </w:rPr>
              <w:lastRenderedPageBreak/>
              <w:t>Fee w</w:t>
            </w:r>
            <w:r w:rsidR="00D3145A" w:rsidRPr="00F65705">
              <w:rPr>
                <w:rFonts w:asciiTheme="minorHAnsi" w:hAnsiTheme="minorHAnsi"/>
                <w:bCs/>
                <w:i/>
                <w:iCs/>
                <w:sz w:val="22"/>
                <w:szCs w:val="22"/>
              </w:rPr>
              <w:t xml:space="preserve">aivers and exemptions  </w:t>
            </w:r>
          </w:p>
        </w:tc>
      </w:tr>
      <w:tr w:rsidR="00F65705" w:rsidRPr="00F65705" w14:paraId="238FABC0" w14:textId="77777777" w:rsidTr="007E6C76">
        <w:tc>
          <w:tcPr>
            <w:tcW w:w="7015" w:type="dxa"/>
          </w:tcPr>
          <w:p w14:paraId="107E582A" w14:textId="728AF302" w:rsidR="00140BED" w:rsidRPr="00F65705" w:rsidRDefault="00544200" w:rsidP="007E6C76">
            <w:p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 xml:space="preserve">Stakeholders requested </w:t>
            </w:r>
            <w:r w:rsidR="004E3572" w:rsidRPr="00F65705">
              <w:rPr>
                <w:rFonts w:asciiTheme="minorHAnsi" w:hAnsiTheme="minorHAnsi" w:cstheme="minorHAnsi"/>
                <w:sz w:val="22"/>
                <w:szCs w:val="22"/>
              </w:rPr>
              <w:t>more than one opportunity to seek</w:t>
            </w:r>
            <w:r w:rsidRPr="00F65705">
              <w:rPr>
                <w:rFonts w:asciiTheme="minorHAnsi" w:hAnsiTheme="minorHAnsi" w:cstheme="minorHAnsi"/>
                <w:sz w:val="22"/>
                <w:szCs w:val="22"/>
              </w:rPr>
              <w:t xml:space="preserve"> fee exemptions for</w:t>
            </w:r>
            <w:r w:rsidR="004E3572" w:rsidRPr="00F65705">
              <w:rPr>
                <w:rFonts w:asciiTheme="minorHAnsi" w:hAnsiTheme="minorHAnsi" w:cstheme="minorHAnsi"/>
                <w:sz w:val="22"/>
                <w:szCs w:val="22"/>
              </w:rPr>
              <w:t xml:space="preserve"> submissions relating to the listing of TGA designated</w:t>
            </w:r>
            <w:r w:rsidRPr="00F65705">
              <w:rPr>
                <w:rFonts w:asciiTheme="minorHAnsi" w:hAnsiTheme="minorHAnsi" w:cstheme="minorHAnsi"/>
                <w:sz w:val="22"/>
                <w:szCs w:val="22"/>
              </w:rPr>
              <w:t xml:space="preserve"> orphan medicines</w:t>
            </w:r>
            <w:r w:rsidR="004E3572" w:rsidRPr="00F65705">
              <w:rPr>
                <w:rFonts w:asciiTheme="minorHAnsi" w:hAnsiTheme="minorHAnsi" w:cstheme="minorHAnsi"/>
                <w:sz w:val="22"/>
                <w:szCs w:val="22"/>
              </w:rPr>
              <w:t>.</w:t>
            </w:r>
          </w:p>
        </w:tc>
        <w:tc>
          <w:tcPr>
            <w:tcW w:w="6933" w:type="dxa"/>
          </w:tcPr>
          <w:p w14:paraId="0B925C60" w14:textId="233D70B3" w:rsidR="004E3572" w:rsidRPr="00F65705" w:rsidRDefault="004E3572" w:rsidP="007E6C76">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 xml:space="preserve">Under current arrangements, applicants may seek a fee exemption if the submission relates to a designated orphan </w:t>
            </w:r>
            <w:proofErr w:type="gramStart"/>
            <w:r w:rsidRPr="00F65705">
              <w:rPr>
                <w:rFonts w:asciiTheme="minorHAnsi" w:hAnsiTheme="minorHAnsi" w:cstheme="minorHAnsi"/>
                <w:sz w:val="22"/>
                <w:szCs w:val="22"/>
              </w:rPr>
              <w:t>drug</w:t>
            </w:r>
            <w:proofErr w:type="gramEnd"/>
            <w:r w:rsidRPr="00F65705">
              <w:rPr>
                <w:rFonts w:asciiTheme="minorHAnsi" w:hAnsiTheme="minorHAnsi" w:cstheme="minorHAnsi"/>
                <w:sz w:val="22"/>
                <w:szCs w:val="22"/>
              </w:rPr>
              <w:t xml:space="preserve"> and it is the first time that </w:t>
            </w:r>
            <w:r w:rsidR="009E4297" w:rsidRPr="00F65705">
              <w:rPr>
                <w:rFonts w:asciiTheme="minorHAnsi" w:hAnsiTheme="minorHAnsi" w:cstheme="minorHAnsi"/>
                <w:sz w:val="22"/>
                <w:szCs w:val="22"/>
              </w:rPr>
              <w:t xml:space="preserve">the </w:t>
            </w:r>
            <w:r w:rsidRPr="00F65705">
              <w:rPr>
                <w:rFonts w:asciiTheme="minorHAnsi" w:hAnsiTheme="minorHAnsi" w:cstheme="minorHAnsi"/>
                <w:sz w:val="22"/>
                <w:szCs w:val="22"/>
              </w:rPr>
              <w:t xml:space="preserve">PBAC </w:t>
            </w:r>
            <w:r w:rsidR="009E4297" w:rsidRPr="00F65705">
              <w:rPr>
                <w:rFonts w:asciiTheme="minorHAnsi" w:hAnsiTheme="minorHAnsi" w:cstheme="minorHAnsi"/>
                <w:sz w:val="22"/>
                <w:szCs w:val="22"/>
              </w:rPr>
              <w:t>has</w:t>
            </w:r>
            <w:r w:rsidRPr="00F65705">
              <w:rPr>
                <w:rFonts w:asciiTheme="minorHAnsi" w:hAnsiTheme="minorHAnsi" w:cstheme="minorHAnsi"/>
                <w:sz w:val="22"/>
                <w:szCs w:val="22"/>
              </w:rPr>
              <w:t xml:space="preserve"> considered the drug. </w:t>
            </w:r>
          </w:p>
          <w:p w14:paraId="5D63A36F" w14:textId="1E57AA70" w:rsidR="004E3572" w:rsidRPr="00F65705" w:rsidRDefault="004E3572" w:rsidP="007E6C76">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 xml:space="preserve">The Department does not currently have any plans to review and amend </w:t>
            </w:r>
            <w:r w:rsidR="009E4297" w:rsidRPr="00F65705">
              <w:rPr>
                <w:rFonts w:asciiTheme="minorHAnsi" w:hAnsiTheme="minorHAnsi" w:cstheme="minorHAnsi"/>
                <w:sz w:val="22"/>
                <w:szCs w:val="22"/>
              </w:rPr>
              <w:t xml:space="preserve">the </w:t>
            </w:r>
            <w:r w:rsidRPr="00F65705">
              <w:rPr>
                <w:rFonts w:asciiTheme="minorHAnsi" w:hAnsiTheme="minorHAnsi" w:cstheme="minorHAnsi"/>
                <w:sz w:val="22"/>
                <w:szCs w:val="22"/>
              </w:rPr>
              <w:t>existing fee exemption criteria.</w:t>
            </w:r>
          </w:p>
          <w:p w14:paraId="0AABBFBC" w14:textId="07194545" w:rsidR="003130B8" w:rsidRPr="00F65705" w:rsidRDefault="004E3572" w:rsidP="003130B8">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Sponsors are reminded that fee waiver requests also remain applicable to all submission types</w:t>
            </w:r>
            <w:r w:rsidR="003130B8" w:rsidRPr="00F65705">
              <w:rPr>
                <w:rFonts w:asciiTheme="minorHAnsi" w:hAnsiTheme="minorHAnsi" w:cstheme="minorHAnsi"/>
                <w:sz w:val="22"/>
                <w:szCs w:val="22"/>
              </w:rPr>
              <w:t>, including for those submissions seeking</w:t>
            </w:r>
            <w:r w:rsidR="009E4297" w:rsidRPr="00F65705">
              <w:rPr>
                <w:rFonts w:asciiTheme="minorHAnsi" w:hAnsiTheme="minorHAnsi" w:cstheme="minorHAnsi"/>
                <w:sz w:val="22"/>
                <w:szCs w:val="22"/>
              </w:rPr>
              <w:t xml:space="preserve"> the</w:t>
            </w:r>
            <w:r w:rsidR="003130B8" w:rsidRPr="00F65705">
              <w:rPr>
                <w:rFonts w:asciiTheme="minorHAnsi" w:hAnsiTheme="minorHAnsi" w:cstheme="minorHAnsi"/>
                <w:sz w:val="22"/>
                <w:szCs w:val="22"/>
              </w:rPr>
              <w:t xml:space="preserve"> PBAC consideration a second or greater time. Fee waiver decisions are made by a delegate of the Department’s Secretary. The delegate will consider the financial viability</w:t>
            </w:r>
            <w:r w:rsidR="009E4297" w:rsidRPr="00F65705">
              <w:rPr>
                <w:rFonts w:asciiTheme="minorHAnsi" w:hAnsiTheme="minorHAnsi" w:cstheme="minorHAnsi"/>
                <w:sz w:val="22"/>
                <w:szCs w:val="22"/>
              </w:rPr>
              <w:t xml:space="preserve"> and public interest</w:t>
            </w:r>
            <w:r w:rsidR="003130B8" w:rsidRPr="00F65705">
              <w:rPr>
                <w:rFonts w:asciiTheme="minorHAnsi" w:hAnsiTheme="minorHAnsi" w:cstheme="minorHAnsi"/>
                <w:sz w:val="22"/>
                <w:szCs w:val="22"/>
              </w:rPr>
              <w:t xml:space="preserve"> of the submission</w:t>
            </w:r>
            <w:r w:rsidR="009E4297" w:rsidRPr="00F65705">
              <w:rPr>
                <w:rFonts w:asciiTheme="minorHAnsi" w:hAnsiTheme="minorHAnsi" w:cstheme="minorHAnsi"/>
                <w:sz w:val="22"/>
                <w:szCs w:val="22"/>
              </w:rPr>
              <w:t>,</w:t>
            </w:r>
            <w:r w:rsidR="003130B8" w:rsidRPr="00F65705">
              <w:rPr>
                <w:rFonts w:asciiTheme="minorHAnsi" w:hAnsiTheme="minorHAnsi" w:cstheme="minorHAnsi"/>
                <w:sz w:val="22"/>
                <w:szCs w:val="22"/>
              </w:rPr>
              <w:t xml:space="preserve"> </w:t>
            </w:r>
            <w:r w:rsidR="009E4297" w:rsidRPr="00F65705">
              <w:rPr>
                <w:rFonts w:asciiTheme="minorHAnsi" w:hAnsiTheme="minorHAnsi" w:cstheme="minorHAnsi"/>
                <w:sz w:val="22"/>
                <w:szCs w:val="22"/>
              </w:rPr>
              <w:t>including</w:t>
            </w:r>
            <w:r w:rsidR="003130B8" w:rsidRPr="00F65705">
              <w:rPr>
                <w:rFonts w:asciiTheme="minorHAnsi" w:hAnsiTheme="minorHAnsi" w:cstheme="minorHAnsi"/>
                <w:sz w:val="22"/>
                <w:szCs w:val="22"/>
              </w:rPr>
              <w:t xml:space="preserve"> whether the drug or vaccine will be used:</w:t>
            </w:r>
          </w:p>
          <w:p w14:paraId="50B3830F" w14:textId="64236743" w:rsidR="003130B8" w:rsidRPr="00F65705" w:rsidRDefault="003130B8" w:rsidP="003130B8">
            <w:pPr>
              <w:pStyle w:val="ListParagraph"/>
              <w:numPr>
                <w:ilvl w:val="0"/>
                <w:numId w:val="32"/>
              </w:num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for palliative care; or</w:t>
            </w:r>
          </w:p>
          <w:p w14:paraId="2743F52E" w14:textId="77777777" w:rsidR="003130B8" w:rsidRPr="00F65705" w:rsidRDefault="003130B8" w:rsidP="003130B8">
            <w:pPr>
              <w:pStyle w:val="ListParagraph"/>
              <w:numPr>
                <w:ilvl w:val="0"/>
                <w:numId w:val="32"/>
              </w:num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as a paediatric medicine; or</w:t>
            </w:r>
          </w:p>
          <w:p w14:paraId="0C600345" w14:textId="7688D637" w:rsidR="003130B8" w:rsidRPr="00F65705" w:rsidRDefault="003130B8" w:rsidP="00F4372E">
            <w:pPr>
              <w:pStyle w:val="ListParagraph"/>
              <w:numPr>
                <w:ilvl w:val="0"/>
                <w:numId w:val="32"/>
              </w:num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for medical treatment of Aboriginal or Torres Strait Islander peoples.</w:t>
            </w:r>
          </w:p>
          <w:p w14:paraId="5A08ED97" w14:textId="7CE49674" w:rsidR="005945DB" w:rsidRPr="00F65705" w:rsidRDefault="003130B8" w:rsidP="007E6C76">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 xml:space="preserve">Additional information regarding orphan drug fee exemptions and fee waiver requests </w:t>
            </w:r>
            <w:r w:rsidR="005945DB" w:rsidRPr="00F65705">
              <w:rPr>
                <w:rFonts w:asciiTheme="minorHAnsi" w:hAnsiTheme="minorHAnsi" w:cstheme="minorHAnsi"/>
                <w:sz w:val="22"/>
                <w:szCs w:val="22"/>
              </w:rPr>
              <w:t xml:space="preserve">can be found on the </w:t>
            </w:r>
            <w:hyperlink r:id="rId15" w:anchor="Fee-waivers" w:history="1">
              <w:r w:rsidR="005945DB" w:rsidRPr="00F65705">
                <w:rPr>
                  <w:rStyle w:val="Hyperlink"/>
                  <w:rFonts w:asciiTheme="minorHAnsi" w:hAnsiTheme="minorHAnsi" w:cstheme="minorHAnsi"/>
                  <w:color w:val="auto"/>
                  <w:sz w:val="22"/>
                  <w:szCs w:val="22"/>
                </w:rPr>
                <w:t>PBS cost recovery webpage</w:t>
              </w:r>
            </w:hyperlink>
            <w:r w:rsidR="005945DB" w:rsidRPr="00F65705">
              <w:rPr>
                <w:rFonts w:asciiTheme="minorHAnsi" w:hAnsiTheme="minorHAnsi" w:cstheme="minorHAnsi"/>
                <w:sz w:val="22"/>
                <w:szCs w:val="22"/>
              </w:rPr>
              <w:t xml:space="preserve">.  </w:t>
            </w:r>
          </w:p>
        </w:tc>
      </w:tr>
      <w:tr w:rsidR="00F65705" w:rsidRPr="00F65705" w14:paraId="4E7B07A1" w14:textId="77777777" w:rsidTr="007E6C76">
        <w:tc>
          <w:tcPr>
            <w:tcW w:w="13948" w:type="dxa"/>
            <w:gridSpan w:val="2"/>
            <w:shd w:val="clear" w:color="auto" w:fill="D9D9D9" w:themeFill="background1" w:themeFillShade="D9"/>
          </w:tcPr>
          <w:p w14:paraId="2A02F4EE" w14:textId="043A548D" w:rsidR="00544200" w:rsidRPr="00F65705" w:rsidRDefault="00544200" w:rsidP="007E6C76">
            <w:pPr>
              <w:spacing w:before="120" w:after="120" w:line="259" w:lineRule="auto"/>
              <w:rPr>
                <w:rFonts w:asciiTheme="minorHAnsi" w:hAnsiTheme="minorHAnsi"/>
                <w:bCs/>
                <w:i/>
                <w:iCs/>
                <w:sz w:val="22"/>
                <w:szCs w:val="22"/>
              </w:rPr>
            </w:pPr>
            <w:r w:rsidRPr="00F65705">
              <w:rPr>
                <w:rFonts w:asciiTheme="minorHAnsi" w:hAnsiTheme="minorHAnsi"/>
                <w:bCs/>
                <w:i/>
                <w:iCs/>
                <w:sz w:val="22"/>
                <w:szCs w:val="22"/>
              </w:rPr>
              <w:t xml:space="preserve">Application of fees  </w:t>
            </w:r>
          </w:p>
        </w:tc>
      </w:tr>
      <w:tr w:rsidR="00F65705" w:rsidRPr="00F65705" w14:paraId="4B8F94B3" w14:textId="77777777" w:rsidTr="007E6C76">
        <w:tc>
          <w:tcPr>
            <w:tcW w:w="7015" w:type="dxa"/>
          </w:tcPr>
          <w:p w14:paraId="2881CBF8" w14:textId="6A906309" w:rsidR="00B96BE3" w:rsidRPr="00F65705" w:rsidRDefault="003130B8" w:rsidP="00B96BE3">
            <w:pPr>
              <w:spacing w:before="120" w:after="120" w:line="252" w:lineRule="auto"/>
              <w:rPr>
                <w:rFonts w:asciiTheme="minorHAnsi" w:hAnsiTheme="minorHAnsi" w:cstheme="minorHAnsi"/>
                <w:sz w:val="22"/>
                <w:szCs w:val="22"/>
              </w:rPr>
            </w:pPr>
            <w:r w:rsidRPr="00F65705">
              <w:rPr>
                <w:rFonts w:asciiTheme="minorHAnsi" w:hAnsiTheme="minorHAnsi" w:cstheme="minorHAnsi"/>
                <w:sz w:val="22"/>
                <w:szCs w:val="22"/>
              </w:rPr>
              <w:t>S</w:t>
            </w:r>
            <w:r w:rsidR="00B96BE3" w:rsidRPr="00F65705">
              <w:rPr>
                <w:rFonts w:asciiTheme="minorHAnsi" w:hAnsiTheme="minorHAnsi" w:cstheme="minorHAnsi"/>
                <w:sz w:val="22"/>
                <w:szCs w:val="22"/>
              </w:rPr>
              <w:t xml:space="preserve">takeholders </w:t>
            </w:r>
            <w:r w:rsidRPr="00F65705">
              <w:rPr>
                <w:rFonts w:asciiTheme="minorHAnsi" w:hAnsiTheme="minorHAnsi" w:cstheme="minorHAnsi"/>
                <w:sz w:val="22"/>
                <w:szCs w:val="22"/>
              </w:rPr>
              <w:t xml:space="preserve">expressed </w:t>
            </w:r>
            <w:r w:rsidR="00B96BE3" w:rsidRPr="00F65705">
              <w:rPr>
                <w:rFonts w:asciiTheme="minorHAnsi" w:hAnsiTheme="minorHAnsi" w:cstheme="minorHAnsi"/>
                <w:sz w:val="22"/>
                <w:szCs w:val="22"/>
              </w:rPr>
              <w:t>support of the fee waiver and fee exemption processes and policies</w:t>
            </w:r>
            <w:r w:rsidRPr="00F65705">
              <w:rPr>
                <w:rFonts w:asciiTheme="minorHAnsi" w:hAnsiTheme="minorHAnsi" w:cstheme="minorHAnsi"/>
                <w:sz w:val="22"/>
                <w:szCs w:val="22"/>
              </w:rPr>
              <w:t xml:space="preserve"> currently</w:t>
            </w:r>
            <w:r w:rsidR="00B96BE3" w:rsidRPr="00F65705">
              <w:rPr>
                <w:rFonts w:asciiTheme="minorHAnsi" w:hAnsiTheme="minorHAnsi" w:cstheme="minorHAnsi"/>
                <w:sz w:val="22"/>
                <w:szCs w:val="22"/>
              </w:rPr>
              <w:t xml:space="preserve"> in place.</w:t>
            </w:r>
          </w:p>
          <w:p w14:paraId="167AB500" w14:textId="40344289" w:rsidR="00B96BE3" w:rsidRPr="00F65705" w:rsidRDefault="003130B8" w:rsidP="00B96BE3">
            <w:pPr>
              <w:spacing w:before="120" w:after="120" w:line="252" w:lineRule="auto"/>
              <w:rPr>
                <w:rFonts w:asciiTheme="minorHAnsi" w:hAnsiTheme="minorHAnsi" w:cstheme="minorHAnsi"/>
                <w:sz w:val="22"/>
                <w:szCs w:val="22"/>
              </w:rPr>
            </w:pPr>
            <w:r w:rsidRPr="00F65705">
              <w:rPr>
                <w:rFonts w:asciiTheme="minorHAnsi" w:hAnsiTheme="minorHAnsi" w:cstheme="minorHAnsi"/>
                <w:sz w:val="22"/>
                <w:szCs w:val="22"/>
              </w:rPr>
              <w:t>Additional stakeholder comments</w:t>
            </w:r>
            <w:r w:rsidR="00B96BE3" w:rsidRPr="00F65705">
              <w:rPr>
                <w:rFonts w:asciiTheme="minorHAnsi" w:hAnsiTheme="minorHAnsi" w:cstheme="minorHAnsi"/>
                <w:sz w:val="22"/>
                <w:szCs w:val="22"/>
              </w:rPr>
              <w:t xml:space="preserve"> sought consultation and further consideration of waiver provisions and alternative fee structures for lower value medicines and vaccines or for smaller companies. Examples proposed include:</w:t>
            </w:r>
          </w:p>
          <w:p w14:paraId="7C7E748C" w14:textId="266F2137" w:rsidR="00B96BE3" w:rsidRPr="00F65705" w:rsidRDefault="00C10DF7" w:rsidP="00B96BE3">
            <w:pPr>
              <w:pStyle w:val="ListParagraph"/>
              <w:numPr>
                <w:ilvl w:val="0"/>
                <w:numId w:val="22"/>
              </w:numPr>
              <w:spacing w:before="120" w:after="120" w:line="252" w:lineRule="auto"/>
              <w:rPr>
                <w:rFonts w:asciiTheme="minorHAnsi" w:hAnsiTheme="minorHAnsi" w:cstheme="minorHAnsi"/>
                <w:sz w:val="22"/>
                <w:szCs w:val="22"/>
                <w:u w:val="single"/>
              </w:rPr>
            </w:pPr>
            <w:r w:rsidRPr="00F65705">
              <w:rPr>
                <w:rFonts w:asciiTheme="minorHAnsi" w:hAnsiTheme="minorHAnsi" w:cstheme="minorHAnsi"/>
                <w:sz w:val="22"/>
                <w:szCs w:val="22"/>
              </w:rPr>
              <w:lastRenderedPageBreak/>
              <w:t>a</w:t>
            </w:r>
            <w:r w:rsidR="00B96BE3" w:rsidRPr="00F65705">
              <w:rPr>
                <w:rFonts w:asciiTheme="minorHAnsi" w:hAnsiTheme="minorHAnsi" w:cstheme="minorHAnsi"/>
                <w:sz w:val="22"/>
                <w:szCs w:val="22"/>
              </w:rPr>
              <w:t xml:space="preserve"> risk-share approach to fees for lower revenue medicines and vaccines e.g., half the fee charged up front, with the remaining either charged once the projected revenue is reached or waived if revenue is lower than projected</w:t>
            </w:r>
            <w:r w:rsidRPr="00F65705">
              <w:rPr>
                <w:rFonts w:asciiTheme="minorHAnsi" w:hAnsiTheme="minorHAnsi" w:cstheme="minorHAnsi"/>
                <w:sz w:val="22"/>
                <w:szCs w:val="22"/>
              </w:rPr>
              <w:t>; or</w:t>
            </w:r>
          </w:p>
          <w:p w14:paraId="1A4A1DDE" w14:textId="6A2E35D9" w:rsidR="00B96BE3" w:rsidRPr="00F65705" w:rsidRDefault="00C10DF7" w:rsidP="00B96BE3">
            <w:pPr>
              <w:pStyle w:val="ListParagraph"/>
              <w:numPr>
                <w:ilvl w:val="0"/>
                <w:numId w:val="22"/>
              </w:numPr>
              <w:spacing w:before="120" w:after="120" w:line="252" w:lineRule="auto"/>
              <w:rPr>
                <w:rFonts w:asciiTheme="minorHAnsi" w:hAnsiTheme="minorHAnsi" w:cstheme="minorHAnsi"/>
                <w:sz w:val="22"/>
                <w:szCs w:val="22"/>
                <w:u w:val="single"/>
              </w:rPr>
            </w:pPr>
            <w:r w:rsidRPr="00F65705">
              <w:rPr>
                <w:rFonts w:asciiTheme="minorHAnsi" w:hAnsiTheme="minorHAnsi" w:cstheme="minorHAnsi"/>
                <w:sz w:val="22"/>
                <w:szCs w:val="22"/>
              </w:rPr>
              <w:t>a</w:t>
            </w:r>
            <w:r w:rsidR="00B96BE3" w:rsidRPr="00F65705">
              <w:rPr>
                <w:rFonts w:asciiTheme="minorHAnsi" w:hAnsiTheme="minorHAnsi" w:cstheme="minorHAnsi"/>
                <w:sz w:val="22"/>
                <w:szCs w:val="22"/>
              </w:rPr>
              <w:t xml:space="preserve"> phased payment plan for smaller companies</w:t>
            </w:r>
            <w:r w:rsidRPr="00F65705">
              <w:rPr>
                <w:rFonts w:asciiTheme="minorHAnsi" w:hAnsiTheme="minorHAnsi" w:cstheme="minorHAnsi"/>
                <w:sz w:val="22"/>
                <w:szCs w:val="22"/>
              </w:rPr>
              <w:t>; or</w:t>
            </w:r>
            <w:r w:rsidR="00B96BE3" w:rsidRPr="00F65705">
              <w:rPr>
                <w:rFonts w:asciiTheme="minorHAnsi" w:hAnsiTheme="minorHAnsi" w:cstheme="minorHAnsi"/>
                <w:sz w:val="22"/>
                <w:szCs w:val="22"/>
              </w:rPr>
              <w:t xml:space="preserve"> </w:t>
            </w:r>
          </w:p>
          <w:p w14:paraId="60E09C07" w14:textId="09D4B46E" w:rsidR="00B96BE3" w:rsidRPr="00F65705" w:rsidRDefault="00C10DF7" w:rsidP="00B96BE3">
            <w:pPr>
              <w:pStyle w:val="ListParagraph"/>
              <w:numPr>
                <w:ilvl w:val="0"/>
                <w:numId w:val="30"/>
              </w:num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a</w:t>
            </w:r>
            <w:r w:rsidR="00B96BE3" w:rsidRPr="00F65705">
              <w:rPr>
                <w:rFonts w:asciiTheme="minorHAnsi" w:hAnsiTheme="minorHAnsi" w:cstheme="minorHAnsi"/>
                <w:sz w:val="22"/>
                <w:szCs w:val="22"/>
              </w:rPr>
              <w:t xml:space="preserve"> fee structure based on the expected revenue for an individual product.</w:t>
            </w:r>
          </w:p>
        </w:tc>
        <w:tc>
          <w:tcPr>
            <w:tcW w:w="6933" w:type="dxa"/>
          </w:tcPr>
          <w:p w14:paraId="137DA2DF" w14:textId="328E3CA6" w:rsidR="00C10DF7" w:rsidRPr="00F65705" w:rsidRDefault="00C10DF7" w:rsidP="00C10DF7">
            <w:pPr>
              <w:spacing w:before="120" w:after="120" w:line="259" w:lineRule="auto"/>
              <w:rPr>
                <w:rFonts w:asciiTheme="minorHAnsi" w:hAnsiTheme="minorHAnsi"/>
                <w:bCs/>
                <w:sz w:val="22"/>
                <w:szCs w:val="22"/>
              </w:rPr>
            </w:pPr>
            <w:r w:rsidRPr="00F65705">
              <w:rPr>
                <w:rFonts w:asciiTheme="minorHAnsi" w:hAnsiTheme="minorHAnsi"/>
                <w:bCs/>
                <w:sz w:val="22"/>
                <w:szCs w:val="22"/>
              </w:rPr>
              <w:lastRenderedPageBreak/>
              <w:t>The Department appreciates and notes stakeholder feedback on this matter. This feedback may be considered for future changes to cost recovery arrangements.</w:t>
            </w:r>
          </w:p>
          <w:p w14:paraId="7A307A34" w14:textId="30481A14" w:rsidR="00FF020B" w:rsidRPr="00F65705" w:rsidRDefault="00B96BE3" w:rsidP="00B96BE3">
            <w:pPr>
              <w:spacing w:before="120" w:after="120" w:line="259" w:lineRule="auto"/>
              <w:rPr>
                <w:rFonts w:asciiTheme="minorHAnsi" w:hAnsiTheme="minorHAnsi" w:cstheme="minorHAnsi"/>
                <w:bCs/>
                <w:sz w:val="22"/>
                <w:szCs w:val="22"/>
              </w:rPr>
            </w:pPr>
            <w:r w:rsidRPr="00F65705">
              <w:rPr>
                <w:rFonts w:asciiTheme="minorHAnsi" w:hAnsiTheme="minorHAnsi" w:cstheme="minorHAnsi"/>
                <w:bCs/>
                <w:sz w:val="22"/>
                <w:szCs w:val="22"/>
              </w:rPr>
              <w:t>Current cost recovery policy arrangements require fees to be paid upfront and in full.</w:t>
            </w:r>
            <w:r w:rsidR="002E56FF" w:rsidRPr="00F65705">
              <w:rPr>
                <w:rFonts w:asciiTheme="minorHAnsi" w:hAnsiTheme="minorHAnsi" w:cstheme="minorHAnsi"/>
                <w:bCs/>
                <w:sz w:val="22"/>
                <w:szCs w:val="22"/>
              </w:rPr>
              <w:t xml:space="preserve"> This</w:t>
            </w:r>
            <w:r w:rsidR="00AD322A" w:rsidRPr="00F65705">
              <w:rPr>
                <w:rFonts w:asciiTheme="minorHAnsi" w:hAnsiTheme="minorHAnsi" w:cstheme="minorHAnsi"/>
                <w:bCs/>
                <w:sz w:val="22"/>
                <w:szCs w:val="22"/>
              </w:rPr>
              <w:t xml:space="preserve"> policy</w:t>
            </w:r>
            <w:r w:rsidR="002E56FF" w:rsidRPr="00F65705">
              <w:rPr>
                <w:rFonts w:asciiTheme="minorHAnsi" w:hAnsiTheme="minorHAnsi" w:cstheme="minorHAnsi"/>
                <w:bCs/>
                <w:sz w:val="22"/>
                <w:szCs w:val="22"/>
              </w:rPr>
              <w:t xml:space="preserve"> is </w:t>
            </w:r>
            <w:r w:rsidR="00773D1C" w:rsidRPr="00F65705">
              <w:rPr>
                <w:rFonts w:asciiTheme="minorHAnsi" w:hAnsiTheme="minorHAnsi" w:cstheme="minorHAnsi"/>
                <w:bCs/>
                <w:sz w:val="22"/>
                <w:szCs w:val="22"/>
              </w:rPr>
              <w:t xml:space="preserve">in place </w:t>
            </w:r>
            <w:r w:rsidR="002E56FF" w:rsidRPr="00F65705">
              <w:rPr>
                <w:rFonts w:asciiTheme="minorHAnsi" w:hAnsiTheme="minorHAnsi" w:cstheme="minorHAnsi"/>
                <w:bCs/>
                <w:sz w:val="22"/>
                <w:szCs w:val="22"/>
              </w:rPr>
              <w:t>to ensure that payments are received for the services provid</w:t>
            </w:r>
            <w:r w:rsidR="00AD322A" w:rsidRPr="00F65705">
              <w:rPr>
                <w:rFonts w:asciiTheme="minorHAnsi" w:hAnsiTheme="minorHAnsi" w:cstheme="minorHAnsi"/>
                <w:bCs/>
                <w:sz w:val="22"/>
                <w:szCs w:val="22"/>
              </w:rPr>
              <w:t>e</w:t>
            </w:r>
            <w:r w:rsidR="002E56FF" w:rsidRPr="00F65705">
              <w:rPr>
                <w:rFonts w:asciiTheme="minorHAnsi" w:hAnsiTheme="minorHAnsi" w:cstheme="minorHAnsi"/>
                <w:bCs/>
                <w:sz w:val="22"/>
                <w:szCs w:val="22"/>
              </w:rPr>
              <w:t>d by the Department to applicants</w:t>
            </w:r>
            <w:r w:rsidR="00CF330B" w:rsidRPr="00F65705">
              <w:rPr>
                <w:rFonts w:asciiTheme="minorHAnsi" w:hAnsiTheme="minorHAnsi" w:cstheme="minorHAnsi"/>
                <w:bCs/>
                <w:sz w:val="22"/>
                <w:szCs w:val="22"/>
              </w:rPr>
              <w:t xml:space="preserve"> </w:t>
            </w:r>
            <w:r w:rsidR="002E56FF" w:rsidRPr="00F65705">
              <w:rPr>
                <w:rFonts w:asciiTheme="minorHAnsi" w:hAnsiTheme="minorHAnsi" w:cstheme="minorHAnsi"/>
                <w:bCs/>
                <w:sz w:val="22"/>
                <w:szCs w:val="22"/>
              </w:rPr>
              <w:t xml:space="preserve">prior to </w:t>
            </w:r>
            <w:r w:rsidR="0004722B" w:rsidRPr="00F65705">
              <w:rPr>
                <w:rFonts w:asciiTheme="minorHAnsi" w:hAnsiTheme="minorHAnsi" w:cstheme="minorHAnsi"/>
                <w:bCs/>
                <w:sz w:val="22"/>
                <w:szCs w:val="22"/>
              </w:rPr>
              <w:t xml:space="preserve">the </w:t>
            </w:r>
            <w:r w:rsidR="002E56FF" w:rsidRPr="00F65705">
              <w:rPr>
                <w:rFonts w:asciiTheme="minorHAnsi" w:hAnsiTheme="minorHAnsi" w:cstheme="minorHAnsi"/>
                <w:bCs/>
                <w:sz w:val="22"/>
                <w:szCs w:val="22"/>
              </w:rPr>
              <w:t xml:space="preserve">PBAC </w:t>
            </w:r>
            <w:r w:rsidR="002E56FF" w:rsidRPr="00F65705">
              <w:rPr>
                <w:rFonts w:asciiTheme="minorHAnsi" w:hAnsiTheme="minorHAnsi" w:cstheme="minorHAnsi"/>
                <w:bCs/>
                <w:sz w:val="22"/>
                <w:szCs w:val="22"/>
              </w:rPr>
              <w:lastRenderedPageBreak/>
              <w:t>consideration</w:t>
            </w:r>
            <w:r w:rsidR="00FF020B" w:rsidRPr="00F65705">
              <w:rPr>
                <w:rFonts w:asciiTheme="minorHAnsi" w:hAnsiTheme="minorHAnsi" w:cstheme="minorHAnsi"/>
                <w:bCs/>
                <w:sz w:val="22"/>
                <w:szCs w:val="22"/>
              </w:rPr>
              <w:t>. This ensures that the Department does not expend additional resourcing on debt management activities.</w:t>
            </w:r>
            <w:r w:rsidR="00773D1C" w:rsidRPr="00F65705">
              <w:rPr>
                <w:rFonts w:asciiTheme="minorHAnsi" w:hAnsiTheme="minorHAnsi" w:cstheme="minorHAnsi"/>
                <w:bCs/>
                <w:sz w:val="22"/>
                <w:szCs w:val="22"/>
              </w:rPr>
              <w:t xml:space="preserve"> </w:t>
            </w:r>
          </w:p>
          <w:p w14:paraId="4B82020E" w14:textId="6852A703" w:rsidR="00B96BE3" w:rsidRPr="00F65705" w:rsidRDefault="00FF020B" w:rsidP="00B96BE3">
            <w:pPr>
              <w:spacing w:before="120" w:after="120" w:line="259" w:lineRule="auto"/>
              <w:rPr>
                <w:rFonts w:asciiTheme="minorHAnsi" w:hAnsiTheme="minorHAnsi" w:cstheme="minorHAnsi"/>
                <w:bCs/>
                <w:sz w:val="22"/>
                <w:szCs w:val="22"/>
              </w:rPr>
            </w:pPr>
            <w:r w:rsidRPr="00F65705">
              <w:rPr>
                <w:rFonts w:asciiTheme="minorHAnsi" w:hAnsiTheme="minorHAnsi" w:cstheme="minorHAnsi"/>
                <w:bCs/>
                <w:sz w:val="22"/>
                <w:szCs w:val="22"/>
              </w:rPr>
              <w:t>Additionally, i</w:t>
            </w:r>
            <w:r w:rsidR="00773D1C" w:rsidRPr="00F65705">
              <w:rPr>
                <w:rFonts w:asciiTheme="minorHAnsi" w:hAnsiTheme="minorHAnsi" w:cstheme="minorHAnsi"/>
                <w:bCs/>
                <w:sz w:val="22"/>
                <w:szCs w:val="22"/>
              </w:rPr>
              <w:t>f a</w:t>
            </w:r>
            <w:r w:rsidRPr="00F65705">
              <w:rPr>
                <w:rFonts w:asciiTheme="minorHAnsi" w:hAnsiTheme="minorHAnsi" w:cstheme="minorHAnsi"/>
                <w:bCs/>
                <w:sz w:val="22"/>
                <w:szCs w:val="22"/>
              </w:rPr>
              <w:t>n applicant’s request for</w:t>
            </w:r>
            <w:r w:rsidR="00773D1C" w:rsidRPr="00F65705">
              <w:rPr>
                <w:rFonts w:asciiTheme="minorHAnsi" w:hAnsiTheme="minorHAnsi" w:cstheme="minorHAnsi"/>
                <w:bCs/>
                <w:sz w:val="22"/>
                <w:szCs w:val="22"/>
              </w:rPr>
              <w:t xml:space="preserve"> service</w:t>
            </w:r>
            <w:r w:rsidRPr="00F65705">
              <w:rPr>
                <w:rFonts w:asciiTheme="minorHAnsi" w:hAnsiTheme="minorHAnsi" w:cstheme="minorHAnsi"/>
                <w:bCs/>
                <w:sz w:val="22"/>
                <w:szCs w:val="22"/>
              </w:rPr>
              <w:t>s</w:t>
            </w:r>
            <w:r w:rsidR="00773D1C" w:rsidRPr="00F65705">
              <w:rPr>
                <w:rFonts w:asciiTheme="minorHAnsi" w:hAnsiTheme="minorHAnsi" w:cstheme="minorHAnsi"/>
                <w:bCs/>
                <w:sz w:val="22"/>
                <w:szCs w:val="22"/>
              </w:rPr>
              <w:t xml:space="preserve"> </w:t>
            </w:r>
            <w:r w:rsidRPr="00F65705">
              <w:rPr>
                <w:rFonts w:asciiTheme="minorHAnsi" w:hAnsiTheme="minorHAnsi" w:cstheme="minorHAnsi"/>
                <w:bCs/>
                <w:sz w:val="22"/>
                <w:szCs w:val="22"/>
              </w:rPr>
              <w:t>is withdrawn</w:t>
            </w:r>
            <w:r w:rsidR="00773D1C" w:rsidRPr="00F65705">
              <w:rPr>
                <w:rFonts w:asciiTheme="minorHAnsi" w:hAnsiTheme="minorHAnsi" w:cstheme="minorHAnsi"/>
                <w:bCs/>
                <w:sz w:val="22"/>
                <w:szCs w:val="22"/>
              </w:rPr>
              <w:t xml:space="preserve"> </w:t>
            </w:r>
            <w:r w:rsidR="00AD322A" w:rsidRPr="00F65705">
              <w:rPr>
                <w:rFonts w:asciiTheme="minorHAnsi" w:hAnsiTheme="minorHAnsi" w:cstheme="minorHAnsi"/>
                <w:bCs/>
                <w:sz w:val="22"/>
                <w:szCs w:val="22"/>
              </w:rPr>
              <w:t xml:space="preserve">within the </w:t>
            </w:r>
            <w:r w:rsidRPr="00F65705">
              <w:rPr>
                <w:rFonts w:asciiTheme="minorHAnsi" w:hAnsiTheme="minorHAnsi" w:cstheme="minorHAnsi"/>
                <w:bCs/>
                <w:sz w:val="22"/>
                <w:szCs w:val="22"/>
              </w:rPr>
              <w:t xml:space="preserve">legislated withdrawal </w:t>
            </w:r>
            <w:r w:rsidR="00AD322A" w:rsidRPr="00F65705">
              <w:rPr>
                <w:rFonts w:asciiTheme="minorHAnsi" w:hAnsiTheme="minorHAnsi" w:cstheme="minorHAnsi"/>
                <w:bCs/>
                <w:sz w:val="22"/>
                <w:szCs w:val="22"/>
              </w:rPr>
              <w:t>period,</w:t>
            </w:r>
            <w:r w:rsidR="00773D1C" w:rsidRPr="00F65705">
              <w:rPr>
                <w:rFonts w:asciiTheme="minorHAnsi" w:hAnsiTheme="minorHAnsi" w:cstheme="minorHAnsi"/>
                <w:bCs/>
                <w:sz w:val="22"/>
                <w:szCs w:val="22"/>
              </w:rPr>
              <w:t xml:space="preserve"> </w:t>
            </w:r>
            <w:r w:rsidRPr="00F65705">
              <w:rPr>
                <w:rFonts w:asciiTheme="minorHAnsi" w:hAnsiTheme="minorHAnsi" w:cstheme="minorHAnsi"/>
                <w:bCs/>
                <w:sz w:val="22"/>
                <w:szCs w:val="22"/>
              </w:rPr>
              <w:t>a full refund is provided, less the administrative deposit amount.</w:t>
            </w:r>
            <w:r w:rsidR="00773D1C" w:rsidRPr="00F65705">
              <w:rPr>
                <w:rFonts w:asciiTheme="minorHAnsi" w:hAnsiTheme="minorHAnsi" w:cstheme="minorHAnsi"/>
                <w:bCs/>
                <w:sz w:val="22"/>
                <w:szCs w:val="22"/>
              </w:rPr>
              <w:t xml:space="preserve"> </w:t>
            </w:r>
          </w:p>
          <w:p w14:paraId="23CEB201" w14:textId="417C4A40" w:rsidR="00B96BE3" w:rsidRPr="00F65705" w:rsidRDefault="00FF020B" w:rsidP="00083FA1">
            <w:pPr>
              <w:spacing w:before="120" w:after="120" w:line="259" w:lineRule="auto"/>
              <w:rPr>
                <w:rFonts w:asciiTheme="minorHAnsi" w:hAnsiTheme="minorHAnsi"/>
                <w:bCs/>
                <w:sz w:val="22"/>
                <w:szCs w:val="22"/>
              </w:rPr>
            </w:pPr>
            <w:r w:rsidRPr="00F65705">
              <w:rPr>
                <w:rFonts w:asciiTheme="minorHAnsi" w:hAnsiTheme="minorHAnsi"/>
                <w:bCs/>
                <w:sz w:val="22"/>
                <w:szCs w:val="22"/>
              </w:rPr>
              <w:t>Finally, e</w:t>
            </w:r>
            <w:r w:rsidR="00B96BE3" w:rsidRPr="00F65705">
              <w:rPr>
                <w:rFonts w:asciiTheme="minorHAnsi" w:hAnsiTheme="minorHAnsi"/>
                <w:bCs/>
                <w:sz w:val="22"/>
                <w:szCs w:val="22"/>
              </w:rPr>
              <w:t xml:space="preserve">xisting fee waiver and fee exemption provisions </w:t>
            </w:r>
            <w:r w:rsidR="00083FA1" w:rsidRPr="00F65705">
              <w:rPr>
                <w:rFonts w:asciiTheme="minorHAnsi" w:hAnsiTheme="minorHAnsi"/>
                <w:bCs/>
                <w:sz w:val="22"/>
                <w:szCs w:val="22"/>
              </w:rPr>
              <w:t xml:space="preserve">remain </w:t>
            </w:r>
            <w:r w:rsidR="00B96BE3" w:rsidRPr="00F65705">
              <w:rPr>
                <w:rFonts w:asciiTheme="minorHAnsi" w:hAnsiTheme="minorHAnsi"/>
                <w:bCs/>
                <w:sz w:val="22"/>
                <w:szCs w:val="22"/>
              </w:rPr>
              <w:t>in place to provide equitable access to the PBAC submission processes.</w:t>
            </w:r>
          </w:p>
        </w:tc>
      </w:tr>
      <w:tr w:rsidR="00F65705" w:rsidRPr="00F65705" w14:paraId="5F6AEB1B" w14:textId="77777777" w:rsidTr="007E6C76">
        <w:tc>
          <w:tcPr>
            <w:tcW w:w="13948" w:type="dxa"/>
            <w:gridSpan w:val="2"/>
            <w:shd w:val="clear" w:color="auto" w:fill="D9D9D9" w:themeFill="background1" w:themeFillShade="D9"/>
          </w:tcPr>
          <w:p w14:paraId="2FF1843D" w14:textId="30FFD367" w:rsidR="00F033FD" w:rsidRPr="00F65705" w:rsidRDefault="00F033FD" w:rsidP="007E6C76">
            <w:pPr>
              <w:spacing w:before="120" w:after="120" w:line="259" w:lineRule="auto"/>
              <w:rPr>
                <w:rFonts w:asciiTheme="minorHAnsi" w:hAnsiTheme="minorHAnsi"/>
                <w:bCs/>
                <w:i/>
                <w:iCs/>
                <w:sz w:val="22"/>
                <w:szCs w:val="22"/>
              </w:rPr>
            </w:pPr>
            <w:r w:rsidRPr="00F65705">
              <w:rPr>
                <w:rFonts w:asciiTheme="minorHAnsi" w:hAnsiTheme="minorHAnsi" w:cstheme="minorHAnsi"/>
                <w:i/>
                <w:iCs/>
                <w:sz w:val="22"/>
                <w:szCs w:val="22"/>
              </w:rPr>
              <w:lastRenderedPageBreak/>
              <w:t>Independent review of the PBS cost recovery model</w:t>
            </w:r>
          </w:p>
        </w:tc>
      </w:tr>
      <w:tr w:rsidR="00F65705" w:rsidRPr="00F65705" w14:paraId="06E722F3" w14:textId="77777777" w:rsidTr="007E6C76">
        <w:tc>
          <w:tcPr>
            <w:tcW w:w="7015" w:type="dxa"/>
          </w:tcPr>
          <w:p w14:paraId="6212D285" w14:textId="15224AD4" w:rsidR="00F033FD" w:rsidRPr="00F65705" w:rsidRDefault="00F033FD" w:rsidP="007E6C76">
            <w:p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 xml:space="preserve">Stakeholders </w:t>
            </w:r>
            <w:r w:rsidR="00062ABC" w:rsidRPr="00F65705">
              <w:rPr>
                <w:rFonts w:asciiTheme="minorHAnsi" w:hAnsiTheme="minorHAnsi" w:cstheme="minorHAnsi"/>
                <w:sz w:val="22"/>
                <w:szCs w:val="22"/>
              </w:rPr>
              <w:t>sought an update on progress and expected timeframe</w:t>
            </w:r>
            <w:r w:rsidRPr="00F65705">
              <w:rPr>
                <w:rFonts w:asciiTheme="minorHAnsi" w:hAnsiTheme="minorHAnsi" w:cstheme="minorHAnsi"/>
                <w:sz w:val="22"/>
                <w:szCs w:val="22"/>
              </w:rPr>
              <w:t xml:space="preserve"> of the time and motion study currently being undertaken by the Department</w:t>
            </w:r>
            <w:r w:rsidR="00062ABC" w:rsidRPr="00F65705">
              <w:rPr>
                <w:rFonts w:asciiTheme="minorHAnsi" w:hAnsiTheme="minorHAnsi" w:cstheme="minorHAnsi"/>
                <w:sz w:val="22"/>
                <w:szCs w:val="22"/>
              </w:rPr>
              <w:t>.</w:t>
            </w:r>
          </w:p>
          <w:p w14:paraId="23CA4792" w14:textId="6FF6AB59" w:rsidR="00F033FD" w:rsidRPr="00F65705" w:rsidRDefault="00062ABC" w:rsidP="007E6C76">
            <w:p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Stakeholders also noted the importance of</w:t>
            </w:r>
            <w:r w:rsidR="00F033FD" w:rsidRPr="00F65705">
              <w:rPr>
                <w:rFonts w:asciiTheme="minorHAnsi" w:hAnsiTheme="minorHAnsi" w:cstheme="minorHAnsi"/>
                <w:sz w:val="22"/>
                <w:szCs w:val="22"/>
              </w:rPr>
              <w:t xml:space="preserve"> consultation on the outcomes of the time and motion study prior to </w:t>
            </w:r>
            <w:r w:rsidRPr="00F65705">
              <w:rPr>
                <w:rFonts w:asciiTheme="minorHAnsi" w:hAnsiTheme="minorHAnsi" w:cstheme="minorHAnsi"/>
                <w:sz w:val="22"/>
                <w:szCs w:val="22"/>
              </w:rPr>
              <w:t>any changes coming into effect.</w:t>
            </w:r>
          </w:p>
        </w:tc>
        <w:tc>
          <w:tcPr>
            <w:tcW w:w="6933" w:type="dxa"/>
          </w:tcPr>
          <w:p w14:paraId="7CD4827A" w14:textId="6F830B0E" w:rsidR="005B40B3" w:rsidRPr="00F65705" w:rsidRDefault="005B40B3" w:rsidP="005B40B3">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 xml:space="preserve">The Department </w:t>
            </w:r>
            <w:r w:rsidR="00185A51" w:rsidRPr="00F65705">
              <w:rPr>
                <w:rFonts w:asciiTheme="minorHAnsi" w:hAnsiTheme="minorHAnsi" w:cstheme="minorHAnsi"/>
                <w:sz w:val="22"/>
                <w:szCs w:val="22"/>
              </w:rPr>
              <w:t xml:space="preserve">is currently </w:t>
            </w:r>
            <w:r w:rsidRPr="00F65705">
              <w:rPr>
                <w:rFonts w:asciiTheme="minorHAnsi" w:hAnsiTheme="minorHAnsi" w:cstheme="minorHAnsi"/>
                <w:sz w:val="22"/>
                <w:szCs w:val="22"/>
              </w:rPr>
              <w:t xml:space="preserve">conducting a time and motion study reviewing the processes involved in PBAC submissions. This review is occurring </w:t>
            </w:r>
            <w:proofErr w:type="gramStart"/>
            <w:r w:rsidRPr="00F65705">
              <w:rPr>
                <w:rFonts w:asciiTheme="minorHAnsi" w:hAnsiTheme="minorHAnsi" w:cstheme="minorHAnsi"/>
                <w:sz w:val="22"/>
                <w:szCs w:val="22"/>
              </w:rPr>
              <w:t>as a result of</w:t>
            </w:r>
            <w:proofErr w:type="gramEnd"/>
            <w:r w:rsidRPr="00F65705">
              <w:rPr>
                <w:rFonts w:asciiTheme="minorHAnsi" w:hAnsiTheme="minorHAnsi" w:cstheme="minorHAnsi"/>
                <w:sz w:val="22"/>
                <w:szCs w:val="22"/>
              </w:rPr>
              <w:t xml:space="preserve"> a recently conducted independent review of the PBS </w:t>
            </w:r>
            <w:r w:rsidR="00185A51" w:rsidRPr="00F65705">
              <w:rPr>
                <w:rFonts w:asciiTheme="minorHAnsi" w:hAnsiTheme="minorHAnsi" w:cstheme="minorHAnsi"/>
                <w:sz w:val="22"/>
                <w:szCs w:val="22"/>
              </w:rPr>
              <w:t>activity-based</w:t>
            </w:r>
            <w:r w:rsidRPr="00F65705">
              <w:rPr>
                <w:rFonts w:asciiTheme="minorHAnsi" w:hAnsiTheme="minorHAnsi" w:cstheme="minorHAnsi"/>
                <w:sz w:val="22"/>
                <w:szCs w:val="22"/>
              </w:rPr>
              <w:t xml:space="preserve"> cost model. </w:t>
            </w:r>
            <w:r w:rsidR="008E1C50" w:rsidRPr="00F65705">
              <w:rPr>
                <w:rFonts w:asciiTheme="minorHAnsi" w:hAnsiTheme="minorHAnsi" w:cstheme="minorHAnsi"/>
                <w:sz w:val="22"/>
                <w:szCs w:val="22"/>
              </w:rPr>
              <w:t xml:space="preserve"> </w:t>
            </w:r>
          </w:p>
          <w:p w14:paraId="29E9FDF6" w14:textId="77777777" w:rsidR="005B40B3" w:rsidRPr="00F65705" w:rsidRDefault="005B40B3" w:rsidP="005B40B3">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 xml:space="preserve">The Department commenced work on the time and motion study prior to the submission of applications for consideration at the March 2023 PBAC Meeting. As this PBAC cycle concludes, a significant portion of timings have been collected. The Department will continue to collect timings related to PBAC submissions through to the conclusion of the July 2023 PBAC cycle. </w:t>
            </w:r>
          </w:p>
          <w:p w14:paraId="51FB622E" w14:textId="10C0A262" w:rsidR="005B40B3" w:rsidRPr="00F65705" w:rsidRDefault="005B40B3" w:rsidP="005B40B3">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Additional timings are necessary to collect, particularly those related to resubmission pathways, to ensure a sufficient sample size exists to refresh the data in the cost model.</w:t>
            </w:r>
          </w:p>
          <w:p w14:paraId="726174B8" w14:textId="49223F2D" w:rsidR="005B40B3" w:rsidRPr="00F65705" w:rsidRDefault="005B40B3" w:rsidP="005B40B3">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 xml:space="preserve">Once all relevant timings are collected at the conclusion of the July 2023 PBAC cycle, the time and motion study will shift away from PBAC submissions and begin assessment of the tasks and timings that make up the pricing and list management application processes. </w:t>
            </w:r>
          </w:p>
          <w:p w14:paraId="4CA64F05" w14:textId="114C119F" w:rsidR="005B40B3" w:rsidRPr="00F65705" w:rsidRDefault="005B40B3" w:rsidP="005B40B3">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The outcomes of th</w:t>
            </w:r>
            <w:r w:rsidR="00185A51" w:rsidRPr="00F65705">
              <w:rPr>
                <w:rFonts w:asciiTheme="minorHAnsi" w:hAnsiTheme="minorHAnsi" w:cstheme="minorHAnsi"/>
                <w:sz w:val="22"/>
                <w:szCs w:val="22"/>
              </w:rPr>
              <w:t xml:space="preserve">is </w:t>
            </w:r>
            <w:r w:rsidRPr="00F65705">
              <w:rPr>
                <w:rFonts w:asciiTheme="minorHAnsi" w:hAnsiTheme="minorHAnsi" w:cstheme="minorHAnsi"/>
                <w:sz w:val="22"/>
                <w:szCs w:val="22"/>
              </w:rPr>
              <w:t xml:space="preserve">study will ensure that PBS cost recovery continues to remain consistent with the Australian Government Charging Framework, </w:t>
            </w:r>
            <w:r w:rsidRPr="00F65705">
              <w:rPr>
                <w:rFonts w:asciiTheme="minorHAnsi" w:hAnsiTheme="minorHAnsi" w:cstheme="minorHAnsi"/>
                <w:sz w:val="22"/>
                <w:szCs w:val="22"/>
              </w:rPr>
              <w:lastRenderedPageBreak/>
              <w:t xml:space="preserve">and that fees continue to accurately reflect the minimum efficient costs that the Department incurs in performing PBS evaluation and listing </w:t>
            </w:r>
            <w:r w:rsidR="0004722B" w:rsidRPr="00F65705">
              <w:rPr>
                <w:rFonts w:asciiTheme="minorHAnsi" w:hAnsiTheme="minorHAnsi" w:cstheme="minorHAnsi"/>
                <w:sz w:val="22"/>
                <w:szCs w:val="22"/>
              </w:rPr>
              <w:t>activities</w:t>
            </w:r>
            <w:r w:rsidRPr="00F65705">
              <w:rPr>
                <w:rFonts w:asciiTheme="minorHAnsi" w:hAnsiTheme="minorHAnsi" w:cstheme="minorHAnsi"/>
                <w:sz w:val="22"/>
                <w:szCs w:val="22"/>
              </w:rPr>
              <w:t xml:space="preserve">. The data obtained by the study will directly inform </w:t>
            </w:r>
            <w:r w:rsidR="0004722B" w:rsidRPr="00F65705">
              <w:rPr>
                <w:rFonts w:asciiTheme="minorHAnsi" w:hAnsiTheme="minorHAnsi" w:cstheme="minorHAnsi"/>
                <w:sz w:val="22"/>
                <w:szCs w:val="22"/>
              </w:rPr>
              <w:t xml:space="preserve">any required </w:t>
            </w:r>
            <w:r w:rsidRPr="00F65705">
              <w:rPr>
                <w:rFonts w:asciiTheme="minorHAnsi" w:hAnsiTheme="minorHAnsi" w:cstheme="minorHAnsi"/>
                <w:sz w:val="22"/>
                <w:szCs w:val="22"/>
              </w:rPr>
              <w:t xml:space="preserve">revisions to submission fees. </w:t>
            </w:r>
          </w:p>
          <w:p w14:paraId="2764D2AC" w14:textId="2E4CCC37" w:rsidR="005B40B3" w:rsidRPr="00F65705" w:rsidRDefault="005B40B3" w:rsidP="007E6C76">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 xml:space="preserve">Depending on the magnitude of any changes to fees and administrative processes, Australian Government agreement to changes may be required. If this is the case, changes would likely occur via the 2024-25 Budget process. </w:t>
            </w:r>
          </w:p>
          <w:p w14:paraId="222880EF" w14:textId="264187C4" w:rsidR="00E54A65" w:rsidRPr="00F65705" w:rsidRDefault="005B40B3" w:rsidP="007E6C76">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The Department will continue to consult with industry on the outcomes of the study. Additional public consultation on the outcomes of the study will occur via the Cost Recovery Implementation Statement.</w:t>
            </w:r>
          </w:p>
        </w:tc>
      </w:tr>
      <w:tr w:rsidR="00F65705" w:rsidRPr="00F65705" w14:paraId="516C286B" w14:textId="77777777" w:rsidTr="007E6C76">
        <w:tc>
          <w:tcPr>
            <w:tcW w:w="7015" w:type="dxa"/>
          </w:tcPr>
          <w:p w14:paraId="4A471465" w14:textId="44B28D54" w:rsidR="00F033FD" w:rsidRPr="00F65705" w:rsidRDefault="00F033FD" w:rsidP="007E6C76">
            <w:p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lastRenderedPageBreak/>
              <w:t xml:space="preserve">Stakeholders requested an update on the status of the other recommendations (other than the time and motion study outcomes) of the </w:t>
            </w:r>
            <w:r w:rsidR="006C1BEA" w:rsidRPr="00F65705">
              <w:rPr>
                <w:rFonts w:asciiTheme="minorHAnsi" w:hAnsiTheme="minorHAnsi" w:cstheme="minorHAnsi"/>
                <w:sz w:val="22"/>
                <w:szCs w:val="22"/>
              </w:rPr>
              <w:t>I</w:t>
            </w:r>
            <w:r w:rsidRPr="00F65705">
              <w:rPr>
                <w:rFonts w:asciiTheme="minorHAnsi" w:hAnsiTheme="minorHAnsi" w:cstheme="minorHAnsi"/>
                <w:sz w:val="22"/>
                <w:szCs w:val="22"/>
              </w:rPr>
              <w:t xml:space="preserve">ndependent </w:t>
            </w:r>
            <w:r w:rsidR="006C1BEA" w:rsidRPr="00F65705">
              <w:rPr>
                <w:rFonts w:asciiTheme="minorHAnsi" w:hAnsiTheme="minorHAnsi" w:cstheme="minorHAnsi"/>
                <w:sz w:val="22"/>
                <w:szCs w:val="22"/>
              </w:rPr>
              <w:t>R</w:t>
            </w:r>
            <w:r w:rsidRPr="00F65705">
              <w:rPr>
                <w:rFonts w:asciiTheme="minorHAnsi" w:hAnsiTheme="minorHAnsi" w:cstheme="minorHAnsi"/>
                <w:sz w:val="22"/>
                <w:szCs w:val="22"/>
              </w:rPr>
              <w:t>eview.</w:t>
            </w:r>
          </w:p>
        </w:tc>
        <w:tc>
          <w:tcPr>
            <w:tcW w:w="6933" w:type="dxa"/>
          </w:tcPr>
          <w:p w14:paraId="5584462B" w14:textId="6F62F4BA" w:rsidR="005E670E" w:rsidRPr="00F65705" w:rsidRDefault="005E670E" w:rsidP="005E670E">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 xml:space="preserve">As noted in section 3.2.2 of the CRIS, the </w:t>
            </w:r>
            <w:r w:rsidR="006C1BEA" w:rsidRPr="00F65705">
              <w:rPr>
                <w:rFonts w:asciiTheme="minorHAnsi" w:hAnsiTheme="minorHAnsi" w:cstheme="minorHAnsi"/>
                <w:sz w:val="22"/>
                <w:szCs w:val="22"/>
              </w:rPr>
              <w:t>I</w:t>
            </w:r>
            <w:r w:rsidRPr="00F65705">
              <w:rPr>
                <w:rFonts w:asciiTheme="minorHAnsi" w:hAnsiTheme="minorHAnsi" w:cstheme="minorHAnsi"/>
                <w:sz w:val="22"/>
                <w:szCs w:val="22"/>
              </w:rPr>
              <w:t xml:space="preserve">ndependent </w:t>
            </w:r>
            <w:r w:rsidR="006C1BEA" w:rsidRPr="00F65705">
              <w:rPr>
                <w:rFonts w:asciiTheme="minorHAnsi" w:hAnsiTheme="minorHAnsi" w:cstheme="minorHAnsi"/>
                <w:sz w:val="22"/>
                <w:szCs w:val="22"/>
              </w:rPr>
              <w:t>R</w:t>
            </w:r>
            <w:r w:rsidRPr="00F65705">
              <w:rPr>
                <w:rFonts w:asciiTheme="minorHAnsi" w:hAnsiTheme="minorHAnsi" w:cstheme="minorHAnsi"/>
                <w:sz w:val="22"/>
                <w:szCs w:val="22"/>
              </w:rPr>
              <w:t>eview provided four primary recommendations, three of which have already been completed.</w:t>
            </w:r>
          </w:p>
          <w:p w14:paraId="32780D14" w14:textId="4D9F2665" w:rsidR="005E670E" w:rsidRPr="00F65705" w:rsidRDefault="005E670E" w:rsidP="005E670E">
            <w:pPr>
              <w:pStyle w:val="ListParagraph"/>
              <w:numPr>
                <w:ilvl w:val="0"/>
                <w:numId w:val="34"/>
              </w:num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Confirm that the PBAC cost model will be reviewed and updated (as necessary) as proposed in 2022-23, including cost model documentation and supporting documentation (i.e., user guides</w:t>
            </w:r>
            <w:proofErr w:type="gramStart"/>
            <w:r w:rsidRPr="00F65705">
              <w:rPr>
                <w:rFonts w:asciiTheme="minorHAnsi" w:hAnsiTheme="minorHAnsi" w:cstheme="minorHAnsi"/>
                <w:sz w:val="22"/>
                <w:szCs w:val="22"/>
              </w:rPr>
              <w:t>);</w:t>
            </w:r>
            <w:proofErr w:type="gramEnd"/>
          </w:p>
          <w:p w14:paraId="41668398" w14:textId="69E6FEBC" w:rsidR="005E670E" w:rsidRPr="00F65705" w:rsidRDefault="005E670E" w:rsidP="005E670E">
            <w:pPr>
              <w:pStyle w:val="ListParagraph"/>
              <w:numPr>
                <w:ilvl w:val="0"/>
                <w:numId w:val="34"/>
              </w:numPr>
              <w:rPr>
                <w:rFonts w:asciiTheme="minorHAnsi" w:hAnsiTheme="minorHAnsi" w:cstheme="minorHAnsi"/>
                <w:sz w:val="22"/>
                <w:szCs w:val="22"/>
              </w:rPr>
            </w:pPr>
            <w:r w:rsidRPr="00F65705">
              <w:rPr>
                <w:rFonts w:asciiTheme="minorHAnsi" w:hAnsiTheme="minorHAnsi" w:cstheme="minorHAnsi"/>
                <w:sz w:val="22"/>
                <w:szCs w:val="22"/>
              </w:rPr>
              <w:t xml:space="preserve">Ensure that mechanisms are in place so that where prices are set using an indexation mechanism, that they are also reflective of minimum efficient </w:t>
            </w:r>
            <w:proofErr w:type="gramStart"/>
            <w:r w:rsidRPr="00F65705">
              <w:rPr>
                <w:rFonts w:asciiTheme="minorHAnsi" w:hAnsiTheme="minorHAnsi" w:cstheme="minorHAnsi"/>
                <w:sz w:val="22"/>
                <w:szCs w:val="22"/>
              </w:rPr>
              <w:t>costs;</w:t>
            </w:r>
            <w:proofErr w:type="gramEnd"/>
          </w:p>
          <w:p w14:paraId="6460901C" w14:textId="43D19497" w:rsidR="005E670E" w:rsidRPr="00F65705" w:rsidRDefault="005E670E" w:rsidP="005E670E">
            <w:pPr>
              <w:pStyle w:val="ListParagraph"/>
              <w:numPr>
                <w:ilvl w:val="0"/>
                <w:numId w:val="34"/>
              </w:numPr>
              <w:rPr>
                <w:rFonts w:asciiTheme="minorHAnsi" w:hAnsiTheme="minorHAnsi" w:cstheme="minorHAnsi"/>
                <w:sz w:val="22"/>
                <w:szCs w:val="22"/>
              </w:rPr>
            </w:pPr>
            <w:r w:rsidRPr="00F65705">
              <w:rPr>
                <w:rFonts w:asciiTheme="minorHAnsi" w:hAnsiTheme="minorHAnsi" w:cstheme="minorHAnsi"/>
                <w:sz w:val="22"/>
                <w:szCs w:val="22"/>
              </w:rPr>
              <w:t xml:space="preserve">Commit, publicly, to undertake a full cost model refresh during the 2022-23 financial year, with outcomes to be reflected in 2023-24 prices, except where legislative or policy issues are </w:t>
            </w:r>
            <w:proofErr w:type="gramStart"/>
            <w:r w:rsidRPr="00F65705">
              <w:rPr>
                <w:rFonts w:asciiTheme="minorHAnsi" w:hAnsiTheme="minorHAnsi" w:cstheme="minorHAnsi"/>
                <w:sz w:val="22"/>
                <w:szCs w:val="22"/>
              </w:rPr>
              <w:t>identified</w:t>
            </w:r>
            <w:proofErr w:type="gramEnd"/>
            <w:r w:rsidRPr="00F65705">
              <w:rPr>
                <w:rFonts w:asciiTheme="minorHAnsi" w:hAnsiTheme="minorHAnsi" w:cstheme="minorHAnsi"/>
                <w:sz w:val="22"/>
                <w:szCs w:val="22"/>
              </w:rPr>
              <w:t xml:space="preserve"> and further Government consideration may be required;</w:t>
            </w:r>
          </w:p>
          <w:p w14:paraId="34FB9461" w14:textId="5AE1688B" w:rsidR="005E670E" w:rsidRPr="00F65705" w:rsidRDefault="005E670E" w:rsidP="00F4372E">
            <w:pPr>
              <w:pStyle w:val="ListParagraph"/>
              <w:numPr>
                <w:ilvl w:val="0"/>
                <w:numId w:val="34"/>
              </w:numPr>
              <w:rPr>
                <w:rFonts w:asciiTheme="minorHAnsi" w:hAnsiTheme="minorHAnsi" w:cstheme="minorHAnsi"/>
                <w:sz w:val="22"/>
                <w:szCs w:val="22"/>
              </w:rPr>
            </w:pPr>
            <w:r w:rsidRPr="00F65705">
              <w:rPr>
                <w:rFonts w:asciiTheme="minorHAnsi" w:hAnsiTheme="minorHAnsi" w:cstheme="minorHAnsi"/>
                <w:sz w:val="22"/>
                <w:szCs w:val="22"/>
              </w:rPr>
              <w:t xml:space="preserve">Consider whether the PBS CRIS adequately documents the stakeholder engagement strategy including a summary of the latest engagement round – who was consulted and when, what their views were, and whether/how these views have been considered. Better practice would also identify planned </w:t>
            </w:r>
            <w:r w:rsidRPr="00F65705">
              <w:rPr>
                <w:rFonts w:asciiTheme="minorHAnsi" w:hAnsiTheme="minorHAnsi" w:cstheme="minorHAnsi"/>
                <w:sz w:val="22"/>
                <w:szCs w:val="22"/>
              </w:rPr>
              <w:lastRenderedPageBreak/>
              <w:t>consultation processes and mechanisms to be used to seek stakeholder feedback.</w:t>
            </w:r>
          </w:p>
          <w:p w14:paraId="23E6342B" w14:textId="60D2E343" w:rsidR="00F033FD" w:rsidRPr="00F65705" w:rsidRDefault="005E670E" w:rsidP="007E6C76">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 xml:space="preserve">Recommendations 1, 2 and 4 </w:t>
            </w:r>
            <w:r w:rsidR="00E54A65" w:rsidRPr="00F65705">
              <w:rPr>
                <w:rFonts w:asciiTheme="minorHAnsi" w:hAnsiTheme="minorHAnsi" w:cstheme="minorHAnsi"/>
                <w:sz w:val="22"/>
                <w:szCs w:val="22"/>
              </w:rPr>
              <w:t xml:space="preserve">from the </w:t>
            </w:r>
            <w:proofErr w:type="gramStart"/>
            <w:r w:rsidR="006C1BEA" w:rsidRPr="00F65705">
              <w:rPr>
                <w:rFonts w:asciiTheme="minorHAnsi" w:hAnsiTheme="minorHAnsi" w:cstheme="minorHAnsi"/>
                <w:sz w:val="22"/>
                <w:szCs w:val="22"/>
              </w:rPr>
              <w:t>I</w:t>
            </w:r>
            <w:r w:rsidR="00E54A65" w:rsidRPr="00F65705">
              <w:rPr>
                <w:rFonts w:asciiTheme="minorHAnsi" w:hAnsiTheme="minorHAnsi" w:cstheme="minorHAnsi"/>
                <w:sz w:val="22"/>
                <w:szCs w:val="22"/>
              </w:rPr>
              <w:t>ndependent</w:t>
            </w:r>
            <w:proofErr w:type="gramEnd"/>
            <w:r w:rsidR="00E54A65" w:rsidRPr="00F65705">
              <w:rPr>
                <w:rFonts w:asciiTheme="minorHAnsi" w:hAnsiTheme="minorHAnsi" w:cstheme="minorHAnsi"/>
                <w:sz w:val="22"/>
                <w:szCs w:val="22"/>
              </w:rPr>
              <w:t xml:space="preserve"> review have been implemented</w:t>
            </w:r>
            <w:r w:rsidR="006C1BEA" w:rsidRPr="00F65705">
              <w:rPr>
                <w:rFonts w:asciiTheme="minorHAnsi" w:hAnsiTheme="minorHAnsi" w:cstheme="minorHAnsi"/>
                <w:sz w:val="22"/>
                <w:szCs w:val="22"/>
              </w:rPr>
              <w:t>. R</w:t>
            </w:r>
            <w:r w:rsidRPr="00F65705">
              <w:rPr>
                <w:rFonts w:asciiTheme="minorHAnsi" w:hAnsiTheme="minorHAnsi" w:cstheme="minorHAnsi"/>
                <w:sz w:val="22"/>
                <w:szCs w:val="22"/>
              </w:rPr>
              <w:t xml:space="preserve">ecommendation 3, relating to </w:t>
            </w:r>
            <w:r w:rsidR="00E54A65" w:rsidRPr="00F65705">
              <w:rPr>
                <w:rFonts w:asciiTheme="minorHAnsi" w:hAnsiTheme="minorHAnsi" w:cstheme="minorHAnsi"/>
                <w:sz w:val="22"/>
                <w:szCs w:val="22"/>
              </w:rPr>
              <w:t>the time and motion study</w:t>
            </w:r>
            <w:r w:rsidRPr="00F65705">
              <w:rPr>
                <w:rFonts w:asciiTheme="minorHAnsi" w:hAnsiTheme="minorHAnsi" w:cstheme="minorHAnsi"/>
                <w:sz w:val="22"/>
                <w:szCs w:val="22"/>
              </w:rPr>
              <w:t>,</w:t>
            </w:r>
            <w:r w:rsidR="00E54A65" w:rsidRPr="00F65705">
              <w:rPr>
                <w:rFonts w:asciiTheme="minorHAnsi" w:hAnsiTheme="minorHAnsi" w:cstheme="minorHAnsi"/>
                <w:sz w:val="22"/>
                <w:szCs w:val="22"/>
              </w:rPr>
              <w:t xml:space="preserve"> </w:t>
            </w:r>
            <w:r w:rsidR="006C1BEA" w:rsidRPr="00F65705">
              <w:rPr>
                <w:rFonts w:asciiTheme="minorHAnsi" w:hAnsiTheme="minorHAnsi" w:cstheme="minorHAnsi"/>
                <w:sz w:val="22"/>
                <w:szCs w:val="22"/>
              </w:rPr>
              <w:t>is</w:t>
            </w:r>
            <w:r w:rsidR="00E54A65" w:rsidRPr="00F65705">
              <w:rPr>
                <w:rFonts w:asciiTheme="minorHAnsi" w:hAnsiTheme="minorHAnsi" w:cstheme="minorHAnsi"/>
                <w:sz w:val="22"/>
                <w:szCs w:val="22"/>
              </w:rPr>
              <w:t xml:space="preserve"> the only remaining recommendation to be </w:t>
            </w:r>
            <w:r w:rsidR="00C87F86" w:rsidRPr="00F65705">
              <w:rPr>
                <w:rFonts w:asciiTheme="minorHAnsi" w:hAnsiTheme="minorHAnsi" w:cstheme="minorHAnsi"/>
                <w:sz w:val="22"/>
                <w:szCs w:val="22"/>
              </w:rPr>
              <w:t>completed</w:t>
            </w:r>
            <w:r w:rsidR="00E54A65" w:rsidRPr="00F65705">
              <w:rPr>
                <w:rFonts w:asciiTheme="minorHAnsi" w:hAnsiTheme="minorHAnsi" w:cstheme="minorHAnsi"/>
                <w:sz w:val="22"/>
                <w:szCs w:val="22"/>
              </w:rPr>
              <w:t xml:space="preserve">. </w:t>
            </w:r>
          </w:p>
        </w:tc>
      </w:tr>
      <w:tr w:rsidR="00F65705" w:rsidRPr="00F65705" w14:paraId="6B3CBED8" w14:textId="77777777" w:rsidTr="007E6C76">
        <w:tc>
          <w:tcPr>
            <w:tcW w:w="7015" w:type="dxa"/>
          </w:tcPr>
          <w:p w14:paraId="181B087A" w14:textId="1056203E" w:rsidR="00A30646" w:rsidRPr="00F65705" w:rsidRDefault="00276365" w:rsidP="007E6C76">
            <w:p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lastRenderedPageBreak/>
              <w:t>Stakeholders requested f</w:t>
            </w:r>
            <w:r w:rsidR="00A30646" w:rsidRPr="00F65705">
              <w:rPr>
                <w:rFonts w:asciiTheme="minorHAnsi" w:hAnsiTheme="minorHAnsi" w:cstheme="minorHAnsi"/>
                <w:sz w:val="22"/>
                <w:szCs w:val="22"/>
              </w:rPr>
              <w:t>urther review o</w:t>
            </w:r>
            <w:r w:rsidRPr="00F65705">
              <w:rPr>
                <w:rFonts w:asciiTheme="minorHAnsi" w:hAnsiTheme="minorHAnsi" w:cstheme="minorHAnsi"/>
                <w:sz w:val="22"/>
                <w:szCs w:val="22"/>
              </w:rPr>
              <w:t>f</w:t>
            </w:r>
            <w:r w:rsidR="00A30646" w:rsidRPr="00F65705">
              <w:rPr>
                <w:rFonts w:asciiTheme="minorHAnsi" w:hAnsiTheme="minorHAnsi" w:cstheme="minorHAnsi"/>
                <w:sz w:val="22"/>
                <w:szCs w:val="22"/>
              </w:rPr>
              <w:t xml:space="preserve"> </w:t>
            </w:r>
            <w:r w:rsidRPr="00F65705">
              <w:rPr>
                <w:rFonts w:asciiTheme="minorHAnsi" w:hAnsiTheme="minorHAnsi" w:cstheme="minorHAnsi"/>
                <w:sz w:val="22"/>
                <w:szCs w:val="22"/>
              </w:rPr>
              <w:t xml:space="preserve">cost recovery fees, noting that the scope of the </w:t>
            </w:r>
            <w:r w:rsidR="006C1BEA" w:rsidRPr="00F65705">
              <w:rPr>
                <w:rFonts w:asciiTheme="minorHAnsi" w:hAnsiTheme="minorHAnsi" w:cstheme="minorHAnsi"/>
                <w:sz w:val="22"/>
                <w:szCs w:val="22"/>
              </w:rPr>
              <w:t>I</w:t>
            </w:r>
            <w:r w:rsidRPr="00F65705">
              <w:rPr>
                <w:rFonts w:asciiTheme="minorHAnsi" w:hAnsiTheme="minorHAnsi" w:cstheme="minorHAnsi"/>
                <w:sz w:val="22"/>
                <w:szCs w:val="22"/>
              </w:rPr>
              <w:t xml:space="preserve">ndependent </w:t>
            </w:r>
            <w:r w:rsidR="006C1BEA" w:rsidRPr="00F65705">
              <w:rPr>
                <w:rFonts w:asciiTheme="minorHAnsi" w:hAnsiTheme="minorHAnsi" w:cstheme="minorHAnsi"/>
                <w:sz w:val="22"/>
                <w:szCs w:val="22"/>
              </w:rPr>
              <w:t>R</w:t>
            </w:r>
            <w:r w:rsidRPr="00F65705">
              <w:rPr>
                <w:rFonts w:asciiTheme="minorHAnsi" w:hAnsiTheme="minorHAnsi" w:cstheme="minorHAnsi"/>
                <w:sz w:val="22"/>
                <w:szCs w:val="22"/>
              </w:rPr>
              <w:t xml:space="preserve">eview was limited to the PBS cost model and a broader independent audit is still required of the fees. </w:t>
            </w:r>
          </w:p>
        </w:tc>
        <w:tc>
          <w:tcPr>
            <w:tcW w:w="6933" w:type="dxa"/>
          </w:tcPr>
          <w:p w14:paraId="0B769664" w14:textId="5B3DB088" w:rsidR="00670199" w:rsidRPr="00F65705" w:rsidRDefault="005E670E" w:rsidP="007E6C76">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Clause 6.9.2 of the</w:t>
            </w:r>
            <w:r w:rsidR="00F8571B" w:rsidRPr="00F65705">
              <w:rPr>
                <w:rFonts w:asciiTheme="minorHAnsi" w:hAnsiTheme="minorHAnsi" w:cstheme="minorHAnsi"/>
                <w:sz w:val="22"/>
                <w:szCs w:val="22"/>
              </w:rPr>
              <w:t xml:space="preserve"> publicly available</w:t>
            </w:r>
            <w:r w:rsidRPr="00F65705">
              <w:rPr>
                <w:rFonts w:asciiTheme="minorHAnsi" w:hAnsiTheme="minorHAnsi" w:cstheme="minorHAnsi"/>
                <w:sz w:val="22"/>
                <w:szCs w:val="22"/>
              </w:rPr>
              <w:t xml:space="preserve"> </w:t>
            </w:r>
            <w:r w:rsidR="005B24E9" w:rsidRPr="00F65705">
              <w:rPr>
                <w:rFonts w:asciiTheme="minorHAnsi" w:hAnsiTheme="minorHAnsi" w:cstheme="minorHAnsi"/>
                <w:sz w:val="22"/>
                <w:szCs w:val="22"/>
              </w:rPr>
              <w:t>2022 Strategic</w:t>
            </w:r>
            <w:r w:rsidRPr="00F65705">
              <w:rPr>
                <w:rFonts w:asciiTheme="minorHAnsi" w:hAnsiTheme="minorHAnsi" w:cstheme="minorHAnsi"/>
                <w:sz w:val="22"/>
                <w:szCs w:val="22"/>
              </w:rPr>
              <w:t xml:space="preserve"> Agreement with Medicines Australia states</w:t>
            </w:r>
            <w:r w:rsidR="005B24E9" w:rsidRPr="00F65705">
              <w:rPr>
                <w:rFonts w:asciiTheme="minorHAnsi" w:hAnsiTheme="minorHAnsi" w:cstheme="minorHAnsi"/>
                <w:sz w:val="22"/>
                <w:szCs w:val="22"/>
              </w:rPr>
              <w:t xml:space="preserve"> </w:t>
            </w:r>
            <w:r w:rsidRPr="00F65705">
              <w:rPr>
                <w:rFonts w:asciiTheme="minorHAnsi" w:hAnsiTheme="minorHAnsi" w:cstheme="minorHAnsi"/>
                <w:sz w:val="22"/>
                <w:szCs w:val="22"/>
              </w:rPr>
              <w:t xml:space="preserve">the </w:t>
            </w:r>
            <w:r w:rsidR="005B24E9" w:rsidRPr="00F65705">
              <w:rPr>
                <w:rFonts w:asciiTheme="minorHAnsi" w:hAnsiTheme="minorHAnsi" w:cstheme="minorHAnsi"/>
                <w:sz w:val="22"/>
                <w:szCs w:val="22"/>
              </w:rPr>
              <w:t>‘</w:t>
            </w:r>
            <w:r w:rsidRPr="00F65705">
              <w:rPr>
                <w:rFonts w:asciiTheme="minorHAnsi" w:hAnsiTheme="minorHAnsi" w:cstheme="minorHAnsi"/>
                <w:sz w:val="22"/>
                <w:szCs w:val="22"/>
              </w:rPr>
              <w:t xml:space="preserve">Commonwealth will engage an independent entity to undertake a review during 2022 of the PBS </w:t>
            </w:r>
            <w:r w:rsidR="006C1BEA" w:rsidRPr="00F65705">
              <w:rPr>
                <w:rFonts w:asciiTheme="minorHAnsi" w:hAnsiTheme="minorHAnsi" w:cstheme="minorHAnsi"/>
                <w:sz w:val="22"/>
                <w:szCs w:val="22"/>
              </w:rPr>
              <w:t>activity-based</w:t>
            </w:r>
            <w:r w:rsidRPr="00F65705">
              <w:rPr>
                <w:rFonts w:asciiTheme="minorHAnsi" w:hAnsiTheme="minorHAnsi" w:cstheme="minorHAnsi"/>
                <w:sz w:val="22"/>
                <w:szCs w:val="22"/>
              </w:rPr>
              <w:t xml:space="preserve"> cost model to assess the appropriateness of the list of cost recovered activities in the administration of the PBS and the cost allocations to them having regard to the Australian Government Charging Framework and Australian Government Cost Recovery Guidelines.</w:t>
            </w:r>
            <w:r w:rsidR="005B24E9" w:rsidRPr="00F65705">
              <w:rPr>
                <w:rFonts w:asciiTheme="minorHAnsi" w:hAnsiTheme="minorHAnsi" w:cstheme="minorHAnsi"/>
                <w:sz w:val="22"/>
                <w:szCs w:val="22"/>
              </w:rPr>
              <w:t xml:space="preserve">’ The independent reviewer completed a robust review of the </w:t>
            </w:r>
            <w:r w:rsidR="006C1BEA" w:rsidRPr="00F65705">
              <w:rPr>
                <w:rFonts w:asciiTheme="minorHAnsi" w:hAnsiTheme="minorHAnsi" w:cstheme="minorHAnsi"/>
                <w:sz w:val="22"/>
                <w:szCs w:val="22"/>
              </w:rPr>
              <w:t>activity-based</w:t>
            </w:r>
            <w:r w:rsidR="005B24E9" w:rsidRPr="00F65705">
              <w:rPr>
                <w:rFonts w:asciiTheme="minorHAnsi" w:hAnsiTheme="minorHAnsi" w:cstheme="minorHAnsi"/>
                <w:sz w:val="22"/>
                <w:szCs w:val="22"/>
              </w:rPr>
              <w:t xml:space="preserve"> cost model in July 2022. </w:t>
            </w:r>
          </w:p>
          <w:p w14:paraId="6AC6E43C" w14:textId="1075295A" w:rsidR="00670199" w:rsidRPr="00F65705" w:rsidRDefault="00670199" w:rsidP="007E6C76">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 xml:space="preserve">The Department notes the stakeholder feedback and clarifies that the cost recovery fees are solely calculated via the use of an </w:t>
            </w:r>
            <w:r w:rsidR="006C1BEA" w:rsidRPr="00F65705">
              <w:rPr>
                <w:rFonts w:asciiTheme="minorHAnsi" w:hAnsiTheme="minorHAnsi" w:cstheme="minorHAnsi"/>
                <w:sz w:val="22"/>
                <w:szCs w:val="22"/>
              </w:rPr>
              <w:t>activity-based</w:t>
            </w:r>
            <w:r w:rsidRPr="00F65705">
              <w:rPr>
                <w:rFonts w:asciiTheme="minorHAnsi" w:hAnsiTheme="minorHAnsi" w:cstheme="minorHAnsi"/>
                <w:sz w:val="22"/>
                <w:szCs w:val="22"/>
              </w:rPr>
              <w:t xml:space="preserve"> cost model. The </w:t>
            </w:r>
            <w:r w:rsidR="006C1BEA" w:rsidRPr="00F65705">
              <w:rPr>
                <w:rFonts w:asciiTheme="minorHAnsi" w:hAnsiTheme="minorHAnsi" w:cstheme="minorHAnsi"/>
                <w:sz w:val="22"/>
                <w:szCs w:val="22"/>
              </w:rPr>
              <w:t>activity-based</w:t>
            </w:r>
            <w:r w:rsidRPr="00F65705">
              <w:rPr>
                <w:rFonts w:asciiTheme="minorHAnsi" w:hAnsiTheme="minorHAnsi" w:cstheme="minorHAnsi"/>
                <w:sz w:val="22"/>
                <w:szCs w:val="22"/>
              </w:rPr>
              <w:t xml:space="preserve"> cost model collates all inputs and assumptions that form the cost base of the PBS evaluation and listing services provided to applicants. The cost model then distils these inputs into a final fee for each submission category, reflective of the minimum efficient costs incurred by the Department in the provision of these services to applicants. </w:t>
            </w:r>
          </w:p>
          <w:p w14:paraId="6020F3FB" w14:textId="790FB605" w:rsidR="005B24E9" w:rsidRPr="00F65705" w:rsidRDefault="00670199" w:rsidP="007E6C76">
            <w:pPr>
              <w:spacing w:before="120" w:after="120" w:line="259" w:lineRule="auto"/>
              <w:rPr>
                <w:rFonts w:asciiTheme="minorHAnsi" w:hAnsiTheme="minorHAnsi" w:cstheme="minorHAnsi"/>
                <w:sz w:val="22"/>
                <w:szCs w:val="22"/>
              </w:rPr>
            </w:pPr>
            <w:r w:rsidRPr="00F65705">
              <w:rPr>
                <w:rFonts w:asciiTheme="minorHAnsi" w:hAnsiTheme="minorHAnsi" w:cstheme="minorHAnsi"/>
                <w:sz w:val="22"/>
                <w:szCs w:val="22"/>
              </w:rPr>
              <w:t xml:space="preserve">The cost model was reviewed and deemed fit for purpose by the independent reviewer. </w:t>
            </w:r>
            <w:r w:rsidR="005B24E9" w:rsidRPr="00F65705">
              <w:rPr>
                <w:rFonts w:asciiTheme="minorHAnsi" w:hAnsiTheme="minorHAnsi" w:cstheme="minorHAnsi"/>
                <w:sz w:val="22"/>
                <w:szCs w:val="22"/>
              </w:rPr>
              <w:t>The completion of the independent review has consequently fulfilled clause 6.9.2</w:t>
            </w:r>
            <w:r w:rsidRPr="00F65705">
              <w:rPr>
                <w:rFonts w:asciiTheme="minorHAnsi" w:hAnsiTheme="minorHAnsi" w:cstheme="minorHAnsi"/>
                <w:sz w:val="22"/>
                <w:szCs w:val="22"/>
              </w:rPr>
              <w:t xml:space="preserve"> of the 2022 Strategic Agreement</w:t>
            </w:r>
            <w:r w:rsidR="005B24E9" w:rsidRPr="00F65705">
              <w:rPr>
                <w:rFonts w:asciiTheme="minorHAnsi" w:hAnsiTheme="minorHAnsi" w:cstheme="minorHAnsi"/>
                <w:sz w:val="22"/>
                <w:szCs w:val="22"/>
              </w:rPr>
              <w:t xml:space="preserve">. </w:t>
            </w:r>
          </w:p>
        </w:tc>
      </w:tr>
      <w:tr w:rsidR="00F65705" w:rsidRPr="00F65705" w14:paraId="70B28A68" w14:textId="77777777" w:rsidTr="007E6C76">
        <w:tc>
          <w:tcPr>
            <w:tcW w:w="13948" w:type="dxa"/>
            <w:gridSpan w:val="2"/>
            <w:shd w:val="clear" w:color="auto" w:fill="D9D9D9" w:themeFill="background1" w:themeFillShade="D9"/>
          </w:tcPr>
          <w:p w14:paraId="26539CC9" w14:textId="178B886C" w:rsidR="00F033FD" w:rsidRPr="00F65705" w:rsidRDefault="003E779F" w:rsidP="007E6C76">
            <w:pPr>
              <w:spacing w:before="120" w:after="120" w:line="259" w:lineRule="auto"/>
              <w:rPr>
                <w:rFonts w:asciiTheme="minorHAnsi" w:hAnsiTheme="minorHAnsi"/>
                <w:bCs/>
                <w:i/>
                <w:iCs/>
                <w:sz w:val="22"/>
                <w:szCs w:val="22"/>
              </w:rPr>
            </w:pPr>
            <w:r w:rsidRPr="00F65705">
              <w:rPr>
                <w:rFonts w:asciiTheme="minorHAnsi" w:hAnsiTheme="minorHAnsi"/>
                <w:bCs/>
                <w:i/>
                <w:iCs/>
                <w:sz w:val="22"/>
                <w:szCs w:val="22"/>
              </w:rPr>
              <w:t>PBS improvements</w:t>
            </w:r>
          </w:p>
        </w:tc>
      </w:tr>
      <w:tr w:rsidR="00F65705" w:rsidRPr="00F65705" w14:paraId="3F929C31" w14:textId="77777777" w:rsidTr="007E6C76">
        <w:tc>
          <w:tcPr>
            <w:tcW w:w="7015" w:type="dxa"/>
          </w:tcPr>
          <w:p w14:paraId="0C74AB40" w14:textId="7B71254C" w:rsidR="00F033FD" w:rsidRPr="00F65705" w:rsidRDefault="00C86FB5" w:rsidP="007E6C76">
            <w:p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lastRenderedPageBreak/>
              <w:t>Stakeholders sought c</w:t>
            </w:r>
            <w:r w:rsidR="003E779F" w:rsidRPr="00F65705">
              <w:rPr>
                <w:rFonts w:asciiTheme="minorHAnsi" w:hAnsiTheme="minorHAnsi" w:cstheme="minorHAnsi"/>
                <w:sz w:val="22"/>
                <w:szCs w:val="22"/>
              </w:rPr>
              <w:t>ommitment from the Department to ongoing consultation on PBS Process Improvements and any additional activities that may be considered for cost</w:t>
            </w:r>
            <w:r w:rsidRPr="00F65705">
              <w:rPr>
                <w:rFonts w:asciiTheme="minorHAnsi" w:hAnsiTheme="minorHAnsi" w:cstheme="minorHAnsi"/>
                <w:sz w:val="22"/>
                <w:szCs w:val="22"/>
              </w:rPr>
              <w:t xml:space="preserve"> </w:t>
            </w:r>
            <w:r w:rsidR="003E779F" w:rsidRPr="00F65705">
              <w:rPr>
                <w:rFonts w:asciiTheme="minorHAnsi" w:hAnsiTheme="minorHAnsi" w:cstheme="minorHAnsi"/>
                <w:sz w:val="22"/>
                <w:szCs w:val="22"/>
              </w:rPr>
              <w:t>recovery purposes.</w:t>
            </w:r>
          </w:p>
        </w:tc>
        <w:tc>
          <w:tcPr>
            <w:tcW w:w="6933" w:type="dxa"/>
          </w:tcPr>
          <w:p w14:paraId="72DA6647" w14:textId="4426865C" w:rsidR="00F033FD" w:rsidRPr="00F65705" w:rsidRDefault="00E57640" w:rsidP="007E6C76">
            <w:pPr>
              <w:spacing w:before="120" w:after="120" w:line="259" w:lineRule="auto"/>
              <w:rPr>
                <w:rFonts w:asciiTheme="minorHAnsi" w:hAnsiTheme="minorHAnsi" w:cstheme="minorHAnsi"/>
                <w:sz w:val="22"/>
                <w:szCs w:val="22"/>
              </w:rPr>
            </w:pPr>
            <w:r w:rsidRPr="00F65705">
              <w:rPr>
                <w:rFonts w:asciiTheme="minorHAnsi" w:hAnsiTheme="minorHAnsi"/>
                <w:bCs/>
                <w:sz w:val="22"/>
                <w:szCs w:val="22"/>
              </w:rPr>
              <w:t xml:space="preserve">The Department remains committed to ongoing consultation with the medicines industry to ensure timely and appropriate access to new medicines and the ongoing viability of the PBS and NIP through PBS process improvements. </w:t>
            </w:r>
            <w:r w:rsidRPr="00F65705">
              <w:rPr>
                <w:rFonts w:asciiTheme="minorHAnsi" w:hAnsiTheme="minorHAnsi" w:cstheme="minorHAnsi"/>
                <w:sz w:val="22"/>
                <w:szCs w:val="22"/>
              </w:rPr>
              <w:t>The Department is committed to long term</w:t>
            </w:r>
            <w:r w:rsidR="00C86FB5" w:rsidRPr="00F65705">
              <w:rPr>
                <w:rFonts w:asciiTheme="minorHAnsi" w:hAnsiTheme="minorHAnsi" w:cstheme="minorHAnsi"/>
                <w:sz w:val="22"/>
                <w:szCs w:val="22"/>
              </w:rPr>
              <w:t xml:space="preserve">, constructive, </w:t>
            </w:r>
            <w:r w:rsidRPr="00F65705">
              <w:rPr>
                <w:rFonts w:asciiTheme="minorHAnsi" w:hAnsiTheme="minorHAnsi" w:cstheme="minorHAnsi"/>
                <w:sz w:val="22"/>
                <w:szCs w:val="22"/>
              </w:rPr>
              <w:t>working relationship</w:t>
            </w:r>
            <w:r w:rsidR="00C86FB5" w:rsidRPr="00F65705">
              <w:rPr>
                <w:rFonts w:asciiTheme="minorHAnsi" w:hAnsiTheme="minorHAnsi" w:cstheme="minorHAnsi"/>
                <w:sz w:val="22"/>
                <w:szCs w:val="22"/>
              </w:rPr>
              <w:t>s</w:t>
            </w:r>
            <w:r w:rsidRPr="00F65705">
              <w:rPr>
                <w:rFonts w:asciiTheme="minorHAnsi" w:hAnsiTheme="minorHAnsi" w:cstheme="minorHAnsi"/>
                <w:sz w:val="22"/>
                <w:szCs w:val="22"/>
              </w:rPr>
              <w:t xml:space="preserve"> with </w:t>
            </w:r>
            <w:r w:rsidR="00C86FB5" w:rsidRPr="00F65705">
              <w:rPr>
                <w:rFonts w:asciiTheme="minorHAnsi" w:hAnsiTheme="minorHAnsi" w:cstheme="minorHAnsi"/>
                <w:sz w:val="22"/>
                <w:szCs w:val="22"/>
              </w:rPr>
              <w:t>its</w:t>
            </w:r>
            <w:r w:rsidRPr="00F65705">
              <w:rPr>
                <w:rFonts w:asciiTheme="minorHAnsi" w:hAnsiTheme="minorHAnsi" w:cstheme="minorHAnsi"/>
                <w:sz w:val="22"/>
                <w:szCs w:val="22"/>
              </w:rPr>
              <w:t xml:space="preserve"> stakeholders</w:t>
            </w:r>
            <w:r w:rsidR="00C86FB5" w:rsidRPr="00F65705">
              <w:rPr>
                <w:rFonts w:asciiTheme="minorHAnsi" w:hAnsiTheme="minorHAnsi" w:cstheme="minorHAnsi"/>
                <w:sz w:val="22"/>
                <w:szCs w:val="22"/>
              </w:rPr>
              <w:t>, particularly via the Access to Medicines Working Group (AMWG).</w:t>
            </w:r>
            <w:r w:rsidRPr="00F65705">
              <w:rPr>
                <w:rFonts w:asciiTheme="minorHAnsi" w:hAnsiTheme="minorHAnsi" w:cstheme="minorHAnsi"/>
                <w:sz w:val="22"/>
                <w:szCs w:val="22"/>
              </w:rPr>
              <w:t xml:space="preserve"> The Strategic Agreement with Medicines Australia provides a platform of </w:t>
            </w:r>
            <w:proofErr w:type="gramStart"/>
            <w:r w:rsidRPr="00F65705">
              <w:rPr>
                <w:rFonts w:asciiTheme="minorHAnsi" w:hAnsiTheme="minorHAnsi" w:cstheme="minorHAnsi"/>
                <w:sz w:val="22"/>
                <w:szCs w:val="22"/>
              </w:rPr>
              <w:t>long term</w:t>
            </w:r>
            <w:proofErr w:type="gramEnd"/>
            <w:r w:rsidRPr="00F65705">
              <w:rPr>
                <w:rFonts w:asciiTheme="minorHAnsi" w:hAnsiTheme="minorHAnsi" w:cstheme="minorHAnsi"/>
                <w:sz w:val="22"/>
                <w:szCs w:val="22"/>
              </w:rPr>
              <w:t xml:space="preserve"> working arrangements and demonstrates the commitment the Department has to consulting with</w:t>
            </w:r>
            <w:r w:rsidR="00C86FB5" w:rsidRPr="00F65705">
              <w:rPr>
                <w:rFonts w:asciiTheme="minorHAnsi" w:hAnsiTheme="minorHAnsi" w:cstheme="minorHAnsi"/>
                <w:sz w:val="22"/>
                <w:szCs w:val="22"/>
              </w:rPr>
              <w:t xml:space="preserve"> relevant</w:t>
            </w:r>
            <w:r w:rsidRPr="00F65705">
              <w:rPr>
                <w:rFonts w:asciiTheme="minorHAnsi" w:hAnsiTheme="minorHAnsi" w:cstheme="minorHAnsi"/>
                <w:sz w:val="22"/>
                <w:szCs w:val="22"/>
              </w:rPr>
              <w:t xml:space="preserve"> stakeholders.</w:t>
            </w:r>
          </w:p>
        </w:tc>
      </w:tr>
      <w:tr w:rsidR="00F65705" w:rsidRPr="00F65705" w14:paraId="616EB0E0" w14:textId="77777777" w:rsidTr="007E6C76">
        <w:tc>
          <w:tcPr>
            <w:tcW w:w="7015" w:type="dxa"/>
          </w:tcPr>
          <w:p w14:paraId="08B4BCE0" w14:textId="45B4D17B" w:rsidR="00E54A65" w:rsidRPr="00F65705" w:rsidRDefault="00C86FB5" w:rsidP="00E54A65">
            <w:p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Stakeholders requested the d</w:t>
            </w:r>
            <w:r w:rsidR="00E54A65" w:rsidRPr="00F65705">
              <w:rPr>
                <w:rFonts w:asciiTheme="minorHAnsi" w:hAnsiTheme="minorHAnsi" w:cstheme="minorHAnsi"/>
                <w:sz w:val="22"/>
                <w:szCs w:val="22"/>
              </w:rPr>
              <w:t xml:space="preserve">evelopment of a publicly available metric that reflects improvements in transparency and efficiencies of resources </w:t>
            </w:r>
            <w:r w:rsidRPr="00F65705">
              <w:rPr>
                <w:rFonts w:asciiTheme="minorHAnsi" w:hAnsiTheme="minorHAnsi" w:cstheme="minorHAnsi"/>
                <w:sz w:val="22"/>
                <w:szCs w:val="22"/>
              </w:rPr>
              <w:t xml:space="preserve">regarding </w:t>
            </w:r>
            <w:r w:rsidR="00E54A65" w:rsidRPr="00F65705">
              <w:rPr>
                <w:rFonts w:asciiTheme="minorHAnsi" w:hAnsiTheme="minorHAnsi" w:cstheme="minorHAnsi"/>
                <w:sz w:val="22"/>
                <w:szCs w:val="22"/>
              </w:rPr>
              <w:t>PBS</w:t>
            </w:r>
            <w:r w:rsidRPr="00F65705">
              <w:rPr>
                <w:rFonts w:asciiTheme="minorHAnsi" w:hAnsiTheme="minorHAnsi" w:cstheme="minorHAnsi"/>
                <w:sz w:val="22"/>
                <w:szCs w:val="22"/>
              </w:rPr>
              <w:t xml:space="preserve"> evaluation and</w:t>
            </w:r>
            <w:r w:rsidR="00E54A65" w:rsidRPr="00F65705">
              <w:rPr>
                <w:rFonts w:asciiTheme="minorHAnsi" w:hAnsiTheme="minorHAnsi" w:cstheme="minorHAnsi"/>
                <w:sz w:val="22"/>
                <w:szCs w:val="22"/>
              </w:rPr>
              <w:t xml:space="preserve"> listing process. </w:t>
            </w:r>
          </w:p>
        </w:tc>
        <w:tc>
          <w:tcPr>
            <w:tcW w:w="6933" w:type="dxa"/>
          </w:tcPr>
          <w:p w14:paraId="18BE8E88" w14:textId="25CCE95E" w:rsidR="00E54A65" w:rsidRPr="00F65705" w:rsidRDefault="00C86FB5" w:rsidP="00E54A65">
            <w:pPr>
              <w:spacing w:before="120" w:after="120" w:line="259" w:lineRule="auto"/>
              <w:rPr>
                <w:rFonts w:asciiTheme="minorHAnsi" w:hAnsiTheme="minorHAnsi" w:cstheme="minorHAnsi"/>
                <w:sz w:val="22"/>
                <w:szCs w:val="22"/>
              </w:rPr>
            </w:pPr>
            <w:r w:rsidRPr="00F65705">
              <w:rPr>
                <w:rFonts w:asciiTheme="minorHAnsi" w:hAnsiTheme="minorHAnsi" w:cstheme="minorHAnsi"/>
                <w:bCs/>
                <w:sz w:val="22"/>
                <w:szCs w:val="22"/>
              </w:rPr>
              <w:t xml:space="preserve">The Department </w:t>
            </w:r>
            <w:r w:rsidR="00852946" w:rsidRPr="00F65705">
              <w:rPr>
                <w:rFonts w:asciiTheme="minorHAnsi" w:hAnsiTheme="minorHAnsi" w:cstheme="minorHAnsi"/>
                <w:bCs/>
                <w:sz w:val="22"/>
                <w:szCs w:val="22"/>
              </w:rPr>
              <w:t>would welcome discussion of the potential development of new metrics</w:t>
            </w:r>
            <w:r w:rsidR="006C1BEA" w:rsidRPr="00F65705">
              <w:rPr>
                <w:rFonts w:asciiTheme="minorHAnsi" w:hAnsiTheme="minorHAnsi" w:cstheme="minorHAnsi"/>
                <w:bCs/>
                <w:sz w:val="22"/>
                <w:szCs w:val="22"/>
              </w:rPr>
              <w:t xml:space="preserve"> </w:t>
            </w:r>
            <w:r w:rsidR="006C1BEA" w:rsidRPr="00F65705">
              <w:rPr>
                <w:rFonts w:asciiTheme="minorHAnsi" w:hAnsiTheme="minorHAnsi" w:cstheme="minorHAnsi"/>
                <w:bCs/>
                <w:sz w:val="22"/>
                <w:szCs w:val="22"/>
                <w:u w:val="single"/>
              </w:rPr>
              <w:t>(</w:t>
            </w:r>
            <w:hyperlink r:id="rId16" w:history="1">
              <w:r w:rsidR="006C1BEA" w:rsidRPr="00F65705">
                <w:rPr>
                  <w:rStyle w:val="Hyperlink"/>
                  <w:rFonts w:asciiTheme="minorHAnsi" w:hAnsiTheme="minorHAnsi" w:cstheme="minorHAnsi"/>
                  <w:bCs/>
                  <w:color w:val="auto"/>
                  <w:sz w:val="22"/>
                  <w:szCs w:val="22"/>
                  <w:u w:val="single"/>
                </w:rPr>
                <w:t>beyond the currently publicly available metrics already published on the PBS website</w:t>
              </w:r>
            </w:hyperlink>
            <w:r w:rsidR="006C1BEA" w:rsidRPr="00F65705">
              <w:rPr>
                <w:rFonts w:asciiTheme="minorHAnsi" w:hAnsiTheme="minorHAnsi" w:cstheme="minorHAnsi"/>
                <w:bCs/>
                <w:sz w:val="22"/>
                <w:szCs w:val="22"/>
              </w:rPr>
              <w:t>)</w:t>
            </w:r>
            <w:r w:rsidR="00852946" w:rsidRPr="00F65705">
              <w:rPr>
                <w:rFonts w:asciiTheme="minorHAnsi" w:hAnsiTheme="minorHAnsi" w:cstheme="minorHAnsi"/>
                <w:bCs/>
                <w:sz w:val="22"/>
                <w:szCs w:val="22"/>
              </w:rPr>
              <w:t xml:space="preserve"> </w:t>
            </w:r>
            <w:r w:rsidRPr="00F65705">
              <w:rPr>
                <w:rFonts w:asciiTheme="minorHAnsi" w:hAnsiTheme="minorHAnsi" w:cstheme="minorHAnsi"/>
                <w:bCs/>
                <w:sz w:val="22"/>
                <w:szCs w:val="22"/>
              </w:rPr>
              <w:t>via the AMWG and any related subgroups.</w:t>
            </w:r>
          </w:p>
        </w:tc>
      </w:tr>
      <w:tr w:rsidR="00F65705" w:rsidRPr="00F65705" w14:paraId="3D5C9E37" w14:textId="77777777" w:rsidTr="007E6C76">
        <w:tc>
          <w:tcPr>
            <w:tcW w:w="13948" w:type="dxa"/>
            <w:gridSpan w:val="2"/>
            <w:shd w:val="clear" w:color="auto" w:fill="D9D9D9" w:themeFill="background1" w:themeFillShade="D9"/>
          </w:tcPr>
          <w:p w14:paraId="348DC21D" w14:textId="462DD0C2" w:rsidR="003E779F" w:rsidRPr="00F65705" w:rsidRDefault="003E779F" w:rsidP="007E6C76">
            <w:pPr>
              <w:spacing w:before="120" w:after="120" w:line="259" w:lineRule="auto"/>
              <w:rPr>
                <w:rFonts w:asciiTheme="minorHAnsi" w:hAnsiTheme="minorHAnsi"/>
                <w:bCs/>
                <w:i/>
                <w:iCs/>
                <w:sz w:val="22"/>
                <w:szCs w:val="22"/>
              </w:rPr>
            </w:pPr>
            <w:r w:rsidRPr="00F65705">
              <w:rPr>
                <w:rFonts w:asciiTheme="minorHAnsi" w:hAnsiTheme="minorHAnsi"/>
                <w:bCs/>
                <w:i/>
                <w:iCs/>
                <w:sz w:val="22"/>
                <w:szCs w:val="22"/>
              </w:rPr>
              <w:t>Resource allocation relating to cost recovery fees</w:t>
            </w:r>
          </w:p>
        </w:tc>
      </w:tr>
      <w:tr w:rsidR="003E779F" w:rsidRPr="00F65705" w14:paraId="13706328" w14:textId="77777777" w:rsidTr="007E6C76">
        <w:tc>
          <w:tcPr>
            <w:tcW w:w="7015" w:type="dxa"/>
          </w:tcPr>
          <w:p w14:paraId="252E68FE" w14:textId="6A254E46" w:rsidR="003E779F" w:rsidRPr="00F65705" w:rsidRDefault="002F08FF" w:rsidP="007E6C76">
            <w:pPr>
              <w:spacing w:before="120" w:after="160" w:line="252" w:lineRule="auto"/>
              <w:rPr>
                <w:rFonts w:asciiTheme="minorHAnsi" w:hAnsiTheme="minorHAnsi" w:cstheme="minorHAnsi"/>
                <w:sz w:val="22"/>
                <w:szCs w:val="22"/>
              </w:rPr>
            </w:pPr>
            <w:r w:rsidRPr="00F65705">
              <w:rPr>
                <w:rFonts w:asciiTheme="minorHAnsi" w:hAnsiTheme="minorHAnsi" w:cstheme="minorHAnsi"/>
                <w:sz w:val="22"/>
                <w:szCs w:val="22"/>
              </w:rPr>
              <w:t>Stakeholders</w:t>
            </w:r>
            <w:r w:rsidR="003E779F" w:rsidRPr="00F65705">
              <w:rPr>
                <w:rFonts w:asciiTheme="minorHAnsi" w:hAnsiTheme="minorHAnsi" w:cstheme="minorHAnsi"/>
                <w:sz w:val="22"/>
                <w:szCs w:val="22"/>
              </w:rPr>
              <w:t xml:space="preserve"> requested that the CRIS document articulate, in a transparent manner, how the cost recovery fees are used </w:t>
            </w:r>
            <w:proofErr w:type="gramStart"/>
            <w:r w:rsidR="00EC79CD" w:rsidRPr="00F65705">
              <w:rPr>
                <w:rFonts w:asciiTheme="minorHAnsi" w:hAnsiTheme="minorHAnsi" w:cstheme="minorHAnsi"/>
                <w:sz w:val="22"/>
                <w:szCs w:val="22"/>
              </w:rPr>
              <w:t>with regard to</w:t>
            </w:r>
            <w:proofErr w:type="gramEnd"/>
            <w:r w:rsidR="00EC79CD" w:rsidRPr="00F65705">
              <w:rPr>
                <w:rFonts w:asciiTheme="minorHAnsi" w:hAnsiTheme="minorHAnsi" w:cstheme="minorHAnsi"/>
                <w:sz w:val="22"/>
                <w:szCs w:val="22"/>
              </w:rPr>
              <w:t xml:space="preserve"> </w:t>
            </w:r>
            <w:r w:rsidR="003E779F" w:rsidRPr="00F65705">
              <w:rPr>
                <w:rFonts w:asciiTheme="minorHAnsi" w:hAnsiTheme="minorHAnsi" w:cstheme="minorHAnsi"/>
                <w:sz w:val="22"/>
                <w:szCs w:val="22"/>
              </w:rPr>
              <w:t xml:space="preserve">resources and staffing at the Department. Publicly available metrics that reflect improvements in the transparency and efficiencies of resources directed to the PBS listing process should be developed in consultation with industry stakeholders. </w:t>
            </w:r>
          </w:p>
        </w:tc>
        <w:tc>
          <w:tcPr>
            <w:tcW w:w="6933" w:type="dxa"/>
          </w:tcPr>
          <w:p w14:paraId="2AF77722" w14:textId="08F7B08C" w:rsidR="00215821" w:rsidRPr="00F65705" w:rsidRDefault="00852946" w:rsidP="00852946">
            <w:pPr>
              <w:spacing w:before="120" w:after="120" w:line="259" w:lineRule="auto"/>
              <w:rPr>
                <w:rFonts w:asciiTheme="minorHAnsi" w:hAnsiTheme="minorHAnsi" w:cstheme="minorHAnsi"/>
                <w:bCs/>
                <w:sz w:val="22"/>
                <w:szCs w:val="22"/>
              </w:rPr>
            </w:pPr>
            <w:r w:rsidRPr="00F65705">
              <w:rPr>
                <w:rFonts w:asciiTheme="minorHAnsi" w:hAnsiTheme="minorHAnsi" w:cstheme="minorHAnsi"/>
                <w:bCs/>
                <w:sz w:val="22"/>
                <w:szCs w:val="22"/>
              </w:rPr>
              <w:t>The Department notes that table of 8 of this CRIS contains a breakdown of the unit costs associated with the performance of each activity for the 2023-24 financial year.</w:t>
            </w:r>
            <w:r w:rsidR="00EC79CD" w:rsidRPr="00F65705">
              <w:rPr>
                <w:rFonts w:asciiTheme="minorHAnsi" w:hAnsiTheme="minorHAnsi" w:cstheme="minorHAnsi"/>
                <w:bCs/>
                <w:sz w:val="22"/>
                <w:szCs w:val="22"/>
              </w:rPr>
              <w:t xml:space="preserve"> S</w:t>
            </w:r>
            <w:r w:rsidR="00215821" w:rsidRPr="00F65705">
              <w:rPr>
                <w:rFonts w:asciiTheme="minorHAnsi" w:hAnsiTheme="minorHAnsi" w:cstheme="minorHAnsi"/>
                <w:bCs/>
                <w:sz w:val="22"/>
                <w:szCs w:val="22"/>
              </w:rPr>
              <w:t xml:space="preserve">ection 3.2.1 of this CRIS also </w:t>
            </w:r>
            <w:r w:rsidR="00EC79CD" w:rsidRPr="00F65705">
              <w:rPr>
                <w:rFonts w:asciiTheme="minorHAnsi" w:hAnsiTheme="minorHAnsi" w:cstheme="minorHAnsi"/>
                <w:bCs/>
                <w:sz w:val="22"/>
                <w:szCs w:val="22"/>
              </w:rPr>
              <w:t>detail</w:t>
            </w:r>
            <w:r w:rsidR="002F08FF" w:rsidRPr="00F65705">
              <w:rPr>
                <w:rFonts w:asciiTheme="minorHAnsi" w:hAnsiTheme="minorHAnsi" w:cstheme="minorHAnsi"/>
                <w:bCs/>
                <w:sz w:val="22"/>
                <w:szCs w:val="22"/>
              </w:rPr>
              <w:t>s</w:t>
            </w:r>
            <w:r w:rsidR="00215821" w:rsidRPr="00F65705">
              <w:rPr>
                <w:rFonts w:asciiTheme="minorHAnsi" w:hAnsiTheme="minorHAnsi" w:cstheme="minorHAnsi"/>
                <w:sz w:val="22"/>
                <w:szCs w:val="22"/>
              </w:rPr>
              <w:t xml:space="preserve"> </w:t>
            </w:r>
            <w:proofErr w:type="gramStart"/>
            <w:r w:rsidR="00215821" w:rsidRPr="00F65705">
              <w:rPr>
                <w:rFonts w:asciiTheme="minorHAnsi" w:hAnsiTheme="minorHAnsi" w:cstheme="minorHAnsi"/>
                <w:sz w:val="22"/>
                <w:szCs w:val="22"/>
              </w:rPr>
              <w:t>a number of</w:t>
            </w:r>
            <w:proofErr w:type="gramEnd"/>
            <w:r w:rsidR="00215821" w:rsidRPr="00F65705">
              <w:rPr>
                <w:rFonts w:asciiTheme="minorHAnsi" w:hAnsiTheme="minorHAnsi" w:cstheme="minorHAnsi"/>
                <w:sz w:val="22"/>
                <w:szCs w:val="22"/>
              </w:rPr>
              <w:t xml:space="preserve"> </w:t>
            </w:r>
            <w:r w:rsidR="00EC79CD" w:rsidRPr="00F65705">
              <w:rPr>
                <w:rFonts w:asciiTheme="minorHAnsi" w:hAnsiTheme="minorHAnsi" w:cstheme="minorHAnsi"/>
                <w:sz w:val="22"/>
                <w:szCs w:val="22"/>
              </w:rPr>
              <w:t xml:space="preserve">specific </w:t>
            </w:r>
            <w:r w:rsidR="00215821" w:rsidRPr="00F65705">
              <w:rPr>
                <w:rFonts w:asciiTheme="minorHAnsi" w:hAnsiTheme="minorHAnsi" w:cstheme="minorHAnsi"/>
                <w:sz w:val="22"/>
                <w:szCs w:val="22"/>
              </w:rPr>
              <w:t xml:space="preserve">cost drivers impacting these fee changes. </w:t>
            </w:r>
          </w:p>
          <w:p w14:paraId="3D065683" w14:textId="1D6363C8" w:rsidR="00215821" w:rsidRPr="00F65705" w:rsidRDefault="00215821" w:rsidP="00852946">
            <w:pPr>
              <w:spacing w:before="120" w:after="120" w:line="259" w:lineRule="auto"/>
              <w:rPr>
                <w:rFonts w:asciiTheme="minorHAnsi" w:hAnsiTheme="minorHAnsi" w:cstheme="minorHAnsi"/>
                <w:bCs/>
                <w:sz w:val="22"/>
                <w:szCs w:val="22"/>
              </w:rPr>
            </w:pPr>
            <w:r w:rsidRPr="00F65705">
              <w:rPr>
                <w:rFonts w:asciiTheme="minorHAnsi" w:hAnsiTheme="minorHAnsi" w:cstheme="minorHAnsi"/>
                <w:bCs/>
                <w:sz w:val="22"/>
                <w:szCs w:val="22"/>
              </w:rPr>
              <w:t xml:space="preserve">The Department notes, as per table 10, that the cost recovered revenue for 2023-24 is anticipated to be $32.06m, while the costs of providing these services to applicants is anticipated to be $39.70m, representing a deficit of $7.65m. </w:t>
            </w:r>
          </w:p>
          <w:p w14:paraId="007E96EB" w14:textId="61B5AEC9" w:rsidR="003E779F" w:rsidRPr="00F65705" w:rsidRDefault="00215821" w:rsidP="00F4372E">
            <w:pPr>
              <w:spacing w:before="120" w:after="120" w:line="259" w:lineRule="auto"/>
              <w:rPr>
                <w:rFonts w:asciiTheme="minorHAnsi" w:hAnsiTheme="minorHAnsi" w:cstheme="minorHAnsi"/>
                <w:bCs/>
                <w:sz w:val="22"/>
                <w:szCs w:val="22"/>
              </w:rPr>
            </w:pPr>
            <w:r w:rsidRPr="00F65705">
              <w:rPr>
                <w:rFonts w:asciiTheme="minorHAnsi" w:hAnsiTheme="minorHAnsi" w:cstheme="minorHAnsi"/>
                <w:bCs/>
                <w:sz w:val="22"/>
                <w:szCs w:val="22"/>
              </w:rPr>
              <w:t xml:space="preserve">The revenue received from PBS/NIP cost recovery is collected by the Commonwealth as part of consolidated revenue. </w:t>
            </w:r>
            <w:r w:rsidR="008278F3" w:rsidRPr="00F65705">
              <w:rPr>
                <w:rFonts w:asciiTheme="minorHAnsi" w:hAnsiTheme="minorHAnsi" w:cstheme="minorHAnsi"/>
                <w:bCs/>
                <w:sz w:val="22"/>
                <w:szCs w:val="22"/>
              </w:rPr>
              <w:t>A</w:t>
            </w:r>
            <w:r w:rsidRPr="00F65705">
              <w:rPr>
                <w:rFonts w:asciiTheme="minorHAnsi" w:hAnsiTheme="minorHAnsi" w:cstheme="minorHAnsi"/>
                <w:bCs/>
                <w:sz w:val="22"/>
                <w:szCs w:val="22"/>
              </w:rPr>
              <w:t>ppropriation</w:t>
            </w:r>
            <w:r w:rsidR="008278F3" w:rsidRPr="00F65705">
              <w:rPr>
                <w:rFonts w:asciiTheme="minorHAnsi" w:hAnsiTheme="minorHAnsi" w:cstheme="minorHAnsi"/>
                <w:bCs/>
                <w:sz w:val="22"/>
                <w:szCs w:val="22"/>
              </w:rPr>
              <w:t xml:space="preserve"> is then provided</w:t>
            </w:r>
            <w:r w:rsidRPr="00F65705">
              <w:rPr>
                <w:rFonts w:asciiTheme="minorHAnsi" w:hAnsiTheme="minorHAnsi" w:cstheme="minorHAnsi"/>
                <w:bCs/>
                <w:sz w:val="22"/>
                <w:szCs w:val="22"/>
              </w:rPr>
              <w:t xml:space="preserve"> to the Department to fund PBS/NIP evaluation and listing processes. </w:t>
            </w:r>
          </w:p>
        </w:tc>
      </w:tr>
      <w:bookmarkEnd w:id="12"/>
    </w:tbl>
    <w:p w14:paraId="7A5C89D2" w14:textId="19A3A9E5" w:rsidR="00865C8A" w:rsidRPr="00F65705" w:rsidRDefault="00865C8A">
      <w:pPr>
        <w:rPr>
          <w:b/>
          <w:sz w:val="28"/>
          <w:szCs w:val="28"/>
        </w:rPr>
      </w:pPr>
    </w:p>
    <w:sectPr w:rsidR="00865C8A" w:rsidRPr="00F65705" w:rsidSect="00865C8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D34E" w14:textId="77777777" w:rsidR="00BD3EF1" w:rsidRDefault="00BD3EF1" w:rsidP="00865C8A">
      <w:r>
        <w:separator/>
      </w:r>
    </w:p>
  </w:endnote>
  <w:endnote w:type="continuationSeparator" w:id="0">
    <w:p w14:paraId="7D301CD0" w14:textId="77777777" w:rsidR="00BD3EF1" w:rsidRDefault="00BD3EF1" w:rsidP="0086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HP">
    <w:altName w:val="Courier New"/>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563853"/>
      <w:docPartObj>
        <w:docPartGallery w:val="Page Numbers (Bottom of Page)"/>
        <w:docPartUnique/>
      </w:docPartObj>
    </w:sdtPr>
    <w:sdtEndPr>
      <w:rPr>
        <w:noProof/>
      </w:rPr>
    </w:sdtEndPr>
    <w:sdtContent>
      <w:p w14:paraId="0CF61B60" w14:textId="77777777" w:rsidR="00865C8A" w:rsidRDefault="00865C8A" w:rsidP="00130571">
        <w:pPr>
          <w:pStyle w:val="Footer"/>
          <w:jc w:val="right"/>
        </w:pPr>
        <w:r w:rsidRPr="00DD3429">
          <w:rPr>
            <w:rFonts w:asciiTheme="minorHAnsi" w:hAnsiTheme="minorHAnsi" w:cstheme="minorHAnsi"/>
            <w:sz w:val="20"/>
            <w:szCs w:val="20"/>
          </w:rPr>
          <w:fldChar w:fldCharType="begin"/>
        </w:r>
        <w:r w:rsidRPr="00DD3429">
          <w:rPr>
            <w:rFonts w:asciiTheme="minorHAnsi" w:hAnsiTheme="minorHAnsi" w:cstheme="minorHAnsi"/>
            <w:sz w:val="20"/>
            <w:szCs w:val="20"/>
          </w:rPr>
          <w:instrText xml:space="preserve"> PAGE   \* MERGEFORMAT </w:instrText>
        </w:r>
        <w:r w:rsidRPr="00DD3429">
          <w:rPr>
            <w:rFonts w:asciiTheme="minorHAnsi" w:hAnsiTheme="minorHAnsi" w:cstheme="minorHAnsi"/>
            <w:sz w:val="20"/>
            <w:szCs w:val="20"/>
          </w:rPr>
          <w:fldChar w:fldCharType="separate"/>
        </w:r>
        <w:r>
          <w:rPr>
            <w:rFonts w:asciiTheme="minorHAnsi" w:hAnsiTheme="minorHAnsi" w:cstheme="minorHAnsi"/>
            <w:noProof/>
            <w:sz w:val="20"/>
            <w:szCs w:val="20"/>
          </w:rPr>
          <w:t>2</w:t>
        </w:r>
        <w:r w:rsidRPr="00DD3429">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5A9F" w14:textId="77777777" w:rsidR="00BD3EF1" w:rsidRDefault="00BD3EF1" w:rsidP="00865C8A">
      <w:r>
        <w:separator/>
      </w:r>
    </w:p>
  </w:footnote>
  <w:footnote w:type="continuationSeparator" w:id="0">
    <w:p w14:paraId="653FF095" w14:textId="77777777" w:rsidR="00BD3EF1" w:rsidRDefault="00BD3EF1" w:rsidP="00865C8A">
      <w:r>
        <w:continuationSeparator/>
      </w:r>
    </w:p>
  </w:footnote>
  <w:footnote w:id="1">
    <w:p w14:paraId="2B6252B2" w14:textId="77777777" w:rsidR="00865C8A" w:rsidRPr="006A2116" w:rsidRDefault="00865C8A" w:rsidP="00865C8A">
      <w:pPr>
        <w:pStyle w:val="FootnoteText"/>
      </w:pPr>
      <w:r w:rsidRPr="00101163">
        <w:rPr>
          <w:rStyle w:val="FootnoteReference"/>
        </w:rPr>
        <w:footnoteRef/>
      </w:r>
      <w:r w:rsidRPr="00101163">
        <w:t xml:space="preserve"> </w:t>
      </w:r>
      <w:r>
        <w:t xml:space="preserve">The Australian Government Charging Framework and the CRGs are available on the </w:t>
      </w:r>
      <w:hyperlink r:id="rId1" w:history="1">
        <w:r w:rsidRPr="005B0601">
          <w:rPr>
            <w:rStyle w:val="Hyperlink"/>
            <w:color w:val="44546A" w:themeColor="text2"/>
            <w:u w:val="single"/>
          </w:rPr>
          <w:t>Department of Finance website</w:t>
        </w:r>
      </w:hyperlink>
      <w:r w:rsidRPr="005B0601">
        <w:rPr>
          <w:color w:val="44546A" w:themeColor="text2"/>
          <w:u w:val="single"/>
        </w:rPr>
        <w:t>.</w:t>
      </w:r>
      <w:r w:rsidRPr="005B0601">
        <w:rPr>
          <w:color w:val="44546A" w:themeColor="text2"/>
        </w:rPr>
        <w:t xml:space="preserve"> </w:t>
      </w:r>
    </w:p>
  </w:footnote>
  <w:footnote w:id="2">
    <w:p w14:paraId="760B3560" w14:textId="77777777" w:rsidR="00865C8A" w:rsidRPr="002C4838" w:rsidRDefault="00865C8A" w:rsidP="00865C8A">
      <w:pPr>
        <w:pStyle w:val="FootnoteText"/>
        <w:rPr>
          <w:sz w:val="18"/>
          <w:szCs w:val="18"/>
        </w:rPr>
      </w:pPr>
      <w:r w:rsidRPr="002C4838">
        <w:rPr>
          <w:rStyle w:val="FootnoteReference"/>
          <w:sz w:val="18"/>
          <w:szCs w:val="18"/>
        </w:rPr>
        <w:footnoteRef/>
      </w:r>
      <w:r w:rsidRPr="002C4838">
        <w:rPr>
          <w:sz w:val="18"/>
          <w:szCs w:val="18"/>
        </w:rPr>
        <w:t xml:space="preserve"> Definition of the direct and indirect costs are from </w:t>
      </w:r>
      <w:hyperlink r:id="rId2" w:history="1">
        <w:r w:rsidRPr="002C4838">
          <w:rPr>
            <w:rStyle w:val="Hyperlink"/>
            <w:sz w:val="18"/>
            <w:szCs w:val="18"/>
          </w:rPr>
          <w:t>the CRGs</w:t>
        </w:r>
      </w:hyperlink>
      <w:r w:rsidRPr="002C4838">
        <w:rPr>
          <w:sz w:val="18"/>
          <w:szCs w:val="18"/>
        </w:rPr>
        <w:t xml:space="preserve">. </w:t>
      </w:r>
    </w:p>
  </w:footnote>
  <w:footnote w:id="3">
    <w:p w14:paraId="270BA55A" w14:textId="77777777" w:rsidR="00865C8A" w:rsidRPr="002C4838" w:rsidRDefault="00865C8A" w:rsidP="00865C8A">
      <w:pPr>
        <w:pStyle w:val="FootnoteText"/>
        <w:rPr>
          <w:sz w:val="18"/>
          <w:szCs w:val="18"/>
        </w:rPr>
      </w:pPr>
      <w:r w:rsidRPr="002C4838">
        <w:rPr>
          <w:rStyle w:val="FootnoteReference"/>
          <w:sz w:val="18"/>
          <w:szCs w:val="18"/>
        </w:rPr>
        <w:footnoteRef/>
      </w:r>
      <w:r w:rsidRPr="002C4838">
        <w:rPr>
          <w:sz w:val="18"/>
          <w:szCs w:val="18"/>
        </w:rPr>
        <w:t xml:space="preserve"> The Notice of Intent fee is payable in addition to the fees specified in the table above</w:t>
      </w:r>
      <w:r>
        <w:rPr>
          <w:sz w:val="18"/>
          <w:szCs w:val="18"/>
        </w:rPr>
        <w:t xml:space="preserve"> and as from 1 August 2022 apply to ATAGI submissions.</w:t>
      </w:r>
    </w:p>
  </w:footnote>
  <w:footnote w:id="4">
    <w:p w14:paraId="04D342BE" w14:textId="77777777" w:rsidR="00865C8A" w:rsidRPr="003731C1" w:rsidRDefault="00865C8A" w:rsidP="00865C8A">
      <w:pPr>
        <w:pStyle w:val="FootnoteText"/>
        <w:rPr>
          <w:rFonts w:cstheme="minorHAnsi"/>
          <w:sz w:val="18"/>
          <w:szCs w:val="18"/>
        </w:rPr>
      </w:pPr>
      <w:r w:rsidRPr="002C4838">
        <w:rPr>
          <w:rStyle w:val="FootnoteReference"/>
          <w:rFonts w:cstheme="minorHAnsi"/>
          <w:color w:val="auto"/>
          <w:sz w:val="18"/>
          <w:szCs w:val="18"/>
        </w:rPr>
        <w:footnoteRef/>
      </w:r>
      <w:r w:rsidRPr="002C4838">
        <w:rPr>
          <w:rFonts w:cstheme="minorHAnsi"/>
          <w:sz w:val="18"/>
          <w:szCs w:val="18"/>
        </w:rPr>
        <w:t xml:space="preserve"> The Category 1 evaluation fee in table above applies to all submissions that meet the Category 1 criteria including instances where multiple submissions are lodged at the same time.</w:t>
      </w:r>
    </w:p>
  </w:footnote>
  <w:footnote w:id="5">
    <w:p w14:paraId="37B42CB8" w14:textId="77777777" w:rsidR="00865C8A" w:rsidRPr="003731C1" w:rsidRDefault="00865C8A" w:rsidP="00865C8A">
      <w:pPr>
        <w:rPr>
          <w:rFonts w:asciiTheme="minorHAnsi" w:hAnsiTheme="minorHAnsi" w:cstheme="minorHAnsi"/>
          <w:sz w:val="18"/>
          <w:szCs w:val="18"/>
        </w:rPr>
      </w:pPr>
      <w:r w:rsidRPr="003731C1">
        <w:rPr>
          <w:rStyle w:val="FootnoteReference"/>
          <w:rFonts w:cstheme="minorHAnsi"/>
          <w:color w:val="auto"/>
          <w:sz w:val="18"/>
          <w:szCs w:val="18"/>
        </w:rPr>
        <w:footnoteRef/>
      </w:r>
      <w:r w:rsidRPr="003731C1">
        <w:rPr>
          <w:rFonts w:asciiTheme="minorHAnsi" w:hAnsiTheme="minorHAnsi" w:cstheme="minorHAnsi"/>
          <w:sz w:val="18"/>
          <w:szCs w:val="18"/>
        </w:rPr>
        <w:t xml:space="preserve"> The Facilitated Resolution Pathway fee includes the workshop fee. This workshop fee is included in the non</w:t>
      </w:r>
      <w:r w:rsidRPr="003731C1">
        <w:rPr>
          <w:rFonts w:asciiTheme="minorHAnsi" w:hAnsiTheme="minorHAnsi" w:cstheme="minorHAnsi"/>
          <w:sz w:val="18"/>
          <w:szCs w:val="18"/>
        </w:rPr>
        <w:noBreakHyphen/>
        <w:t>refundable deposit amount.</w:t>
      </w:r>
    </w:p>
  </w:footnote>
  <w:footnote w:id="6">
    <w:p w14:paraId="16246371" w14:textId="77777777" w:rsidR="00865C8A" w:rsidRDefault="00865C8A" w:rsidP="00865C8A">
      <w:pPr>
        <w:pStyle w:val="FootnoteText"/>
        <w:rPr>
          <w:sz w:val="18"/>
          <w:szCs w:val="18"/>
        </w:rPr>
      </w:pPr>
      <w:r w:rsidRPr="003731C1">
        <w:rPr>
          <w:rStyle w:val="FootnoteReference"/>
          <w:color w:val="auto"/>
          <w:sz w:val="18"/>
          <w:szCs w:val="18"/>
        </w:rPr>
        <w:footnoteRef/>
      </w:r>
      <w:r w:rsidRPr="003731C1">
        <w:rPr>
          <w:sz w:val="18"/>
          <w:szCs w:val="18"/>
        </w:rPr>
        <w:t xml:space="preserve"> These fees include the five-year rebate management </w:t>
      </w:r>
      <w:r w:rsidRPr="002D32CB">
        <w:rPr>
          <w:sz w:val="18"/>
          <w:szCs w:val="18"/>
        </w:rPr>
        <w:t>fee of $8,640. The rebate</w:t>
      </w:r>
      <w:r w:rsidRPr="003731C1">
        <w:rPr>
          <w:sz w:val="18"/>
          <w:szCs w:val="18"/>
        </w:rPr>
        <w:t xml:space="preserve"> </w:t>
      </w:r>
      <w:r w:rsidRPr="002C4838">
        <w:rPr>
          <w:sz w:val="18"/>
          <w:szCs w:val="18"/>
        </w:rPr>
        <w:t>management fee line has no volumes on its own.</w:t>
      </w:r>
    </w:p>
    <w:p w14:paraId="0D079C4D" w14:textId="77777777" w:rsidR="00865C8A" w:rsidRPr="0022348A" w:rsidRDefault="00865C8A" w:rsidP="00865C8A">
      <w:pPr>
        <w:pStyle w:val="FootnoteText"/>
      </w:pPr>
    </w:p>
  </w:footnote>
  <w:footnote w:id="7">
    <w:p w14:paraId="4C0B10D3" w14:textId="77777777" w:rsidR="00865C8A" w:rsidRPr="002C4838" w:rsidRDefault="00865C8A" w:rsidP="00865C8A">
      <w:pPr>
        <w:pStyle w:val="FootnoteText"/>
        <w:rPr>
          <w:sz w:val="18"/>
          <w:szCs w:val="18"/>
        </w:rPr>
      </w:pPr>
      <w:r w:rsidRPr="002C4838">
        <w:rPr>
          <w:rStyle w:val="FootnoteReference"/>
          <w:sz w:val="18"/>
          <w:szCs w:val="18"/>
        </w:rPr>
        <w:footnoteRef/>
      </w:r>
      <w:r w:rsidRPr="002C4838">
        <w:rPr>
          <w:sz w:val="18"/>
          <w:szCs w:val="18"/>
        </w:rPr>
        <w:t xml:space="preserve"> </w:t>
      </w:r>
      <w:r w:rsidRPr="00FF4623">
        <w:rPr>
          <w:rFonts w:cstheme="minorHAnsi"/>
          <w:sz w:val="18"/>
          <w:szCs w:val="18"/>
        </w:rPr>
        <w:t>Any submissions requesting a fee waiver or fee exemption will be invoiced within 15 business days after the Department has received an application and a fee waiver or fee exemption has not been granted.</w:t>
      </w:r>
    </w:p>
  </w:footnote>
  <w:footnote w:id="8">
    <w:p w14:paraId="5F914AE3" w14:textId="77777777" w:rsidR="00865C8A" w:rsidRPr="00E800E5" w:rsidRDefault="00865C8A" w:rsidP="00865C8A">
      <w:pPr>
        <w:rPr>
          <w:rFonts w:asciiTheme="minorHAnsi" w:hAnsiTheme="minorHAnsi" w:cstheme="minorHAnsi"/>
          <w:sz w:val="18"/>
          <w:szCs w:val="18"/>
        </w:rPr>
      </w:pPr>
      <w:r w:rsidRPr="002C4838">
        <w:rPr>
          <w:rStyle w:val="FootnoteReference"/>
          <w:sz w:val="18"/>
          <w:szCs w:val="18"/>
        </w:rPr>
        <w:footnoteRef/>
      </w:r>
      <w:r w:rsidRPr="002C4838">
        <w:rPr>
          <w:sz w:val="18"/>
          <w:szCs w:val="18"/>
        </w:rPr>
        <w:t xml:space="preserve"> </w:t>
      </w:r>
      <w:r w:rsidRPr="00FF4623">
        <w:rPr>
          <w:rFonts w:asciiTheme="minorHAnsi" w:hAnsiTheme="minorHAnsi" w:cstheme="minorHAnsi"/>
          <w:sz w:val="18"/>
          <w:szCs w:val="18"/>
        </w:rPr>
        <w:t>Pathway A, D, Secretariat Pathway – invoice is to be paid in full; if Pathway B or C selected – sponsor is invoiced the Pathway C (existing deed) fee and an adjustment can be made (if needed) once the final pricing agreement is reached.</w:t>
      </w:r>
      <w:r w:rsidRPr="00E800E5">
        <w:rPr>
          <w:rFonts w:cstheme="minorHAnsi"/>
          <w:sz w:val="18"/>
          <w:szCs w:val="18"/>
        </w:rPr>
        <w:t xml:space="preserve"> </w:t>
      </w:r>
      <w:r w:rsidRPr="00E800E5">
        <w:rPr>
          <w:rFonts w:asciiTheme="minorHAnsi" w:hAnsiTheme="minorHAnsi" w:cstheme="minorHAnsi"/>
          <w:sz w:val="18"/>
          <w:szCs w:val="18"/>
        </w:rPr>
        <w:t xml:space="preserve">Cost recovery fee points are underlined. </w:t>
      </w:r>
    </w:p>
    <w:p w14:paraId="63F2D74E" w14:textId="77777777" w:rsidR="00865C8A" w:rsidRDefault="00865C8A" w:rsidP="00865C8A">
      <w:pPr>
        <w:pStyle w:val="FootnoteText"/>
      </w:pPr>
      <w:r w:rsidRPr="00E800E5">
        <w:rPr>
          <w:rFonts w:cstheme="minorHAnsi"/>
          <w:sz w:val="18"/>
          <w:szCs w:val="18"/>
        </w:rPr>
        <w:t>Note: Pricing Pathways A, B and C and the Deed Renewal fees include the five-year rebate management fee.</w:t>
      </w:r>
    </w:p>
  </w:footnote>
  <w:footnote w:id="9">
    <w:p w14:paraId="7ECDB8F0" w14:textId="6E082C40" w:rsidR="00FA0790" w:rsidRDefault="00FA0790">
      <w:pPr>
        <w:pStyle w:val="FootnoteText"/>
      </w:pPr>
      <w:r>
        <w:rPr>
          <w:rStyle w:val="FootnoteReference"/>
        </w:rPr>
        <w:footnoteRef/>
      </w:r>
      <w:r>
        <w:t xml:space="preserve"> The cumulative balance includes a deficit of </w:t>
      </w:r>
      <w:r w:rsidR="007D5E87">
        <w:t>-</w:t>
      </w:r>
      <w:r w:rsidR="00D330F4">
        <w:t>$</w:t>
      </w:r>
      <w:r w:rsidR="000B5DC8">
        <w:t>29.78</w:t>
      </w:r>
      <w:r w:rsidR="008728CA">
        <w:t xml:space="preserve"> </w:t>
      </w:r>
      <w:r w:rsidR="00D330F4">
        <w:t xml:space="preserve">million from years prior to </w:t>
      </w:r>
      <w:r w:rsidR="000B5DC8">
        <w:t>2023-24</w:t>
      </w:r>
      <w:r w:rsidR="00D330F4">
        <w:t xml:space="preserve">. </w:t>
      </w:r>
    </w:p>
  </w:footnote>
  <w:footnote w:id="10">
    <w:p w14:paraId="460A1C8D" w14:textId="77777777" w:rsidR="00865C8A" w:rsidRPr="002C4838" w:rsidRDefault="00865C8A" w:rsidP="00865C8A">
      <w:pPr>
        <w:pStyle w:val="FootnoteText"/>
        <w:rPr>
          <w:sz w:val="18"/>
          <w:szCs w:val="18"/>
        </w:rPr>
      </w:pPr>
      <w:r w:rsidRPr="002C4838">
        <w:rPr>
          <w:rStyle w:val="FootnoteReference"/>
          <w:sz w:val="18"/>
          <w:szCs w:val="18"/>
        </w:rPr>
        <w:footnoteRef/>
      </w:r>
      <w:r w:rsidRPr="002C4838">
        <w:rPr>
          <w:sz w:val="18"/>
          <w:szCs w:val="18"/>
        </w:rPr>
        <w:t xml:space="preserve"> As outlined in the </w:t>
      </w:r>
      <w:hyperlink r:id="rId3" w:history="1">
        <w:r w:rsidRPr="002C4838">
          <w:rPr>
            <w:rStyle w:val="Hyperlink"/>
            <w:color w:val="0070C0"/>
            <w:sz w:val="18"/>
            <w:szCs w:val="18"/>
            <w:u w:val="single"/>
          </w:rPr>
          <w:t>Department of Health’s Annual Report</w:t>
        </w:r>
      </w:hyperlink>
      <w:r w:rsidRPr="002C4838">
        <w:rPr>
          <w:color w:val="0070C0"/>
          <w:sz w:val="18"/>
          <w:szCs w:val="18"/>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12AB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800AB"/>
    <w:multiLevelType w:val="hybridMultilevel"/>
    <w:tmpl w:val="77207284"/>
    <w:lvl w:ilvl="0" w:tplc="8FDECCD4">
      <w:start w:val="1"/>
      <w:numFmt w:val="lowerLetter"/>
      <w:lvlText w:val="%1)"/>
      <w:lvlJc w:val="left"/>
      <w:pPr>
        <w:ind w:left="720" w:hanging="360"/>
      </w:pPr>
      <w:rPr>
        <w:i/>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CD041B"/>
    <w:multiLevelType w:val="hybridMultilevel"/>
    <w:tmpl w:val="61C41A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7110DD"/>
    <w:multiLevelType w:val="hybridMultilevel"/>
    <w:tmpl w:val="810E681A"/>
    <w:lvl w:ilvl="0" w:tplc="9CB8BE6A">
      <w:start w:val="1"/>
      <w:numFmt w:val="decimal"/>
      <w:lvlText w:val="%1."/>
      <w:lvlJc w:val="left"/>
      <w:pPr>
        <w:ind w:left="720" w:hanging="360"/>
      </w:pPr>
      <w:rPr>
        <w:rFonts w:hint="default"/>
      </w:rPr>
    </w:lvl>
    <w:lvl w:ilvl="1" w:tplc="0C090001">
      <w:start w:val="1"/>
      <w:numFmt w:val="bullet"/>
      <w:lvlText w:val=""/>
      <w:lvlJc w:val="left"/>
      <w:pPr>
        <w:ind w:left="1800" w:hanging="720"/>
      </w:pPr>
      <w:rPr>
        <w:rFonts w:ascii="Symbol" w:hAnsi="Symbol" w:hint="default"/>
      </w:rPr>
    </w:lvl>
    <w:lvl w:ilvl="2" w:tplc="993AE5CA">
      <w:start w:val="1"/>
      <w:numFmt w:val="lowerRoman"/>
      <w:lvlText w:val="%3."/>
      <w:lvlJc w:val="right"/>
      <w:pPr>
        <w:ind w:left="2160" w:hanging="180"/>
      </w:pPr>
    </w:lvl>
    <w:lvl w:ilvl="3" w:tplc="0F3606A0" w:tentative="1">
      <w:start w:val="1"/>
      <w:numFmt w:val="decimal"/>
      <w:lvlText w:val="%4."/>
      <w:lvlJc w:val="left"/>
      <w:pPr>
        <w:ind w:left="2880" w:hanging="360"/>
      </w:pPr>
    </w:lvl>
    <w:lvl w:ilvl="4" w:tplc="858A5D4E" w:tentative="1">
      <w:start w:val="1"/>
      <w:numFmt w:val="lowerLetter"/>
      <w:lvlText w:val="%5."/>
      <w:lvlJc w:val="left"/>
      <w:pPr>
        <w:ind w:left="3600" w:hanging="360"/>
      </w:pPr>
    </w:lvl>
    <w:lvl w:ilvl="5" w:tplc="05F87468" w:tentative="1">
      <w:start w:val="1"/>
      <w:numFmt w:val="lowerRoman"/>
      <w:lvlText w:val="%6."/>
      <w:lvlJc w:val="right"/>
      <w:pPr>
        <w:ind w:left="4320" w:hanging="180"/>
      </w:pPr>
    </w:lvl>
    <w:lvl w:ilvl="6" w:tplc="3AD0B226" w:tentative="1">
      <w:start w:val="1"/>
      <w:numFmt w:val="decimal"/>
      <w:lvlText w:val="%7."/>
      <w:lvlJc w:val="left"/>
      <w:pPr>
        <w:ind w:left="5040" w:hanging="360"/>
      </w:pPr>
    </w:lvl>
    <w:lvl w:ilvl="7" w:tplc="E09C5CF0" w:tentative="1">
      <w:start w:val="1"/>
      <w:numFmt w:val="lowerLetter"/>
      <w:lvlText w:val="%8."/>
      <w:lvlJc w:val="left"/>
      <w:pPr>
        <w:ind w:left="5760" w:hanging="360"/>
      </w:pPr>
    </w:lvl>
    <w:lvl w:ilvl="8" w:tplc="FA286DAE" w:tentative="1">
      <w:start w:val="1"/>
      <w:numFmt w:val="lowerRoman"/>
      <w:lvlText w:val="%9."/>
      <w:lvlJc w:val="right"/>
      <w:pPr>
        <w:ind w:left="6480" w:hanging="180"/>
      </w:pPr>
    </w:lvl>
  </w:abstractNum>
  <w:abstractNum w:abstractNumId="4" w15:restartNumberingAfterBreak="0">
    <w:nsid w:val="1F717527"/>
    <w:multiLevelType w:val="hybridMultilevel"/>
    <w:tmpl w:val="300EEEE2"/>
    <w:lvl w:ilvl="0" w:tplc="0C090001">
      <w:start w:val="1"/>
      <w:numFmt w:val="bullet"/>
      <w:lvlText w:val=""/>
      <w:lvlJc w:val="left"/>
      <w:pPr>
        <w:ind w:left="791" w:hanging="360"/>
      </w:pPr>
      <w:rPr>
        <w:rFonts w:ascii="Symbol" w:hAnsi="Symbol" w:hint="default"/>
      </w:rPr>
    </w:lvl>
    <w:lvl w:ilvl="1" w:tplc="0C090003">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5" w15:restartNumberingAfterBreak="0">
    <w:nsid w:val="220A23FC"/>
    <w:multiLevelType w:val="multilevel"/>
    <w:tmpl w:val="84A2B00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723209D"/>
    <w:multiLevelType w:val="hybridMultilevel"/>
    <w:tmpl w:val="DA7C4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51901"/>
    <w:multiLevelType w:val="hybridMultilevel"/>
    <w:tmpl w:val="C270C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515B6"/>
    <w:multiLevelType w:val="hybridMultilevel"/>
    <w:tmpl w:val="3F82E6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9B694C"/>
    <w:multiLevelType w:val="hybridMultilevel"/>
    <w:tmpl w:val="A3E86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DE0A0E"/>
    <w:multiLevelType w:val="hybridMultilevel"/>
    <w:tmpl w:val="E7E617A4"/>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865736"/>
    <w:multiLevelType w:val="hybridMultilevel"/>
    <w:tmpl w:val="06D69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710E6"/>
    <w:multiLevelType w:val="hybridMultilevel"/>
    <w:tmpl w:val="E88E4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CE360F"/>
    <w:multiLevelType w:val="hybridMultilevel"/>
    <w:tmpl w:val="293A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1E549F"/>
    <w:multiLevelType w:val="hybridMultilevel"/>
    <w:tmpl w:val="27EA8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F45EE9"/>
    <w:multiLevelType w:val="hybridMultilevel"/>
    <w:tmpl w:val="5D4CC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D74FC3"/>
    <w:multiLevelType w:val="hybridMultilevel"/>
    <w:tmpl w:val="5044C0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BAD63AA"/>
    <w:multiLevelType w:val="hybridMultilevel"/>
    <w:tmpl w:val="6F64A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D54974"/>
    <w:multiLevelType w:val="hybridMultilevel"/>
    <w:tmpl w:val="578A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0" w15:restartNumberingAfterBreak="0">
    <w:nsid w:val="4E8456F0"/>
    <w:multiLevelType w:val="hybridMultilevel"/>
    <w:tmpl w:val="D910D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C46529"/>
    <w:multiLevelType w:val="hybridMultilevel"/>
    <w:tmpl w:val="67CC7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76300F"/>
    <w:multiLevelType w:val="hybridMultilevel"/>
    <w:tmpl w:val="60E8F83C"/>
    <w:lvl w:ilvl="0" w:tplc="0246780A">
      <w:start w:val="1"/>
      <w:numFmt w:val="bullet"/>
      <w:lvlText w:val=""/>
      <w:lvlJc w:val="left"/>
      <w:pPr>
        <w:tabs>
          <w:tab w:val="num" w:pos="357"/>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pStyle w:val="ListBulletlvl3"/>
      <w:lvlText w:val=""/>
      <w:lvlJc w:val="left"/>
      <w:pPr>
        <w:ind w:left="2160" w:hanging="360"/>
      </w:pPr>
      <w:rPr>
        <w:rFonts w:ascii="Wingdings" w:hAnsi="Wingdings" w:hint="default"/>
      </w:rPr>
    </w:lvl>
    <w:lvl w:ilvl="3" w:tplc="04090001">
      <w:start w:val="1"/>
      <w:numFmt w:val="bullet"/>
      <w:pStyle w:val="ListBulletlvl4"/>
      <w:lvlText w:val=""/>
      <w:lvlJc w:val="left"/>
      <w:pPr>
        <w:ind w:left="2880" w:hanging="360"/>
      </w:pPr>
      <w:rPr>
        <w:rFonts w:ascii="Symbol" w:hAnsi="Symbol" w:hint="default"/>
      </w:rPr>
    </w:lvl>
    <w:lvl w:ilvl="4" w:tplc="04090003">
      <w:start w:val="1"/>
      <w:numFmt w:val="bullet"/>
      <w:pStyle w:val="ListBulletlvl5"/>
      <w:lvlText w:val="o"/>
      <w:lvlJc w:val="left"/>
      <w:pPr>
        <w:ind w:left="3600" w:hanging="360"/>
      </w:pPr>
      <w:rPr>
        <w:rFonts w:ascii="Courier New" w:hAnsi="Courier New" w:hint="default"/>
      </w:rPr>
    </w:lvl>
    <w:lvl w:ilvl="5" w:tplc="04090005">
      <w:start w:val="1"/>
      <w:numFmt w:val="bullet"/>
      <w:pStyle w:val="ListBulletlvl6"/>
      <w:lvlText w:val=""/>
      <w:lvlJc w:val="left"/>
      <w:pPr>
        <w:ind w:left="4320" w:hanging="360"/>
      </w:pPr>
      <w:rPr>
        <w:rFonts w:ascii="Wingdings" w:hAnsi="Wingdings" w:hint="default"/>
      </w:rPr>
    </w:lvl>
    <w:lvl w:ilvl="6" w:tplc="04090001">
      <w:start w:val="1"/>
      <w:numFmt w:val="bullet"/>
      <w:pStyle w:val="ListBulletlvl7"/>
      <w:lvlText w:val=""/>
      <w:lvlJc w:val="left"/>
      <w:pPr>
        <w:ind w:left="5040" w:hanging="360"/>
      </w:pPr>
      <w:rPr>
        <w:rFonts w:ascii="Symbol" w:hAnsi="Symbol" w:hint="default"/>
      </w:rPr>
    </w:lvl>
    <w:lvl w:ilvl="7" w:tplc="04090003">
      <w:start w:val="1"/>
      <w:numFmt w:val="bullet"/>
      <w:pStyle w:val="ListBulletlvl8"/>
      <w:lvlText w:val="o"/>
      <w:lvlJc w:val="left"/>
      <w:pPr>
        <w:ind w:left="5760" w:hanging="360"/>
      </w:pPr>
      <w:rPr>
        <w:rFonts w:ascii="Courier New" w:hAnsi="Courier New" w:hint="default"/>
      </w:rPr>
    </w:lvl>
    <w:lvl w:ilvl="8" w:tplc="04090005">
      <w:start w:val="1"/>
      <w:numFmt w:val="bullet"/>
      <w:pStyle w:val="ListBulletlvl9"/>
      <w:lvlText w:val=""/>
      <w:lvlJc w:val="left"/>
      <w:pPr>
        <w:ind w:left="6480" w:hanging="360"/>
      </w:pPr>
      <w:rPr>
        <w:rFonts w:ascii="Wingdings" w:hAnsi="Wingdings" w:hint="default"/>
      </w:rPr>
    </w:lvl>
  </w:abstractNum>
  <w:abstractNum w:abstractNumId="23" w15:restartNumberingAfterBreak="0">
    <w:nsid w:val="63626319"/>
    <w:multiLevelType w:val="hybridMultilevel"/>
    <w:tmpl w:val="17C42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5659B8"/>
    <w:multiLevelType w:val="multilevel"/>
    <w:tmpl w:val="762A9CB6"/>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719045F"/>
    <w:multiLevelType w:val="hybridMultilevel"/>
    <w:tmpl w:val="CC60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1120BF"/>
    <w:multiLevelType w:val="hybridMultilevel"/>
    <w:tmpl w:val="00B0B9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15:restartNumberingAfterBreak="0">
    <w:nsid w:val="6F347B43"/>
    <w:multiLevelType w:val="hybridMultilevel"/>
    <w:tmpl w:val="96BE9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A62088"/>
    <w:multiLevelType w:val="hybridMultilevel"/>
    <w:tmpl w:val="568ED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E63954"/>
    <w:multiLevelType w:val="hybridMultilevel"/>
    <w:tmpl w:val="2F6C8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3959AA"/>
    <w:multiLevelType w:val="hybridMultilevel"/>
    <w:tmpl w:val="159A322A"/>
    <w:lvl w:ilvl="0" w:tplc="C206FF30">
      <w:start w:val="1"/>
      <w:numFmt w:val="bullet"/>
      <w:lvlText w:val=""/>
      <w:lvlJc w:val="left"/>
      <w:pPr>
        <w:ind w:left="720" w:hanging="360"/>
      </w:pPr>
      <w:rPr>
        <w:rFonts w:ascii="Symbol" w:hAnsi="Symbol"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477980"/>
    <w:multiLevelType w:val="hybridMultilevel"/>
    <w:tmpl w:val="D6F292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A648DB"/>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814249386">
    <w:abstractNumId w:val="32"/>
  </w:num>
  <w:num w:numId="2" w16cid:durableId="1400252484">
    <w:abstractNumId w:val="27"/>
  </w:num>
  <w:num w:numId="3" w16cid:durableId="1502625963">
    <w:abstractNumId w:val="5"/>
  </w:num>
  <w:num w:numId="4" w16cid:durableId="113137215">
    <w:abstractNumId w:val="7"/>
  </w:num>
  <w:num w:numId="5" w16cid:durableId="2114593397">
    <w:abstractNumId w:val="25"/>
  </w:num>
  <w:num w:numId="6" w16cid:durableId="615065397">
    <w:abstractNumId w:val="17"/>
  </w:num>
  <w:num w:numId="7" w16cid:durableId="432094949">
    <w:abstractNumId w:val="1"/>
  </w:num>
  <w:num w:numId="8" w16cid:durableId="1423180680">
    <w:abstractNumId w:val="4"/>
  </w:num>
  <w:num w:numId="9" w16cid:durableId="1452092456">
    <w:abstractNumId w:val="33"/>
  </w:num>
  <w:num w:numId="10" w16cid:durableId="1104302055">
    <w:abstractNumId w:val="24"/>
  </w:num>
  <w:num w:numId="11" w16cid:durableId="2130317861">
    <w:abstractNumId w:val="16"/>
  </w:num>
  <w:num w:numId="12" w16cid:durableId="49964802">
    <w:abstractNumId w:val="28"/>
  </w:num>
  <w:num w:numId="13" w16cid:durableId="1591158355">
    <w:abstractNumId w:val="0"/>
  </w:num>
  <w:num w:numId="14" w16cid:durableId="1720548353">
    <w:abstractNumId w:val="18"/>
  </w:num>
  <w:num w:numId="15" w16cid:durableId="1878663990">
    <w:abstractNumId w:val="30"/>
  </w:num>
  <w:num w:numId="16" w16cid:durableId="1693455289">
    <w:abstractNumId w:val="22"/>
  </w:num>
  <w:num w:numId="17" w16cid:durableId="1008554844">
    <w:abstractNumId w:val="8"/>
  </w:num>
  <w:num w:numId="18" w16cid:durableId="1683779877">
    <w:abstractNumId w:val="19"/>
  </w:num>
  <w:num w:numId="19" w16cid:durableId="222301493">
    <w:abstractNumId w:val="13"/>
  </w:num>
  <w:num w:numId="20" w16cid:durableId="2084254690">
    <w:abstractNumId w:val="21"/>
  </w:num>
  <w:num w:numId="21" w16cid:durableId="329672960">
    <w:abstractNumId w:val="15"/>
  </w:num>
  <w:num w:numId="22" w16cid:durableId="17700251">
    <w:abstractNumId w:val="12"/>
  </w:num>
  <w:num w:numId="23" w16cid:durableId="1602836920">
    <w:abstractNumId w:val="2"/>
  </w:num>
  <w:num w:numId="24" w16cid:durableId="1560440182">
    <w:abstractNumId w:val="31"/>
  </w:num>
  <w:num w:numId="25" w16cid:durableId="1526362995">
    <w:abstractNumId w:val="23"/>
  </w:num>
  <w:num w:numId="26" w16cid:durableId="2047825068">
    <w:abstractNumId w:val="26"/>
  </w:num>
  <w:num w:numId="27" w16cid:durableId="1686902323">
    <w:abstractNumId w:val="9"/>
  </w:num>
  <w:num w:numId="28" w16cid:durableId="896746390">
    <w:abstractNumId w:val="3"/>
  </w:num>
  <w:num w:numId="29" w16cid:durableId="280191305">
    <w:abstractNumId w:val="6"/>
  </w:num>
  <w:num w:numId="30" w16cid:durableId="492454902">
    <w:abstractNumId w:val="10"/>
  </w:num>
  <w:num w:numId="31" w16cid:durableId="653725387">
    <w:abstractNumId w:val="14"/>
  </w:num>
  <w:num w:numId="32" w16cid:durableId="2048262232">
    <w:abstractNumId w:val="29"/>
  </w:num>
  <w:num w:numId="33" w16cid:durableId="1212616409">
    <w:abstractNumId w:val="11"/>
  </w:num>
  <w:num w:numId="34" w16cid:durableId="2542182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8A"/>
    <w:rsid w:val="00021F57"/>
    <w:rsid w:val="00023DDB"/>
    <w:rsid w:val="00036F9A"/>
    <w:rsid w:val="00043E9C"/>
    <w:rsid w:val="0004722B"/>
    <w:rsid w:val="00062ABC"/>
    <w:rsid w:val="000638E8"/>
    <w:rsid w:val="00083FA1"/>
    <w:rsid w:val="00086C3D"/>
    <w:rsid w:val="000A7BC2"/>
    <w:rsid w:val="000B4B35"/>
    <w:rsid w:val="000B5DC8"/>
    <w:rsid w:val="0011188B"/>
    <w:rsid w:val="00140BED"/>
    <w:rsid w:val="001508FB"/>
    <w:rsid w:val="00171C1E"/>
    <w:rsid w:val="00185A51"/>
    <w:rsid w:val="001A1081"/>
    <w:rsid w:val="001D74D1"/>
    <w:rsid w:val="001D7AD3"/>
    <w:rsid w:val="00215821"/>
    <w:rsid w:val="0021725C"/>
    <w:rsid w:val="00220F10"/>
    <w:rsid w:val="002418FB"/>
    <w:rsid w:val="00276365"/>
    <w:rsid w:val="00290FDC"/>
    <w:rsid w:val="002A4818"/>
    <w:rsid w:val="002B1E41"/>
    <w:rsid w:val="002B43C8"/>
    <w:rsid w:val="002D6732"/>
    <w:rsid w:val="002D68F2"/>
    <w:rsid w:val="002E1763"/>
    <w:rsid w:val="002E2930"/>
    <w:rsid w:val="002E2E0B"/>
    <w:rsid w:val="002E56FF"/>
    <w:rsid w:val="002E616A"/>
    <w:rsid w:val="002F08FF"/>
    <w:rsid w:val="003130B8"/>
    <w:rsid w:val="003215B7"/>
    <w:rsid w:val="00331424"/>
    <w:rsid w:val="00396148"/>
    <w:rsid w:val="003A2990"/>
    <w:rsid w:val="003A4EDA"/>
    <w:rsid w:val="003C6CDC"/>
    <w:rsid w:val="003E5921"/>
    <w:rsid w:val="003E6518"/>
    <w:rsid w:val="003E779F"/>
    <w:rsid w:val="003F6994"/>
    <w:rsid w:val="00431E22"/>
    <w:rsid w:val="00441737"/>
    <w:rsid w:val="00493105"/>
    <w:rsid w:val="004C1416"/>
    <w:rsid w:val="004C6D96"/>
    <w:rsid w:val="004E033D"/>
    <w:rsid w:val="004E3572"/>
    <w:rsid w:val="00524677"/>
    <w:rsid w:val="00544200"/>
    <w:rsid w:val="005945DB"/>
    <w:rsid w:val="005B24E9"/>
    <w:rsid w:val="005B40B3"/>
    <w:rsid w:val="005B44FF"/>
    <w:rsid w:val="005C6E68"/>
    <w:rsid w:val="005D0E14"/>
    <w:rsid w:val="005E670E"/>
    <w:rsid w:val="0061320B"/>
    <w:rsid w:val="006375D9"/>
    <w:rsid w:val="00645EA5"/>
    <w:rsid w:val="006672AF"/>
    <w:rsid w:val="00670199"/>
    <w:rsid w:val="00696418"/>
    <w:rsid w:val="006A0E56"/>
    <w:rsid w:val="006C1BEA"/>
    <w:rsid w:val="006D7A5C"/>
    <w:rsid w:val="006E603C"/>
    <w:rsid w:val="00701E30"/>
    <w:rsid w:val="00732036"/>
    <w:rsid w:val="00736CB1"/>
    <w:rsid w:val="00753B34"/>
    <w:rsid w:val="00761BAB"/>
    <w:rsid w:val="00764DB1"/>
    <w:rsid w:val="00773D1C"/>
    <w:rsid w:val="007748A5"/>
    <w:rsid w:val="0078025D"/>
    <w:rsid w:val="00780EE0"/>
    <w:rsid w:val="00791B91"/>
    <w:rsid w:val="007A35F0"/>
    <w:rsid w:val="007B34D4"/>
    <w:rsid w:val="007B3E7B"/>
    <w:rsid w:val="007D5E87"/>
    <w:rsid w:val="007E295E"/>
    <w:rsid w:val="007E7445"/>
    <w:rsid w:val="007E7579"/>
    <w:rsid w:val="00805008"/>
    <w:rsid w:val="0080619F"/>
    <w:rsid w:val="008102C8"/>
    <w:rsid w:val="00824C52"/>
    <w:rsid w:val="008278F3"/>
    <w:rsid w:val="00852946"/>
    <w:rsid w:val="00853F4E"/>
    <w:rsid w:val="00860321"/>
    <w:rsid w:val="00865C8A"/>
    <w:rsid w:val="00871A72"/>
    <w:rsid w:val="008728CA"/>
    <w:rsid w:val="008A7B40"/>
    <w:rsid w:val="008B2DB0"/>
    <w:rsid w:val="008C1578"/>
    <w:rsid w:val="008C2190"/>
    <w:rsid w:val="008D0015"/>
    <w:rsid w:val="008D36A8"/>
    <w:rsid w:val="008E1C50"/>
    <w:rsid w:val="008E75BE"/>
    <w:rsid w:val="00903BEF"/>
    <w:rsid w:val="00912A34"/>
    <w:rsid w:val="009304F0"/>
    <w:rsid w:val="009312F2"/>
    <w:rsid w:val="0094320A"/>
    <w:rsid w:val="009537CC"/>
    <w:rsid w:val="00966BE3"/>
    <w:rsid w:val="0097550B"/>
    <w:rsid w:val="00984C58"/>
    <w:rsid w:val="009864B1"/>
    <w:rsid w:val="009939D8"/>
    <w:rsid w:val="009C1590"/>
    <w:rsid w:val="009C5057"/>
    <w:rsid w:val="009C7431"/>
    <w:rsid w:val="009E4297"/>
    <w:rsid w:val="009F3F3E"/>
    <w:rsid w:val="009F3F48"/>
    <w:rsid w:val="00A30646"/>
    <w:rsid w:val="00A70F4E"/>
    <w:rsid w:val="00A71F3D"/>
    <w:rsid w:val="00A86085"/>
    <w:rsid w:val="00AA2294"/>
    <w:rsid w:val="00AA4237"/>
    <w:rsid w:val="00AD322A"/>
    <w:rsid w:val="00AE3E2D"/>
    <w:rsid w:val="00AE4C23"/>
    <w:rsid w:val="00AF17F6"/>
    <w:rsid w:val="00B002CA"/>
    <w:rsid w:val="00B1155E"/>
    <w:rsid w:val="00B143ED"/>
    <w:rsid w:val="00B32408"/>
    <w:rsid w:val="00B34C8E"/>
    <w:rsid w:val="00B428AA"/>
    <w:rsid w:val="00B50320"/>
    <w:rsid w:val="00B70125"/>
    <w:rsid w:val="00B96BE3"/>
    <w:rsid w:val="00BC0730"/>
    <w:rsid w:val="00BC2489"/>
    <w:rsid w:val="00BD3EF1"/>
    <w:rsid w:val="00BE658F"/>
    <w:rsid w:val="00BF1FCF"/>
    <w:rsid w:val="00BF7086"/>
    <w:rsid w:val="00C10DF7"/>
    <w:rsid w:val="00C21B8A"/>
    <w:rsid w:val="00C23B40"/>
    <w:rsid w:val="00C3488E"/>
    <w:rsid w:val="00C604F8"/>
    <w:rsid w:val="00C612C3"/>
    <w:rsid w:val="00C622BE"/>
    <w:rsid w:val="00C65489"/>
    <w:rsid w:val="00C6745C"/>
    <w:rsid w:val="00C70047"/>
    <w:rsid w:val="00C7156F"/>
    <w:rsid w:val="00C86FB5"/>
    <w:rsid w:val="00C87F86"/>
    <w:rsid w:val="00C93838"/>
    <w:rsid w:val="00CA0454"/>
    <w:rsid w:val="00CA2D6D"/>
    <w:rsid w:val="00CF330B"/>
    <w:rsid w:val="00D105EA"/>
    <w:rsid w:val="00D3145A"/>
    <w:rsid w:val="00D330F4"/>
    <w:rsid w:val="00D5005C"/>
    <w:rsid w:val="00D52AD0"/>
    <w:rsid w:val="00D617D1"/>
    <w:rsid w:val="00D623EE"/>
    <w:rsid w:val="00D666E2"/>
    <w:rsid w:val="00D75CD9"/>
    <w:rsid w:val="00D76549"/>
    <w:rsid w:val="00DC0632"/>
    <w:rsid w:val="00DF39C9"/>
    <w:rsid w:val="00E068E3"/>
    <w:rsid w:val="00E07DD9"/>
    <w:rsid w:val="00E1079B"/>
    <w:rsid w:val="00E509FE"/>
    <w:rsid w:val="00E54A65"/>
    <w:rsid w:val="00E57640"/>
    <w:rsid w:val="00E71363"/>
    <w:rsid w:val="00E737C6"/>
    <w:rsid w:val="00EC6B25"/>
    <w:rsid w:val="00EC79CD"/>
    <w:rsid w:val="00EE71CA"/>
    <w:rsid w:val="00F01E0D"/>
    <w:rsid w:val="00F033FD"/>
    <w:rsid w:val="00F12333"/>
    <w:rsid w:val="00F12F72"/>
    <w:rsid w:val="00F3673F"/>
    <w:rsid w:val="00F4372E"/>
    <w:rsid w:val="00F46072"/>
    <w:rsid w:val="00F47FB3"/>
    <w:rsid w:val="00F5268E"/>
    <w:rsid w:val="00F65705"/>
    <w:rsid w:val="00F674CD"/>
    <w:rsid w:val="00F71536"/>
    <w:rsid w:val="00F8571B"/>
    <w:rsid w:val="00FA0790"/>
    <w:rsid w:val="00FA4269"/>
    <w:rsid w:val="00FA7D4D"/>
    <w:rsid w:val="00FD25BA"/>
    <w:rsid w:val="00FF020B"/>
    <w:rsid w:val="00FF1772"/>
    <w:rsid w:val="00FF2161"/>
    <w:rsid w:val="00FF5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0D43"/>
  <w15:chartTrackingRefBased/>
  <w15:docId w15:val="{9956D7BE-9F33-4609-AFDB-CF43EA02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5C8A"/>
    <w:pPr>
      <w:keepNext/>
      <w:numPr>
        <w:numId w:val="1"/>
      </w:numPr>
      <w:jc w:val="center"/>
      <w:outlineLvl w:val="0"/>
    </w:pPr>
    <w:rPr>
      <w:i/>
      <w:iCs/>
      <w:lang w:val="en-US"/>
    </w:rPr>
  </w:style>
  <w:style w:type="paragraph" w:styleId="Heading2">
    <w:name w:val="heading 2"/>
    <w:basedOn w:val="Normal"/>
    <w:next w:val="Normal"/>
    <w:link w:val="Heading2Char"/>
    <w:qFormat/>
    <w:rsid w:val="00865C8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65C8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65C8A"/>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865C8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65C8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865C8A"/>
    <w:pPr>
      <w:numPr>
        <w:ilvl w:val="6"/>
        <w:numId w:val="1"/>
      </w:numPr>
      <w:spacing w:before="240" w:after="60"/>
      <w:outlineLvl w:val="6"/>
    </w:pPr>
  </w:style>
  <w:style w:type="paragraph" w:styleId="Heading8">
    <w:name w:val="heading 8"/>
    <w:basedOn w:val="Normal"/>
    <w:next w:val="Normal"/>
    <w:link w:val="Heading8Char"/>
    <w:qFormat/>
    <w:rsid w:val="00865C8A"/>
    <w:pPr>
      <w:numPr>
        <w:ilvl w:val="7"/>
        <w:numId w:val="1"/>
      </w:numPr>
      <w:spacing w:before="240" w:after="60"/>
      <w:outlineLvl w:val="7"/>
    </w:pPr>
    <w:rPr>
      <w:i/>
      <w:iCs/>
    </w:rPr>
  </w:style>
  <w:style w:type="paragraph" w:styleId="Heading9">
    <w:name w:val="heading 9"/>
    <w:basedOn w:val="Normal"/>
    <w:next w:val="Normal"/>
    <w:link w:val="Heading9Char"/>
    <w:qFormat/>
    <w:rsid w:val="00865C8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C8A"/>
    <w:rPr>
      <w:rFonts w:ascii="Times New Roman" w:eastAsia="Times New Roman" w:hAnsi="Times New Roman" w:cs="Times New Roman"/>
      <w:i/>
      <w:iCs/>
      <w:sz w:val="24"/>
      <w:szCs w:val="24"/>
      <w:lang w:val="en-US"/>
    </w:rPr>
  </w:style>
  <w:style w:type="character" w:customStyle="1" w:styleId="Heading2Char">
    <w:name w:val="Heading 2 Char"/>
    <w:basedOn w:val="DefaultParagraphFont"/>
    <w:link w:val="Heading2"/>
    <w:rsid w:val="00865C8A"/>
    <w:rPr>
      <w:rFonts w:ascii="Arial" w:eastAsia="Times New Roman" w:hAnsi="Arial" w:cs="Arial"/>
      <w:b/>
      <w:bCs/>
      <w:i/>
      <w:iCs/>
      <w:sz w:val="28"/>
      <w:szCs w:val="28"/>
    </w:rPr>
  </w:style>
  <w:style w:type="character" w:customStyle="1" w:styleId="Heading3Char">
    <w:name w:val="Heading 3 Char"/>
    <w:basedOn w:val="DefaultParagraphFont"/>
    <w:link w:val="Heading3"/>
    <w:rsid w:val="00865C8A"/>
    <w:rPr>
      <w:rFonts w:ascii="Arial" w:eastAsia="Times New Roman" w:hAnsi="Arial" w:cs="Arial"/>
      <w:b/>
      <w:bCs/>
      <w:sz w:val="26"/>
      <w:szCs w:val="26"/>
    </w:rPr>
  </w:style>
  <w:style w:type="character" w:customStyle="1" w:styleId="Heading4Char">
    <w:name w:val="Heading 4 Char"/>
    <w:basedOn w:val="DefaultParagraphFont"/>
    <w:link w:val="Heading4"/>
    <w:rsid w:val="00865C8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65C8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65C8A"/>
    <w:rPr>
      <w:rFonts w:ascii="Times New Roman" w:eastAsia="Times New Roman" w:hAnsi="Times New Roman" w:cs="Times New Roman"/>
      <w:b/>
      <w:bCs/>
    </w:rPr>
  </w:style>
  <w:style w:type="character" w:customStyle="1" w:styleId="Heading7Char">
    <w:name w:val="Heading 7 Char"/>
    <w:basedOn w:val="DefaultParagraphFont"/>
    <w:link w:val="Heading7"/>
    <w:rsid w:val="00865C8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65C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65C8A"/>
    <w:rPr>
      <w:rFonts w:ascii="Arial" w:eastAsia="Times New Roman" w:hAnsi="Arial" w:cs="Arial"/>
    </w:rPr>
  </w:style>
  <w:style w:type="paragraph" w:customStyle="1" w:styleId="Pa4">
    <w:name w:val="Pa4"/>
    <w:basedOn w:val="Normal"/>
    <w:next w:val="Normal"/>
    <w:uiPriority w:val="99"/>
    <w:rsid w:val="00865C8A"/>
    <w:pPr>
      <w:widowControl w:val="0"/>
      <w:autoSpaceDE w:val="0"/>
      <w:autoSpaceDN w:val="0"/>
      <w:adjustRightInd w:val="0"/>
      <w:spacing w:after="160" w:line="201" w:lineRule="atLeast"/>
    </w:pPr>
    <w:rPr>
      <w:rFonts w:ascii="Univers" w:eastAsia="SimSun" w:hAnsi="Univers" w:cs="Univers"/>
      <w:lang w:val="en-US"/>
    </w:rPr>
  </w:style>
  <w:style w:type="paragraph" w:customStyle="1" w:styleId="Pa12">
    <w:name w:val="Pa12"/>
    <w:basedOn w:val="Normal"/>
    <w:next w:val="Normal"/>
    <w:uiPriority w:val="99"/>
    <w:rsid w:val="00865C8A"/>
    <w:pPr>
      <w:widowControl w:val="0"/>
      <w:autoSpaceDE w:val="0"/>
      <w:autoSpaceDN w:val="0"/>
      <w:adjustRightInd w:val="0"/>
      <w:spacing w:after="160" w:line="241" w:lineRule="atLeast"/>
    </w:pPr>
    <w:rPr>
      <w:rFonts w:ascii="Univers" w:eastAsia="SimSun" w:hAnsi="Univers" w:cs="Univers"/>
      <w:lang w:val="en-US"/>
    </w:rPr>
  </w:style>
  <w:style w:type="character" w:styleId="Hyperlink">
    <w:name w:val="Hyperlink"/>
    <w:basedOn w:val="DefaultParagraphFont"/>
    <w:uiPriority w:val="99"/>
    <w:rsid w:val="00865C8A"/>
    <w:rPr>
      <w:rFonts w:cs="Times New Roman"/>
      <w:color w:val="000000"/>
      <w:u w:val="none"/>
    </w:rPr>
  </w:style>
  <w:style w:type="table" w:styleId="TableGrid">
    <w:name w:val="Table Grid"/>
    <w:basedOn w:val="TableNormal"/>
    <w:uiPriority w:val="59"/>
    <w:rsid w:val="00865C8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qFormat/>
    <w:rsid w:val="00865C8A"/>
    <w:rPr>
      <w:rFonts w:asciiTheme="minorHAnsi" w:hAnsiTheme="minorHAnsi"/>
      <w:sz w:val="20"/>
      <w:szCs w:val="20"/>
    </w:rPr>
  </w:style>
  <w:style w:type="character" w:customStyle="1" w:styleId="FootnoteTextChar">
    <w:name w:val="Footnote Text Char"/>
    <w:basedOn w:val="DefaultParagraphFont"/>
    <w:link w:val="FootnoteText"/>
    <w:rsid w:val="00865C8A"/>
    <w:rPr>
      <w:rFonts w:eastAsia="Times New Roman" w:cs="Times New Roman"/>
      <w:sz w:val="20"/>
      <w:szCs w:val="20"/>
    </w:rPr>
  </w:style>
  <w:style w:type="character" w:styleId="FootnoteReference">
    <w:name w:val="footnote reference"/>
    <w:unhideWhenUsed/>
    <w:rsid w:val="00865C8A"/>
    <w:rPr>
      <w:rFonts w:asciiTheme="minorHAnsi" w:hAnsiTheme="minorHAnsi"/>
      <w:color w:val="7F7F7F" w:themeColor="text1" w:themeTint="80"/>
      <w:vertAlign w:val="superscript"/>
      <w:lang w:eastAsia="en-AU"/>
    </w:rPr>
  </w:style>
  <w:style w:type="paragraph" w:styleId="ListParagraph">
    <w:name w:val="List Paragraph"/>
    <w:aliases w:val="Figure_name,List Paragraph1,Numbered Indented Text,Bullet- First level,List NUmber,Listenabsatz1,lp1,List Paragraph11,Style 2,TOC style,List Paragraph2,List Paragraph Char Char,Number_1,SGLText List Paragraph,new,Colorful List - Accent 11"/>
    <w:basedOn w:val="Normal"/>
    <w:link w:val="ListParagraphChar"/>
    <w:uiPriority w:val="34"/>
    <w:qFormat/>
    <w:rsid w:val="00865C8A"/>
    <w:pPr>
      <w:ind w:left="720"/>
      <w:contextualSpacing/>
    </w:p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link w:val="ListParagraph"/>
    <w:uiPriority w:val="34"/>
    <w:qFormat/>
    <w:locked/>
    <w:rsid w:val="00865C8A"/>
    <w:rPr>
      <w:rFonts w:ascii="Times New Roman" w:eastAsia="Times New Roman" w:hAnsi="Times New Roman" w:cs="Times New Roman"/>
      <w:sz w:val="24"/>
      <w:szCs w:val="24"/>
    </w:rPr>
  </w:style>
  <w:style w:type="paragraph" w:customStyle="1" w:styleId="Paragraphtext">
    <w:name w:val="Paragraph text"/>
    <w:basedOn w:val="Normal"/>
    <w:qFormat/>
    <w:rsid w:val="00865C8A"/>
    <w:pPr>
      <w:spacing w:before="120" w:after="60"/>
    </w:pPr>
    <w:rPr>
      <w:rFonts w:ascii="Arial" w:hAnsi="Arial"/>
      <w:color w:val="000000" w:themeColor="text1"/>
      <w:sz w:val="21"/>
    </w:rPr>
  </w:style>
  <w:style w:type="paragraph" w:styleId="BodyText">
    <w:name w:val="Body Text"/>
    <w:basedOn w:val="Normal"/>
    <w:link w:val="BodyTextChar"/>
    <w:uiPriority w:val="99"/>
    <w:rsid w:val="00865C8A"/>
    <w:rPr>
      <w:i/>
      <w:iCs/>
      <w:color w:val="999999"/>
    </w:rPr>
  </w:style>
  <w:style w:type="character" w:customStyle="1" w:styleId="BodyTextChar">
    <w:name w:val="Body Text Char"/>
    <w:basedOn w:val="DefaultParagraphFont"/>
    <w:link w:val="BodyText"/>
    <w:uiPriority w:val="99"/>
    <w:rsid w:val="00865C8A"/>
    <w:rPr>
      <w:rFonts w:ascii="Times New Roman" w:eastAsia="Times New Roman" w:hAnsi="Times New Roman" w:cs="Times New Roman"/>
      <w:i/>
      <w:iCs/>
      <w:color w:val="999999"/>
      <w:sz w:val="24"/>
      <w:szCs w:val="24"/>
    </w:rPr>
  </w:style>
  <w:style w:type="character" w:styleId="Emphasis">
    <w:name w:val="Emphasis"/>
    <w:basedOn w:val="DefaultParagraphFont"/>
    <w:uiPriority w:val="20"/>
    <w:qFormat/>
    <w:rsid w:val="00865C8A"/>
    <w:rPr>
      <w:i/>
      <w:iCs/>
    </w:rPr>
  </w:style>
  <w:style w:type="character" w:styleId="CommentReference">
    <w:name w:val="annotation reference"/>
    <w:basedOn w:val="DefaultParagraphFont"/>
    <w:uiPriority w:val="99"/>
    <w:unhideWhenUsed/>
    <w:rsid w:val="00865C8A"/>
    <w:rPr>
      <w:sz w:val="16"/>
      <w:szCs w:val="16"/>
    </w:rPr>
  </w:style>
  <w:style w:type="paragraph" w:styleId="CommentText">
    <w:name w:val="annotation text"/>
    <w:basedOn w:val="Normal"/>
    <w:link w:val="CommentTextChar"/>
    <w:uiPriority w:val="99"/>
    <w:unhideWhenUsed/>
    <w:rsid w:val="00865C8A"/>
    <w:rPr>
      <w:sz w:val="20"/>
      <w:szCs w:val="20"/>
    </w:rPr>
  </w:style>
  <w:style w:type="character" w:customStyle="1" w:styleId="CommentTextChar">
    <w:name w:val="Comment Text Char"/>
    <w:basedOn w:val="DefaultParagraphFont"/>
    <w:link w:val="CommentText"/>
    <w:uiPriority w:val="99"/>
    <w:rsid w:val="00865C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65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C8A"/>
    <w:rPr>
      <w:rFonts w:ascii="Segoe UI" w:eastAsia="Times New Roman" w:hAnsi="Segoe UI" w:cs="Segoe UI"/>
      <w:sz w:val="18"/>
      <w:szCs w:val="18"/>
    </w:rPr>
  </w:style>
  <w:style w:type="table" w:customStyle="1" w:styleId="GridTable41">
    <w:name w:val="Grid Table 41"/>
    <w:basedOn w:val="TableNormal"/>
    <w:next w:val="GridTable4"/>
    <w:uiPriority w:val="49"/>
    <w:rsid w:val="00865C8A"/>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865C8A"/>
    <w:pPr>
      <w:spacing w:after="0" w:line="240" w:lineRule="auto"/>
    </w:pPr>
    <w:rPr>
      <w:rFonts w:ascii="Times New Roman" w:hAnsi="Times New Roman" w:cs="Times New Roman"/>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865C8A"/>
    <w:pPr>
      <w:widowControl w:val="0"/>
    </w:pPr>
    <w:rPr>
      <w:rFonts w:asciiTheme="minorHAnsi" w:eastAsiaTheme="minorHAnsi" w:hAnsiTheme="minorHAnsi" w:cstheme="minorBidi"/>
      <w:sz w:val="22"/>
      <w:szCs w:val="22"/>
      <w:lang w:val="en-US"/>
    </w:rPr>
  </w:style>
  <w:style w:type="paragraph" w:customStyle="1" w:styleId="PlainParagraph">
    <w:name w:val="Plain Paragraph"/>
    <w:aliases w:val="PP"/>
    <w:basedOn w:val="Normal"/>
    <w:link w:val="PlainParagraphChar"/>
    <w:qFormat/>
    <w:rsid w:val="00865C8A"/>
    <w:pPr>
      <w:spacing w:before="140" w:after="140" w:line="280" w:lineRule="atLeast"/>
    </w:pPr>
    <w:rPr>
      <w:rFonts w:ascii="Arial" w:hAnsi="Arial" w:cs="Arial"/>
      <w:sz w:val="22"/>
      <w:szCs w:val="22"/>
      <w:lang w:eastAsia="en-AU"/>
    </w:rPr>
  </w:style>
  <w:style w:type="character" w:customStyle="1" w:styleId="PlainParagraphChar">
    <w:name w:val="Plain Paragraph Char"/>
    <w:aliases w:val="PP Char"/>
    <w:basedOn w:val="DefaultParagraphFont"/>
    <w:link w:val="PlainParagraph"/>
    <w:rsid w:val="00865C8A"/>
    <w:rPr>
      <w:rFonts w:ascii="Arial" w:eastAsia="Times New Roman" w:hAnsi="Arial" w:cs="Arial"/>
      <w:lang w:eastAsia="en-AU"/>
    </w:rPr>
  </w:style>
  <w:style w:type="paragraph" w:customStyle="1" w:styleId="Default">
    <w:name w:val="Default"/>
    <w:basedOn w:val="Normal"/>
    <w:rsid w:val="00865C8A"/>
    <w:pPr>
      <w:autoSpaceDE w:val="0"/>
      <w:autoSpaceDN w:val="0"/>
    </w:pPr>
    <w:rPr>
      <w:rFonts w:ascii="Calibri" w:eastAsiaTheme="minorHAnsi" w:hAnsi="Calibri" w:cs="Calibri"/>
      <w:color w:val="000000"/>
    </w:rPr>
  </w:style>
  <w:style w:type="paragraph" w:styleId="Header">
    <w:name w:val="header"/>
    <w:basedOn w:val="Normal"/>
    <w:link w:val="HeaderChar"/>
    <w:uiPriority w:val="99"/>
    <w:unhideWhenUsed/>
    <w:rsid w:val="00865C8A"/>
    <w:pPr>
      <w:tabs>
        <w:tab w:val="center" w:pos="4513"/>
        <w:tab w:val="right" w:pos="9026"/>
      </w:tabs>
    </w:pPr>
  </w:style>
  <w:style w:type="character" w:customStyle="1" w:styleId="HeaderChar">
    <w:name w:val="Header Char"/>
    <w:basedOn w:val="DefaultParagraphFont"/>
    <w:link w:val="Header"/>
    <w:uiPriority w:val="99"/>
    <w:rsid w:val="00865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C8A"/>
    <w:pPr>
      <w:tabs>
        <w:tab w:val="center" w:pos="4513"/>
        <w:tab w:val="right" w:pos="9026"/>
      </w:tabs>
    </w:pPr>
  </w:style>
  <w:style w:type="character" w:customStyle="1" w:styleId="FooterChar">
    <w:name w:val="Footer Char"/>
    <w:basedOn w:val="DefaultParagraphFont"/>
    <w:link w:val="Footer"/>
    <w:uiPriority w:val="99"/>
    <w:rsid w:val="00865C8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65C8A"/>
    <w:rPr>
      <w:b/>
      <w:bCs/>
    </w:rPr>
  </w:style>
  <w:style w:type="character" w:customStyle="1" w:styleId="CommentSubjectChar">
    <w:name w:val="Comment Subject Char"/>
    <w:basedOn w:val="CommentTextChar"/>
    <w:link w:val="CommentSubject"/>
    <w:uiPriority w:val="99"/>
    <w:semiHidden/>
    <w:rsid w:val="00865C8A"/>
    <w:rPr>
      <w:rFonts w:ascii="Times New Roman" w:eastAsia="Times New Roman" w:hAnsi="Times New Roman" w:cs="Times New Roman"/>
      <w:b/>
      <w:bCs/>
      <w:sz w:val="20"/>
      <w:szCs w:val="20"/>
    </w:rPr>
  </w:style>
  <w:style w:type="paragraph" w:styleId="NormalWeb">
    <w:name w:val="Normal (Web)"/>
    <w:basedOn w:val="Normal"/>
    <w:uiPriority w:val="99"/>
    <w:unhideWhenUsed/>
    <w:rsid w:val="00865C8A"/>
    <w:pPr>
      <w:spacing w:before="100" w:beforeAutospacing="1" w:after="100" w:afterAutospacing="1"/>
    </w:pPr>
    <w:rPr>
      <w:lang w:eastAsia="en-AU"/>
    </w:rPr>
  </w:style>
  <w:style w:type="paragraph" w:styleId="ListBullet2">
    <w:name w:val="List Bullet 2"/>
    <w:basedOn w:val="ListNumber2"/>
    <w:rsid w:val="00865C8A"/>
    <w:pPr>
      <w:numPr>
        <w:numId w:val="9"/>
      </w:numPr>
      <w:spacing w:before="60" w:after="60"/>
      <w:ind w:left="568" w:hanging="284"/>
      <w:contextualSpacing w:val="0"/>
    </w:pPr>
    <w:rPr>
      <w:rFonts w:ascii="Arial" w:hAnsi="Arial"/>
      <w:color w:val="000000" w:themeColor="text1"/>
      <w:sz w:val="21"/>
    </w:rPr>
  </w:style>
  <w:style w:type="paragraph" w:styleId="ListNumber2">
    <w:name w:val="List Number 2"/>
    <w:basedOn w:val="Normal"/>
    <w:uiPriority w:val="99"/>
    <w:semiHidden/>
    <w:unhideWhenUsed/>
    <w:rsid w:val="00865C8A"/>
    <w:pPr>
      <w:numPr>
        <w:numId w:val="10"/>
      </w:numPr>
      <w:contextualSpacing/>
    </w:pPr>
  </w:style>
  <w:style w:type="character" w:styleId="Strong">
    <w:name w:val="Strong"/>
    <w:basedOn w:val="DefaultParagraphFont"/>
    <w:uiPriority w:val="22"/>
    <w:qFormat/>
    <w:rsid w:val="00865C8A"/>
    <w:rPr>
      <w:b/>
      <w:bCs/>
    </w:rPr>
  </w:style>
  <w:style w:type="paragraph" w:styleId="ListBullet">
    <w:name w:val="List Bullet"/>
    <w:basedOn w:val="Normal"/>
    <w:uiPriority w:val="99"/>
    <w:unhideWhenUsed/>
    <w:rsid w:val="00865C8A"/>
    <w:pPr>
      <w:numPr>
        <w:numId w:val="13"/>
      </w:numPr>
      <w:contextualSpacing/>
    </w:pPr>
  </w:style>
  <w:style w:type="paragraph" w:styleId="Quote">
    <w:name w:val="Quote"/>
    <w:basedOn w:val="Normal"/>
    <w:next w:val="Normal"/>
    <w:link w:val="QuoteChar"/>
    <w:uiPriority w:val="29"/>
    <w:qFormat/>
    <w:rsid w:val="00865C8A"/>
    <w:pPr>
      <w:spacing w:after="240"/>
      <w:ind w:left="720"/>
    </w:pPr>
    <w:rPr>
      <w:rFonts w:asciiTheme="minorHAnsi" w:eastAsiaTheme="minorEastAsia" w:hAnsiTheme="minorHAnsi" w:cstheme="minorBidi"/>
      <w:iCs/>
      <w:sz w:val="22"/>
      <w:szCs w:val="22"/>
      <w:lang w:bidi="hi-IN"/>
    </w:rPr>
  </w:style>
  <w:style w:type="character" w:customStyle="1" w:styleId="QuoteChar">
    <w:name w:val="Quote Char"/>
    <w:basedOn w:val="DefaultParagraphFont"/>
    <w:link w:val="Quote"/>
    <w:uiPriority w:val="29"/>
    <w:rsid w:val="00865C8A"/>
    <w:rPr>
      <w:rFonts w:eastAsiaTheme="minorEastAsia"/>
      <w:iCs/>
      <w:lang w:bidi="hi-IN"/>
    </w:rPr>
  </w:style>
  <w:style w:type="paragraph" w:styleId="Revision">
    <w:name w:val="Revision"/>
    <w:hidden/>
    <w:uiPriority w:val="99"/>
    <w:semiHidden/>
    <w:rsid w:val="00865C8A"/>
    <w:pPr>
      <w:spacing w:after="0" w:line="240" w:lineRule="auto"/>
    </w:pPr>
    <w:rPr>
      <w:rFonts w:ascii="Times New Roman" w:eastAsia="Times New Roman" w:hAnsi="Times New Roman" w:cs="Times New Roman"/>
      <w:sz w:val="24"/>
      <w:szCs w:val="24"/>
    </w:rPr>
  </w:style>
  <w:style w:type="paragraph" w:customStyle="1" w:styleId="TableName">
    <w:name w:val="TableName"/>
    <w:basedOn w:val="Normal"/>
    <w:qFormat/>
    <w:rsid w:val="00865C8A"/>
    <w:pPr>
      <w:keepNext/>
      <w:spacing w:after="240"/>
      <w:ind w:left="1418" w:hanging="1418"/>
    </w:pPr>
    <w:rPr>
      <w:rFonts w:ascii="Franklin Gothic Medium" w:eastAsiaTheme="minorHAnsi" w:hAnsi="Franklin Gothic Medium" w:cstheme="minorBidi"/>
      <w:sz w:val="22"/>
      <w:szCs w:val="22"/>
    </w:rPr>
  </w:style>
  <w:style w:type="paragraph" w:customStyle="1" w:styleId="ListBulletlvl3">
    <w:name w:val="List Bullet lvl 3"/>
    <w:basedOn w:val="ListBullet"/>
    <w:qFormat/>
    <w:rsid w:val="00865C8A"/>
    <w:pPr>
      <w:numPr>
        <w:ilvl w:val="2"/>
        <w:numId w:val="16"/>
      </w:numPr>
      <w:spacing w:after="120"/>
      <w:ind w:left="1077" w:hanging="357"/>
      <w:contextualSpacing w:val="0"/>
    </w:pPr>
    <w:rPr>
      <w:rFonts w:ascii="Calibri" w:eastAsia="Calibri" w:hAnsi="Calibri"/>
      <w:sz w:val="22"/>
      <w:szCs w:val="22"/>
    </w:rPr>
  </w:style>
  <w:style w:type="paragraph" w:customStyle="1" w:styleId="ListBulletlvl4">
    <w:name w:val="List Bullet lvl 4"/>
    <w:basedOn w:val="ListBullet"/>
    <w:qFormat/>
    <w:rsid w:val="00865C8A"/>
    <w:pPr>
      <w:numPr>
        <w:ilvl w:val="3"/>
        <w:numId w:val="16"/>
      </w:numPr>
      <w:spacing w:after="120"/>
      <w:contextualSpacing w:val="0"/>
    </w:pPr>
    <w:rPr>
      <w:rFonts w:ascii="Calibri" w:eastAsia="Calibri" w:hAnsi="Calibri"/>
      <w:sz w:val="22"/>
      <w:szCs w:val="22"/>
    </w:rPr>
  </w:style>
  <w:style w:type="paragraph" w:customStyle="1" w:styleId="ListBulletlvl5">
    <w:name w:val="List Bullet lvl 5"/>
    <w:basedOn w:val="ListBullet"/>
    <w:qFormat/>
    <w:rsid w:val="00865C8A"/>
    <w:pPr>
      <w:numPr>
        <w:ilvl w:val="4"/>
        <w:numId w:val="16"/>
      </w:numPr>
      <w:spacing w:after="120"/>
      <w:contextualSpacing w:val="0"/>
    </w:pPr>
    <w:rPr>
      <w:rFonts w:ascii="Calibri" w:eastAsia="Calibri" w:hAnsi="Calibri"/>
      <w:sz w:val="22"/>
      <w:szCs w:val="22"/>
    </w:rPr>
  </w:style>
  <w:style w:type="paragraph" w:customStyle="1" w:styleId="ListBulletlvl6">
    <w:name w:val="List Bullet lvl 6"/>
    <w:basedOn w:val="ListBullet"/>
    <w:qFormat/>
    <w:rsid w:val="00865C8A"/>
    <w:pPr>
      <w:numPr>
        <w:ilvl w:val="5"/>
        <w:numId w:val="16"/>
      </w:numPr>
      <w:spacing w:after="120"/>
      <w:contextualSpacing w:val="0"/>
    </w:pPr>
    <w:rPr>
      <w:rFonts w:ascii="Calibri" w:eastAsia="Calibri" w:hAnsi="Calibri"/>
      <w:sz w:val="22"/>
      <w:szCs w:val="22"/>
    </w:rPr>
  </w:style>
  <w:style w:type="paragraph" w:customStyle="1" w:styleId="ListBulletlvl7">
    <w:name w:val="List Bullet lvl 7"/>
    <w:basedOn w:val="ListBullet"/>
    <w:qFormat/>
    <w:rsid w:val="00865C8A"/>
    <w:pPr>
      <w:numPr>
        <w:ilvl w:val="6"/>
        <w:numId w:val="16"/>
      </w:numPr>
      <w:spacing w:after="120"/>
      <w:contextualSpacing w:val="0"/>
    </w:pPr>
    <w:rPr>
      <w:rFonts w:ascii="Calibri" w:eastAsia="Calibri" w:hAnsi="Calibri"/>
      <w:sz w:val="22"/>
      <w:szCs w:val="22"/>
    </w:rPr>
  </w:style>
  <w:style w:type="paragraph" w:customStyle="1" w:styleId="ListBulletlvl8">
    <w:name w:val="List Bullet lvl 8"/>
    <w:basedOn w:val="ListBullet"/>
    <w:qFormat/>
    <w:rsid w:val="00865C8A"/>
    <w:pPr>
      <w:numPr>
        <w:ilvl w:val="7"/>
        <w:numId w:val="16"/>
      </w:numPr>
      <w:spacing w:after="120"/>
      <w:contextualSpacing w:val="0"/>
    </w:pPr>
    <w:rPr>
      <w:rFonts w:ascii="Calibri" w:eastAsia="Calibri" w:hAnsi="Calibri"/>
      <w:sz w:val="22"/>
      <w:szCs w:val="22"/>
    </w:rPr>
  </w:style>
  <w:style w:type="paragraph" w:customStyle="1" w:styleId="ListBulletlvl9">
    <w:name w:val="List Bullet lvl 9"/>
    <w:basedOn w:val="ListBullet"/>
    <w:qFormat/>
    <w:rsid w:val="00865C8A"/>
    <w:pPr>
      <w:numPr>
        <w:ilvl w:val="8"/>
        <w:numId w:val="16"/>
      </w:numPr>
      <w:spacing w:after="120"/>
      <w:contextualSpacing w:val="0"/>
    </w:pPr>
    <w:rPr>
      <w:rFonts w:ascii="Calibri" w:eastAsia="Calibri" w:hAnsi="Calibri"/>
      <w:sz w:val="22"/>
      <w:szCs w:val="22"/>
    </w:rPr>
  </w:style>
  <w:style w:type="table" w:customStyle="1" w:styleId="TableGrid1">
    <w:name w:val="Table Grid1"/>
    <w:basedOn w:val="TableNormal"/>
    <w:next w:val="TableGrid"/>
    <w:uiPriority w:val="39"/>
    <w:rsid w:val="0086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65C8A"/>
    <w:rPr>
      <w:sz w:val="20"/>
      <w:szCs w:val="20"/>
    </w:rPr>
  </w:style>
  <w:style w:type="character" w:customStyle="1" w:styleId="EndnoteTextChar">
    <w:name w:val="Endnote Text Char"/>
    <w:basedOn w:val="DefaultParagraphFont"/>
    <w:link w:val="EndnoteText"/>
    <w:uiPriority w:val="99"/>
    <w:semiHidden/>
    <w:rsid w:val="00865C8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65C8A"/>
    <w:rPr>
      <w:vertAlign w:val="superscript"/>
    </w:rPr>
  </w:style>
  <w:style w:type="character" w:customStyle="1" w:styleId="UnresolvedMention1">
    <w:name w:val="Unresolved Mention1"/>
    <w:basedOn w:val="DefaultParagraphFont"/>
    <w:uiPriority w:val="99"/>
    <w:semiHidden/>
    <w:unhideWhenUsed/>
    <w:rsid w:val="00865C8A"/>
    <w:rPr>
      <w:color w:val="605E5C"/>
      <w:shd w:val="clear" w:color="auto" w:fill="E1DFDD"/>
    </w:rPr>
  </w:style>
  <w:style w:type="character" w:styleId="UnresolvedMention">
    <w:name w:val="Unresolved Mention"/>
    <w:basedOn w:val="DefaultParagraphFont"/>
    <w:uiPriority w:val="99"/>
    <w:semiHidden/>
    <w:unhideWhenUsed/>
    <w:rsid w:val="00865C8A"/>
    <w:rPr>
      <w:color w:val="605E5C"/>
      <w:shd w:val="clear" w:color="auto" w:fill="E1DFDD"/>
    </w:rPr>
  </w:style>
  <w:style w:type="character" w:styleId="FollowedHyperlink">
    <w:name w:val="FollowedHyperlink"/>
    <w:basedOn w:val="DefaultParagraphFont"/>
    <w:uiPriority w:val="99"/>
    <w:semiHidden/>
    <w:unhideWhenUsed/>
    <w:rsid w:val="00290FDC"/>
    <w:rPr>
      <w:color w:val="954F72" w:themeColor="followedHyperlink"/>
      <w:u w:val="single"/>
    </w:rPr>
  </w:style>
  <w:style w:type="table" w:styleId="ListTable3">
    <w:name w:val="List Table 3"/>
    <w:basedOn w:val="TableNormal"/>
    <w:uiPriority w:val="48"/>
    <w:rsid w:val="00BC24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2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bs.gov.au/info/general/pbs-process-improv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bs.gov.au/info/general/access-medicines-working-grou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bs.gov.au/info/general/pbs-process-improv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publications/atagi-pre-submission-advice" TargetMode="External"/><Relationship Id="rId5" Type="http://schemas.openxmlformats.org/officeDocument/2006/relationships/webSettings" Target="webSettings.xml"/><Relationship Id="rId15" Type="http://schemas.openxmlformats.org/officeDocument/2006/relationships/hyperlink" Target="https://www.pbs.gov.au/info/industry/listing/elements/fees-and-charges" TargetMode="External"/><Relationship Id="rId10" Type="http://schemas.openxmlformats.org/officeDocument/2006/relationships/hyperlink" Target="https://www.pbs.gov.au/info/industry/listing/elements/fees-and-charges" TargetMode="External"/><Relationship Id="rId4" Type="http://schemas.openxmlformats.org/officeDocument/2006/relationships/settings" Target="settings.xml"/><Relationship Id="rId9" Type="http://schemas.openxmlformats.org/officeDocument/2006/relationships/hyperlink" Target="https://www.legislation.gov.au/Details/F2019C0054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au/about-us/corporate-reporting/annual-reports" TargetMode="External"/><Relationship Id="rId2" Type="http://schemas.openxmlformats.org/officeDocument/2006/relationships/hyperlink" Target="https://www.finance.gov.au/sites/default/files/australian-government-cost-recovery-guidelines_0.pdf" TargetMode="External"/><Relationship Id="rId1" Type="http://schemas.openxmlformats.org/officeDocument/2006/relationships/hyperlink" Target="https://www.financ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B0EFB-8040-457D-B2A0-2D3E30B7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11364</Words>
  <Characters>64780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75993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RUDDICK, Euan</dc:creator>
  <cp:keywords/>
  <dc:description/>
  <cp:lastModifiedBy>RUDDICK, Euan</cp:lastModifiedBy>
  <cp:revision>3</cp:revision>
  <dcterms:created xsi:type="dcterms:W3CDTF">2023-11-29T23:32:00Z</dcterms:created>
  <dcterms:modified xsi:type="dcterms:W3CDTF">2023-11-29T23:33:00Z</dcterms:modified>
</cp:coreProperties>
</file>