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B9043" w14:textId="2EC8421D" w:rsidR="00166DB1" w:rsidRPr="00CC3926" w:rsidRDefault="00166DB1" w:rsidP="00A77355">
      <w:pPr>
        <w:pStyle w:val="Coverheading"/>
      </w:pPr>
      <w:bookmarkStart w:id="0" w:name="_Hlk522781977"/>
      <w:r w:rsidRPr="00CC3926">
        <w:t>AUSTRALIAN GOVERNMENT DEPARTMENT OF HEALTH</w:t>
      </w:r>
    </w:p>
    <w:p w14:paraId="539D27A7" w14:textId="6521F06B" w:rsidR="00166DB1" w:rsidRPr="00166DB1" w:rsidRDefault="00166DB1" w:rsidP="00A77355">
      <w:pPr>
        <w:pStyle w:val="DocumentTitle"/>
      </w:pPr>
      <w:r w:rsidRPr="00166DB1">
        <w:t>Review of Ongoing Pharmacy Workforce Programs</w:t>
      </w:r>
    </w:p>
    <w:p w14:paraId="621114CE" w14:textId="5763D122" w:rsidR="00166DB1" w:rsidRPr="00A77355" w:rsidRDefault="00166DB1" w:rsidP="00A77355">
      <w:pPr>
        <w:pStyle w:val="Covertitle"/>
        <w:rPr>
          <w:b w:val="0"/>
        </w:rPr>
      </w:pPr>
      <w:r w:rsidRPr="00A77355">
        <w:rPr>
          <w:b w:val="0"/>
        </w:rPr>
        <w:t>FINAL REPORT</w:t>
      </w:r>
    </w:p>
    <w:p w14:paraId="16A8D949" w14:textId="724D8676" w:rsidR="00166DB1" w:rsidRPr="00CC3926" w:rsidRDefault="00166DB1" w:rsidP="00A77355">
      <w:pPr>
        <w:pStyle w:val="DocumentPublishDate"/>
        <w:spacing w:after="1200"/>
      </w:pPr>
      <w:r w:rsidRPr="00CC3926">
        <w:t>19 September 2017</w:t>
      </w:r>
    </w:p>
    <w:p w14:paraId="232C4D69" w14:textId="4B2CF8DA" w:rsidR="00AD03B9" w:rsidRPr="00AD03B9" w:rsidRDefault="00AD03B9" w:rsidP="00AD03B9">
      <w:pPr>
        <w:spacing w:before="840" w:after="120" w:line="360" w:lineRule="auto"/>
        <w:rPr>
          <w:rFonts w:ascii="Franklin Gothic Book" w:eastAsia="Garamond" w:hAnsi="Franklin Gothic Book"/>
          <w:i/>
          <w:color w:val="000000"/>
          <w:sz w:val="24"/>
          <w:szCs w:val="24"/>
        </w:rPr>
      </w:pPr>
      <w:r w:rsidRPr="00AD03B9">
        <w:rPr>
          <w:rFonts w:ascii="Franklin Gothic Book" w:eastAsia="Garamond" w:hAnsi="Franklin Gothic Book"/>
          <w:i/>
          <w:color w:val="000000"/>
          <w:sz w:val="24"/>
          <w:szCs w:val="24"/>
        </w:rPr>
        <w:t>Our Vision</w:t>
      </w:r>
    </w:p>
    <w:p w14:paraId="17538D87" w14:textId="216E7CA7" w:rsidR="00AD03B9" w:rsidRPr="00AD03B9" w:rsidRDefault="00AD03B9" w:rsidP="00166DB1">
      <w:pPr>
        <w:spacing w:after="120" w:line="360" w:lineRule="auto"/>
        <w:rPr>
          <w:rFonts w:ascii="Franklin Gothic Book" w:eastAsia="Garamond" w:hAnsi="Franklin Gothic Book"/>
          <w:i/>
          <w:color w:val="000000"/>
          <w:sz w:val="24"/>
          <w:szCs w:val="24"/>
        </w:rPr>
      </w:pPr>
      <w:r w:rsidRPr="00AD03B9">
        <w:rPr>
          <w:rFonts w:ascii="Franklin Gothic Book" w:eastAsia="Garamond" w:hAnsi="Franklin Gothic Book"/>
          <w:i/>
          <w:color w:val="000000"/>
          <w:sz w:val="24"/>
          <w:szCs w:val="24"/>
        </w:rPr>
        <w:t>To positively impact people’s lives by helping create better health services</w:t>
      </w:r>
    </w:p>
    <w:p w14:paraId="26B0C4A6" w14:textId="4D58C624" w:rsidR="00AD03B9" w:rsidRPr="00AD03B9" w:rsidRDefault="00AD03B9" w:rsidP="00166DB1">
      <w:pPr>
        <w:spacing w:after="120" w:line="360" w:lineRule="auto"/>
        <w:rPr>
          <w:rFonts w:ascii="Franklin Gothic Book" w:eastAsia="Garamond" w:hAnsi="Franklin Gothic Book"/>
          <w:i/>
          <w:color w:val="000000"/>
          <w:sz w:val="24"/>
          <w:szCs w:val="24"/>
        </w:rPr>
      </w:pPr>
      <w:r w:rsidRPr="00AD03B9">
        <w:rPr>
          <w:rFonts w:ascii="Franklin Gothic Book" w:eastAsia="Garamond" w:hAnsi="Franklin Gothic Book"/>
          <w:i/>
          <w:color w:val="000000"/>
          <w:sz w:val="24"/>
          <w:szCs w:val="24"/>
        </w:rPr>
        <w:t>Our Mission</w:t>
      </w:r>
    </w:p>
    <w:p w14:paraId="61B6263F" w14:textId="4843A5D2" w:rsidR="00AD03B9" w:rsidRPr="00AD03B9" w:rsidRDefault="00AD03B9" w:rsidP="00166DB1">
      <w:pPr>
        <w:spacing w:after="120" w:line="360" w:lineRule="auto"/>
        <w:rPr>
          <w:rFonts w:ascii="Franklin Gothic Book" w:eastAsia="Garamond" w:hAnsi="Franklin Gothic Book"/>
          <w:i/>
          <w:color w:val="000000"/>
          <w:sz w:val="24"/>
          <w:szCs w:val="24"/>
        </w:rPr>
      </w:pPr>
      <w:r w:rsidRPr="00AD03B9">
        <w:rPr>
          <w:rFonts w:ascii="Franklin Gothic Book" w:eastAsia="Garamond" w:hAnsi="Franklin Gothic Book"/>
          <w:i/>
          <w:color w:val="000000"/>
          <w:sz w:val="24"/>
          <w:szCs w:val="24"/>
        </w:rPr>
        <w:t>To use our management consulting skills to provide expert advice and support to health funders, service providers and users</w:t>
      </w:r>
    </w:p>
    <w:p w14:paraId="663D5688" w14:textId="77777777" w:rsidR="00AD03B9" w:rsidRDefault="00AD03B9" w:rsidP="00166DB1">
      <w:pPr>
        <w:spacing w:after="120" w:line="360" w:lineRule="auto"/>
        <w:rPr>
          <w:rFonts w:ascii="Franklin Gothic Book" w:eastAsia="Garamond" w:hAnsi="Franklin Gothic Book"/>
          <w:color w:val="000000"/>
          <w:sz w:val="24"/>
          <w:szCs w:val="24"/>
        </w:rPr>
      </w:pPr>
    </w:p>
    <w:p w14:paraId="70503B42" w14:textId="77777777" w:rsidR="00AD03B9" w:rsidRDefault="00AD03B9" w:rsidP="00166DB1">
      <w:pPr>
        <w:spacing w:after="120" w:line="360" w:lineRule="auto"/>
        <w:rPr>
          <w:rFonts w:ascii="Franklin Gothic Book" w:eastAsia="Garamond" w:hAnsi="Franklin Gothic Book"/>
          <w:color w:val="000000"/>
          <w:sz w:val="24"/>
          <w:szCs w:val="24"/>
        </w:rPr>
        <w:sectPr w:rsidR="00AD03B9" w:rsidSect="00AD03B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2268" w:right="1304" w:bottom="851" w:left="737" w:header="567" w:footer="284" w:gutter="0"/>
          <w:cols w:space="227"/>
          <w:docGrid w:linePitch="360"/>
        </w:sectPr>
      </w:pPr>
    </w:p>
    <w:p w14:paraId="5A272E89" w14:textId="70EBCD0A" w:rsidR="002E1F1A" w:rsidRDefault="00166DB1">
      <w:pPr>
        <w:pStyle w:val="TOC5"/>
        <w:rPr>
          <w:rFonts w:asciiTheme="minorHAnsi" w:eastAsiaTheme="minorEastAsia" w:hAnsiTheme="minorHAnsi" w:cstheme="minorBidi"/>
          <w:caps w:val="0"/>
          <w:noProof/>
          <w:color w:val="auto"/>
          <w:spacing w:val="0"/>
          <w:sz w:val="22"/>
          <w:szCs w:val="22"/>
          <w:lang w:eastAsia="en-AU"/>
        </w:rPr>
      </w:pPr>
      <w:r w:rsidRPr="00166DB1">
        <w:rPr>
          <w:rFonts w:ascii="Franklin Gothic Book" w:eastAsia="Garamond" w:hAnsi="Franklin Gothic Book"/>
          <w:caps w:val="0"/>
          <w:color w:val="000000"/>
        </w:rPr>
        <w:lastRenderedPageBreak/>
        <w:fldChar w:fldCharType="begin"/>
      </w:r>
      <w:r w:rsidRPr="00166DB1">
        <w:rPr>
          <w:rFonts w:ascii="Franklin Gothic Book" w:eastAsia="Garamond" w:hAnsi="Franklin Gothic Book"/>
          <w:caps w:val="0"/>
          <w:color w:val="000000"/>
        </w:rPr>
        <w:instrText xml:space="preserve"> TOC \h \z \t "Heading 1,2,Heading 2,3,Heading 3,4,Section Page Title,5,ES Heading 1,1,Heading Appendix 2,3" </w:instrText>
      </w:r>
      <w:r w:rsidRPr="00166DB1">
        <w:rPr>
          <w:rFonts w:ascii="Franklin Gothic Book" w:eastAsia="Garamond" w:hAnsi="Franklin Gothic Book"/>
          <w:caps w:val="0"/>
          <w:color w:val="000000"/>
        </w:rPr>
        <w:fldChar w:fldCharType="separate"/>
      </w:r>
      <w:hyperlink w:anchor="_Toc523322031" w:history="1">
        <w:r w:rsidR="002E1F1A" w:rsidRPr="00A867E6">
          <w:rPr>
            <w:rStyle w:val="Hyperlink"/>
            <w:noProof/>
          </w:rPr>
          <w:t>PART A – CONTEXT</w:t>
        </w:r>
        <w:r w:rsidR="002E1F1A">
          <w:rPr>
            <w:noProof/>
            <w:webHidden/>
          </w:rPr>
          <w:tab/>
        </w:r>
        <w:r w:rsidR="002E1F1A">
          <w:rPr>
            <w:noProof/>
            <w:webHidden/>
          </w:rPr>
          <w:fldChar w:fldCharType="begin"/>
        </w:r>
        <w:r w:rsidR="002E1F1A">
          <w:rPr>
            <w:noProof/>
            <w:webHidden/>
          </w:rPr>
          <w:instrText xml:space="preserve"> PAGEREF _Toc523322031 \h </w:instrText>
        </w:r>
        <w:r w:rsidR="002E1F1A">
          <w:rPr>
            <w:noProof/>
            <w:webHidden/>
          </w:rPr>
        </w:r>
        <w:r w:rsidR="002E1F1A">
          <w:rPr>
            <w:noProof/>
            <w:webHidden/>
          </w:rPr>
          <w:fldChar w:fldCharType="separate"/>
        </w:r>
        <w:r w:rsidR="002E1F1A">
          <w:rPr>
            <w:noProof/>
            <w:webHidden/>
          </w:rPr>
          <w:t>1</w:t>
        </w:r>
        <w:r w:rsidR="002E1F1A">
          <w:rPr>
            <w:noProof/>
            <w:webHidden/>
          </w:rPr>
          <w:fldChar w:fldCharType="end"/>
        </w:r>
      </w:hyperlink>
    </w:p>
    <w:p w14:paraId="2C313236" w14:textId="1EE11C82" w:rsidR="002E1F1A" w:rsidRDefault="000B3762">
      <w:pPr>
        <w:pStyle w:val="TOC2"/>
        <w:rPr>
          <w:rFonts w:asciiTheme="minorHAnsi" w:eastAsiaTheme="minorEastAsia" w:hAnsiTheme="minorHAnsi" w:cstheme="minorBidi"/>
          <w:caps w:val="0"/>
          <w:noProof/>
          <w:color w:val="auto"/>
          <w:spacing w:val="0"/>
          <w:sz w:val="22"/>
          <w:szCs w:val="22"/>
          <w:u w:val="none"/>
          <w:lang w:eastAsia="en-AU"/>
        </w:rPr>
      </w:pPr>
      <w:hyperlink w:anchor="_Toc523322032" w:history="1">
        <w:r w:rsidR="002E1F1A" w:rsidRPr="00A867E6">
          <w:rPr>
            <w:rStyle w:val="Hyperlink"/>
            <w:noProof/>
            <w:lang w:val="en-US"/>
          </w:rPr>
          <w:t>1</w:t>
        </w:r>
        <w:r w:rsidR="002E1F1A">
          <w:rPr>
            <w:rFonts w:asciiTheme="minorHAnsi" w:eastAsiaTheme="minorEastAsia" w:hAnsiTheme="minorHAnsi" w:cstheme="minorBidi"/>
            <w:caps w:val="0"/>
            <w:noProof/>
            <w:color w:val="auto"/>
            <w:spacing w:val="0"/>
            <w:sz w:val="22"/>
            <w:szCs w:val="22"/>
            <w:u w:val="none"/>
            <w:lang w:eastAsia="en-AU"/>
          </w:rPr>
          <w:tab/>
        </w:r>
        <w:r w:rsidR="002E1F1A" w:rsidRPr="00A867E6">
          <w:rPr>
            <w:rStyle w:val="Hyperlink"/>
            <w:noProof/>
            <w:lang w:val="en-US"/>
          </w:rPr>
          <w:t>Introduction</w:t>
        </w:r>
        <w:r w:rsidR="002E1F1A">
          <w:rPr>
            <w:noProof/>
            <w:webHidden/>
          </w:rPr>
          <w:tab/>
        </w:r>
        <w:r w:rsidR="002E1F1A">
          <w:rPr>
            <w:noProof/>
            <w:webHidden/>
          </w:rPr>
          <w:fldChar w:fldCharType="begin"/>
        </w:r>
        <w:r w:rsidR="002E1F1A">
          <w:rPr>
            <w:noProof/>
            <w:webHidden/>
          </w:rPr>
          <w:instrText xml:space="preserve"> PAGEREF _Toc523322032 \h </w:instrText>
        </w:r>
        <w:r w:rsidR="002E1F1A">
          <w:rPr>
            <w:noProof/>
            <w:webHidden/>
          </w:rPr>
        </w:r>
        <w:r w:rsidR="002E1F1A">
          <w:rPr>
            <w:noProof/>
            <w:webHidden/>
          </w:rPr>
          <w:fldChar w:fldCharType="separate"/>
        </w:r>
        <w:r w:rsidR="002E1F1A">
          <w:rPr>
            <w:noProof/>
            <w:webHidden/>
          </w:rPr>
          <w:t>2</w:t>
        </w:r>
        <w:r w:rsidR="002E1F1A">
          <w:rPr>
            <w:noProof/>
            <w:webHidden/>
          </w:rPr>
          <w:fldChar w:fldCharType="end"/>
        </w:r>
      </w:hyperlink>
    </w:p>
    <w:p w14:paraId="7660166F" w14:textId="2DAFA8BA"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33" w:history="1">
        <w:r w:rsidR="002E1F1A" w:rsidRPr="00A867E6">
          <w:rPr>
            <w:rStyle w:val="Hyperlink"/>
            <w:noProof/>
          </w:rPr>
          <w:t>1.1</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Background</w:t>
        </w:r>
        <w:r w:rsidR="002E1F1A">
          <w:rPr>
            <w:noProof/>
            <w:webHidden/>
          </w:rPr>
          <w:tab/>
        </w:r>
        <w:r w:rsidR="002E1F1A">
          <w:rPr>
            <w:noProof/>
            <w:webHidden/>
          </w:rPr>
          <w:fldChar w:fldCharType="begin"/>
        </w:r>
        <w:r w:rsidR="002E1F1A">
          <w:rPr>
            <w:noProof/>
            <w:webHidden/>
          </w:rPr>
          <w:instrText xml:space="preserve"> PAGEREF _Toc523322033 \h </w:instrText>
        </w:r>
        <w:r w:rsidR="002E1F1A">
          <w:rPr>
            <w:noProof/>
            <w:webHidden/>
          </w:rPr>
        </w:r>
        <w:r w:rsidR="002E1F1A">
          <w:rPr>
            <w:noProof/>
            <w:webHidden/>
          </w:rPr>
          <w:fldChar w:fldCharType="separate"/>
        </w:r>
        <w:r w:rsidR="002E1F1A">
          <w:rPr>
            <w:noProof/>
            <w:webHidden/>
          </w:rPr>
          <w:t>2</w:t>
        </w:r>
        <w:r w:rsidR="002E1F1A">
          <w:rPr>
            <w:noProof/>
            <w:webHidden/>
          </w:rPr>
          <w:fldChar w:fldCharType="end"/>
        </w:r>
      </w:hyperlink>
    </w:p>
    <w:p w14:paraId="5F4991D7" w14:textId="3AB40600"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34" w:history="1">
        <w:r w:rsidR="002E1F1A" w:rsidRPr="00A867E6">
          <w:rPr>
            <w:rStyle w:val="Hyperlink"/>
            <w:noProof/>
          </w:rPr>
          <w:t>1.2</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Individual Programs within scope</w:t>
        </w:r>
        <w:r w:rsidR="002E1F1A">
          <w:rPr>
            <w:noProof/>
            <w:webHidden/>
          </w:rPr>
          <w:tab/>
        </w:r>
        <w:r w:rsidR="002E1F1A">
          <w:rPr>
            <w:noProof/>
            <w:webHidden/>
          </w:rPr>
          <w:fldChar w:fldCharType="begin"/>
        </w:r>
        <w:r w:rsidR="002E1F1A">
          <w:rPr>
            <w:noProof/>
            <w:webHidden/>
          </w:rPr>
          <w:instrText xml:space="preserve"> PAGEREF _Toc523322034 \h </w:instrText>
        </w:r>
        <w:r w:rsidR="002E1F1A">
          <w:rPr>
            <w:noProof/>
            <w:webHidden/>
          </w:rPr>
        </w:r>
        <w:r w:rsidR="002E1F1A">
          <w:rPr>
            <w:noProof/>
            <w:webHidden/>
          </w:rPr>
          <w:fldChar w:fldCharType="separate"/>
        </w:r>
        <w:r w:rsidR="002E1F1A">
          <w:rPr>
            <w:noProof/>
            <w:webHidden/>
          </w:rPr>
          <w:t>2</w:t>
        </w:r>
        <w:r w:rsidR="002E1F1A">
          <w:rPr>
            <w:noProof/>
            <w:webHidden/>
          </w:rPr>
          <w:fldChar w:fldCharType="end"/>
        </w:r>
      </w:hyperlink>
    </w:p>
    <w:p w14:paraId="246CC624" w14:textId="09525760" w:rsidR="002E1F1A" w:rsidRDefault="000B3762">
      <w:pPr>
        <w:pStyle w:val="TOC4"/>
        <w:rPr>
          <w:rFonts w:asciiTheme="minorHAnsi" w:eastAsiaTheme="minorEastAsia" w:hAnsiTheme="minorHAnsi" w:cstheme="minorBidi"/>
          <w:color w:val="auto"/>
          <w:spacing w:val="0"/>
          <w:sz w:val="22"/>
          <w:szCs w:val="22"/>
          <w:lang w:eastAsia="en-AU"/>
        </w:rPr>
      </w:pPr>
      <w:hyperlink w:anchor="_Toc523322035" w:history="1">
        <w:r w:rsidR="002E1F1A" w:rsidRPr="00A867E6">
          <w:rPr>
            <w:rStyle w:val="Hyperlink"/>
          </w:rPr>
          <w:t>1.2.1</w:t>
        </w:r>
        <w:r w:rsidR="002E1F1A">
          <w:rPr>
            <w:rFonts w:asciiTheme="minorHAnsi" w:eastAsiaTheme="minorEastAsia" w:hAnsiTheme="minorHAnsi" w:cstheme="minorBidi"/>
            <w:color w:val="auto"/>
            <w:spacing w:val="0"/>
            <w:sz w:val="22"/>
            <w:szCs w:val="22"/>
            <w:lang w:eastAsia="en-AU"/>
          </w:rPr>
          <w:tab/>
        </w:r>
        <w:r w:rsidR="002E1F1A" w:rsidRPr="00A867E6">
          <w:rPr>
            <w:rStyle w:val="Hyperlink"/>
          </w:rPr>
          <w:t>Rural Workforce Package</w:t>
        </w:r>
        <w:r w:rsidR="002E1F1A">
          <w:rPr>
            <w:webHidden/>
          </w:rPr>
          <w:tab/>
        </w:r>
        <w:r w:rsidR="002E1F1A">
          <w:rPr>
            <w:webHidden/>
          </w:rPr>
          <w:fldChar w:fldCharType="begin"/>
        </w:r>
        <w:r w:rsidR="002E1F1A">
          <w:rPr>
            <w:webHidden/>
          </w:rPr>
          <w:instrText xml:space="preserve"> PAGEREF _Toc523322035 \h </w:instrText>
        </w:r>
        <w:r w:rsidR="002E1F1A">
          <w:rPr>
            <w:webHidden/>
          </w:rPr>
        </w:r>
        <w:r w:rsidR="002E1F1A">
          <w:rPr>
            <w:webHidden/>
          </w:rPr>
          <w:fldChar w:fldCharType="separate"/>
        </w:r>
        <w:r w:rsidR="002E1F1A">
          <w:rPr>
            <w:webHidden/>
          </w:rPr>
          <w:t>2</w:t>
        </w:r>
        <w:r w:rsidR="002E1F1A">
          <w:rPr>
            <w:webHidden/>
          </w:rPr>
          <w:fldChar w:fldCharType="end"/>
        </w:r>
      </w:hyperlink>
    </w:p>
    <w:p w14:paraId="7BFA0F2B" w14:textId="7BB7E204" w:rsidR="002E1F1A" w:rsidRDefault="000B3762">
      <w:pPr>
        <w:pStyle w:val="TOC4"/>
        <w:rPr>
          <w:rFonts w:asciiTheme="minorHAnsi" w:eastAsiaTheme="minorEastAsia" w:hAnsiTheme="minorHAnsi" w:cstheme="minorBidi"/>
          <w:color w:val="auto"/>
          <w:spacing w:val="0"/>
          <w:sz w:val="22"/>
          <w:szCs w:val="22"/>
          <w:lang w:eastAsia="en-AU"/>
        </w:rPr>
      </w:pPr>
      <w:hyperlink w:anchor="_Toc523322036" w:history="1">
        <w:r w:rsidR="002E1F1A" w:rsidRPr="00A867E6">
          <w:rPr>
            <w:rStyle w:val="Hyperlink"/>
          </w:rPr>
          <w:t>1.2.2</w:t>
        </w:r>
        <w:r w:rsidR="002E1F1A">
          <w:rPr>
            <w:rFonts w:asciiTheme="minorHAnsi" w:eastAsiaTheme="minorEastAsia" w:hAnsiTheme="minorHAnsi" w:cstheme="minorBidi"/>
            <w:color w:val="auto"/>
            <w:spacing w:val="0"/>
            <w:sz w:val="22"/>
            <w:szCs w:val="22"/>
            <w:lang w:eastAsia="en-AU"/>
          </w:rPr>
          <w:tab/>
        </w:r>
        <w:r w:rsidR="002E1F1A" w:rsidRPr="00A867E6">
          <w:rPr>
            <w:rStyle w:val="Hyperlink"/>
          </w:rPr>
          <w:t>Aboriginal and Torres Strait Islander Workforce Package</w:t>
        </w:r>
        <w:r w:rsidR="002E1F1A">
          <w:rPr>
            <w:webHidden/>
          </w:rPr>
          <w:tab/>
        </w:r>
        <w:r w:rsidR="002E1F1A">
          <w:rPr>
            <w:webHidden/>
          </w:rPr>
          <w:fldChar w:fldCharType="begin"/>
        </w:r>
        <w:r w:rsidR="002E1F1A">
          <w:rPr>
            <w:webHidden/>
          </w:rPr>
          <w:instrText xml:space="preserve"> PAGEREF _Toc523322036 \h </w:instrText>
        </w:r>
        <w:r w:rsidR="002E1F1A">
          <w:rPr>
            <w:webHidden/>
          </w:rPr>
        </w:r>
        <w:r w:rsidR="002E1F1A">
          <w:rPr>
            <w:webHidden/>
          </w:rPr>
          <w:fldChar w:fldCharType="separate"/>
        </w:r>
        <w:r w:rsidR="002E1F1A">
          <w:rPr>
            <w:webHidden/>
          </w:rPr>
          <w:t>2</w:t>
        </w:r>
        <w:r w:rsidR="002E1F1A">
          <w:rPr>
            <w:webHidden/>
          </w:rPr>
          <w:fldChar w:fldCharType="end"/>
        </w:r>
      </w:hyperlink>
    </w:p>
    <w:p w14:paraId="4324D863" w14:textId="56362BD9"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37" w:history="1">
        <w:r w:rsidR="002E1F1A" w:rsidRPr="00A867E6">
          <w:rPr>
            <w:rStyle w:val="Hyperlink"/>
            <w:noProof/>
          </w:rPr>
          <w:t>1.3</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Evaluation scope</w:t>
        </w:r>
        <w:r w:rsidR="002E1F1A">
          <w:rPr>
            <w:noProof/>
            <w:webHidden/>
          </w:rPr>
          <w:tab/>
        </w:r>
        <w:r w:rsidR="002E1F1A">
          <w:rPr>
            <w:noProof/>
            <w:webHidden/>
          </w:rPr>
          <w:fldChar w:fldCharType="begin"/>
        </w:r>
        <w:r w:rsidR="002E1F1A">
          <w:rPr>
            <w:noProof/>
            <w:webHidden/>
          </w:rPr>
          <w:instrText xml:space="preserve"> PAGEREF _Toc523322037 \h </w:instrText>
        </w:r>
        <w:r w:rsidR="002E1F1A">
          <w:rPr>
            <w:noProof/>
            <w:webHidden/>
          </w:rPr>
        </w:r>
        <w:r w:rsidR="002E1F1A">
          <w:rPr>
            <w:noProof/>
            <w:webHidden/>
          </w:rPr>
          <w:fldChar w:fldCharType="separate"/>
        </w:r>
        <w:r w:rsidR="002E1F1A">
          <w:rPr>
            <w:noProof/>
            <w:webHidden/>
          </w:rPr>
          <w:t>3</w:t>
        </w:r>
        <w:r w:rsidR="002E1F1A">
          <w:rPr>
            <w:noProof/>
            <w:webHidden/>
          </w:rPr>
          <w:fldChar w:fldCharType="end"/>
        </w:r>
      </w:hyperlink>
    </w:p>
    <w:p w14:paraId="778E19DD" w14:textId="2E41B097"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38" w:history="1">
        <w:r w:rsidR="002E1F1A" w:rsidRPr="00A867E6">
          <w:rPr>
            <w:rStyle w:val="Hyperlink"/>
            <w:noProof/>
          </w:rPr>
          <w:t>1.4</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Document purpose and structure</w:t>
        </w:r>
        <w:r w:rsidR="002E1F1A">
          <w:rPr>
            <w:noProof/>
            <w:webHidden/>
          </w:rPr>
          <w:tab/>
        </w:r>
        <w:r w:rsidR="002E1F1A">
          <w:rPr>
            <w:noProof/>
            <w:webHidden/>
          </w:rPr>
          <w:fldChar w:fldCharType="begin"/>
        </w:r>
        <w:r w:rsidR="002E1F1A">
          <w:rPr>
            <w:noProof/>
            <w:webHidden/>
          </w:rPr>
          <w:instrText xml:space="preserve"> PAGEREF _Toc523322038 \h </w:instrText>
        </w:r>
        <w:r w:rsidR="002E1F1A">
          <w:rPr>
            <w:noProof/>
            <w:webHidden/>
          </w:rPr>
        </w:r>
        <w:r w:rsidR="002E1F1A">
          <w:rPr>
            <w:noProof/>
            <w:webHidden/>
          </w:rPr>
          <w:fldChar w:fldCharType="separate"/>
        </w:r>
        <w:r w:rsidR="002E1F1A">
          <w:rPr>
            <w:noProof/>
            <w:webHidden/>
          </w:rPr>
          <w:t>3</w:t>
        </w:r>
        <w:r w:rsidR="002E1F1A">
          <w:rPr>
            <w:noProof/>
            <w:webHidden/>
          </w:rPr>
          <w:fldChar w:fldCharType="end"/>
        </w:r>
      </w:hyperlink>
    </w:p>
    <w:p w14:paraId="21833391" w14:textId="6C30BE3D" w:rsidR="002E1F1A" w:rsidRDefault="000B3762">
      <w:pPr>
        <w:pStyle w:val="TOC2"/>
        <w:rPr>
          <w:rFonts w:asciiTheme="minorHAnsi" w:eastAsiaTheme="minorEastAsia" w:hAnsiTheme="minorHAnsi" w:cstheme="minorBidi"/>
          <w:caps w:val="0"/>
          <w:noProof/>
          <w:color w:val="auto"/>
          <w:spacing w:val="0"/>
          <w:sz w:val="22"/>
          <w:szCs w:val="22"/>
          <w:u w:val="none"/>
          <w:lang w:eastAsia="en-AU"/>
        </w:rPr>
      </w:pPr>
      <w:hyperlink w:anchor="_Toc523322039" w:history="1">
        <w:r w:rsidR="002E1F1A" w:rsidRPr="00A867E6">
          <w:rPr>
            <w:rStyle w:val="Hyperlink"/>
            <w:noProof/>
            <w:lang w:val="en-US"/>
          </w:rPr>
          <w:t>2</w:t>
        </w:r>
        <w:r w:rsidR="002E1F1A">
          <w:rPr>
            <w:rFonts w:asciiTheme="minorHAnsi" w:eastAsiaTheme="minorEastAsia" w:hAnsiTheme="minorHAnsi" w:cstheme="minorBidi"/>
            <w:caps w:val="0"/>
            <w:noProof/>
            <w:color w:val="auto"/>
            <w:spacing w:val="0"/>
            <w:sz w:val="22"/>
            <w:szCs w:val="22"/>
            <w:u w:val="none"/>
            <w:lang w:eastAsia="en-AU"/>
          </w:rPr>
          <w:tab/>
        </w:r>
        <w:r w:rsidR="002E1F1A" w:rsidRPr="00A867E6">
          <w:rPr>
            <w:rStyle w:val="Hyperlink"/>
            <w:noProof/>
            <w:lang w:val="en-US"/>
          </w:rPr>
          <w:t>Overview of the Programs</w:t>
        </w:r>
        <w:r w:rsidR="002E1F1A">
          <w:rPr>
            <w:noProof/>
            <w:webHidden/>
          </w:rPr>
          <w:tab/>
        </w:r>
        <w:r w:rsidR="002E1F1A">
          <w:rPr>
            <w:noProof/>
            <w:webHidden/>
          </w:rPr>
          <w:fldChar w:fldCharType="begin"/>
        </w:r>
        <w:r w:rsidR="002E1F1A">
          <w:rPr>
            <w:noProof/>
            <w:webHidden/>
          </w:rPr>
          <w:instrText xml:space="preserve"> PAGEREF _Toc523322039 \h </w:instrText>
        </w:r>
        <w:r w:rsidR="002E1F1A">
          <w:rPr>
            <w:noProof/>
            <w:webHidden/>
          </w:rPr>
        </w:r>
        <w:r w:rsidR="002E1F1A">
          <w:rPr>
            <w:noProof/>
            <w:webHidden/>
          </w:rPr>
          <w:fldChar w:fldCharType="separate"/>
        </w:r>
        <w:r w:rsidR="002E1F1A">
          <w:rPr>
            <w:noProof/>
            <w:webHidden/>
          </w:rPr>
          <w:t>4</w:t>
        </w:r>
        <w:r w:rsidR="002E1F1A">
          <w:rPr>
            <w:noProof/>
            <w:webHidden/>
          </w:rPr>
          <w:fldChar w:fldCharType="end"/>
        </w:r>
      </w:hyperlink>
    </w:p>
    <w:p w14:paraId="415DF3F4" w14:textId="0E5AB894"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40" w:history="1">
        <w:r w:rsidR="002E1F1A" w:rsidRPr="00A867E6">
          <w:rPr>
            <w:rStyle w:val="Hyperlink"/>
            <w:noProof/>
          </w:rPr>
          <w:t>2.1</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Context</w:t>
        </w:r>
        <w:r w:rsidR="002E1F1A">
          <w:rPr>
            <w:noProof/>
            <w:webHidden/>
          </w:rPr>
          <w:tab/>
        </w:r>
        <w:r w:rsidR="002E1F1A">
          <w:rPr>
            <w:noProof/>
            <w:webHidden/>
          </w:rPr>
          <w:fldChar w:fldCharType="begin"/>
        </w:r>
        <w:r w:rsidR="002E1F1A">
          <w:rPr>
            <w:noProof/>
            <w:webHidden/>
          </w:rPr>
          <w:instrText xml:space="preserve"> PAGEREF _Toc523322040 \h </w:instrText>
        </w:r>
        <w:r w:rsidR="002E1F1A">
          <w:rPr>
            <w:noProof/>
            <w:webHidden/>
          </w:rPr>
        </w:r>
        <w:r w:rsidR="002E1F1A">
          <w:rPr>
            <w:noProof/>
            <w:webHidden/>
          </w:rPr>
          <w:fldChar w:fldCharType="separate"/>
        </w:r>
        <w:r w:rsidR="002E1F1A">
          <w:rPr>
            <w:noProof/>
            <w:webHidden/>
          </w:rPr>
          <w:t>4</w:t>
        </w:r>
        <w:r w:rsidR="002E1F1A">
          <w:rPr>
            <w:noProof/>
            <w:webHidden/>
          </w:rPr>
          <w:fldChar w:fldCharType="end"/>
        </w:r>
      </w:hyperlink>
    </w:p>
    <w:p w14:paraId="4C64ACE9" w14:textId="79EC42FC"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41" w:history="1">
        <w:r w:rsidR="002E1F1A" w:rsidRPr="00A867E6">
          <w:rPr>
            <w:rStyle w:val="Hyperlink"/>
            <w:noProof/>
          </w:rPr>
          <w:t>2.2</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Program objectives and program aims</w:t>
        </w:r>
        <w:r w:rsidR="002E1F1A">
          <w:rPr>
            <w:noProof/>
            <w:webHidden/>
          </w:rPr>
          <w:tab/>
        </w:r>
        <w:r w:rsidR="002E1F1A">
          <w:rPr>
            <w:noProof/>
            <w:webHidden/>
          </w:rPr>
          <w:fldChar w:fldCharType="begin"/>
        </w:r>
        <w:r w:rsidR="002E1F1A">
          <w:rPr>
            <w:noProof/>
            <w:webHidden/>
          </w:rPr>
          <w:instrText xml:space="preserve"> PAGEREF _Toc523322041 \h </w:instrText>
        </w:r>
        <w:r w:rsidR="002E1F1A">
          <w:rPr>
            <w:noProof/>
            <w:webHidden/>
          </w:rPr>
        </w:r>
        <w:r w:rsidR="002E1F1A">
          <w:rPr>
            <w:noProof/>
            <w:webHidden/>
          </w:rPr>
          <w:fldChar w:fldCharType="separate"/>
        </w:r>
        <w:r w:rsidR="002E1F1A">
          <w:rPr>
            <w:noProof/>
            <w:webHidden/>
          </w:rPr>
          <w:t>4</w:t>
        </w:r>
        <w:r w:rsidR="002E1F1A">
          <w:rPr>
            <w:noProof/>
            <w:webHidden/>
          </w:rPr>
          <w:fldChar w:fldCharType="end"/>
        </w:r>
      </w:hyperlink>
    </w:p>
    <w:p w14:paraId="4D4A353E" w14:textId="15F4B42B"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42" w:history="1">
        <w:r w:rsidR="002E1F1A" w:rsidRPr="00A867E6">
          <w:rPr>
            <w:rStyle w:val="Hyperlink"/>
            <w:noProof/>
          </w:rPr>
          <w:t>2.3</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Program Categorisation for evaluation purposes</w:t>
        </w:r>
        <w:r w:rsidR="002E1F1A">
          <w:rPr>
            <w:noProof/>
            <w:webHidden/>
          </w:rPr>
          <w:tab/>
        </w:r>
        <w:r w:rsidR="002E1F1A">
          <w:rPr>
            <w:noProof/>
            <w:webHidden/>
          </w:rPr>
          <w:fldChar w:fldCharType="begin"/>
        </w:r>
        <w:r w:rsidR="002E1F1A">
          <w:rPr>
            <w:noProof/>
            <w:webHidden/>
          </w:rPr>
          <w:instrText xml:space="preserve"> PAGEREF _Toc523322042 \h </w:instrText>
        </w:r>
        <w:r w:rsidR="002E1F1A">
          <w:rPr>
            <w:noProof/>
            <w:webHidden/>
          </w:rPr>
        </w:r>
        <w:r w:rsidR="002E1F1A">
          <w:rPr>
            <w:noProof/>
            <w:webHidden/>
          </w:rPr>
          <w:fldChar w:fldCharType="separate"/>
        </w:r>
        <w:r w:rsidR="002E1F1A">
          <w:rPr>
            <w:noProof/>
            <w:webHidden/>
          </w:rPr>
          <w:t>6</w:t>
        </w:r>
        <w:r w:rsidR="002E1F1A">
          <w:rPr>
            <w:noProof/>
            <w:webHidden/>
          </w:rPr>
          <w:fldChar w:fldCharType="end"/>
        </w:r>
      </w:hyperlink>
    </w:p>
    <w:p w14:paraId="32E97A1E" w14:textId="5A163C72"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43" w:history="1">
        <w:r w:rsidR="002E1F1A" w:rsidRPr="00A867E6">
          <w:rPr>
            <w:rStyle w:val="Hyperlink"/>
            <w:noProof/>
          </w:rPr>
          <w:t>2.4</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Expenditure and activity by Program: summary</w:t>
        </w:r>
        <w:r w:rsidR="002E1F1A">
          <w:rPr>
            <w:noProof/>
            <w:webHidden/>
          </w:rPr>
          <w:tab/>
        </w:r>
        <w:r w:rsidR="002E1F1A">
          <w:rPr>
            <w:noProof/>
            <w:webHidden/>
          </w:rPr>
          <w:fldChar w:fldCharType="begin"/>
        </w:r>
        <w:r w:rsidR="002E1F1A">
          <w:rPr>
            <w:noProof/>
            <w:webHidden/>
          </w:rPr>
          <w:instrText xml:space="preserve"> PAGEREF _Toc523322043 \h </w:instrText>
        </w:r>
        <w:r w:rsidR="002E1F1A">
          <w:rPr>
            <w:noProof/>
            <w:webHidden/>
          </w:rPr>
        </w:r>
        <w:r w:rsidR="002E1F1A">
          <w:rPr>
            <w:noProof/>
            <w:webHidden/>
          </w:rPr>
          <w:fldChar w:fldCharType="separate"/>
        </w:r>
        <w:r w:rsidR="002E1F1A">
          <w:rPr>
            <w:noProof/>
            <w:webHidden/>
          </w:rPr>
          <w:t>6</w:t>
        </w:r>
        <w:r w:rsidR="002E1F1A">
          <w:rPr>
            <w:noProof/>
            <w:webHidden/>
          </w:rPr>
          <w:fldChar w:fldCharType="end"/>
        </w:r>
      </w:hyperlink>
    </w:p>
    <w:p w14:paraId="41FEAEA2" w14:textId="3495BF75" w:rsidR="002E1F1A" w:rsidRDefault="000B3762">
      <w:pPr>
        <w:pStyle w:val="TOC2"/>
        <w:rPr>
          <w:rFonts w:asciiTheme="minorHAnsi" w:eastAsiaTheme="minorEastAsia" w:hAnsiTheme="minorHAnsi" w:cstheme="minorBidi"/>
          <w:caps w:val="0"/>
          <w:noProof/>
          <w:color w:val="auto"/>
          <w:spacing w:val="0"/>
          <w:sz w:val="22"/>
          <w:szCs w:val="22"/>
          <w:u w:val="none"/>
          <w:lang w:eastAsia="en-AU"/>
        </w:rPr>
      </w:pPr>
      <w:hyperlink w:anchor="_Toc523322044" w:history="1">
        <w:r w:rsidR="002E1F1A" w:rsidRPr="00A867E6">
          <w:rPr>
            <w:rStyle w:val="Hyperlink"/>
            <w:noProof/>
            <w:lang w:val="en-US"/>
          </w:rPr>
          <w:t>3</w:t>
        </w:r>
        <w:r w:rsidR="002E1F1A">
          <w:rPr>
            <w:rFonts w:asciiTheme="minorHAnsi" w:eastAsiaTheme="minorEastAsia" w:hAnsiTheme="minorHAnsi" w:cstheme="minorBidi"/>
            <w:caps w:val="0"/>
            <w:noProof/>
            <w:color w:val="auto"/>
            <w:spacing w:val="0"/>
            <w:sz w:val="22"/>
            <w:szCs w:val="22"/>
            <w:u w:val="none"/>
            <w:lang w:eastAsia="en-AU"/>
          </w:rPr>
          <w:tab/>
        </w:r>
        <w:r w:rsidR="002E1F1A" w:rsidRPr="00A867E6">
          <w:rPr>
            <w:rStyle w:val="Hyperlink"/>
            <w:noProof/>
            <w:lang w:val="en-US"/>
          </w:rPr>
          <w:t>Methodology</w:t>
        </w:r>
        <w:r w:rsidR="002E1F1A">
          <w:rPr>
            <w:noProof/>
            <w:webHidden/>
          </w:rPr>
          <w:tab/>
        </w:r>
        <w:r w:rsidR="002E1F1A">
          <w:rPr>
            <w:noProof/>
            <w:webHidden/>
          </w:rPr>
          <w:fldChar w:fldCharType="begin"/>
        </w:r>
        <w:r w:rsidR="002E1F1A">
          <w:rPr>
            <w:noProof/>
            <w:webHidden/>
          </w:rPr>
          <w:instrText xml:space="preserve"> PAGEREF _Toc523322044 \h </w:instrText>
        </w:r>
        <w:r w:rsidR="002E1F1A">
          <w:rPr>
            <w:noProof/>
            <w:webHidden/>
          </w:rPr>
        </w:r>
        <w:r w:rsidR="002E1F1A">
          <w:rPr>
            <w:noProof/>
            <w:webHidden/>
          </w:rPr>
          <w:fldChar w:fldCharType="separate"/>
        </w:r>
        <w:r w:rsidR="002E1F1A">
          <w:rPr>
            <w:noProof/>
            <w:webHidden/>
          </w:rPr>
          <w:t>9</w:t>
        </w:r>
        <w:r w:rsidR="002E1F1A">
          <w:rPr>
            <w:noProof/>
            <w:webHidden/>
          </w:rPr>
          <w:fldChar w:fldCharType="end"/>
        </w:r>
      </w:hyperlink>
    </w:p>
    <w:p w14:paraId="627E5F9B" w14:textId="6644C20F"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45" w:history="1">
        <w:r w:rsidR="002E1F1A" w:rsidRPr="00A867E6">
          <w:rPr>
            <w:rStyle w:val="Hyperlink"/>
            <w:noProof/>
          </w:rPr>
          <w:t>3.1</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Project approach and timing</w:t>
        </w:r>
        <w:r w:rsidR="002E1F1A">
          <w:rPr>
            <w:noProof/>
            <w:webHidden/>
          </w:rPr>
          <w:tab/>
        </w:r>
        <w:r w:rsidR="002E1F1A">
          <w:rPr>
            <w:noProof/>
            <w:webHidden/>
          </w:rPr>
          <w:fldChar w:fldCharType="begin"/>
        </w:r>
        <w:r w:rsidR="002E1F1A">
          <w:rPr>
            <w:noProof/>
            <w:webHidden/>
          </w:rPr>
          <w:instrText xml:space="preserve"> PAGEREF _Toc523322045 \h </w:instrText>
        </w:r>
        <w:r w:rsidR="002E1F1A">
          <w:rPr>
            <w:noProof/>
            <w:webHidden/>
          </w:rPr>
        </w:r>
        <w:r w:rsidR="002E1F1A">
          <w:rPr>
            <w:noProof/>
            <w:webHidden/>
          </w:rPr>
          <w:fldChar w:fldCharType="separate"/>
        </w:r>
        <w:r w:rsidR="002E1F1A">
          <w:rPr>
            <w:noProof/>
            <w:webHidden/>
          </w:rPr>
          <w:t>9</w:t>
        </w:r>
        <w:r w:rsidR="002E1F1A">
          <w:rPr>
            <w:noProof/>
            <w:webHidden/>
          </w:rPr>
          <w:fldChar w:fldCharType="end"/>
        </w:r>
      </w:hyperlink>
    </w:p>
    <w:p w14:paraId="2526A696" w14:textId="3D03F931"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46" w:history="1">
        <w:r w:rsidR="002E1F1A" w:rsidRPr="00A867E6">
          <w:rPr>
            <w:rStyle w:val="Hyperlink"/>
            <w:noProof/>
          </w:rPr>
          <w:t>3.2</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Data Collection methods</w:t>
        </w:r>
        <w:r w:rsidR="002E1F1A">
          <w:rPr>
            <w:noProof/>
            <w:webHidden/>
          </w:rPr>
          <w:tab/>
        </w:r>
        <w:r w:rsidR="002E1F1A">
          <w:rPr>
            <w:noProof/>
            <w:webHidden/>
          </w:rPr>
          <w:fldChar w:fldCharType="begin"/>
        </w:r>
        <w:r w:rsidR="002E1F1A">
          <w:rPr>
            <w:noProof/>
            <w:webHidden/>
          </w:rPr>
          <w:instrText xml:space="preserve"> PAGEREF _Toc523322046 \h </w:instrText>
        </w:r>
        <w:r w:rsidR="002E1F1A">
          <w:rPr>
            <w:noProof/>
            <w:webHidden/>
          </w:rPr>
        </w:r>
        <w:r w:rsidR="002E1F1A">
          <w:rPr>
            <w:noProof/>
            <w:webHidden/>
          </w:rPr>
          <w:fldChar w:fldCharType="separate"/>
        </w:r>
        <w:r w:rsidR="002E1F1A">
          <w:rPr>
            <w:noProof/>
            <w:webHidden/>
          </w:rPr>
          <w:t>9</w:t>
        </w:r>
        <w:r w:rsidR="002E1F1A">
          <w:rPr>
            <w:noProof/>
            <w:webHidden/>
          </w:rPr>
          <w:fldChar w:fldCharType="end"/>
        </w:r>
      </w:hyperlink>
    </w:p>
    <w:p w14:paraId="56D183D6" w14:textId="317A396F" w:rsidR="002E1F1A" w:rsidRDefault="000B3762">
      <w:pPr>
        <w:pStyle w:val="TOC4"/>
        <w:rPr>
          <w:rFonts w:asciiTheme="minorHAnsi" w:eastAsiaTheme="minorEastAsia" w:hAnsiTheme="minorHAnsi" w:cstheme="minorBidi"/>
          <w:color w:val="auto"/>
          <w:spacing w:val="0"/>
          <w:sz w:val="22"/>
          <w:szCs w:val="22"/>
          <w:lang w:eastAsia="en-AU"/>
        </w:rPr>
      </w:pPr>
      <w:hyperlink w:anchor="_Toc523322047" w:history="1">
        <w:r w:rsidR="002E1F1A" w:rsidRPr="00A867E6">
          <w:rPr>
            <w:rStyle w:val="Hyperlink"/>
          </w:rPr>
          <w:t>3.2.1</w:t>
        </w:r>
        <w:r w:rsidR="002E1F1A">
          <w:rPr>
            <w:rFonts w:asciiTheme="minorHAnsi" w:eastAsiaTheme="minorEastAsia" w:hAnsiTheme="minorHAnsi" w:cstheme="minorBidi"/>
            <w:color w:val="auto"/>
            <w:spacing w:val="0"/>
            <w:sz w:val="22"/>
            <w:szCs w:val="22"/>
            <w:lang w:eastAsia="en-AU"/>
          </w:rPr>
          <w:tab/>
        </w:r>
        <w:r w:rsidR="002E1F1A" w:rsidRPr="00A867E6">
          <w:rPr>
            <w:rStyle w:val="Hyperlink"/>
          </w:rPr>
          <w:t>Data limitations</w:t>
        </w:r>
        <w:r w:rsidR="002E1F1A">
          <w:rPr>
            <w:webHidden/>
          </w:rPr>
          <w:tab/>
        </w:r>
        <w:r w:rsidR="002E1F1A">
          <w:rPr>
            <w:webHidden/>
          </w:rPr>
          <w:fldChar w:fldCharType="begin"/>
        </w:r>
        <w:r w:rsidR="002E1F1A">
          <w:rPr>
            <w:webHidden/>
          </w:rPr>
          <w:instrText xml:space="preserve"> PAGEREF _Toc523322047 \h </w:instrText>
        </w:r>
        <w:r w:rsidR="002E1F1A">
          <w:rPr>
            <w:webHidden/>
          </w:rPr>
        </w:r>
        <w:r w:rsidR="002E1F1A">
          <w:rPr>
            <w:webHidden/>
          </w:rPr>
          <w:fldChar w:fldCharType="separate"/>
        </w:r>
        <w:r w:rsidR="002E1F1A">
          <w:rPr>
            <w:webHidden/>
          </w:rPr>
          <w:t>10</w:t>
        </w:r>
        <w:r w:rsidR="002E1F1A">
          <w:rPr>
            <w:webHidden/>
          </w:rPr>
          <w:fldChar w:fldCharType="end"/>
        </w:r>
      </w:hyperlink>
    </w:p>
    <w:p w14:paraId="3EBB7D30" w14:textId="71DC6B77" w:rsidR="002E1F1A" w:rsidRDefault="000B3762">
      <w:pPr>
        <w:pStyle w:val="TOC4"/>
        <w:rPr>
          <w:rFonts w:asciiTheme="minorHAnsi" w:eastAsiaTheme="minorEastAsia" w:hAnsiTheme="minorHAnsi" w:cstheme="minorBidi"/>
          <w:color w:val="auto"/>
          <w:spacing w:val="0"/>
          <w:sz w:val="22"/>
          <w:szCs w:val="22"/>
          <w:lang w:eastAsia="en-AU"/>
        </w:rPr>
      </w:pPr>
      <w:hyperlink w:anchor="_Toc523322048" w:history="1">
        <w:r w:rsidR="002E1F1A" w:rsidRPr="00A867E6">
          <w:rPr>
            <w:rStyle w:val="Hyperlink"/>
          </w:rPr>
          <w:t>3.2.2</w:t>
        </w:r>
        <w:r w:rsidR="002E1F1A">
          <w:rPr>
            <w:rFonts w:asciiTheme="minorHAnsi" w:eastAsiaTheme="minorEastAsia" w:hAnsiTheme="minorHAnsi" w:cstheme="minorBidi"/>
            <w:color w:val="auto"/>
            <w:spacing w:val="0"/>
            <w:sz w:val="22"/>
            <w:szCs w:val="22"/>
            <w:lang w:eastAsia="en-AU"/>
          </w:rPr>
          <w:tab/>
        </w:r>
        <w:r w:rsidR="002E1F1A" w:rsidRPr="00A867E6">
          <w:rPr>
            <w:rStyle w:val="Hyperlink"/>
          </w:rPr>
          <w:t>Audited statements: limitations</w:t>
        </w:r>
        <w:r w:rsidR="002E1F1A">
          <w:rPr>
            <w:webHidden/>
          </w:rPr>
          <w:tab/>
        </w:r>
        <w:r w:rsidR="002E1F1A">
          <w:rPr>
            <w:webHidden/>
          </w:rPr>
          <w:fldChar w:fldCharType="begin"/>
        </w:r>
        <w:r w:rsidR="002E1F1A">
          <w:rPr>
            <w:webHidden/>
          </w:rPr>
          <w:instrText xml:space="preserve"> PAGEREF _Toc523322048 \h </w:instrText>
        </w:r>
        <w:r w:rsidR="002E1F1A">
          <w:rPr>
            <w:webHidden/>
          </w:rPr>
        </w:r>
        <w:r w:rsidR="002E1F1A">
          <w:rPr>
            <w:webHidden/>
          </w:rPr>
          <w:fldChar w:fldCharType="separate"/>
        </w:r>
        <w:r w:rsidR="002E1F1A">
          <w:rPr>
            <w:webHidden/>
          </w:rPr>
          <w:t>10</w:t>
        </w:r>
        <w:r w:rsidR="002E1F1A">
          <w:rPr>
            <w:webHidden/>
          </w:rPr>
          <w:fldChar w:fldCharType="end"/>
        </w:r>
      </w:hyperlink>
    </w:p>
    <w:p w14:paraId="39BE691D" w14:textId="75FEBB29" w:rsidR="002E1F1A" w:rsidRDefault="000B3762">
      <w:pPr>
        <w:pStyle w:val="TOC4"/>
        <w:rPr>
          <w:rFonts w:asciiTheme="minorHAnsi" w:eastAsiaTheme="minorEastAsia" w:hAnsiTheme="minorHAnsi" w:cstheme="minorBidi"/>
          <w:color w:val="auto"/>
          <w:spacing w:val="0"/>
          <w:sz w:val="22"/>
          <w:szCs w:val="22"/>
          <w:lang w:eastAsia="en-AU"/>
        </w:rPr>
      </w:pPr>
      <w:hyperlink w:anchor="_Toc523322049" w:history="1">
        <w:r w:rsidR="002E1F1A" w:rsidRPr="00A867E6">
          <w:rPr>
            <w:rStyle w:val="Hyperlink"/>
          </w:rPr>
          <w:t>3.2.3</w:t>
        </w:r>
        <w:r w:rsidR="002E1F1A">
          <w:rPr>
            <w:rFonts w:asciiTheme="minorHAnsi" w:eastAsiaTheme="minorEastAsia" w:hAnsiTheme="minorHAnsi" w:cstheme="minorBidi"/>
            <w:color w:val="auto"/>
            <w:spacing w:val="0"/>
            <w:sz w:val="22"/>
            <w:szCs w:val="22"/>
            <w:lang w:eastAsia="en-AU"/>
          </w:rPr>
          <w:tab/>
        </w:r>
        <w:r w:rsidR="002E1F1A" w:rsidRPr="00A867E6">
          <w:rPr>
            <w:rStyle w:val="Hyperlink"/>
          </w:rPr>
          <w:t>Workforce data: lack of historical trendline data</w:t>
        </w:r>
        <w:r w:rsidR="002E1F1A">
          <w:rPr>
            <w:webHidden/>
          </w:rPr>
          <w:tab/>
        </w:r>
        <w:r w:rsidR="002E1F1A">
          <w:rPr>
            <w:webHidden/>
          </w:rPr>
          <w:fldChar w:fldCharType="begin"/>
        </w:r>
        <w:r w:rsidR="002E1F1A">
          <w:rPr>
            <w:webHidden/>
          </w:rPr>
          <w:instrText xml:space="preserve"> PAGEREF _Toc523322049 \h </w:instrText>
        </w:r>
        <w:r w:rsidR="002E1F1A">
          <w:rPr>
            <w:webHidden/>
          </w:rPr>
        </w:r>
        <w:r w:rsidR="002E1F1A">
          <w:rPr>
            <w:webHidden/>
          </w:rPr>
          <w:fldChar w:fldCharType="separate"/>
        </w:r>
        <w:r w:rsidR="002E1F1A">
          <w:rPr>
            <w:webHidden/>
          </w:rPr>
          <w:t>10</w:t>
        </w:r>
        <w:r w:rsidR="002E1F1A">
          <w:rPr>
            <w:webHidden/>
          </w:rPr>
          <w:fldChar w:fldCharType="end"/>
        </w:r>
      </w:hyperlink>
    </w:p>
    <w:p w14:paraId="58D34CBC" w14:textId="47020470" w:rsidR="002E1F1A" w:rsidRDefault="000B3762">
      <w:pPr>
        <w:pStyle w:val="TOC4"/>
        <w:rPr>
          <w:rFonts w:asciiTheme="minorHAnsi" w:eastAsiaTheme="minorEastAsia" w:hAnsiTheme="minorHAnsi" w:cstheme="minorBidi"/>
          <w:color w:val="auto"/>
          <w:spacing w:val="0"/>
          <w:sz w:val="22"/>
          <w:szCs w:val="22"/>
          <w:lang w:eastAsia="en-AU"/>
        </w:rPr>
      </w:pPr>
      <w:hyperlink w:anchor="_Toc523322050" w:history="1">
        <w:r w:rsidR="002E1F1A" w:rsidRPr="00A867E6">
          <w:rPr>
            <w:rStyle w:val="Hyperlink"/>
          </w:rPr>
          <w:t>3.2.4</w:t>
        </w:r>
        <w:r w:rsidR="002E1F1A">
          <w:rPr>
            <w:rFonts w:asciiTheme="minorHAnsi" w:eastAsiaTheme="minorEastAsia" w:hAnsiTheme="minorHAnsi" w:cstheme="minorBidi"/>
            <w:color w:val="auto"/>
            <w:spacing w:val="0"/>
            <w:sz w:val="22"/>
            <w:szCs w:val="22"/>
            <w:lang w:eastAsia="en-AU"/>
          </w:rPr>
          <w:tab/>
        </w:r>
        <w:r w:rsidR="002E1F1A" w:rsidRPr="00A867E6">
          <w:rPr>
            <w:rStyle w:val="Hyperlink"/>
          </w:rPr>
          <w:t>Calculation of program unit costs: limitations in determining the overhead component</w:t>
        </w:r>
        <w:r w:rsidR="002E1F1A">
          <w:rPr>
            <w:webHidden/>
          </w:rPr>
          <w:tab/>
        </w:r>
        <w:r w:rsidR="002E1F1A">
          <w:rPr>
            <w:webHidden/>
          </w:rPr>
          <w:fldChar w:fldCharType="begin"/>
        </w:r>
        <w:r w:rsidR="002E1F1A">
          <w:rPr>
            <w:webHidden/>
          </w:rPr>
          <w:instrText xml:space="preserve"> PAGEREF _Toc523322050 \h </w:instrText>
        </w:r>
        <w:r w:rsidR="002E1F1A">
          <w:rPr>
            <w:webHidden/>
          </w:rPr>
        </w:r>
        <w:r w:rsidR="002E1F1A">
          <w:rPr>
            <w:webHidden/>
          </w:rPr>
          <w:fldChar w:fldCharType="separate"/>
        </w:r>
        <w:r w:rsidR="002E1F1A">
          <w:rPr>
            <w:webHidden/>
          </w:rPr>
          <w:t>11</w:t>
        </w:r>
        <w:r w:rsidR="002E1F1A">
          <w:rPr>
            <w:webHidden/>
          </w:rPr>
          <w:fldChar w:fldCharType="end"/>
        </w:r>
      </w:hyperlink>
    </w:p>
    <w:p w14:paraId="3D33A1E9" w14:textId="3510998F" w:rsidR="002E1F1A" w:rsidRDefault="000B3762">
      <w:pPr>
        <w:pStyle w:val="TOC4"/>
        <w:rPr>
          <w:rFonts w:asciiTheme="minorHAnsi" w:eastAsiaTheme="minorEastAsia" w:hAnsiTheme="minorHAnsi" w:cstheme="minorBidi"/>
          <w:color w:val="auto"/>
          <w:spacing w:val="0"/>
          <w:sz w:val="22"/>
          <w:szCs w:val="22"/>
          <w:lang w:eastAsia="en-AU"/>
        </w:rPr>
      </w:pPr>
      <w:hyperlink w:anchor="_Toc523322051" w:history="1">
        <w:r w:rsidR="002E1F1A" w:rsidRPr="00A867E6">
          <w:rPr>
            <w:rStyle w:val="Hyperlink"/>
          </w:rPr>
          <w:t>3.2.5</w:t>
        </w:r>
        <w:r w:rsidR="002E1F1A">
          <w:rPr>
            <w:rFonts w:asciiTheme="minorHAnsi" w:eastAsiaTheme="minorEastAsia" w:hAnsiTheme="minorHAnsi" w:cstheme="minorBidi"/>
            <w:color w:val="auto"/>
            <w:spacing w:val="0"/>
            <w:sz w:val="22"/>
            <w:szCs w:val="22"/>
            <w:lang w:eastAsia="en-AU"/>
          </w:rPr>
          <w:tab/>
        </w:r>
        <w:r w:rsidR="002E1F1A" w:rsidRPr="00A867E6">
          <w:rPr>
            <w:rStyle w:val="Hyperlink"/>
          </w:rPr>
          <w:t>Comparison of FTE across geographic areas</w:t>
        </w:r>
        <w:r w:rsidR="002E1F1A">
          <w:rPr>
            <w:webHidden/>
          </w:rPr>
          <w:tab/>
        </w:r>
        <w:r w:rsidR="002E1F1A">
          <w:rPr>
            <w:webHidden/>
          </w:rPr>
          <w:fldChar w:fldCharType="begin"/>
        </w:r>
        <w:r w:rsidR="002E1F1A">
          <w:rPr>
            <w:webHidden/>
          </w:rPr>
          <w:instrText xml:space="preserve"> PAGEREF _Toc523322051 \h </w:instrText>
        </w:r>
        <w:r w:rsidR="002E1F1A">
          <w:rPr>
            <w:webHidden/>
          </w:rPr>
        </w:r>
        <w:r w:rsidR="002E1F1A">
          <w:rPr>
            <w:webHidden/>
          </w:rPr>
          <w:fldChar w:fldCharType="separate"/>
        </w:r>
        <w:r w:rsidR="002E1F1A">
          <w:rPr>
            <w:webHidden/>
          </w:rPr>
          <w:t>11</w:t>
        </w:r>
        <w:r w:rsidR="002E1F1A">
          <w:rPr>
            <w:webHidden/>
          </w:rPr>
          <w:fldChar w:fldCharType="end"/>
        </w:r>
      </w:hyperlink>
    </w:p>
    <w:p w14:paraId="00D74AC7" w14:textId="464DCCE5" w:rsidR="002E1F1A" w:rsidRDefault="000B3762">
      <w:pPr>
        <w:pStyle w:val="TOC5"/>
        <w:rPr>
          <w:rFonts w:asciiTheme="minorHAnsi" w:eastAsiaTheme="minorEastAsia" w:hAnsiTheme="minorHAnsi" w:cstheme="minorBidi"/>
          <w:caps w:val="0"/>
          <w:noProof/>
          <w:color w:val="auto"/>
          <w:spacing w:val="0"/>
          <w:sz w:val="22"/>
          <w:szCs w:val="22"/>
          <w:lang w:eastAsia="en-AU"/>
        </w:rPr>
      </w:pPr>
      <w:hyperlink w:anchor="_Toc523322052" w:history="1">
        <w:r w:rsidR="002E1F1A" w:rsidRPr="00A867E6">
          <w:rPr>
            <w:rStyle w:val="Hyperlink"/>
            <w:noProof/>
          </w:rPr>
          <w:t>PART B – FINDINGS</w:t>
        </w:r>
        <w:r w:rsidR="002E1F1A">
          <w:rPr>
            <w:noProof/>
            <w:webHidden/>
          </w:rPr>
          <w:tab/>
        </w:r>
        <w:r w:rsidR="002E1F1A">
          <w:rPr>
            <w:noProof/>
            <w:webHidden/>
          </w:rPr>
          <w:fldChar w:fldCharType="begin"/>
        </w:r>
        <w:r w:rsidR="002E1F1A">
          <w:rPr>
            <w:noProof/>
            <w:webHidden/>
          </w:rPr>
          <w:instrText xml:space="preserve"> PAGEREF _Toc523322052 \h </w:instrText>
        </w:r>
        <w:r w:rsidR="002E1F1A">
          <w:rPr>
            <w:noProof/>
            <w:webHidden/>
          </w:rPr>
        </w:r>
        <w:r w:rsidR="002E1F1A">
          <w:rPr>
            <w:noProof/>
            <w:webHidden/>
          </w:rPr>
          <w:fldChar w:fldCharType="separate"/>
        </w:r>
        <w:r w:rsidR="002E1F1A">
          <w:rPr>
            <w:noProof/>
            <w:webHidden/>
          </w:rPr>
          <w:t>12</w:t>
        </w:r>
        <w:r w:rsidR="002E1F1A">
          <w:rPr>
            <w:noProof/>
            <w:webHidden/>
          </w:rPr>
          <w:fldChar w:fldCharType="end"/>
        </w:r>
      </w:hyperlink>
    </w:p>
    <w:p w14:paraId="5E5C73AE" w14:textId="660D7785" w:rsidR="002E1F1A" w:rsidRDefault="000B3762">
      <w:pPr>
        <w:pStyle w:val="TOC2"/>
        <w:rPr>
          <w:rFonts w:asciiTheme="minorHAnsi" w:eastAsiaTheme="minorEastAsia" w:hAnsiTheme="minorHAnsi" w:cstheme="minorBidi"/>
          <w:caps w:val="0"/>
          <w:noProof/>
          <w:color w:val="auto"/>
          <w:spacing w:val="0"/>
          <w:sz w:val="22"/>
          <w:szCs w:val="22"/>
          <w:u w:val="none"/>
          <w:lang w:eastAsia="en-AU"/>
        </w:rPr>
      </w:pPr>
      <w:hyperlink w:anchor="_Toc523322053" w:history="1">
        <w:r w:rsidR="002E1F1A" w:rsidRPr="00A867E6">
          <w:rPr>
            <w:rStyle w:val="Hyperlink"/>
            <w:noProof/>
            <w:lang w:val="en-US"/>
          </w:rPr>
          <w:t>4</w:t>
        </w:r>
        <w:r w:rsidR="002E1F1A">
          <w:rPr>
            <w:rFonts w:asciiTheme="minorHAnsi" w:eastAsiaTheme="minorEastAsia" w:hAnsiTheme="minorHAnsi" w:cstheme="minorBidi"/>
            <w:caps w:val="0"/>
            <w:noProof/>
            <w:color w:val="auto"/>
            <w:spacing w:val="0"/>
            <w:sz w:val="22"/>
            <w:szCs w:val="22"/>
            <w:u w:val="none"/>
            <w:lang w:eastAsia="en-AU"/>
          </w:rPr>
          <w:tab/>
        </w:r>
        <w:r w:rsidR="002E1F1A" w:rsidRPr="00A867E6">
          <w:rPr>
            <w:rStyle w:val="Hyperlink"/>
            <w:noProof/>
            <w:lang w:val="en-US"/>
          </w:rPr>
          <w:t>Appropriateness</w:t>
        </w:r>
        <w:r w:rsidR="002E1F1A">
          <w:rPr>
            <w:noProof/>
            <w:webHidden/>
          </w:rPr>
          <w:tab/>
        </w:r>
        <w:r w:rsidR="002E1F1A">
          <w:rPr>
            <w:noProof/>
            <w:webHidden/>
          </w:rPr>
          <w:fldChar w:fldCharType="begin"/>
        </w:r>
        <w:r w:rsidR="002E1F1A">
          <w:rPr>
            <w:noProof/>
            <w:webHidden/>
          </w:rPr>
          <w:instrText xml:space="preserve"> PAGEREF _Toc523322053 \h </w:instrText>
        </w:r>
        <w:r w:rsidR="002E1F1A">
          <w:rPr>
            <w:noProof/>
            <w:webHidden/>
          </w:rPr>
        </w:r>
        <w:r w:rsidR="002E1F1A">
          <w:rPr>
            <w:noProof/>
            <w:webHidden/>
          </w:rPr>
          <w:fldChar w:fldCharType="separate"/>
        </w:r>
        <w:r w:rsidR="002E1F1A">
          <w:rPr>
            <w:noProof/>
            <w:webHidden/>
          </w:rPr>
          <w:t>13</w:t>
        </w:r>
        <w:r w:rsidR="002E1F1A">
          <w:rPr>
            <w:noProof/>
            <w:webHidden/>
          </w:rPr>
          <w:fldChar w:fldCharType="end"/>
        </w:r>
      </w:hyperlink>
    </w:p>
    <w:p w14:paraId="1BCECDAE" w14:textId="2E4254D5"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54" w:history="1">
        <w:r w:rsidR="002E1F1A" w:rsidRPr="00A867E6">
          <w:rPr>
            <w:rStyle w:val="Hyperlink"/>
            <w:noProof/>
          </w:rPr>
          <w:t>4.1</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Distribution of the pharmacy workforce: underlying need</w:t>
        </w:r>
        <w:r w:rsidR="002E1F1A">
          <w:rPr>
            <w:noProof/>
            <w:webHidden/>
          </w:rPr>
          <w:tab/>
        </w:r>
        <w:r w:rsidR="002E1F1A">
          <w:rPr>
            <w:noProof/>
            <w:webHidden/>
          </w:rPr>
          <w:fldChar w:fldCharType="begin"/>
        </w:r>
        <w:r w:rsidR="002E1F1A">
          <w:rPr>
            <w:noProof/>
            <w:webHidden/>
          </w:rPr>
          <w:instrText xml:space="preserve"> PAGEREF _Toc523322054 \h </w:instrText>
        </w:r>
        <w:r w:rsidR="002E1F1A">
          <w:rPr>
            <w:noProof/>
            <w:webHidden/>
          </w:rPr>
        </w:r>
        <w:r w:rsidR="002E1F1A">
          <w:rPr>
            <w:noProof/>
            <w:webHidden/>
          </w:rPr>
          <w:fldChar w:fldCharType="separate"/>
        </w:r>
        <w:r w:rsidR="002E1F1A">
          <w:rPr>
            <w:noProof/>
            <w:webHidden/>
          </w:rPr>
          <w:t>14</w:t>
        </w:r>
        <w:r w:rsidR="002E1F1A">
          <w:rPr>
            <w:noProof/>
            <w:webHidden/>
          </w:rPr>
          <w:fldChar w:fldCharType="end"/>
        </w:r>
      </w:hyperlink>
    </w:p>
    <w:p w14:paraId="67B547A1" w14:textId="4DCA6398"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55" w:history="1">
        <w:r w:rsidR="002E1F1A" w:rsidRPr="00A867E6">
          <w:rPr>
            <w:rStyle w:val="Hyperlink"/>
            <w:noProof/>
          </w:rPr>
          <w:t>4.2</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Program design: Appropriateness</w:t>
        </w:r>
        <w:r w:rsidR="002E1F1A">
          <w:rPr>
            <w:noProof/>
            <w:webHidden/>
          </w:rPr>
          <w:tab/>
        </w:r>
        <w:r w:rsidR="002E1F1A">
          <w:rPr>
            <w:noProof/>
            <w:webHidden/>
          </w:rPr>
          <w:fldChar w:fldCharType="begin"/>
        </w:r>
        <w:r w:rsidR="002E1F1A">
          <w:rPr>
            <w:noProof/>
            <w:webHidden/>
          </w:rPr>
          <w:instrText xml:space="preserve"> PAGEREF _Toc523322055 \h </w:instrText>
        </w:r>
        <w:r w:rsidR="002E1F1A">
          <w:rPr>
            <w:noProof/>
            <w:webHidden/>
          </w:rPr>
        </w:r>
        <w:r w:rsidR="002E1F1A">
          <w:rPr>
            <w:noProof/>
            <w:webHidden/>
          </w:rPr>
          <w:fldChar w:fldCharType="separate"/>
        </w:r>
        <w:r w:rsidR="002E1F1A">
          <w:rPr>
            <w:noProof/>
            <w:webHidden/>
          </w:rPr>
          <w:t>16</w:t>
        </w:r>
        <w:r w:rsidR="002E1F1A">
          <w:rPr>
            <w:noProof/>
            <w:webHidden/>
          </w:rPr>
          <w:fldChar w:fldCharType="end"/>
        </w:r>
      </w:hyperlink>
    </w:p>
    <w:p w14:paraId="3089C6E7" w14:textId="5C143BF2" w:rsidR="002E1F1A" w:rsidRDefault="000B3762">
      <w:pPr>
        <w:pStyle w:val="TOC4"/>
        <w:rPr>
          <w:rFonts w:asciiTheme="minorHAnsi" w:eastAsiaTheme="minorEastAsia" w:hAnsiTheme="minorHAnsi" w:cstheme="minorBidi"/>
          <w:color w:val="auto"/>
          <w:spacing w:val="0"/>
          <w:sz w:val="22"/>
          <w:szCs w:val="22"/>
          <w:lang w:eastAsia="en-AU"/>
        </w:rPr>
      </w:pPr>
      <w:hyperlink w:anchor="_Toc523322056" w:history="1">
        <w:r w:rsidR="002E1F1A" w:rsidRPr="00A867E6">
          <w:rPr>
            <w:rStyle w:val="Hyperlink"/>
            <w:rFonts w:eastAsia="Times New Roman"/>
          </w:rPr>
          <w:t>4.2.1</w:t>
        </w:r>
        <w:r w:rsidR="002E1F1A">
          <w:rPr>
            <w:rFonts w:asciiTheme="minorHAnsi" w:eastAsiaTheme="minorEastAsia" w:hAnsiTheme="minorHAnsi" w:cstheme="minorBidi"/>
            <w:color w:val="auto"/>
            <w:spacing w:val="0"/>
            <w:sz w:val="22"/>
            <w:szCs w:val="22"/>
            <w:lang w:eastAsia="en-AU"/>
          </w:rPr>
          <w:tab/>
        </w:r>
        <w:r w:rsidR="002E1F1A" w:rsidRPr="00A867E6">
          <w:rPr>
            <w:rStyle w:val="Hyperlink"/>
            <w:rFonts w:eastAsia="Times New Roman"/>
          </w:rPr>
          <w:t>Recruitment component programs</w:t>
        </w:r>
        <w:r w:rsidR="002E1F1A">
          <w:rPr>
            <w:webHidden/>
          </w:rPr>
          <w:tab/>
        </w:r>
        <w:r w:rsidR="002E1F1A">
          <w:rPr>
            <w:webHidden/>
          </w:rPr>
          <w:fldChar w:fldCharType="begin"/>
        </w:r>
        <w:r w:rsidR="002E1F1A">
          <w:rPr>
            <w:webHidden/>
          </w:rPr>
          <w:instrText xml:space="preserve"> PAGEREF _Toc523322056 \h </w:instrText>
        </w:r>
        <w:r w:rsidR="002E1F1A">
          <w:rPr>
            <w:webHidden/>
          </w:rPr>
        </w:r>
        <w:r w:rsidR="002E1F1A">
          <w:rPr>
            <w:webHidden/>
          </w:rPr>
          <w:fldChar w:fldCharType="separate"/>
        </w:r>
        <w:r w:rsidR="002E1F1A">
          <w:rPr>
            <w:webHidden/>
          </w:rPr>
          <w:t>16</w:t>
        </w:r>
        <w:r w:rsidR="002E1F1A">
          <w:rPr>
            <w:webHidden/>
          </w:rPr>
          <w:fldChar w:fldCharType="end"/>
        </w:r>
      </w:hyperlink>
    </w:p>
    <w:p w14:paraId="30A05679" w14:textId="7A573D7A" w:rsidR="002E1F1A" w:rsidRDefault="000B3762">
      <w:pPr>
        <w:pStyle w:val="TOC4"/>
        <w:rPr>
          <w:rFonts w:asciiTheme="minorHAnsi" w:eastAsiaTheme="minorEastAsia" w:hAnsiTheme="minorHAnsi" w:cstheme="minorBidi"/>
          <w:color w:val="auto"/>
          <w:spacing w:val="0"/>
          <w:sz w:val="22"/>
          <w:szCs w:val="22"/>
          <w:lang w:eastAsia="en-AU"/>
        </w:rPr>
      </w:pPr>
      <w:hyperlink w:anchor="_Toc523322057" w:history="1">
        <w:r w:rsidR="002E1F1A" w:rsidRPr="00A867E6">
          <w:rPr>
            <w:rStyle w:val="Hyperlink"/>
            <w:rFonts w:eastAsia="Times New Roman"/>
          </w:rPr>
          <w:t>4.2.2</w:t>
        </w:r>
        <w:r w:rsidR="002E1F1A">
          <w:rPr>
            <w:rFonts w:asciiTheme="minorHAnsi" w:eastAsiaTheme="minorEastAsia" w:hAnsiTheme="minorHAnsi" w:cstheme="minorBidi"/>
            <w:color w:val="auto"/>
            <w:spacing w:val="0"/>
            <w:sz w:val="22"/>
            <w:szCs w:val="22"/>
            <w:lang w:eastAsia="en-AU"/>
          </w:rPr>
          <w:tab/>
        </w:r>
        <w:r w:rsidR="002E1F1A" w:rsidRPr="00A867E6">
          <w:rPr>
            <w:rStyle w:val="Hyperlink"/>
            <w:rFonts w:eastAsia="Times New Roman"/>
          </w:rPr>
          <w:t>Retention component programs</w:t>
        </w:r>
        <w:r w:rsidR="002E1F1A">
          <w:rPr>
            <w:webHidden/>
          </w:rPr>
          <w:tab/>
        </w:r>
        <w:r w:rsidR="002E1F1A">
          <w:rPr>
            <w:webHidden/>
          </w:rPr>
          <w:fldChar w:fldCharType="begin"/>
        </w:r>
        <w:r w:rsidR="002E1F1A">
          <w:rPr>
            <w:webHidden/>
          </w:rPr>
          <w:instrText xml:space="preserve"> PAGEREF _Toc523322057 \h </w:instrText>
        </w:r>
        <w:r w:rsidR="002E1F1A">
          <w:rPr>
            <w:webHidden/>
          </w:rPr>
        </w:r>
        <w:r w:rsidR="002E1F1A">
          <w:rPr>
            <w:webHidden/>
          </w:rPr>
          <w:fldChar w:fldCharType="separate"/>
        </w:r>
        <w:r w:rsidR="002E1F1A">
          <w:rPr>
            <w:webHidden/>
          </w:rPr>
          <w:t>17</w:t>
        </w:r>
        <w:r w:rsidR="002E1F1A">
          <w:rPr>
            <w:webHidden/>
          </w:rPr>
          <w:fldChar w:fldCharType="end"/>
        </w:r>
      </w:hyperlink>
    </w:p>
    <w:p w14:paraId="12222F89" w14:textId="2A6488C3" w:rsidR="002E1F1A" w:rsidRDefault="000B3762">
      <w:pPr>
        <w:pStyle w:val="TOC4"/>
        <w:rPr>
          <w:rFonts w:asciiTheme="minorHAnsi" w:eastAsiaTheme="minorEastAsia" w:hAnsiTheme="minorHAnsi" w:cstheme="minorBidi"/>
          <w:color w:val="auto"/>
          <w:spacing w:val="0"/>
          <w:sz w:val="22"/>
          <w:szCs w:val="22"/>
          <w:lang w:eastAsia="en-AU"/>
        </w:rPr>
      </w:pPr>
      <w:hyperlink w:anchor="_Toc523322058" w:history="1">
        <w:r w:rsidR="002E1F1A" w:rsidRPr="00A867E6">
          <w:rPr>
            <w:rStyle w:val="Hyperlink"/>
            <w:rFonts w:eastAsia="Times New Roman"/>
          </w:rPr>
          <w:t>4.2.3</w:t>
        </w:r>
        <w:r w:rsidR="002E1F1A">
          <w:rPr>
            <w:rFonts w:asciiTheme="minorHAnsi" w:eastAsiaTheme="minorEastAsia" w:hAnsiTheme="minorHAnsi" w:cstheme="minorBidi"/>
            <w:color w:val="auto"/>
            <w:spacing w:val="0"/>
            <w:sz w:val="22"/>
            <w:szCs w:val="22"/>
            <w:lang w:eastAsia="en-AU"/>
          </w:rPr>
          <w:tab/>
        </w:r>
        <w:r w:rsidR="002E1F1A" w:rsidRPr="00A867E6">
          <w:rPr>
            <w:rStyle w:val="Hyperlink"/>
            <w:rFonts w:eastAsia="Times New Roman"/>
          </w:rPr>
          <w:t>Other workforce support component programs</w:t>
        </w:r>
        <w:r w:rsidR="002E1F1A">
          <w:rPr>
            <w:webHidden/>
          </w:rPr>
          <w:tab/>
        </w:r>
        <w:r w:rsidR="002E1F1A">
          <w:rPr>
            <w:webHidden/>
          </w:rPr>
          <w:fldChar w:fldCharType="begin"/>
        </w:r>
        <w:r w:rsidR="002E1F1A">
          <w:rPr>
            <w:webHidden/>
          </w:rPr>
          <w:instrText xml:space="preserve"> PAGEREF _Toc523322058 \h </w:instrText>
        </w:r>
        <w:r w:rsidR="002E1F1A">
          <w:rPr>
            <w:webHidden/>
          </w:rPr>
        </w:r>
        <w:r w:rsidR="002E1F1A">
          <w:rPr>
            <w:webHidden/>
          </w:rPr>
          <w:fldChar w:fldCharType="separate"/>
        </w:r>
        <w:r w:rsidR="002E1F1A">
          <w:rPr>
            <w:webHidden/>
          </w:rPr>
          <w:t>17</w:t>
        </w:r>
        <w:r w:rsidR="002E1F1A">
          <w:rPr>
            <w:webHidden/>
          </w:rPr>
          <w:fldChar w:fldCharType="end"/>
        </w:r>
      </w:hyperlink>
    </w:p>
    <w:p w14:paraId="44864A80" w14:textId="2FCABA2A"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59" w:history="1">
        <w:r w:rsidR="002E1F1A" w:rsidRPr="00A867E6">
          <w:rPr>
            <w:rStyle w:val="Hyperlink"/>
            <w:noProof/>
          </w:rPr>
          <w:t>4.3</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Access to Medicines: Underlying Need of Aboriginal and Torres Strait Islander People</w:t>
        </w:r>
        <w:r w:rsidR="002E1F1A">
          <w:rPr>
            <w:noProof/>
            <w:webHidden/>
          </w:rPr>
          <w:tab/>
        </w:r>
        <w:r w:rsidR="002E1F1A">
          <w:rPr>
            <w:noProof/>
            <w:webHidden/>
          </w:rPr>
          <w:fldChar w:fldCharType="begin"/>
        </w:r>
        <w:r w:rsidR="002E1F1A">
          <w:rPr>
            <w:noProof/>
            <w:webHidden/>
          </w:rPr>
          <w:instrText xml:space="preserve"> PAGEREF _Toc523322059 \h </w:instrText>
        </w:r>
        <w:r w:rsidR="002E1F1A">
          <w:rPr>
            <w:noProof/>
            <w:webHidden/>
          </w:rPr>
        </w:r>
        <w:r w:rsidR="002E1F1A">
          <w:rPr>
            <w:noProof/>
            <w:webHidden/>
          </w:rPr>
          <w:fldChar w:fldCharType="separate"/>
        </w:r>
        <w:r w:rsidR="002E1F1A">
          <w:rPr>
            <w:noProof/>
            <w:webHidden/>
          </w:rPr>
          <w:t>18</w:t>
        </w:r>
        <w:r w:rsidR="002E1F1A">
          <w:rPr>
            <w:noProof/>
            <w:webHidden/>
          </w:rPr>
          <w:fldChar w:fldCharType="end"/>
        </w:r>
      </w:hyperlink>
    </w:p>
    <w:p w14:paraId="6EE4DF06" w14:textId="0AC68ADA"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60" w:history="1">
        <w:r w:rsidR="002E1F1A" w:rsidRPr="00A867E6">
          <w:rPr>
            <w:rStyle w:val="Hyperlink"/>
            <w:noProof/>
          </w:rPr>
          <w:t>4.4</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Program design: Appropriateness</w:t>
        </w:r>
        <w:r w:rsidR="002E1F1A">
          <w:rPr>
            <w:noProof/>
            <w:webHidden/>
          </w:rPr>
          <w:tab/>
        </w:r>
        <w:r w:rsidR="002E1F1A">
          <w:rPr>
            <w:noProof/>
            <w:webHidden/>
          </w:rPr>
          <w:fldChar w:fldCharType="begin"/>
        </w:r>
        <w:r w:rsidR="002E1F1A">
          <w:rPr>
            <w:noProof/>
            <w:webHidden/>
          </w:rPr>
          <w:instrText xml:space="preserve"> PAGEREF _Toc523322060 \h </w:instrText>
        </w:r>
        <w:r w:rsidR="002E1F1A">
          <w:rPr>
            <w:noProof/>
            <w:webHidden/>
          </w:rPr>
        </w:r>
        <w:r w:rsidR="002E1F1A">
          <w:rPr>
            <w:noProof/>
            <w:webHidden/>
          </w:rPr>
          <w:fldChar w:fldCharType="separate"/>
        </w:r>
        <w:r w:rsidR="002E1F1A">
          <w:rPr>
            <w:noProof/>
            <w:webHidden/>
          </w:rPr>
          <w:t>18</w:t>
        </w:r>
        <w:r w:rsidR="002E1F1A">
          <w:rPr>
            <w:noProof/>
            <w:webHidden/>
          </w:rPr>
          <w:fldChar w:fldCharType="end"/>
        </w:r>
      </w:hyperlink>
    </w:p>
    <w:p w14:paraId="5D4CD0CE" w14:textId="74DE3A84" w:rsidR="002E1F1A" w:rsidRDefault="000B3762">
      <w:pPr>
        <w:pStyle w:val="TOC4"/>
        <w:rPr>
          <w:rFonts w:asciiTheme="minorHAnsi" w:eastAsiaTheme="minorEastAsia" w:hAnsiTheme="minorHAnsi" w:cstheme="minorBidi"/>
          <w:color w:val="auto"/>
          <w:spacing w:val="0"/>
          <w:sz w:val="22"/>
          <w:szCs w:val="22"/>
          <w:lang w:eastAsia="en-AU"/>
        </w:rPr>
      </w:pPr>
      <w:hyperlink w:anchor="_Toc523322061" w:history="1">
        <w:r w:rsidR="002E1F1A" w:rsidRPr="00A867E6">
          <w:rPr>
            <w:rStyle w:val="Hyperlink"/>
          </w:rPr>
          <w:t>4.4.1</w:t>
        </w:r>
        <w:r w:rsidR="002E1F1A">
          <w:rPr>
            <w:rFonts w:asciiTheme="minorHAnsi" w:eastAsiaTheme="minorEastAsia" w:hAnsiTheme="minorHAnsi" w:cstheme="minorBidi"/>
            <w:color w:val="auto"/>
            <w:spacing w:val="0"/>
            <w:sz w:val="22"/>
            <w:szCs w:val="22"/>
            <w:lang w:eastAsia="en-AU"/>
          </w:rPr>
          <w:tab/>
        </w:r>
        <w:r w:rsidR="002E1F1A" w:rsidRPr="00A867E6">
          <w:rPr>
            <w:rStyle w:val="Hyperlink"/>
          </w:rPr>
          <w:t>Aboriginal and Torres Strait Islander Pharmacy Assistant Traineeship Scheme</w:t>
        </w:r>
        <w:r w:rsidR="002E1F1A">
          <w:rPr>
            <w:webHidden/>
          </w:rPr>
          <w:tab/>
        </w:r>
        <w:r w:rsidR="002E1F1A">
          <w:rPr>
            <w:webHidden/>
          </w:rPr>
          <w:fldChar w:fldCharType="begin"/>
        </w:r>
        <w:r w:rsidR="002E1F1A">
          <w:rPr>
            <w:webHidden/>
          </w:rPr>
          <w:instrText xml:space="preserve"> PAGEREF _Toc523322061 \h </w:instrText>
        </w:r>
        <w:r w:rsidR="002E1F1A">
          <w:rPr>
            <w:webHidden/>
          </w:rPr>
        </w:r>
        <w:r w:rsidR="002E1F1A">
          <w:rPr>
            <w:webHidden/>
          </w:rPr>
          <w:fldChar w:fldCharType="separate"/>
        </w:r>
        <w:r w:rsidR="002E1F1A">
          <w:rPr>
            <w:webHidden/>
          </w:rPr>
          <w:t>18</w:t>
        </w:r>
        <w:r w:rsidR="002E1F1A">
          <w:rPr>
            <w:webHidden/>
          </w:rPr>
          <w:fldChar w:fldCharType="end"/>
        </w:r>
      </w:hyperlink>
    </w:p>
    <w:p w14:paraId="66F350C4" w14:textId="1F5EC0EF" w:rsidR="002E1F1A" w:rsidRDefault="000B3762">
      <w:pPr>
        <w:pStyle w:val="TOC2"/>
        <w:rPr>
          <w:rFonts w:asciiTheme="minorHAnsi" w:eastAsiaTheme="minorEastAsia" w:hAnsiTheme="minorHAnsi" w:cstheme="minorBidi"/>
          <w:caps w:val="0"/>
          <w:noProof/>
          <w:color w:val="auto"/>
          <w:spacing w:val="0"/>
          <w:sz w:val="22"/>
          <w:szCs w:val="22"/>
          <w:u w:val="none"/>
          <w:lang w:eastAsia="en-AU"/>
        </w:rPr>
      </w:pPr>
      <w:hyperlink w:anchor="_Toc523322062" w:history="1">
        <w:r w:rsidR="002E1F1A" w:rsidRPr="00A867E6">
          <w:rPr>
            <w:rStyle w:val="Hyperlink"/>
            <w:noProof/>
            <w:lang w:val="en-US"/>
          </w:rPr>
          <w:t>5</w:t>
        </w:r>
        <w:r w:rsidR="002E1F1A">
          <w:rPr>
            <w:rFonts w:asciiTheme="minorHAnsi" w:eastAsiaTheme="minorEastAsia" w:hAnsiTheme="minorHAnsi" w:cstheme="minorBidi"/>
            <w:caps w:val="0"/>
            <w:noProof/>
            <w:color w:val="auto"/>
            <w:spacing w:val="0"/>
            <w:sz w:val="22"/>
            <w:szCs w:val="22"/>
            <w:u w:val="none"/>
            <w:lang w:eastAsia="en-AU"/>
          </w:rPr>
          <w:tab/>
        </w:r>
        <w:r w:rsidR="002E1F1A" w:rsidRPr="00A867E6">
          <w:rPr>
            <w:rStyle w:val="Hyperlink"/>
            <w:noProof/>
            <w:lang w:val="en-US"/>
          </w:rPr>
          <w:t>Effectiveness</w:t>
        </w:r>
        <w:r w:rsidR="002E1F1A">
          <w:rPr>
            <w:noProof/>
            <w:webHidden/>
          </w:rPr>
          <w:tab/>
        </w:r>
        <w:r w:rsidR="002E1F1A">
          <w:rPr>
            <w:noProof/>
            <w:webHidden/>
          </w:rPr>
          <w:fldChar w:fldCharType="begin"/>
        </w:r>
        <w:r w:rsidR="002E1F1A">
          <w:rPr>
            <w:noProof/>
            <w:webHidden/>
          </w:rPr>
          <w:instrText xml:space="preserve"> PAGEREF _Toc523322062 \h </w:instrText>
        </w:r>
        <w:r w:rsidR="002E1F1A">
          <w:rPr>
            <w:noProof/>
            <w:webHidden/>
          </w:rPr>
        </w:r>
        <w:r w:rsidR="002E1F1A">
          <w:rPr>
            <w:noProof/>
            <w:webHidden/>
          </w:rPr>
          <w:fldChar w:fldCharType="separate"/>
        </w:r>
        <w:r w:rsidR="002E1F1A">
          <w:rPr>
            <w:noProof/>
            <w:webHidden/>
          </w:rPr>
          <w:t>20</w:t>
        </w:r>
        <w:r w:rsidR="002E1F1A">
          <w:rPr>
            <w:noProof/>
            <w:webHidden/>
          </w:rPr>
          <w:fldChar w:fldCharType="end"/>
        </w:r>
      </w:hyperlink>
    </w:p>
    <w:p w14:paraId="1F6E588E" w14:textId="6BC977BB"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63" w:history="1">
        <w:r w:rsidR="002E1F1A" w:rsidRPr="00A867E6">
          <w:rPr>
            <w:rStyle w:val="Hyperlink"/>
            <w:noProof/>
          </w:rPr>
          <w:t>5.1</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Estimated Shortfall in Community Pharmacists Relative to Program Impacts</w:t>
        </w:r>
        <w:r w:rsidR="002E1F1A">
          <w:rPr>
            <w:noProof/>
            <w:webHidden/>
          </w:rPr>
          <w:tab/>
        </w:r>
        <w:r w:rsidR="002E1F1A">
          <w:rPr>
            <w:noProof/>
            <w:webHidden/>
          </w:rPr>
          <w:fldChar w:fldCharType="begin"/>
        </w:r>
        <w:r w:rsidR="002E1F1A">
          <w:rPr>
            <w:noProof/>
            <w:webHidden/>
          </w:rPr>
          <w:instrText xml:space="preserve"> PAGEREF _Toc523322063 \h </w:instrText>
        </w:r>
        <w:r w:rsidR="002E1F1A">
          <w:rPr>
            <w:noProof/>
            <w:webHidden/>
          </w:rPr>
        </w:r>
        <w:r w:rsidR="002E1F1A">
          <w:rPr>
            <w:noProof/>
            <w:webHidden/>
          </w:rPr>
          <w:fldChar w:fldCharType="separate"/>
        </w:r>
        <w:r w:rsidR="002E1F1A">
          <w:rPr>
            <w:noProof/>
            <w:webHidden/>
          </w:rPr>
          <w:t>21</w:t>
        </w:r>
        <w:r w:rsidR="002E1F1A">
          <w:rPr>
            <w:noProof/>
            <w:webHidden/>
          </w:rPr>
          <w:fldChar w:fldCharType="end"/>
        </w:r>
      </w:hyperlink>
    </w:p>
    <w:p w14:paraId="674801E5" w14:textId="7F42EF22"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64" w:history="1">
        <w:r w:rsidR="002E1F1A" w:rsidRPr="00A867E6">
          <w:rPr>
            <w:rStyle w:val="Hyperlink"/>
            <w:noProof/>
          </w:rPr>
          <w:t>5.2</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Assessing impact: Program effects relative to underlying need</w:t>
        </w:r>
        <w:r w:rsidR="002E1F1A">
          <w:rPr>
            <w:noProof/>
            <w:webHidden/>
          </w:rPr>
          <w:tab/>
        </w:r>
        <w:r w:rsidR="002E1F1A">
          <w:rPr>
            <w:noProof/>
            <w:webHidden/>
          </w:rPr>
          <w:fldChar w:fldCharType="begin"/>
        </w:r>
        <w:r w:rsidR="002E1F1A">
          <w:rPr>
            <w:noProof/>
            <w:webHidden/>
          </w:rPr>
          <w:instrText xml:space="preserve"> PAGEREF _Toc523322064 \h </w:instrText>
        </w:r>
        <w:r w:rsidR="002E1F1A">
          <w:rPr>
            <w:noProof/>
            <w:webHidden/>
          </w:rPr>
        </w:r>
        <w:r w:rsidR="002E1F1A">
          <w:rPr>
            <w:noProof/>
            <w:webHidden/>
          </w:rPr>
          <w:fldChar w:fldCharType="separate"/>
        </w:r>
        <w:r w:rsidR="002E1F1A">
          <w:rPr>
            <w:noProof/>
            <w:webHidden/>
          </w:rPr>
          <w:t>22</w:t>
        </w:r>
        <w:r w:rsidR="002E1F1A">
          <w:rPr>
            <w:noProof/>
            <w:webHidden/>
          </w:rPr>
          <w:fldChar w:fldCharType="end"/>
        </w:r>
      </w:hyperlink>
    </w:p>
    <w:p w14:paraId="507DA4E1" w14:textId="462B51B4"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65" w:history="1">
        <w:r w:rsidR="002E1F1A" w:rsidRPr="00A867E6">
          <w:rPr>
            <w:rStyle w:val="Hyperlink"/>
            <w:noProof/>
          </w:rPr>
          <w:t>5.3</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rural workforce package: impacts on recipients</w:t>
        </w:r>
        <w:r w:rsidR="002E1F1A">
          <w:rPr>
            <w:noProof/>
            <w:webHidden/>
          </w:rPr>
          <w:tab/>
        </w:r>
        <w:r w:rsidR="002E1F1A">
          <w:rPr>
            <w:noProof/>
            <w:webHidden/>
          </w:rPr>
          <w:fldChar w:fldCharType="begin"/>
        </w:r>
        <w:r w:rsidR="002E1F1A">
          <w:rPr>
            <w:noProof/>
            <w:webHidden/>
          </w:rPr>
          <w:instrText xml:space="preserve"> PAGEREF _Toc523322065 \h </w:instrText>
        </w:r>
        <w:r w:rsidR="002E1F1A">
          <w:rPr>
            <w:noProof/>
            <w:webHidden/>
          </w:rPr>
        </w:r>
        <w:r w:rsidR="002E1F1A">
          <w:rPr>
            <w:noProof/>
            <w:webHidden/>
          </w:rPr>
          <w:fldChar w:fldCharType="separate"/>
        </w:r>
        <w:r w:rsidR="002E1F1A">
          <w:rPr>
            <w:noProof/>
            <w:webHidden/>
          </w:rPr>
          <w:t>23</w:t>
        </w:r>
        <w:r w:rsidR="002E1F1A">
          <w:rPr>
            <w:noProof/>
            <w:webHidden/>
          </w:rPr>
          <w:fldChar w:fldCharType="end"/>
        </w:r>
      </w:hyperlink>
    </w:p>
    <w:p w14:paraId="7F2B1AC9" w14:textId="42EE90CC" w:rsidR="002E1F1A" w:rsidRDefault="000B3762">
      <w:pPr>
        <w:pStyle w:val="TOC4"/>
        <w:rPr>
          <w:rFonts w:asciiTheme="minorHAnsi" w:eastAsiaTheme="minorEastAsia" w:hAnsiTheme="minorHAnsi" w:cstheme="minorBidi"/>
          <w:color w:val="auto"/>
          <w:spacing w:val="0"/>
          <w:sz w:val="22"/>
          <w:szCs w:val="22"/>
          <w:lang w:eastAsia="en-AU"/>
        </w:rPr>
      </w:pPr>
      <w:hyperlink w:anchor="_Toc523322066" w:history="1">
        <w:r w:rsidR="002E1F1A" w:rsidRPr="00A867E6">
          <w:rPr>
            <w:rStyle w:val="Hyperlink"/>
          </w:rPr>
          <w:t>5.3.1</w:t>
        </w:r>
        <w:r w:rsidR="002E1F1A">
          <w:rPr>
            <w:rFonts w:asciiTheme="minorHAnsi" w:eastAsiaTheme="minorEastAsia" w:hAnsiTheme="minorHAnsi" w:cstheme="minorBidi"/>
            <w:color w:val="auto"/>
            <w:spacing w:val="0"/>
            <w:sz w:val="22"/>
            <w:szCs w:val="22"/>
            <w:lang w:eastAsia="en-AU"/>
          </w:rPr>
          <w:tab/>
        </w:r>
        <w:r w:rsidR="002E1F1A" w:rsidRPr="00A867E6">
          <w:rPr>
            <w:rStyle w:val="Hyperlink"/>
          </w:rPr>
          <w:t>Workforce recruitment programs</w:t>
        </w:r>
        <w:r w:rsidR="002E1F1A">
          <w:rPr>
            <w:webHidden/>
          </w:rPr>
          <w:tab/>
        </w:r>
        <w:r w:rsidR="002E1F1A">
          <w:rPr>
            <w:webHidden/>
          </w:rPr>
          <w:fldChar w:fldCharType="begin"/>
        </w:r>
        <w:r w:rsidR="002E1F1A">
          <w:rPr>
            <w:webHidden/>
          </w:rPr>
          <w:instrText xml:space="preserve"> PAGEREF _Toc523322066 \h </w:instrText>
        </w:r>
        <w:r w:rsidR="002E1F1A">
          <w:rPr>
            <w:webHidden/>
          </w:rPr>
        </w:r>
        <w:r w:rsidR="002E1F1A">
          <w:rPr>
            <w:webHidden/>
          </w:rPr>
          <w:fldChar w:fldCharType="separate"/>
        </w:r>
        <w:r w:rsidR="002E1F1A">
          <w:rPr>
            <w:webHidden/>
          </w:rPr>
          <w:t>23</w:t>
        </w:r>
        <w:r w:rsidR="002E1F1A">
          <w:rPr>
            <w:webHidden/>
          </w:rPr>
          <w:fldChar w:fldCharType="end"/>
        </w:r>
      </w:hyperlink>
    </w:p>
    <w:p w14:paraId="33AF8310" w14:textId="34382020" w:rsidR="002E1F1A" w:rsidRDefault="000B3762">
      <w:pPr>
        <w:pStyle w:val="TOC4"/>
        <w:rPr>
          <w:rFonts w:asciiTheme="minorHAnsi" w:eastAsiaTheme="minorEastAsia" w:hAnsiTheme="minorHAnsi" w:cstheme="minorBidi"/>
          <w:color w:val="auto"/>
          <w:spacing w:val="0"/>
          <w:sz w:val="22"/>
          <w:szCs w:val="22"/>
          <w:lang w:eastAsia="en-AU"/>
        </w:rPr>
      </w:pPr>
      <w:hyperlink w:anchor="_Toc523322067" w:history="1">
        <w:r w:rsidR="002E1F1A" w:rsidRPr="00A867E6">
          <w:rPr>
            <w:rStyle w:val="Hyperlink"/>
          </w:rPr>
          <w:t>5.3.2</w:t>
        </w:r>
        <w:r w:rsidR="002E1F1A">
          <w:rPr>
            <w:rFonts w:asciiTheme="minorHAnsi" w:eastAsiaTheme="minorEastAsia" w:hAnsiTheme="minorHAnsi" w:cstheme="minorBidi"/>
            <w:color w:val="auto"/>
            <w:spacing w:val="0"/>
            <w:sz w:val="22"/>
            <w:szCs w:val="22"/>
            <w:lang w:eastAsia="en-AU"/>
          </w:rPr>
          <w:tab/>
        </w:r>
        <w:r w:rsidR="002E1F1A" w:rsidRPr="00A867E6">
          <w:rPr>
            <w:rStyle w:val="Hyperlink"/>
          </w:rPr>
          <w:t>Workforce retention programs</w:t>
        </w:r>
        <w:r w:rsidR="002E1F1A">
          <w:rPr>
            <w:webHidden/>
          </w:rPr>
          <w:tab/>
        </w:r>
        <w:r w:rsidR="002E1F1A">
          <w:rPr>
            <w:webHidden/>
          </w:rPr>
          <w:fldChar w:fldCharType="begin"/>
        </w:r>
        <w:r w:rsidR="002E1F1A">
          <w:rPr>
            <w:webHidden/>
          </w:rPr>
          <w:instrText xml:space="preserve"> PAGEREF _Toc523322067 \h </w:instrText>
        </w:r>
        <w:r w:rsidR="002E1F1A">
          <w:rPr>
            <w:webHidden/>
          </w:rPr>
        </w:r>
        <w:r w:rsidR="002E1F1A">
          <w:rPr>
            <w:webHidden/>
          </w:rPr>
          <w:fldChar w:fldCharType="separate"/>
        </w:r>
        <w:r w:rsidR="002E1F1A">
          <w:rPr>
            <w:webHidden/>
          </w:rPr>
          <w:t>24</w:t>
        </w:r>
        <w:r w:rsidR="002E1F1A">
          <w:rPr>
            <w:webHidden/>
          </w:rPr>
          <w:fldChar w:fldCharType="end"/>
        </w:r>
      </w:hyperlink>
    </w:p>
    <w:p w14:paraId="6F43C1F8" w14:textId="3F042E65" w:rsidR="002E1F1A" w:rsidRDefault="000B3762">
      <w:pPr>
        <w:pStyle w:val="TOC4"/>
        <w:rPr>
          <w:rFonts w:asciiTheme="minorHAnsi" w:eastAsiaTheme="minorEastAsia" w:hAnsiTheme="minorHAnsi" w:cstheme="minorBidi"/>
          <w:color w:val="auto"/>
          <w:spacing w:val="0"/>
          <w:sz w:val="22"/>
          <w:szCs w:val="22"/>
          <w:lang w:eastAsia="en-AU"/>
        </w:rPr>
      </w:pPr>
      <w:hyperlink w:anchor="_Toc523322068" w:history="1">
        <w:r w:rsidR="002E1F1A" w:rsidRPr="00A867E6">
          <w:rPr>
            <w:rStyle w:val="Hyperlink"/>
          </w:rPr>
          <w:t>5.3.3</w:t>
        </w:r>
        <w:r w:rsidR="002E1F1A">
          <w:rPr>
            <w:rFonts w:asciiTheme="minorHAnsi" w:eastAsiaTheme="minorEastAsia" w:hAnsiTheme="minorHAnsi" w:cstheme="minorBidi"/>
            <w:color w:val="auto"/>
            <w:spacing w:val="0"/>
            <w:sz w:val="22"/>
            <w:szCs w:val="22"/>
            <w:lang w:eastAsia="en-AU"/>
          </w:rPr>
          <w:tab/>
        </w:r>
        <w:r w:rsidR="002E1F1A" w:rsidRPr="00A867E6">
          <w:rPr>
            <w:rStyle w:val="Hyperlink"/>
          </w:rPr>
          <w:t>Other workforce support programs</w:t>
        </w:r>
        <w:r w:rsidR="002E1F1A">
          <w:rPr>
            <w:webHidden/>
          </w:rPr>
          <w:tab/>
        </w:r>
        <w:r w:rsidR="002E1F1A">
          <w:rPr>
            <w:webHidden/>
          </w:rPr>
          <w:fldChar w:fldCharType="begin"/>
        </w:r>
        <w:r w:rsidR="002E1F1A">
          <w:rPr>
            <w:webHidden/>
          </w:rPr>
          <w:instrText xml:space="preserve"> PAGEREF _Toc523322068 \h </w:instrText>
        </w:r>
        <w:r w:rsidR="002E1F1A">
          <w:rPr>
            <w:webHidden/>
          </w:rPr>
        </w:r>
        <w:r w:rsidR="002E1F1A">
          <w:rPr>
            <w:webHidden/>
          </w:rPr>
          <w:fldChar w:fldCharType="separate"/>
        </w:r>
        <w:r w:rsidR="002E1F1A">
          <w:rPr>
            <w:webHidden/>
          </w:rPr>
          <w:t>25</w:t>
        </w:r>
        <w:r w:rsidR="002E1F1A">
          <w:rPr>
            <w:webHidden/>
          </w:rPr>
          <w:fldChar w:fldCharType="end"/>
        </w:r>
      </w:hyperlink>
    </w:p>
    <w:p w14:paraId="15753A09" w14:textId="576292EA"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69" w:history="1">
        <w:r w:rsidR="002E1F1A" w:rsidRPr="00A867E6">
          <w:rPr>
            <w:rStyle w:val="Hyperlink"/>
            <w:noProof/>
          </w:rPr>
          <w:t>5.4</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Effectiveness in addressing underlying need</w:t>
        </w:r>
        <w:r w:rsidR="002E1F1A">
          <w:rPr>
            <w:noProof/>
            <w:webHidden/>
          </w:rPr>
          <w:tab/>
        </w:r>
        <w:r w:rsidR="002E1F1A">
          <w:rPr>
            <w:noProof/>
            <w:webHidden/>
          </w:rPr>
          <w:fldChar w:fldCharType="begin"/>
        </w:r>
        <w:r w:rsidR="002E1F1A">
          <w:rPr>
            <w:noProof/>
            <w:webHidden/>
          </w:rPr>
          <w:instrText xml:space="preserve"> PAGEREF _Toc523322069 \h </w:instrText>
        </w:r>
        <w:r w:rsidR="002E1F1A">
          <w:rPr>
            <w:noProof/>
            <w:webHidden/>
          </w:rPr>
        </w:r>
        <w:r w:rsidR="002E1F1A">
          <w:rPr>
            <w:noProof/>
            <w:webHidden/>
          </w:rPr>
          <w:fldChar w:fldCharType="separate"/>
        </w:r>
        <w:r w:rsidR="002E1F1A">
          <w:rPr>
            <w:noProof/>
            <w:webHidden/>
          </w:rPr>
          <w:t>25</w:t>
        </w:r>
        <w:r w:rsidR="002E1F1A">
          <w:rPr>
            <w:noProof/>
            <w:webHidden/>
          </w:rPr>
          <w:fldChar w:fldCharType="end"/>
        </w:r>
      </w:hyperlink>
    </w:p>
    <w:p w14:paraId="4D403752" w14:textId="0151EC8D"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70" w:history="1">
        <w:r w:rsidR="002E1F1A" w:rsidRPr="00A867E6">
          <w:rPr>
            <w:rStyle w:val="Hyperlink"/>
            <w:noProof/>
          </w:rPr>
          <w:t>5.5</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Evaluation limitations: pharmacy Assistants</w:t>
        </w:r>
        <w:r w:rsidR="002E1F1A">
          <w:rPr>
            <w:noProof/>
            <w:webHidden/>
          </w:rPr>
          <w:tab/>
        </w:r>
        <w:r w:rsidR="002E1F1A">
          <w:rPr>
            <w:noProof/>
            <w:webHidden/>
          </w:rPr>
          <w:fldChar w:fldCharType="begin"/>
        </w:r>
        <w:r w:rsidR="002E1F1A">
          <w:rPr>
            <w:noProof/>
            <w:webHidden/>
          </w:rPr>
          <w:instrText xml:space="preserve"> PAGEREF _Toc523322070 \h </w:instrText>
        </w:r>
        <w:r w:rsidR="002E1F1A">
          <w:rPr>
            <w:noProof/>
            <w:webHidden/>
          </w:rPr>
        </w:r>
        <w:r w:rsidR="002E1F1A">
          <w:rPr>
            <w:noProof/>
            <w:webHidden/>
          </w:rPr>
          <w:fldChar w:fldCharType="separate"/>
        </w:r>
        <w:r w:rsidR="002E1F1A">
          <w:rPr>
            <w:noProof/>
            <w:webHidden/>
          </w:rPr>
          <w:t>27</w:t>
        </w:r>
        <w:r w:rsidR="002E1F1A">
          <w:rPr>
            <w:noProof/>
            <w:webHidden/>
          </w:rPr>
          <w:fldChar w:fldCharType="end"/>
        </w:r>
      </w:hyperlink>
    </w:p>
    <w:p w14:paraId="33972CA4" w14:textId="6057D807"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71" w:history="1">
        <w:r w:rsidR="002E1F1A" w:rsidRPr="00A867E6">
          <w:rPr>
            <w:rStyle w:val="Hyperlink"/>
            <w:noProof/>
          </w:rPr>
          <w:t>5.6</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Enhancing availability of culturally appropriate services component programs</w:t>
        </w:r>
        <w:r w:rsidR="002E1F1A">
          <w:rPr>
            <w:noProof/>
            <w:webHidden/>
          </w:rPr>
          <w:tab/>
        </w:r>
        <w:r w:rsidR="002E1F1A">
          <w:rPr>
            <w:noProof/>
            <w:webHidden/>
          </w:rPr>
          <w:fldChar w:fldCharType="begin"/>
        </w:r>
        <w:r w:rsidR="002E1F1A">
          <w:rPr>
            <w:noProof/>
            <w:webHidden/>
          </w:rPr>
          <w:instrText xml:space="preserve"> PAGEREF _Toc523322071 \h </w:instrText>
        </w:r>
        <w:r w:rsidR="002E1F1A">
          <w:rPr>
            <w:noProof/>
            <w:webHidden/>
          </w:rPr>
        </w:r>
        <w:r w:rsidR="002E1F1A">
          <w:rPr>
            <w:noProof/>
            <w:webHidden/>
          </w:rPr>
          <w:fldChar w:fldCharType="separate"/>
        </w:r>
        <w:r w:rsidR="002E1F1A">
          <w:rPr>
            <w:noProof/>
            <w:webHidden/>
          </w:rPr>
          <w:t>27</w:t>
        </w:r>
        <w:r w:rsidR="002E1F1A">
          <w:rPr>
            <w:noProof/>
            <w:webHidden/>
          </w:rPr>
          <w:fldChar w:fldCharType="end"/>
        </w:r>
      </w:hyperlink>
    </w:p>
    <w:p w14:paraId="49985FFA" w14:textId="2756D6EC" w:rsidR="002E1F1A" w:rsidRDefault="000B3762">
      <w:pPr>
        <w:pStyle w:val="TOC4"/>
        <w:rPr>
          <w:rFonts w:asciiTheme="minorHAnsi" w:eastAsiaTheme="minorEastAsia" w:hAnsiTheme="minorHAnsi" w:cstheme="minorBidi"/>
          <w:color w:val="auto"/>
          <w:spacing w:val="0"/>
          <w:sz w:val="22"/>
          <w:szCs w:val="22"/>
          <w:lang w:eastAsia="en-AU"/>
        </w:rPr>
      </w:pPr>
      <w:hyperlink w:anchor="_Toc523322072" w:history="1">
        <w:r w:rsidR="002E1F1A" w:rsidRPr="00A867E6">
          <w:rPr>
            <w:rStyle w:val="Hyperlink"/>
          </w:rPr>
          <w:t>5.6.1</w:t>
        </w:r>
        <w:r w:rsidR="002E1F1A">
          <w:rPr>
            <w:rFonts w:asciiTheme="minorHAnsi" w:eastAsiaTheme="minorEastAsia" w:hAnsiTheme="minorHAnsi" w:cstheme="minorBidi"/>
            <w:color w:val="auto"/>
            <w:spacing w:val="0"/>
            <w:sz w:val="22"/>
            <w:szCs w:val="22"/>
            <w:lang w:eastAsia="en-AU"/>
          </w:rPr>
          <w:tab/>
        </w:r>
        <w:r w:rsidR="002E1F1A" w:rsidRPr="00A867E6">
          <w:rPr>
            <w:rStyle w:val="Hyperlink"/>
          </w:rPr>
          <w:t>Aboriginal and Torres Strait Islander Pharmacy Assistant Traineeship Scheme</w:t>
        </w:r>
        <w:r w:rsidR="002E1F1A">
          <w:rPr>
            <w:webHidden/>
          </w:rPr>
          <w:tab/>
        </w:r>
        <w:r w:rsidR="002E1F1A">
          <w:rPr>
            <w:webHidden/>
          </w:rPr>
          <w:fldChar w:fldCharType="begin"/>
        </w:r>
        <w:r w:rsidR="002E1F1A">
          <w:rPr>
            <w:webHidden/>
          </w:rPr>
          <w:instrText xml:space="preserve"> PAGEREF _Toc523322072 \h </w:instrText>
        </w:r>
        <w:r w:rsidR="002E1F1A">
          <w:rPr>
            <w:webHidden/>
          </w:rPr>
        </w:r>
        <w:r w:rsidR="002E1F1A">
          <w:rPr>
            <w:webHidden/>
          </w:rPr>
          <w:fldChar w:fldCharType="separate"/>
        </w:r>
        <w:r w:rsidR="002E1F1A">
          <w:rPr>
            <w:webHidden/>
          </w:rPr>
          <w:t>27</w:t>
        </w:r>
        <w:r w:rsidR="002E1F1A">
          <w:rPr>
            <w:webHidden/>
          </w:rPr>
          <w:fldChar w:fldCharType="end"/>
        </w:r>
      </w:hyperlink>
    </w:p>
    <w:p w14:paraId="75A6CFD6" w14:textId="239E6562"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73" w:history="1">
        <w:r w:rsidR="002E1F1A" w:rsidRPr="00A867E6">
          <w:rPr>
            <w:rStyle w:val="Hyperlink"/>
            <w:noProof/>
          </w:rPr>
          <w:t>5.7</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Overall conclusion on effectiveness</w:t>
        </w:r>
        <w:r w:rsidR="002E1F1A">
          <w:rPr>
            <w:noProof/>
            <w:webHidden/>
          </w:rPr>
          <w:tab/>
        </w:r>
        <w:r w:rsidR="002E1F1A">
          <w:rPr>
            <w:noProof/>
            <w:webHidden/>
          </w:rPr>
          <w:fldChar w:fldCharType="begin"/>
        </w:r>
        <w:r w:rsidR="002E1F1A">
          <w:rPr>
            <w:noProof/>
            <w:webHidden/>
          </w:rPr>
          <w:instrText xml:space="preserve"> PAGEREF _Toc523322073 \h </w:instrText>
        </w:r>
        <w:r w:rsidR="002E1F1A">
          <w:rPr>
            <w:noProof/>
            <w:webHidden/>
          </w:rPr>
        </w:r>
        <w:r w:rsidR="002E1F1A">
          <w:rPr>
            <w:noProof/>
            <w:webHidden/>
          </w:rPr>
          <w:fldChar w:fldCharType="separate"/>
        </w:r>
        <w:r w:rsidR="002E1F1A">
          <w:rPr>
            <w:noProof/>
            <w:webHidden/>
          </w:rPr>
          <w:t>27</w:t>
        </w:r>
        <w:r w:rsidR="002E1F1A">
          <w:rPr>
            <w:noProof/>
            <w:webHidden/>
          </w:rPr>
          <w:fldChar w:fldCharType="end"/>
        </w:r>
      </w:hyperlink>
    </w:p>
    <w:p w14:paraId="1B8032AA" w14:textId="2041B34F" w:rsidR="002E1F1A" w:rsidRDefault="000B3762">
      <w:pPr>
        <w:pStyle w:val="TOC2"/>
        <w:rPr>
          <w:rFonts w:asciiTheme="minorHAnsi" w:eastAsiaTheme="minorEastAsia" w:hAnsiTheme="minorHAnsi" w:cstheme="minorBidi"/>
          <w:caps w:val="0"/>
          <w:noProof/>
          <w:color w:val="auto"/>
          <w:spacing w:val="0"/>
          <w:sz w:val="22"/>
          <w:szCs w:val="22"/>
          <w:u w:val="none"/>
          <w:lang w:eastAsia="en-AU"/>
        </w:rPr>
      </w:pPr>
      <w:hyperlink w:anchor="_Toc523322074" w:history="1">
        <w:r w:rsidR="002E1F1A" w:rsidRPr="00A867E6">
          <w:rPr>
            <w:rStyle w:val="Hyperlink"/>
            <w:noProof/>
            <w:lang w:val="en-US"/>
          </w:rPr>
          <w:t>6</w:t>
        </w:r>
        <w:r w:rsidR="002E1F1A">
          <w:rPr>
            <w:rFonts w:asciiTheme="minorHAnsi" w:eastAsiaTheme="minorEastAsia" w:hAnsiTheme="minorHAnsi" w:cstheme="minorBidi"/>
            <w:caps w:val="0"/>
            <w:noProof/>
            <w:color w:val="auto"/>
            <w:spacing w:val="0"/>
            <w:sz w:val="22"/>
            <w:szCs w:val="22"/>
            <w:u w:val="none"/>
            <w:lang w:eastAsia="en-AU"/>
          </w:rPr>
          <w:tab/>
        </w:r>
        <w:r w:rsidR="002E1F1A" w:rsidRPr="00A867E6">
          <w:rPr>
            <w:rStyle w:val="Hyperlink"/>
            <w:noProof/>
            <w:lang w:val="en-US"/>
          </w:rPr>
          <w:t>Efficiency</w:t>
        </w:r>
        <w:r w:rsidR="002E1F1A">
          <w:rPr>
            <w:noProof/>
            <w:webHidden/>
          </w:rPr>
          <w:tab/>
        </w:r>
        <w:r w:rsidR="002E1F1A">
          <w:rPr>
            <w:noProof/>
            <w:webHidden/>
          </w:rPr>
          <w:fldChar w:fldCharType="begin"/>
        </w:r>
        <w:r w:rsidR="002E1F1A">
          <w:rPr>
            <w:noProof/>
            <w:webHidden/>
          </w:rPr>
          <w:instrText xml:space="preserve"> PAGEREF _Toc523322074 \h </w:instrText>
        </w:r>
        <w:r w:rsidR="002E1F1A">
          <w:rPr>
            <w:noProof/>
            <w:webHidden/>
          </w:rPr>
        </w:r>
        <w:r w:rsidR="002E1F1A">
          <w:rPr>
            <w:noProof/>
            <w:webHidden/>
          </w:rPr>
          <w:fldChar w:fldCharType="separate"/>
        </w:r>
        <w:r w:rsidR="002E1F1A">
          <w:rPr>
            <w:noProof/>
            <w:webHidden/>
          </w:rPr>
          <w:t>29</w:t>
        </w:r>
        <w:r w:rsidR="002E1F1A">
          <w:rPr>
            <w:noProof/>
            <w:webHidden/>
          </w:rPr>
          <w:fldChar w:fldCharType="end"/>
        </w:r>
      </w:hyperlink>
    </w:p>
    <w:p w14:paraId="20246938" w14:textId="6F0BDB7D"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75" w:history="1">
        <w:r w:rsidR="002E1F1A" w:rsidRPr="00A867E6">
          <w:rPr>
            <w:rStyle w:val="Hyperlink"/>
            <w:noProof/>
          </w:rPr>
          <w:t>6.1</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Program governance</w:t>
        </w:r>
        <w:r w:rsidR="002E1F1A">
          <w:rPr>
            <w:noProof/>
            <w:webHidden/>
          </w:rPr>
          <w:tab/>
        </w:r>
        <w:r w:rsidR="002E1F1A">
          <w:rPr>
            <w:noProof/>
            <w:webHidden/>
          </w:rPr>
          <w:fldChar w:fldCharType="begin"/>
        </w:r>
        <w:r w:rsidR="002E1F1A">
          <w:rPr>
            <w:noProof/>
            <w:webHidden/>
          </w:rPr>
          <w:instrText xml:space="preserve"> PAGEREF _Toc523322075 \h </w:instrText>
        </w:r>
        <w:r w:rsidR="002E1F1A">
          <w:rPr>
            <w:noProof/>
            <w:webHidden/>
          </w:rPr>
        </w:r>
        <w:r w:rsidR="002E1F1A">
          <w:rPr>
            <w:noProof/>
            <w:webHidden/>
          </w:rPr>
          <w:fldChar w:fldCharType="separate"/>
        </w:r>
        <w:r w:rsidR="002E1F1A">
          <w:rPr>
            <w:noProof/>
            <w:webHidden/>
          </w:rPr>
          <w:t>30</w:t>
        </w:r>
        <w:r w:rsidR="002E1F1A">
          <w:rPr>
            <w:noProof/>
            <w:webHidden/>
          </w:rPr>
          <w:fldChar w:fldCharType="end"/>
        </w:r>
      </w:hyperlink>
    </w:p>
    <w:p w14:paraId="2FE54B6F" w14:textId="438C2104"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76" w:history="1">
        <w:r w:rsidR="002E1F1A" w:rsidRPr="00A867E6">
          <w:rPr>
            <w:rStyle w:val="Hyperlink"/>
            <w:noProof/>
          </w:rPr>
          <w:t>6.2</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Mix of program types</w:t>
        </w:r>
        <w:r w:rsidR="002E1F1A">
          <w:rPr>
            <w:noProof/>
            <w:webHidden/>
          </w:rPr>
          <w:tab/>
        </w:r>
        <w:r w:rsidR="002E1F1A">
          <w:rPr>
            <w:noProof/>
            <w:webHidden/>
          </w:rPr>
          <w:fldChar w:fldCharType="begin"/>
        </w:r>
        <w:r w:rsidR="002E1F1A">
          <w:rPr>
            <w:noProof/>
            <w:webHidden/>
          </w:rPr>
          <w:instrText xml:space="preserve"> PAGEREF _Toc523322076 \h </w:instrText>
        </w:r>
        <w:r w:rsidR="002E1F1A">
          <w:rPr>
            <w:noProof/>
            <w:webHidden/>
          </w:rPr>
        </w:r>
        <w:r w:rsidR="002E1F1A">
          <w:rPr>
            <w:noProof/>
            <w:webHidden/>
          </w:rPr>
          <w:fldChar w:fldCharType="separate"/>
        </w:r>
        <w:r w:rsidR="002E1F1A">
          <w:rPr>
            <w:noProof/>
            <w:webHidden/>
          </w:rPr>
          <w:t>30</w:t>
        </w:r>
        <w:r w:rsidR="002E1F1A">
          <w:rPr>
            <w:noProof/>
            <w:webHidden/>
          </w:rPr>
          <w:fldChar w:fldCharType="end"/>
        </w:r>
      </w:hyperlink>
    </w:p>
    <w:p w14:paraId="0A8B9CBF" w14:textId="2F9BBB01" w:rsidR="002E1F1A" w:rsidRDefault="000B3762">
      <w:pPr>
        <w:pStyle w:val="TOC4"/>
        <w:rPr>
          <w:rFonts w:asciiTheme="minorHAnsi" w:eastAsiaTheme="minorEastAsia" w:hAnsiTheme="minorHAnsi" w:cstheme="minorBidi"/>
          <w:color w:val="auto"/>
          <w:spacing w:val="0"/>
          <w:sz w:val="22"/>
          <w:szCs w:val="22"/>
          <w:lang w:eastAsia="en-AU"/>
        </w:rPr>
      </w:pPr>
      <w:hyperlink w:anchor="_Toc523322077" w:history="1">
        <w:r w:rsidR="002E1F1A" w:rsidRPr="00A867E6">
          <w:rPr>
            <w:rStyle w:val="Hyperlink"/>
          </w:rPr>
          <w:t>6.2.1</w:t>
        </w:r>
        <w:r w:rsidR="002E1F1A">
          <w:rPr>
            <w:rFonts w:asciiTheme="minorHAnsi" w:eastAsiaTheme="minorEastAsia" w:hAnsiTheme="minorHAnsi" w:cstheme="minorBidi"/>
            <w:color w:val="auto"/>
            <w:spacing w:val="0"/>
            <w:sz w:val="22"/>
            <w:szCs w:val="22"/>
            <w:lang w:eastAsia="en-AU"/>
          </w:rPr>
          <w:tab/>
        </w:r>
        <w:r w:rsidR="002E1F1A" w:rsidRPr="00A867E6">
          <w:rPr>
            <w:rStyle w:val="Hyperlink"/>
          </w:rPr>
          <w:t>Recruitment and support programs</w:t>
        </w:r>
        <w:r w:rsidR="002E1F1A">
          <w:rPr>
            <w:webHidden/>
          </w:rPr>
          <w:tab/>
        </w:r>
        <w:r w:rsidR="002E1F1A">
          <w:rPr>
            <w:webHidden/>
          </w:rPr>
          <w:fldChar w:fldCharType="begin"/>
        </w:r>
        <w:r w:rsidR="002E1F1A">
          <w:rPr>
            <w:webHidden/>
          </w:rPr>
          <w:instrText xml:space="preserve"> PAGEREF _Toc523322077 \h </w:instrText>
        </w:r>
        <w:r w:rsidR="002E1F1A">
          <w:rPr>
            <w:webHidden/>
          </w:rPr>
        </w:r>
        <w:r w:rsidR="002E1F1A">
          <w:rPr>
            <w:webHidden/>
          </w:rPr>
          <w:fldChar w:fldCharType="separate"/>
        </w:r>
        <w:r w:rsidR="002E1F1A">
          <w:rPr>
            <w:webHidden/>
          </w:rPr>
          <w:t>31</w:t>
        </w:r>
        <w:r w:rsidR="002E1F1A">
          <w:rPr>
            <w:webHidden/>
          </w:rPr>
          <w:fldChar w:fldCharType="end"/>
        </w:r>
      </w:hyperlink>
    </w:p>
    <w:p w14:paraId="29090070" w14:textId="3F0C8FA0" w:rsidR="002E1F1A" w:rsidRDefault="000B3762">
      <w:pPr>
        <w:pStyle w:val="TOC4"/>
        <w:rPr>
          <w:rFonts w:asciiTheme="minorHAnsi" w:eastAsiaTheme="minorEastAsia" w:hAnsiTheme="minorHAnsi" w:cstheme="minorBidi"/>
          <w:color w:val="auto"/>
          <w:spacing w:val="0"/>
          <w:sz w:val="22"/>
          <w:szCs w:val="22"/>
          <w:lang w:eastAsia="en-AU"/>
        </w:rPr>
      </w:pPr>
      <w:hyperlink w:anchor="_Toc523322078" w:history="1">
        <w:r w:rsidR="002E1F1A" w:rsidRPr="00A867E6">
          <w:rPr>
            <w:rStyle w:val="Hyperlink"/>
          </w:rPr>
          <w:t>6.2.2</w:t>
        </w:r>
        <w:r w:rsidR="002E1F1A">
          <w:rPr>
            <w:rFonts w:asciiTheme="minorHAnsi" w:eastAsiaTheme="minorEastAsia" w:hAnsiTheme="minorHAnsi" w:cstheme="minorBidi"/>
            <w:color w:val="auto"/>
            <w:spacing w:val="0"/>
            <w:sz w:val="22"/>
            <w:szCs w:val="22"/>
            <w:lang w:eastAsia="en-AU"/>
          </w:rPr>
          <w:tab/>
        </w:r>
        <w:r w:rsidR="002E1F1A" w:rsidRPr="00A867E6">
          <w:rPr>
            <w:rStyle w:val="Hyperlink"/>
          </w:rPr>
          <w:t>Retention programs</w:t>
        </w:r>
        <w:r w:rsidR="002E1F1A">
          <w:rPr>
            <w:webHidden/>
          </w:rPr>
          <w:tab/>
        </w:r>
        <w:r w:rsidR="002E1F1A">
          <w:rPr>
            <w:webHidden/>
          </w:rPr>
          <w:fldChar w:fldCharType="begin"/>
        </w:r>
        <w:r w:rsidR="002E1F1A">
          <w:rPr>
            <w:webHidden/>
          </w:rPr>
          <w:instrText xml:space="preserve"> PAGEREF _Toc523322078 \h </w:instrText>
        </w:r>
        <w:r w:rsidR="002E1F1A">
          <w:rPr>
            <w:webHidden/>
          </w:rPr>
        </w:r>
        <w:r w:rsidR="002E1F1A">
          <w:rPr>
            <w:webHidden/>
          </w:rPr>
          <w:fldChar w:fldCharType="separate"/>
        </w:r>
        <w:r w:rsidR="002E1F1A">
          <w:rPr>
            <w:webHidden/>
          </w:rPr>
          <w:t>31</w:t>
        </w:r>
        <w:r w:rsidR="002E1F1A">
          <w:rPr>
            <w:webHidden/>
          </w:rPr>
          <w:fldChar w:fldCharType="end"/>
        </w:r>
      </w:hyperlink>
    </w:p>
    <w:p w14:paraId="5962933D" w14:textId="1813D612" w:rsidR="002E1F1A" w:rsidRDefault="000B3762">
      <w:pPr>
        <w:pStyle w:val="TOC4"/>
        <w:rPr>
          <w:rFonts w:asciiTheme="minorHAnsi" w:eastAsiaTheme="minorEastAsia" w:hAnsiTheme="minorHAnsi" w:cstheme="minorBidi"/>
          <w:color w:val="auto"/>
          <w:spacing w:val="0"/>
          <w:sz w:val="22"/>
          <w:szCs w:val="22"/>
          <w:lang w:eastAsia="en-AU"/>
        </w:rPr>
      </w:pPr>
      <w:hyperlink w:anchor="_Toc523322079" w:history="1">
        <w:r w:rsidR="002E1F1A" w:rsidRPr="00A867E6">
          <w:rPr>
            <w:rStyle w:val="Hyperlink"/>
          </w:rPr>
          <w:t>6.2.3</w:t>
        </w:r>
        <w:r w:rsidR="002E1F1A">
          <w:rPr>
            <w:rFonts w:asciiTheme="minorHAnsi" w:eastAsiaTheme="minorEastAsia" w:hAnsiTheme="minorHAnsi" w:cstheme="minorBidi"/>
            <w:color w:val="auto"/>
            <w:spacing w:val="0"/>
            <w:sz w:val="22"/>
            <w:szCs w:val="22"/>
            <w:lang w:eastAsia="en-AU"/>
          </w:rPr>
          <w:tab/>
        </w:r>
        <w:r w:rsidR="002E1F1A" w:rsidRPr="00A867E6">
          <w:rPr>
            <w:rStyle w:val="Hyperlink"/>
          </w:rPr>
          <w:t>Enhanced culturally appropriate service access programs</w:t>
        </w:r>
        <w:r w:rsidR="002E1F1A">
          <w:rPr>
            <w:webHidden/>
          </w:rPr>
          <w:tab/>
        </w:r>
        <w:r w:rsidR="002E1F1A">
          <w:rPr>
            <w:webHidden/>
          </w:rPr>
          <w:fldChar w:fldCharType="begin"/>
        </w:r>
        <w:r w:rsidR="002E1F1A">
          <w:rPr>
            <w:webHidden/>
          </w:rPr>
          <w:instrText xml:space="preserve"> PAGEREF _Toc523322079 \h </w:instrText>
        </w:r>
        <w:r w:rsidR="002E1F1A">
          <w:rPr>
            <w:webHidden/>
          </w:rPr>
        </w:r>
        <w:r w:rsidR="002E1F1A">
          <w:rPr>
            <w:webHidden/>
          </w:rPr>
          <w:fldChar w:fldCharType="separate"/>
        </w:r>
        <w:r w:rsidR="002E1F1A">
          <w:rPr>
            <w:webHidden/>
          </w:rPr>
          <w:t>34</w:t>
        </w:r>
        <w:r w:rsidR="002E1F1A">
          <w:rPr>
            <w:webHidden/>
          </w:rPr>
          <w:fldChar w:fldCharType="end"/>
        </w:r>
      </w:hyperlink>
    </w:p>
    <w:p w14:paraId="35B78119" w14:textId="05CC622C"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80" w:history="1">
        <w:r w:rsidR="002E1F1A" w:rsidRPr="00A867E6">
          <w:rPr>
            <w:rStyle w:val="Hyperlink"/>
            <w:noProof/>
          </w:rPr>
          <w:t>6.3</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Unit cost and administrative overheads</w:t>
        </w:r>
        <w:r w:rsidR="002E1F1A">
          <w:rPr>
            <w:noProof/>
            <w:webHidden/>
          </w:rPr>
          <w:tab/>
        </w:r>
        <w:r w:rsidR="002E1F1A">
          <w:rPr>
            <w:noProof/>
            <w:webHidden/>
          </w:rPr>
          <w:fldChar w:fldCharType="begin"/>
        </w:r>
        <w:r w:rsidR="002E1F1A">
          <w:rPr>
            <w:noProof/>
            <w:webHidden/>
          </w:rPr>
          <w:instrText xml:space="preserve"> PAGEREF _Toc523322080 \h </w:instrText>
        </w:r>
        <w:r w:rsidR="002E1F1A">
          <w:rPr>
            <w:noProof/>
            <w:webHidden/>
          </w:rPr>
        </w:r>
        <w:r w:rsidR="002E1F1A">
          <w:rPr>
            <w:noProof/>
            <w:webHidden/>
          </w:rPr>
          <w:fldChar w:fldCharType="separate"/>
        </w:r>
        <w:r w:rsidR="002E1F1A">
          <w:rPr>
            <w:noProof/>
            <w:webHidden/>
          </w:rPr>
          <w:t>34</w:t>
        </w:r>
        <w:r w:rsidR="002E1F1A">
          <w:rPr>
            <w:noProof/>
            <w:webHidden/>
          </w:rPr>
          <w:fldChar w:fldCharType="end"/>
        </w:r>
      </w:hyperlink>
    </w:p>
    <w:p w14:paraId="5BE0722C" w14:textId="447CE899"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81" w:history="1">
        <w:r w:rsidR="002E1F1A" w:rsidRPr="00A867E6">
          <w:rPr>
            <w:rStyle w:val="Hyperlink"/>
            <w:noProof/>
          </w:rPr>
          <w:t>6.4</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Rank correlation analysis</w:t>
        </w:r>
        <w:r w:rsidR="002E1F1A">
          <w:rPr>
            <w:noProof/>
            <w:webHidden/>
          </w:rPr>
          <w:tab/>
        </w:r>
        <w:r w:rsidR="002E1F1A">
          <w:rPr>
            <w:noProof/>
            <w:webHidden/>
          </w:rPr>
          <w:fldChar w:fldCharType="begin"/>
        </w:r>
        <w:r w:rsidR="002E1F1A">
          <w:rPr>
            <w:noProof/>
            <w:webHidden/>
          </w:rPr>
          <w:instrText xml:space="preserve"> PAGEREF _Toc523322081 \h </w:instrText>
        </w:r>
        <w:r w:rsidR="002E1F1A">
          <w:rPr>
            <w:noProof/>
            <w:webHidden/>
          </w:rPr>
        </w:r>
        <w:r w:rsidR="002E1F1A">
          <w:rPr>
            <w:noProof/>
            <w:webHidden/>
          </w:rPr>
          <w:fldChar w:fldCharType="separate"/>
        </w:r>
        <w:r w:rsidR="002E1F1A">
          <w:rPr>
            <w:noProof/>
            <w:webHidden/>
          </w:rPr>
          <w:t>35</w:t>
        </w:r>
        <w:r w:rsidR="002E1F1A">
          <w:rPr>
            <w:noProof/>
            <w:webHidden/>
          </w:rPr>
          <w:fldChar w:fldCharType="end"/>
        </w:r>
      </w:hyperlink>
    </w:p>
    <w:p w14:paraId="4C88F6DF" w14:textId="6E0000F3" w:rsidR="002E1F1A" w:rsidRDefault="000B3762">
      <w:pPr>
        <w:pStyle w:val="TOC2"/>
        <w:rPr>
          <w:rFonts w:asciiTheme="minorHAnsi" w:eastAsiaTheme="minorEastAsia" w:hAnsiTheme="minorHAnsi" w:cstheme="minorBidi"/>
          <w:caps w:val="0"/>
          <w:noProof/>
          <w:color w:val="auto"/>
          <w:spacing w:val="0"/>
          <w:sz w:val="22"/>
          <w:szCs w:val="22"/>
          <w:u w:val="none"/>
          <w:lang w:eastAsia="en-AU"/>
        </w:rPr>
      </w:pPr>
      <w:hyperlink w:anchor="_Toc523322082" w:history="1">
        <w:r w:rsidR="002E1F1A" w:rsidRPr="00A867E6">
          <w:rPr>
            <w:rStyle w:val="Hyperlink"/>
            <w:noProof/>
            <w:lang w:val="en-US"/>
          </w:rPr>
          <w:t>7</w:t>
        </w:r>
        <w:r w:rsidR="002E1F1A">
          <w:rPr>
            <w:rFonts w:asciiTheme="minorHAnsi" w:eastAsiaTheme="minorEastAsia" w:hAnsiTheme="minorHAnsi" w:cstheme="minorBidi"/>
            <w:caps w:val="0"/>
            <w:noProof/>
            <w:color w:val="auto"/>
            <w:spacing w:val="0"/>
            <w:sz w:val="22"/>
            <w:szCs w:val="22"/>
            <w:u w:val="none"/>
            <w:lang w:eastAsia="en-AU"/>
          </w:rPr>
          <w:tab/>
        </w:r>
        <w:r w:rsidR="002E1F1A" w:rsidRPr="00A867E6">
          <w:rPr>
            <w:rStyle w:val="Hyperlink"/>
            <w:noProof/>
            <w:lang w:val="en-US"/>
          </w:rPr>
          <w:t>Conclusion and Options for Future development</w:t>
        </w:r>
        <w:r w:rsidR="002E1F1A">
          <w:rPr>
            <w:noProof/>
            <w:webHidden/>
          </w:rPr>
          <w:tab/>
        </w:r>
        <w:r w:rsidR="002E1F1A">
          <w:rPr>
            <w:noProof/>
            <w:webHidden/>
          </w:rPr>
          <w:fldChar w:fldCharType="begin"/>
        </w:r>
        <w:r w:rsidR="002E1F1A">
          <w:rPr>
            <w:noProof/>
            <w:webHidden/>
          </w:rPr>
          <w:instrText xml:space="preserve"> PAGEREF _Toc523322082 \h </w:instrText>
        </w:r>
        <w:r w:rsidR="002E1F1A">
          <w:rPr>
            <w:noProof/>
            <w:webHidden/>
          </w:rPr>
        </w:r>
        <w:r w:rsidR="002E1F1A">
          <w:rPr>
            <w:noProof/>
            <w:webHidden/>
          </w:rPr>
          <w:fldChar w:fldCharType="separate"/>
        </w:r>
        <w:r w:rsidR="002E1F1A">
          <w:rPr>
            <w:noProof/>
            <w:webHidden/>
          </w:rPr>
          <w:t>37</w:t>
        </w:r>
        <w:r w:rsidR="002E1F1A">
          <w:rPr>
            <w:noProof/>
            <w:webHidden/>
          </w:rPr>
          <w:fldChar w:fldCharType="end"/>
        </w:r>
      </w:hyperlink>
    </w:p>
    <w:p w14:paraId="3D73B0A3" w14:textId="7F8424C3"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83" w:history="1">
        <w:r w:rsidR="002E1F1A" w:rsidRPr="00A867E6">
          <w:rPr>
            <w:rStyle w:val="Hyperlink"/>
            <w:noProof/>
          </w:rPr>
          <w:t>7.1</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Summary of evaluation findings</w:t>
        </w:r>
        <w:r w:rsidR="002E1F1A">
          <w:rPr>
            <w:noProof/>
            <w:webHidden/>
          </w:rPr>
          <w:tab/>
        </w:r>
        <w:r w:rsidR="002E1F1A">
          <w:rPr>
            <w:noProof/>
            <w:webHidden/>
          </w:rPr>
          <w:fldChar w:fldCharType="begin"/>
        </w:r>
        <w:r w:rsidR="002E1F1A">
          <w:rPr>
            <w:noProof/>
            <w:webHidden/>
          </w:rPr>
          <w:instrText xml:space="preserve"> PAGEREF _Toc523322083 \h </w:instrText>
        </w:r>
        <w:r w:rsidR="002E1F1A">
          <w:rPr>
            <w:noProof/>
            <w:webHidden/>
          </w:rPr>
        </w:r>
        <w:r w:rsidR="002E1F1A">
          <w:rPr>
            <w:noProof/>
            <w:webHidden/>
          </w:rPr>
          <w:fldChar w:fldCharType="separate"/>
        </w:r>
        <w:r w:rsidR="002E1F1A">
          <w:rPr>
            <w:noProof/>
            <w:webHidden/>
          </w:rPr>
          <w:t>37</w:t>
        </w:r>
        <w:r w:rsidR="002E1F1A">
          <w:rPr>
            <w:noProof/>
            <w:webHidden/>
          </w:rPr>
          <w:fldChar w:fldCharType="end"/>
        </w:r>
      </w:hyperlink>
    </w:p>
    <w:p w14:paraId="1A4C3F13" w14:textId="3679230F"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84" w:history="1">
        <w:r w:rsidR="002E1F1A" w:rsidRPr="00A867E6">
          <w:rPr>
            <w:rStyle w:val="Hyperlink"/>
            <w:noProof/>
          </w:rPr>
          <w:t>7.2</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Alternative models of service delivery</w:t>
        </w:r>
        <w:r w:rsidR="002E1F1A">
          <w:rPr>
            <w:noProof/>
            <w:webHidden/>
          </w:rPr>
          <w:tab/>
        </w:r>
        <w:r w:rsidR="002E1F1A">
          <w:rPr>
            <w:noProof/>
            <w:webHidden/>
          </w:rPr>
          <w:fldChar w:fldCharType="begin"/>
        </w:r>
        <w:r w:rsidR="002E1F1A">
          <w:rPr>
            <w:noProof/>
            <w:webHidden/>
          </w:rPr>
          <w:instrText xml:space="preserve"> PAGEREF _Toc523322084 \h </w:instrText>
        </w:r>
        <w:r w:rsidR="002E1F1A">
          <w:rPr>
            <w:noProof/>
            <w:webHidden/>
          </w:rPr>
        </w:r>
        <w:r w:rsidR="002E1F1A">
          <w:rPr>
            <w:noProof/>
            <w:webHidden/>
          </w:rPr>
          <w:fldChar w:fldCharType="separate"/>
        </w:r>
        <w:r w:rsidR="002E1F1A">
          <w:rPr>
            <w:noProof/>
            <w:webHidden/>
          </w:rPr>
          <w:t>40</w:t>
        </w:r>
        <w:r w:rsidR="002E1F1A">
          <w:rPr>
            <w:noProof/>
            <w:webHidden/>
          </w:rPr>
          <w:fldChar w:fldCharType="end"/>
        </w:r>
      </w:hyperlink>
    </w:p>
    <w:p w14:paraId="7A1C77EB" w14:textId="61F1C66B"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85" w:history="1">
        <w:r w:rsidR="002E1F1A" w:rsidRPr="00A867E6">
          <w:rPr>
            <w:rStyle w:val="Hyperlink"/>
            <w:noProof/>
          </w:rPr>
          <w:t>7.3</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Options for future development</w:t>
        </w:r>
        <w:r w:rsidR="002E1F1A">
          <w:rPr>
            <w:noProof/>
            <w:webHidden/>
          </w:rPr>
          <w:tab/>
        </w:r>
        <w:r w:rsidR="002E1F1A">
          <w:rPr>
            <w:noProof/>
            <w:webHidden/>
          </w:rPr>
          <w:fldChar w:fldCharType="begin"/>
        </w:r>
        <w:r w:rsidR="002E1F1A">
          <w:rPr>
            <w:noProof/>
            <w:webHidden/>
          </w:rPr>
          <w:instrText xml:space="preserve"> PAGEREF _Toc523322085 \h </w:instrText>
        </w:r>
        <w:r w:rsidR="002E1F1A">
          <w:rPr>
            <w:noProof/>
            <w:webHidden/>
          </w:rPr>
        </w:r>
        <w:r w:rsidR="002E1F1A">
          <w:rPr>
            <w:noProof/>
            <w:webHidden/>
          </w:rPr>
          <w:fldChar w:fldCharType="separate"/>
        </w:r>
        <w:r w:rsidR="002E1F1A">
          <w:rPr>
            <w:noProof/>
            <w:webHidden/>
          </w:rPr>
          <w:t>40</w:t>
        </w:r>
        <w:r w:rsidR="002E1F1A">
          <w:rPr>
            <w:noProof/>
            <w:webHidden/>
          </w:rPr>
          <w:fldChar w:fldCharType="end"/>
        </w:r>
      </w:hyperlink>
    </w:p>
    <w:p w14:paraId="31315F2B" w14:textId="64DB3E8B" w:rsidR="002E1F1A" w:rsidRDefault="000B3762">
      <w:pPr>
        <w:pStyle w:val="TOC3"/>
        <w:rPr>
          <w:rFonts w:asciiTheme="minorHAnsi" w:eastAsiaTheme="minorEastAsia" w:hAnsiTheme="minorHAnsi" w:cstheme="minorBidi"/>
          <w:caps w:val="0"/>
          <w:noProof/>
          <w:color w:val="auto"/>
          <w:sz w:val="22"/>
          <w:szCs w:val="22"/>
          <w:lang w:eastAsia="en-AU"/>
        </w:rPr>
      </w:pPr>
      <w:hyperlink w:anchor="_Toc523322086" w:history="1">
        <w:r w:rsidR="002E1F1A" w:rsidRPr="00A867E6">
          <w:rPr>
            <w:rStyle w:val="Hyperlink"/>
            <w:noProof/>
          </w:rPr>
          <w:t>7.4</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Conclusion</w:t>
        </w:r>
        <w:r w:rsidR="002E1F1A">
          <w:rPr>
            <w:noProof/>
            <w:webHidden/>
          </w:rPr>
          <w:tab/>
        </w:r>
        <w:r w:rsidR="002E1F1A">
          <w:rPr>
            <w:noProof/>
            <w:webHidden/>
          </w:rPr>
          <w:fldChar w:fldCharType="begin"/>
        </w:r>
        <w:r w:rsidR="002E1F1A">
          <w:rPr>
            <w:noProof/>
            <w:webHidden/>
          </w:rPr>
          <w:instrText xml:space="preserve"> PAGEREF _Toc523322086 \h </w:instrText>
        </w:r>
        <w:r w:rsidR="002E1F1A">
          <w:rPr>
            <w:noProof/>
            <w:webHidden/>
          </w:rPr>
        </w:r>
        <w:r w:rsidR="002E1F1A">
          <w:rPr>
            <w:noProof/>
            <w:webHidden/>
          </w:rPr>
          <w:fldChar w:fldCharType="separate"/>
        </w:r>
        <w:r w:rsidR="002E1F1A">
          <w:rPr>
            <w:noProof/>
            <w:webHidden/>
          </w:rPr>
          <w:t>47</w:t>
        </w:r>
        <w:r w:rsidR="002E1F1A">
          <w:rPr>
            <w:noProof/>
            <w:webHidden/>
          </w:rPr>
          <w:fldChar w:fldCharType="end"/>
        </w:r>
      </w:hyperlink>
    </w:p>
    <w:p w14:paraId="4E1CC492" w14:textId="518BB497" w:rsidR="002E1F1A" w:rsidRDefault="000B3762">
      <w:pPr>
        <w:pStyle w:val="TOC2"/>
        <w:rPr>
          <w:rFonts w:asciiTheme="minorHAnsi" w:eastAsiaTheme="minorEastAsia" w:hAnsiTheme="minorHAnsi" w:cstheme="minorBidi"/>
          <w:caps w:val="0"/>
          <w:noProof/>
          <w:color w:val="auto"/>
          <w:spacing w:val="0"/>
          <w:sz w:val="22"/>
          <w:szCs w:val="22"/>
          <w:u w:val="none"/>
          <w:lang w:eastAsia="en-AU"/>
        </w:rPr>
      </w:pPr>
      <w:hyperlink w:anchor="_Toc523322087" w:history="1">
        <w:r w:rsidR="002E1F1A" w:rsidRPr="00A867E6">
          <w:rPr>
            <w:rStyle w:val="Hyperlink"/>
            <w:noProof/>
            <w:lang w:val="en-US"/>
          </w:rPr>
          <w:t>8</w:t>
        </w:r>
        <w:r w:rsidR="002E1F1A">
          <w:rPr>
            <w:rFonts w:asciiTheme="minorHAnsi" w:eastAsiaTheme="minorEastAsia" w:hAnsiTheme="minorHAnsi" w:cstheme="minorBidi"/>
            <w:caps w:val="0"/>
            <w:noProof/>
            <w:color w:val="auto"/>
            <w:spacing w:val="0"/>
            <w:sz w:val="22"/>
            <w:szCs w:val="22"/>
            <w:u w:val="none"/>
            <w:lang w:eastAsia="en-AU"/>
          </w:rPr>
          <w:tab/>
        </w:r>
        <w:r w:rsidR="002E1F1A" w:rsidRPr="00A867E6">
          <w:rPr>
            <w:rStyle w:val="Hyperlink"/>
            <w:noProof/>
            <w:lang w:val="en-US"/>
          </w:rPr>
          <w:t>Appendices</w:t>
        </w:r>
        <w:r w:rsidR="002E1F1A">
          <w:rPr>
            <w:noProof/>
            <w:webHidden/>
          </w:rPr>
          <w:tab/>
        </w:r>
        <w:r w:rsidR="002E1F1A">
          <w:rPr>
            <w:noProof/>
            <w:webHidden/>
          </w:rPr>
          <w:fldChar w:fldCharType="begin"/>
        </w:r>
        <w:r w:rsidR="002E1F1A">
          <w:rPr>
            <w:noProof/>
            <w:webHidden/>
          </w:rPr>
          <w:instrText xml:space="preserve"> PAGEREF _Toc523322087 \h </w:instrText>
        </w:r>
        <w:r w:rsidR="002E1F1A">
          <w:rPr>
            <w:noProof/>
            <w:webHidden/>
          </w:rPr>
        </w:r>
        <w:r w:rsidR="002E1F1A">
          <w:rPr>
            <w:noProof/>
            <w:webHidden/>
          </w:rPr>
          <w:fldChar w:fldCharType="separate"/>
        </w:r>
        <w:r w:rsidR="002E1F1A">
          <w:rPr>
            <w:noProof/>
            <w:webHidden/>
          </w:rPr>
          <w:t>48</w:t>
        </w:r>
        <w:r w:rsidR="002E1F1A">
          <w:rPr>
            <w:noProof/>
            <w:webHidden/>
          </w:rPr>
          <w:fldChar w:fldCharType="end"/>
        </w:r>
      </w:hyperlink>
    </w:p>
    <w:p w14:paraId="40ADE79C" w14:textId="17FB4FFA" w:rsidR="002E1F1A" w:rsidRDefault="000B3762">
      <w:pPr>
        <w:pStyle w:val="TOC3"/>
        <w:tabs>
          <w:tab w:val="left" w:pos="1760"/>
        </w:tabs>
        <w:rPr>
          <w:rFonts w:asciiTheme="minorHAnsi" w:eastAsiaTheme="minorEastAsia" w:hAnsiTheme="minorHAnsi" w:cstheme="minorBidi"/>
          <w:caps w:val="0"/>
          <w:noProof/>
          <w:color w:val="auto"/>
          <w:sz w:val="22"/>
          <w:szCs w:val="22"/>
          <w:lang w:eastAsia="en-AU"/>
        </w:rPr>
      </w:pPr>
      <w:hyperlink w:anchor="_Toc523322088" w:history="1">
        <w:r w:rsidR="002E1F1A" w:rsidRPr="00A867E6">
          <w:rPr>
            <w:rStyle w:val="Hyperlink"/>
            <w:noProof/>
          </w:rPr>
          <w:t>Appendix A</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Historical Evolution of Program Objectives</w:t>
        </w:r>
        <w:r w:rsidR="002E1F1A">
          <w:rPr>
            <w:noProof/>
            <w:webHidden/>
          </w:rPr>
          <w:tab/>
        </w:r>
        <w:r w:rsidR="002E1F1A">
          <w:rPr>
            <w:noProof/>
            <w:webHidden/>
          </w:rPr>
          <w:fldChar w:fldCharType="begin"/>
        </w:r>
        <w:r w:rsidR="002E1F1A">
          <w:rPr>
            <w:noProof/>
            <w:webHidden/>
          </w:rPr>
          <w:instrText xml:space="preserve"> PAGEREF _Toc523322088 \h </w:instrText>
        </w:r>
        <w:r w:rsidR="002E1F1A">
          <w:rPr>
            <w:noProof/>
            <w:webHidden/>
          </w:rPr>
        </w:r>
        <w:r w:rsidR="002E1F1A">
          <w:rPr>
            <w:noProof/>
            <w:webHidden/>
          </w:rPr>
          <w:fldChar w:fldCharType="separate"/>
        </w:r>
        <w:r w:rsidR="002E1F1A">
          <w:rPr>
            <w:noProof/>
            <w:webHidden/>
          </w:rPr>
          <w:t>48</w:t>
        </w:r>
        <w:r w:rsidR="002E1F1A">
          <w:rPr>
            <w:noProof/>
            <w:webHidden/>
          </w:rPr>
          <w:fldChar w:fldCharType="end"/>
        </w:r>
      </w:hyperlink>
    </w:p>
    <w:p w14:paraId="6A9B2BF4" w14:textId="05BBEBF7" w:rsidR="002E1F1A" w:rsidRDefault="000B3762">
      <w:pPr>
        <w:pStyle w:val="TOC3"/>
        <w:tabs>
          <w:tab w:val="left" w:pos="1760"/>
        </w:tabs>
        <w:rPr>
          <w:rFonts w:asciiTheme="minorHAnsi" w:eastAsiaTheme="minorEastAsia" w:hAnsiTheme="minorHAnsi" w:cstheme="minorBidi"/>
          <w:caps w:val="0"/>
          <w:noProof/>
          <w:color w:val="auto"/>
          <w:sz w:val="22"/>
          <w:szCs w:val="22"/>
          <w:lang w:eastAsia="en-AU"/>
        </w:rPr>
      </w:pPr>
      <w:hyperlink w:anchor="_Toc523322089" w:history="1">
        <w:r w:rsidR="002E1F1A" w:rsidRPr="00A867E6">
          <w:rPr>
            <w:rStyle w:val="Hyperlink"/>
            <w:noProof/>
          </w:rPr>
          <w:t>Appendix B</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Other influencing programs</w:t>
        </w:r>
        <w:r w:rsidR="002E1F1A">
          <w:rPr>
            <w:noProof/>
            <w:webHidden/>
          </w:rPr>
          <w:tab/>
        </w:r>
        <w:r w:rsidR="002E1F1A">
          <w:rPr>
            <w:noProof/>
            <w:webHidden/>
          </w:rPr>
          <w:fldChar w:fldCharType="begin"/>
        </w:r>
        <w:r w:rsidR="002E1F1A">
          <w:rPr>
            <w:noProof/>
            <w:webHidden/>
          </w:rPr>
          <w:instrText xml:space="preserve"> PAGEREF _Toc523322089 \h </w:instrText>
        </w:r>
        <w:r w:rsidR="002E1F1A">
          <w:rPr>
            <w:noProof/>
            <w:webHidden/>
          </w:rPr>
        </w:r>
        <w:r w:rsidR="002E1F1A">
          <w:rPr>
            <w:noProof/>
            <w:webHidden/>
          </w:rPr>
          <w:fldChar w:fldCharType="separate"/>
        </w:r>
        <w:r w:rsidR="002E1F1A">
          <w:rPr>
            <w:noProof/>
            <w:webHidden/>
          </w:rPr>
          <w:t>50</w:t>
        </w:r>
        <w:r w:rsidR="002E1F1A">
          <w:rPr>
            <w:noProof/>
            <w:webHidden/>
          </w:rPr>
          <w:fldChar w:fldCharType="end"/>
        </w:r>
      </w:hyperlink>
    </w:p>
    <w:p w14:paraId="5DF21923" w14:textId="07C68A6A" w:rsidR="002E1F1A" w:rsidRDefault="000B3762">
      <w:pPr>
        <w:pStyle w:val="TOC3"/>
        <w:tabs>
          <w:tab w:val="left" w:pos="1760"/>
        </w:tabs>
        <w:rPr>
          <w:rFonts w:asciiTheme="minorHAnsi" w:eastAsiaTheme="minorEastAsia" w:hAnsiTheme="minorHAnsi" w:cstheme="minorBidi"/>
          <w:caps w:val="0"/>
          <w:noProof/>
          <w:color w:val="auto"/>
          <w:sz w:val="22"/>
          <w:szCs w:val="22"/>
          <w:lang w:eastAsia="en-AU"/>
        </w:rPr>
      </w:pPr>
      <w:hyperlink w:anchor="_Toc523322090" w:history="1">
        <w:r w:rsidR="002E1F1A" w:rsidRPr="00A867E6">
          <w:rPr>
            <w:rStyle w:val="Hyperlink"/>
            <w:noProof/>
          </w:rPr>
          <w:t>Appendix C</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Additional pharmacists required in regional areas to achieve parity – magnitude estimation technique</w:t>
        </w:r>
        <w:r w:rsidR="002E1F1A">
          <w:rPr>
            <w:noProof/>
            <w:webHidden/>
          </w:rPr>
          <w:tab/>
        </w:r>
        <w:r w:rsidR="002E1F1A">
          <w:rPr>
            <w:noProof/>
            <w:webHidden/>
          </w:rPr>
          <w:fldChar w:fldCharType="begin"/>
        </w:r>
        <w:r w:rsidR="002E1F1A">
          <w:rPr>
            <w:noProof/>
            <w:webHidden/>
          </w:rPr>
          <w:instrText xml:space="preserve"> PAGEREF _Toc523322090 \h </w:instrText>
        </w:r>
        <w:r w:rsidR="002E1F1A">
          <w:rPr>
            <w:noProof/>
            <w:webHidden/>
          </w:rPr>
        </w:r>
        <w:r w:rsidR="002E1F1A">
          <w:rPr>
            <w:noProof/>
            <w:webHidden/>
          </w:rPr>
          <w:fldChar w:fldCharType="separate"/>
        </w:r>
        <w:r w:rsidR="002E1F1A">
          <w:rPr>
            <w:noProof/>
            <w:webHidden/>
          </w:rPr>
          <w:t>51</w:t>
        </w:r>
        <w:r w:rsidR="002E1F1A">
          <w:rPr>
            <w:noProof/>
            <w:webHidden/>
          </w:rPr>
          <w:fldChar w:fldCharType="end"/>
        </w:r>
      </w:hyperlink>
    </w:p>
    <w:p w14:paraId="2BBB4A54" w14:textId="1D1ECF02" w:rsidR="002E1F1A" w:rsidRDefault="000B3762">
      <w:pPr>
        <w:pStyle w:val="TOC3"/>
        <w:tabs>
          <w:tab w:val="left" w:pos="1760"/>
        </w:tabs>
        <w:rPr>
          <w:rFonts w:asciiTheme="minorHAnsi" w:eastAsiaTheme="minorEastAsia" w:hAnsiTheme="minorHAnsi" w:cstheme="minorBidi"/>
          <w:caps w:val="0"/>
          <w:noProof/>
          <w:color w:val="auto"/>
          <w:sz w:val="22"/>
          <w:szCs w:val="22"/>
          <w:lang w:eastAsia="en-AU"/>
        </w:rPr>
      </w:pPr>
      <w:hyperlink w:anchor="_Toc523322091" w:history="1">
        <w:r w:rsidR="002E1F1A" w:rsidRPr="00A867E6">
          <w:rPr>
            <w:rStyle w:val="Hyperlink"/>
            <w:noProof/>
          </w:rPr>
          <w:t>Appendix D</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Comparator Workforce Programs</w:t>
        </w:r>
        <w:r w:rsidR="002E1F1A">
          <w:rPr>
            <w:noProof/>
            <w:webHidden/>
          </w:rPr>
          <w:tab/>
        </w:r>
        <w:r w:rsidR="002E1F1A">
          <w:rPr>
            <w:noProof/>
            <w:webHidden/>
          </w:rPr>
          <w:fldChar w:fldCharType="begin"/>
        </w:r>
        <w:r w:rsidR="002E1F1A">
          <w:rPr>
            <w:noProof/>
            <w:webHidden/>
          </w:rPr>
          <w:instrText xml:space="preserve"> PAGEREF _Toc523322091 \h </w:instrText>
        </w:r>
        <w:r w:rsidR="002E1F1A">
          <w:rPr>
            <w:noProof/>
            <w:webHidden/>
          </w:rPr>
        </w:r>
        <w:r w:rsidR="002E1F1A">
          <w:rPr>
            <w:noProof/>
            <w:webHidden/>
          </w:rPr>
          <w:fldChar w:fldCharType="separate"/>
        </w:r>
        <w:r w:rsidR="002E1F1A">
          <w:rPr>
            <w:noProof/>
            <w:webHidden/>
          </w:rPr>
          <w:t>52</w:t>
        </w:r>
        <w:r w:rsidR="002E1F1A">
          <w:rPr>
            <w:noProof/>
            <w:webHidden/>
          </w:rPr>
          <w:fldChar w:fldCharType="end"/>
        </w:r>
      </w:hyperlink>
    </w:p>
    <w:p w14:paraId="4B1F4099" w14:textId="5CB50C63" w:rsidR="002E1F1A" w:rsidRDefault="000B3762">
      <w:pPr>
        <w:pStyle w:val="TOC3"/>
        <w:tabs>
          <w:tab w:val="left" w:pos="1760"/>
        </w:tabs>
        <w:rPr>
          <w:rFonts w:asciiTheme="minorHAnsi" w:eastAsiaTheme="minorEastAsia" w:hAnsiTheme="minorHAnsi" w:cstheme="minorBidi"/>
          <w:caps w:val="0"/>
          <w:noProof/>
          <w:color w:val="auto"/>
          <w:sz w:val="22"/>
          <w:szCs w:val="22"/>
          <w:lang w:eastAsia="en-AU"/>
        </w:rPr>
      </w:pPr>
      <w:hyperlink w:anchor="_Toc523322092" w:history="1">
        <w:r w:rsidR="002E1F1A" w:rsidRPr="00A867E6">
          <w:rPr>
            <w:rStyle w:val="Hyperlink"/>
            <w:noProof/>
          </w:rPr>
          <w:t>Appendix E</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Unit cost of Pharmacy workforce programs</w:t>
        </w:r>
        <w:r w:rsidR="002E1F1A">
          <w:rPr>
            <w:noProof/>
            <w:webHidden/>
          </w:rPr>
          <w:tab/>
        </w:r>
        <w:r w:rsidR="002E1F1A">
          <w:rPr>
            <w:noProof/>
            <w:webHidden/>
          </w:rPr>
          <w:fldChar w:fldCharType="begin"/>
        </w:r>
        <w:r w:rsidR="002E1F1A">
          <w:rPr>
            <w:noProof/>
            <w:webHidden/>
          </w:rPr>
          <w:instrText xml:space="preserve"> PAGEREF _Toc523322092 \h </w:instrText>
        </w:r>
        <w:r w:rsidR="002E1F1A">
          <w:rPr>
            <w:noProof/>
            <w:webHidden/>
          </w:rPr>
        </w:r>
        <w:r w:rsidR="002E1F1A">
          <w:rPr>
            <w:noProof/>
            <w:webHidden/>
          </w:rPr>
          <w:fldChar w:fldCharType="separate"/>
        </w:r>
        <w:r w:rsidR="002E1F1A">
          <w:rPr>
            <w:noProof/>
            <w:webHidden/>
          </w:rPr>
          <w:t>53</w:t>
        </w:r>
        <w:r w:rsidR="002E1F1A">
          <w:rPr>
            <w:noProof/>
            <w:webHidden/>
          </w:rPr>
          <w:fldChar w:fldCharType="end"/>
        </w:r>
      </w:hyperlink>
    </w:p>
    <w:p w14:paraId="08FDFD62" w14:textId="1AB959FD" w:rsidR="002E1F1A" w:rsidRDefault="000B3762">
      <w:pPr>
        <w:pStyle w:val="TOC3"/>
        <w:tabs>
          <w:tab w:val="left" w:pos="1760"/>
        </w:tabs>
        <w:rPr>
          <w:rFonts w:asciiTheme="minorHAnsi" w:eastAsiaTheme="minorEastAsia" w:hAnsiTheme="minorHAnsi" w:cstheme="minorBidi"/>
          <w:caps w:val="0"/>
          <w:noProof/>
          <w:color w:val="auto"/>
          <w:sz w:val="22"/>
          <w:szCs w:val="22"/>
          <w:lang w:eastAsia="en-AU"/>
        </w:rPr>
      </w:pPr>
      <w:hyperlink w:anchor="_Toc523322093" w:history="1">
        <w:r w:rsidR="002E1F1A" w:rsidRPr="00A867E6">
          <w:rPr>
            <w:rStyle w:val="Hyperlink"/>
            <w:noProof/>
          </w:rPr>
          <w:t>Appendix F</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Rank correlation analysis scores</w:t>
        </w:r>
        <w:r w:rsidR="002E1F1A">
          <w:rPr>
            <w:noProof/>
            <w:webHidden/>
          </w:rPr>
          <w:tab/>
        </w:r>
        <w:r w:rsidR="002E1F1A">
          <w:rPr>
            <w:noProof/>
            <w:webHidden/>
          </w:rPr>
          <w:fldChar w:fldCharType="begin"/>
        </w:r>
        <w:r w:rsidR="002E1F1A">
          <w:rPr>
            <w:noProof/>
            <w:webHidden/>
          </w:rPr>
          <w:instrText xml:space="preserve"> PAGEREF _Toc523322093 \h </w:instrText>
        </w:r>
        <w:r w:rsidR="002E1F1A">
          <w:rPr>
            <w:noProof/>
            <w:webHidden/>
          </w:rPr>
        </w:r>
        <w:r w:rsidR="002E1F1A">
          <w:rPr>
            <w:noProof/>
            <w:webHidden/>
          </w:rPr>
          <w:fldChar w:fldCharType="separate"/>
        </w:r>
        <w:r w:rsidR="002E1F1A">
          <w:rPr>
            <w:noProof/>
            <w:webHidden/>
          </w:rPr>
          <w:t>55</w:t>
        </w:r>
        <w:r w:rsidR="002E1F1A">
          <w:rPr>
            <w:noProof/>
            <w:webHidden/>
          </w:rPr>
          <w:fldChar w:fldCharType="end"/>
        </w:r>
      </w:hyperlink>
    </w:p>
    <w:p w14:paraId="12EE5D3D" w14:textId="0D98CDB1" w:rsidR="002E1F1A" w:rsidRDefault="000B3762">
      <w:pPr>
        <w:pStyle w:val="TOC3"/>
        <w:tabs>
          <w:tab w:val="left" w:pos="1760"/>
        </w:tabs>
        <w:rPr>
          <w:rFonts w:asciiTheme="minorHAnsi" w:eastAsiaTheme="minorEastAsia" w:hAnsiTheme="minorHAnsi" w:cstheme="minorBidi"/>
          <w:caps w:val="0"/>
          <w:noProof/>
          <w:color w:val="auto"/>
          <w:sz w:val="22"/>
          <w:szCs w:val="22"/>
          <w:lang w:eastAsia="en-AU"/>
        </w:rPr>
      </w:pPr>
      <w:hyperlink w:anchor="_Toc523322094" w:history="1">
        <w:r w:rsidR="002E1F1A" w:rsidRPr="00A867E6">
          <w:rPr>
            <w:rStyle w:val="Hyperlink"/>
            <w:noProof/>
          </w:rPr>
          <w:t>Appendix G</w:t>
        </w:r>
        <w:r w:rsidR="002E1F1A">
          <w:rPr>
            <w:rFonts w:asciiTheme="minorHAnsi" w:eastAsiaTheme="minorEastAsia" w:hAnsiTheme="minorHAnsi" w:cstheme="minorBidi"/>
            <w:caps w:val="0"/>
            <w:noProof/>
            <w:color w:val="auto"/>
            <w:sz w:val="22"/>
            <w:szCs w:val="22"/>
            <w:lang w:eastAsia="en-AU"/>
          </w:rPr>
          <w:tab/>
        </w:r>
        <w:r w:rsidR="002E1F1A" w:rsidRPr="00A867E6">
          <w:rPr>
            <w:rStyle w:val="Hyperlink"/>
            <w:noProof/>
          </w:rPr>
          <w:t>References</w:t>
        </w:r>
        <w:r w:rsidR="002E1F1A">
          <w:rPr>
            <w:noProof/>
            <w:webHidden/>
          </w:rPr>
          <w:tab/>
        </w:r>
        <w:r w:rsidR="002E1F1A">
          <w:rPr>
            <w:noProof/>
            <w:webHidden/>
          </w:rPr>
          <w:fldChar w:fldCharType="begin"/>
        </w:r>
        <w:r w:rsidR="002E1F1A">
          <w:rPr>
            <w:noProof/>
            <w:webHidden/>
          </w:rPr>
          <w:instrText xml:space="preserve"> PAGEREF _Toc523322094 \h </w:instrText>
        </w:r>
        <w:r w:rsidR="002E1F1A">
          <w:rPr>
            <w:noProof/>
            <w:webHidden/>
          </w:rPr>
        </w:r>
        <w:r w:rsidR="002E1F1A">
          <w:rPr>
            <w:noProof/>
            <w:webHidden/>
          </w:rPr>
          <w:fldChar w:fldCharType="separate"/>
        </w:r>
        <w:r w:rsidR="002E1F1A">
          <w:rPr>
            <w:noProof/>
            <w:webHidden/>
          </w:rPr>
          <w:t>57</w:t>
        </w:r>
        <w:r w:rsidR="002E1F1A">
          <w:rPr>
            <w:noProof/>
            <w:webHidden/>
          </w:rPr>
          <w:fldChar w:fldCharType="end"/>
        </w:r>
      </w:hyperlink>
    </w:p>
    <w:p w14:paraId="22E79A6B" w14:textId="01C76981"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fldChar w:fldCharType="end"/>
      </w:r>
    </w:p>
    <w:p w14:paraId="2A1BC414" w14:textId="77777777" w:rsidR="00166DB1" w:rsidRPr="00166DB1" w:rsidRDefault="00166DB1" w:rsidP="00166DB1">
      <w:pPr>
        <w:spacing w:before="85" w:after="85"/>
        <w:rPr>
          <w:rFonts w:ascii="Garamond" w:eastAsia="Garamond" w:hAnsi="Garamond"/>
          <w:color w:val="000000"/>
        </w:rPr>
      </w:pPr>
    </w:p>
    <w:p w14:paraId="063DF881" w14:textId="77777777" w:rsidR="00166DB1" w:rsidRPr="00166DB1" w:rsidRDefault="00166DB1" w:rsidP="00166DB1">
      <w:pPr>
        <w:spacing w:before="85" w:after="85"/>
        <w:rPr>
          <w:rFonts w:ascii="Garamond" w:eastAsia="Garamond" w:hAnsi="Garamond"/>
          <w:color w:val="000000"/>
        </w:rPr>
        <w:sectPr w:rsidR="00166DB1" w:rsidRPr="00166DB1" w:rsidSect="00720069">
          <w:headerReference w:type="even" r:id="rId14"/>
          <w:headerReference w:type="default" r:id="rId15"/>
          <w:type w:val="continuous"/>
          <w:pgSz w:w="16840" w:h="11901" w:orient="landscape" w:code="9"/>
          <w:pgMar w:top="2268" w:right="1304" w:bottom="851" w:left="737" w:header="567" w:footer="284" w:gutter="0"/>
          <w:pgNumType w:start="0"/>
          <w:cols w:num="2" w:space="708"/>
          <w:formProt w:val="0"/>
          <w:docGrid w:linePitch="272"/>
        </w:sectPr>
      </w:pPr>
    </w:p>
    <w:tbl>
      <w:tblPr>
        <w:tblStyle w:val="AbbreviationsTable"/>
        <w:tblW w:w="5000" w:type="pct"/>
        <w:tblLayout w:type="fixed"/>
        <w:tblLook w:val="04A0" w:firstRow="1" w:lastRow="0" w:firstColumn="1" w:lastColumn="0" w:noHBand="0" w:noVBand="1"/>
        <w:tblCaption w:val="Abbreviations and Glossary"/>
        <w:tblDescription w:val="List of Abbreviations and Glossary of terms used in the document."/>
      </w:tblPr>
      <w:tblGrid>
        <w:gridCol w:w="1531"/>
        <w:gridCol w:w="5513"/>
      </w:tblGrid>
      <w:tr w:rsidR="000B3762" w:rsidRPr="00166DB1" w14:paraId="304B1783" w14:textId="77777777" w:rsidTr="000B3762">
        <w:trPr>
          <w:tblHeader/>
        </w:trPr>
        <w:tc>
          <w:tcPr>
            <w:cnfStyle w:val="001000000000" w:firstRow="0" w:lastRow="0" w:firstColumn="1" w:lastColumn="0" w:oddVBand="0" w:evenVBand="0" w:oddHBand="0" w:evenHBand="0" w:firstRowFirstColumn="0" w:firstRowLastColumn="0" w:lastRowFirstColumn="0" w:lastRowLastColumn="0"/>
            <w:tcW w:w="1531" w:type="dxa"/>
          </w:tcPr>
          <w:p w14:paraId="79B87792" w14:textId="22D42DE7" w:rsidR="000B3762" w:rsidRPr="000B3762" w:rsidRDefault="000B3762" w:rsidP="00166DB1">
            <w:pPr>
              <w:spacing w:before="60" w:after="60" w:line="220" w:lineRule="atLeast"/>
              <w:rPr>
                <w:rFonts w:ascii="Franklin Gothic Book" w:eastAsia="Garamond" w:hAnsi="Franklin Gothic Book"/>
                <w:b/>
                <w:color w:val="000000"/>
                <w:sz w:val="18"/>
              </w:rPr>
            </w:pPr>
            <w:r w:rsidRPr="000B3762">
              <w:rPr>
                <w:rFonts w:ascii="Franklin Gothic Book" w:eastAsia="Garamond" w:hAnsi="Franklin Gothic Book"/>
                <w:b/>
                <w:color w:val="000000"/>
                <w:sz w:val="18"/>
              </w:rPr>
              <w:lastRenderedPageBreak/>
              <w:t>Abbreviation</w:t>
            </w:r>
          </w:p>
        </w:tc>
        <w:tc>
          <w:tcPr>
            <w:tcW w:w="5513" w:type="dxa"/>
          </w:tcPr>
          <w:p w14:paraId="34D025E8" w14:textId="737D1F4E" w:rsidR="000B3762" w:rsidRPr="000B3762" w:rsidRDefault="000B3762"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b/>
                <w:color w:val="000000"/>
              </w:rPr>
            </w:pPr>
            <w:r w:rsidRPr="000B3762">
              <w:rPr>
                <w:rFonts w:ascii="Garamond" w:eastAsia="Garamond" w:hAnsi="Garamond"/>
                <w:b/>
                <w:color w:val="000000"/>
              </w:rPr>
              <w:t>Expanded Text</w:t>
            </w:r>
          </w:p>
        </w:tc>
      </w:tr>
      <w:tr w:rsidR="00166DB1" w:rsidRPr="00166DB1" w14:paraId="33EE0BBB"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75E76D5D"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3CPA</w:t>
            </w:r>
          </w:p>
        </w:tc>
        <w:tc>
          <w:tcPr>
            <w:tcW w:w="5513" w:type="dxa"/>
          </w:tcPr>
          <w:p w14:paraId="4A5B8444" w14:textId="77777777" w:rsidR="00166DB1" w:rsidRPr="00166DB1" w:rsidDel="00704955"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Third Community Pharmacy Agreement</w:t>
            </w:r>
          </w:p>
        </w:tc>
      </w:tr>
      <w:tr w:rsidR="00166DB1" w:rsidRPr="00166DB1" w14:paraId="5DB7F000"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4E44D568"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4CPA</w:t>
            </w:r>
          </w:p>
        </w:tc>
        <w:tc>
          <w:tcPr>
            <w:tcW w:w="5513" w:type="dxa"/>
          </w:tcPr>
          <w:p w14:paraId="41BBD3C4"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Fourth Community Pharmacy Agreement</w:t>
            </w:r>
          </w:p>
        </w:tc>
      </w:tr>
      <w:tr w:rsidR="00166DB1" w:rsidRPr="00166DB1" w14:paraId="3D5CEF28"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747F1C1E"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5CPA</w:t>
            </w:r>
          </w:p>
        </w:tc>
        <w:tc>
          <w:tcPr>
            <w:tcW w:w="5513" w:type="dxa"/>
          </w:tcPr>
          <w:p w14:paraId="4B66AF39"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Fifth Community Pharm</w:t>
            </w:r>
            <w:bookmarkStart w:id="1" w:name="_GoBack"/>
            <w:bookmarkEnd w:id="1"/>
            <w:r w:rsidRPr="00166DB1">
              <w:rPr>
                <w:rFonts w:ascii="Garamond" w:eastAsia="Garamond" w:hAnsi="Garamond"/>
                <w:color w:val="000000"/>
              </w:rPr>
              <w:t>acy Agreement</w:t>
            </w:r>
          </w:p>
        </w:tc>
      </w:tr>
      <w:tr w:rsidR="00166DB1" w:rsidRPr="00166DB1" w14:paraId="51645AA0"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314F9604"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6CPA</w:t>
            </w:r>
          </w:p>
        </w:tc>
        <w:tc>
          <w:tcPr>
            <w:tcW w:w="5513" w:type="dxa"/>
          </w:tcPr>
          <w:p w14:paraId="553AF20A"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Sixth Community Pharmacy Agreement</w:t>
            </w:r>
          </w:p>
        </w:tc>
      </w:tr>
      <w:tr w:rsidR="00166DB1" w:rsidRPr="00166DB1" w14:paraId="05B0E39F"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11F582AC"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AACP</w:t>
            </w:r>
          </w:p>
        </w:tc>
        <w:tc>
          <w:tcPr>
            <w:tcW w:w="5513" w:type="dxa"/>
          </w:tcPr>
          <w:p w14:paraId="12A2AC19" w14:textId="77777777" w:rsidR="00166DB1" w:rsidRPr="00166DB1" w:rsidDel="00704955"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Australian Association of Consultant Pharmacists</w:t>
            </w:r>
          </w:p>
        </w:tc>
      </w:tr>
      <w:tr w:rsidR="00166DB1" w:rsidRPr="00166DB1" w14:paraId="1F58DEDE"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6E190880"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ABS</w:t>
            </w:r>
          </w:p>
        </w:tc>
        <w:tc>
          <w:tcPr>
            <w:tcW w:w="5513" w:type="dxa"/>
          </w:tcPr>
          <w:p w14:paraId="51680A1D"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Australian Bureau of Statistics</w:t>
            </w:r>
          </w:p>
        </w:tc>
      </w:tr>
      <w:tr w:rsidR="00166DB1" w:rsidRPr="00166DB1" w14:paraId="31B03DDD"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2F6AA671"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ACCHO</w:t>
            </w:r>
          </w:p>
        </w:tc>
        <w:tc>
          <w:tcPr>
            <w:tcW w:w="5513" w:type="dxa"/>
          </w:tcPr>
          <w:p w14:paraId="298014F2"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Aboriginal Community Controlled Health Organisations</w:t>
            </w:r>
          </w:p>
        </w:tc>
      </w:tr>
      <w:tr w:rsidR="00166DB1" w:rsidRPr="00166DB1" w14:paraId="0D46DB3F"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514218BB"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ACCHS</w:t>
            </w:r>
          </w:p>
        </w:tc>
        <w:tc>
          <w:tcPr>
            <w:tcW w:w="5513" w:type="dxa"/>
          </w:tcPr>
          <w:p w14:paraId="6FBBA8C7"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Aboriginal Community Controlled Health Services</w:t>
            </w:r>
          </w:p>
        </w:tc>
      </w:tr>
      <w:tr w:rsidR="00166DB1" w:rsidRPr="00166DB1" w14:paraId="0D314401"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7255CA96"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AHPRA</w:t>
            </w:r>
          </w:p>
        </w:tc>
        <w:tc>
          <w:tcPr>
            <w:tcW w:w="5513" w:type="dxa"/>
          </w:tcPr>
          <w:p w14:paraId="6049E05D"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Australian Health Practitioner Regulation Agency</w:t>
            </w:r>
          </w:p>
        </w:tc>
      </w:tr>
      <w:tr w:rsidR="00166DB1" w:rsidRPr="00166DB1" w14:paraId="58765319"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360A8346"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AHS</w:t>
            </w:r>
          </w:p>
        </w:tc>
        <w:tc>
          <w:tcPr>
            <w:tcW w:w="5513" w:type="dxa"/>
          </w:tcPr>
          <w:p w14:paraId="4C5AF503"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Aboriginal Health Service</w:t>
            </w:r>
          </w:p>
        </w:tc>
      </w:tr>
      <w:tr w:rsidR="00166DB1" w:rsidRPr="00166DB1" w14:paraId="441A4F3D"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4E5ECC35"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AIHW</w:t>
            </w:r>
          </w:p>
        </w:tc>
        <w:tc>
          <w:tcPr>
            <w:tcW w:w="5513" w:type="dxa"/>
          </w:tcPr>
          <w:p w14:paraId="25CCFD33"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Australian Institute of Health and Welfare</w:t>
            </w:r>
          </w:p>
        </w:tc>
      </w:tr>
      <w:tr w:rsidR="00166DB1" w:rsidRPr="00166DB1" w14:paraId="3FEFCF25"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405EBC77"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ARHEN</w:t>
            </w:r>
          </w:p>
        </w:tc>
        <w:tc>
          <w:tcPr>
            <w:tcW w:w="5513" w:type="dxa"/>
          </w:tcPr>
          <w:p w14:paraId="0D70EAE3"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Australian Rural Health Education Network</w:t>
            </w:r>
          </w:p>
        </w:tc>
      </w:tr>
      <w:tr w:rsidR="00166DB1" w:rsidRPr="00166DB1" w14:paraId="121FCEB1"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6DEA9F9F"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ATSI</w:t>
            </w:r>
          </w:p>
        </w:tc>
        <w:tc>
          <w:tcPr>
            <w:tcW w:w="5513" w:type="dxa"/>
          </w:tcPr>
          <w:p w14:paraId="5CFA8727"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Aboriginal and Torres Strait Islander [people]</w:t>
            </w:r>
          </w:p>
        </w:tc>
      </w:tr>
      <w:tr w:rsidR="00166DB1" w:rsidRPr="00166DB1" w14:paraId="67756C7D"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694928E0"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CPE</w:t>
            </w:r>
          </w:p>
        </w:tc>
        <w:tc>
          <w:tcPr>
            <w:tcW w:w="5513" w:type="dxa"/>
          </w:tcPr>
          <w:p w14:paraId="36B20BA4"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Continuing Professional Education</w:t>
            </w:r>
          </w:p>
        </w:tc>
      </w:tr>
      <w:tr w:rsidR="00166DB1" w:rsidRPr="00166DB1" w14:paraId="7BA941E4"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1ECFF66A"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CHF</w:t>
            </w:r>
          </w:p>
        </w:tc>
        <w:tc>
          <w:tcPr>
            <w:tcW w:w="5513" w:type="dxa"/>
          </w:tcPr>
          <w:p w14:paraId="2B2D15C7"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Consumers Health Forum of Australia</w:t>
            </w:r>
          </w:p>
        </w:tc>
      </w:tr>
      <w:tr w:rsidR="00166DB1" w:rsidRPr="00166DB1" w14:paraId="410D4ED9"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2751B66D"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Department, the</w:t>
            </w:r>
          </w:p>
        </w:tc>
        <w:tc>
          <w:tcPr>
            <w:tcW w:w="5513" w:type="dxa"/>
          </w:tcPr>
          <w:p w14:paraId="04D02AF9"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The Australian Government Department of Health</w:t>
            </w:r>
          </w:p>
        </w:tc>
      </w:tr>
      <w:tr w:rsidR="00166DB1" w:rsidRPr="00166DB1" w14:paraId="5A889965"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3696C41B"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FTE</w:t>
            </w:r>
          </w:p>
        </w:tc>
        <w:tc>
          <w:tcPr>
            <w:tcW w:w="5513" w:type="dxa"/>
          </w:tcPr>
          <w:p w14:paraId="50EE2184"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Full-time equivalent</w:t>
            </w:r>
          </w:p>
        </w:tc>
      </w:tr>
      <w:tr w:rsidR="00166DB1" w:rsidRPr="00166DB1" w14:paraId="4EC15EF7"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4571ACBB"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GP</w:t>
            </w:r>
          </w:p>
        </w:tc>
        <w:tc>
          <w:tcPr>
            <w:tcW w:w="5513" w:type="dxa"/>
          </w:tcPr>
          <w:p w14:paraId="34FC5122"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General practitioner</w:t>
            </w:r>
          </w:p>
        </w:tc>
      </w:tr>
      <w:tr w:rsidR="00166DB1" w:rsidRPr="00166DB1" w14:paraId="29D06F1A"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6B650CDC"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Guild, The</w:t>
            </w:r>
          </w:p>
        </w:tc>
        <w:tc>
          <w:tcPr>
            <w:tcW w:w="5513" w:type="dxa"/>
          </w:tcPr>
          <w:p w14:paraId="1EAB39AD"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The Pharmacy Guild of Australia</w:t>
            </w:r>
          </w:p>
        </w:tc>
      </w:tr>
      <w:tr w:rsidR="00166DB1" w:rsidRPr="00166DB1" w14:paraId="0FDC83FA"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3C42F656"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HMA</w:t>
            </w:r>
          </w:p>
        </w:tc>
        <w:tc>
          <w:tcPr>
            <w:tcW w:w="5513" w:type="dxa"/>
          </w:tcPr>
          <w:p w14:paraId="6FF11C6D"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Healthcare Management Advisors</w:t>
            </w:r>
          </w:p>
        </w:tc>
      </w:tr>
      <w:tr w:rsidR="00166DB1" w:rsidRPr="00166DB1" w14:paraId="6280027C"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19BFC366"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NACCHO</w:t>
            </w:r>
          </w:p>
        </w:tc>
        <w:tc>
          <w:tcPr>
            <w:tcW w:w="5513" w:type="dxa"/>
          </w:tcPr>
          <w:p w14:paraId="6CB7CEA8"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National Aboriginal Community Controlled Health Organisation</w:t>
            </w:r>
          </w:p>
        </w:tc>
      </w:tr>
      <w:tr w:rsidR="00166DB1" w:rsidRPr="00166DB1" w14:paraId="0CF373A3"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63EC27D6"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NHWDS</w:t>
            </w:r>
          </w:p>
        </w:tc>
        <w:tc>
          <w:tcPr>
            <w:tcW w:w="5513" w:type="dxa"/>
          </w:tcPr>
          <w:p w14:paraId="75C11FF2"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National Health Workforce Dataset</w:t>
            </w:r>
          </w:p>
        </w:tc>
      </w:tr>
      <w:tr w:rsidR="00166DB1" w:rsidRPr="00166DB1" w14:paraId="32FD4482"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72A7FD44" w14:textId="77777777" w:rsidR="00166DB1" w:rsidRPr="00166DB1" w:rsidRDefault="00166DB1" w:rsidP="00166DB1">
            <w:pPr>
              <w:keepNext/>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OHT</w:t>
            </w:r>
          </w:p>
        </w:tc>
        <w:tc>
          <w:tcPr>
            <w:tcW w:w="5513" w:type="dxa"/>
          </w:tcPr>
          <w:p w14:paraId="31AC1DBA"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Oral health therapist</w:t>
            </w:r>
          </w:p>
        </w:tc>
      </w:tr>
      <w:tr w:rsidR="00166DB1" w:rsidRPr="00166DB1" w14:paraId="35E55554"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393A0432" w14:textId="77777777" w:rsidR="00166DB1" w:rsidRPr="00166DB1" w:rsidRDefault="00166DB1" w:rsidP="00166DB1">
            <w:pPr>
              <w:keepNext/>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OT</w:t>
            </w:r>
          </w:p>
        </w:tc>
        <w:tc>
          <w:tcPr>
            <w:tcW w:w="5513" w:type="dxa"/>
          </w:tcPr>
          <w:p w14:paraId="01BFCB42"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Occupational therapist</w:t>
            </w:r>
          </w:p>
        </w:tc>
      </w:tr>
      <w:tr w:rsidR="00166DB1" w:rsidRPr="00166DB1" w14:paraId="12C85120"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3A0753C1"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PBS</w:t>
            </w:r>
          </w:p>
        </w:tc>
        <w:tc>
          <w:tcPr>
            <w:tcW w:w="5513" w:type="dxa"/>
          </w:tcPr>
          <w:p w14:paraId="4624F498"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Pharmaceutical Benefits Scheme</w:t>
            </w:r>
          </w:p>
        </w:tc>
      </w:tr>
      <w:tr w:rsidR="00166DB1" w:rsidRPr="00166DB1" w14:paraId="5C65BD89"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29DCED4D"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PhARIA</w:t>
            </w:r>
          </w:p>
        </w:tc>
        <w:tc>
          <w:tcPr>
            <w:tcW w:w="5513" w:type="dxa"/>
          </w:tcPr>
          <w:p w14:paraId="1B88710D"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Pharmacy Access / Remoteness Index of Australia</w:t>
            </w:r>
          </w:p>
        </w:tc>
      </w:tr>
      <w:tr w:rsidR="00166DB1" w:rsidRPr="00166DB1" w14:paraId="7655CF93"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46252B5A"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PSA</w:t>
            </w:r>
          </w:p>
        </w:tc>
        <w:tc>
          <w:tcPr>
            <w:tcW w:w="5513" w:type="dxa"/>
          </w:tcPr>
          <w:p w14:paraId="1AFCFBD5"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Pharmaceutical Society of Australia</w:t>
            </w:r>
          </w:p>
        </w:tc>
      </w:tr>
      <w:tr w:rsidR="00166DB1" w:rsidRPr="00166DB1" w14:paraId="6A0C6D69"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55093941"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QUM</w:t>
            </w:r>
          </w:p>
        </w:tc>
        <w:tc>
          <w:tcPr>
            <w:tcW w:w="5513" w:type="dxa"/>
          </w:tcPr>
          <w:p w14:paraId="5DE66062"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Quality use of medicines</w:t>
            </w:r>
          </w:p>
        </w:tc>
      </w:tr>
      <w:tr w:rsidR="00166DB1" w:rsidRPr="00166DB1" w14:paraId="7DBB2DB3"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79CE3EDD"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QUMAX</w:t>
            </w:r>
          </w:p>
        </w:tc>
        <w:tc>
          <w:tcPr>
            <w:tcW w:w="5513" w:type="dxa"/>
          </w:tcPr>
          <w:p w14:paraId="784EAFCC"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Quality use of medicines maximised for Aboriginal and Torres Strait Islander People</w:t>
            </w:r>
          </w:p>
        </w:tc>
      </w:tr>
      <w:tr w:rsidR="00166DB1" w:rsidRPr="00166DB1" w14:paraId="6097D6A2"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10D53154"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RAAHS</w:t>
            </w:r>
          </w:p>
        </w:tc>
        <w:tc>
          <w:tcPr>
            <w:tcW w:w="5513" w:type="dxa"/>
          </w:tcPr>
          <w:p w14:paraId="5DD21C62"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Remote Area Aboriginal Health Service Program</w:t>
            </w:r>
          </w:p>
        </w:tc>
      </w:tr>
      <w:tr w:rsidR="00166DB1" w:rsidRPr="00166DB1" w14:paraId="4C15D8A2"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3C11E86F"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RPLO</w:t>
            </w:r>
          </w:p>
        </w:tc>
        <w:tc>
          <w:tcPr>
            <w:tcW w:w="5513" w:type="dxa"/>
          </w:tcPr>
          <w:p w14:paraId="160EAD2A"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Rural Pharmacy Liaison Officer</w:t>
            </w:r>
          </w:p>
        </w:tc>
      </w:tr>
      <w:tr w:rsidR="00166DB1" w:rsidRPr="00166DB1" w14:paraId="2AAD14C8"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7D24976A"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RPMA</w:t>
            </w:r>
          </w:p>
        </w:tc>
        <w:tc>
          <w:tcPr>
            <w:tcW w:w="5513" w:type="dxa"/>
          </w:tcPr>
          <w:p w14:paraId="7FD1B22B"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Rural Pharmacy Maintenance Allowance</w:t>
            </w:r>
          </w:p>
        </w:tc>
      </w:tr>
      <w:tr w:rsidR="00166DB1" w:rsidRPr="00166DB1" w14:paraId="7475958D"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4D030B8E"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SHPA</w:t>
            </w:r>
          </w:p>
        </w:tc>
        <w:tc>
          <w:tcPr>
            <w:tcW w:w="5513" w:type="dxa"/>
          </w:tcPr>
          <w:p w14:paraId="08DF2AB2"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Society of Hospital Pharmacists of Australia</w:t>
            </w:r>
          </w:p>
        </w:tc>
      </w:tr>
      <w:tr w:rsidR="00166DB1" w:rsidRPr="00166DB1" w14:paraId="2CC2A3FB" w14:textId="77777777" w:rsidTr="00720069">
        <w:tc>
          <w:tcPr>
            <w:cnfStyle w:val="001000000000" w:firstRow="0" w:lastRow="0" w:firstColumn="1" w:lastColumn="0" w:oddVBand="0" w:evenVBand="0" w:oddHBand="0" w:evenHBand="0" w:firstRowFirstColumn="0" w:firstRowLastColumn="0" w:lastRowFirstColumn="0" w:lastRowLastColumn="0"/>
            <w:tcW w:w="1531" w:type="dxa"/>
          </w:tcPr>
          <w:p w14:paraId="5DF7267A" w14:textId="77777777" w:rsidR="00166DB1" w:rsidRPr="00166DB1" w:rsidRDefault="00166DB1" w:rsidP="00166DB1">
            <w:pPr>
              <w:spacing w:before="60" w:after="60" w:line="220" w:lineRule="atLeast"/>
              <w:rPr>
                <w:rFonts w:ascii="Franklin Gothic Book" w:eastAsia="Garamond" w:hAnsi="Franklin Gothic Book"/>
                <w:color w:val="000000"/>
                <w:sz w:val="18"/>
              </w:rPr>
            </w:pPr>
            <w:r w:rsidRPr="00166DB1">
              <w:rPr>
                <w:rFonts w:ascii="Franklin Gothic Book" w:eastAsia="Garamond" w:hAnsi="Franklin Gothic Book"/>
                <w:color w:val="000000"/>
                <w:sz w:val="18"/>
              </w:rPr>
              <w:t>UDRH</w:t>
            </w:r>
          </w:p>
        </w:tc>
        <w:tc>
          <w:tcPr>
            <w:tcW w:w="5513" w:type="dxa"/>
          </w:tcPr>
          <w:p w14:paraId="6D8BF1A8" w14:textId="77777777" w:rsidR="00166DB1" w:rsidRPr="00166DB1" w:rsidRDefault="00166DB1" w:rsidP="00166DB1">
            <w:pPr>
              <w:spacing w:before="60" w:after="60" w:line="288" w:lineRule="atLeast"/>
              <w:ind w:left="57"/>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rPr>
            </w:pPr>
            <w:r w:rsidRPr="00166DB1">
              <w:rPr>
                <w:rFonts w:ascii="Garamond" w:eastAsia="Garamond" w:hAnsi="Garamond"/>
                <w:color w:val="000000"/>
              </w:rPr>
              <w:t>University Department of Rural Health</w:t>
            </w:r>
          </w:p>
        </w:tc>
      </w:tr>
    </w:tbl>
    <w:p w14:paraId="41DC1F8B" w14:textId="77777777" w:rsidR="003647AE" w:rsidRDefault="003647AE" w:rsidP="003647AE">
      <w:pPr>
        <w:widowControl w:val="0"/>
        <w:spacing w:after="170" w:line="384" w:lineRule="atLeast"/>
        <w:rPr>
          <w:rFonts w:ascii="Garamond" w:eastAsia="Times New Roman" w:hAnsi="Garamond"/>
          <w:b/>
          <w:bCs/>
          <w:caps/>
          <w:color w:val="000000"/>
          <w:spacing w:val="-3"/>
          <w:sz w:val="24"/>
          <w:szCs w:val="24"/>
          <w:u w:val="single"/>
        </w:rPr>
        <w:sectPr w:rsidR="003647AE" w:rsidSect="003647AE">
          <w:headerReference w:type="default" r:id="rId16"/>
          <w:footerReference w:type="default" r:id="rId17"/>
          <w:type w:val="continuous"/>
          <w:pgSz w:w="16839" w:h="11907" w:orient="landscape" w:code="9"/>
          <w:pgMar w:top="2268" w:right="1304" w:bottom="850" w:left="737" w:header="567" w:footer="284" w:gutter="0"/>
          <w:pgNumType w:fmt="lowerRoman" w:start="1"/>
          <w:cols w:num="2" w:space="709"/>
          <w:docGrid w:linePitch="360"/>
        </w:sectPr>
      </w:pPr>
      <w:bookmarkStart w:id="2" w:name="_Hlk522781771"/>
    </w:p>
    <w:p w14:paraId="2F26A80D" w14:textId="6EC8E817" w:rsidR="00D65552" w:rsidRDefault="00D65552" w:rsidP="0093538D">
      <w:pPr>
        <w:pStyle w:val="ChapterHeading"/>
      </w:pPr>
      <w:r>
        <w:lastRenderedPageBreak/>
        <w:t>EXECUTIVE SUMMARY</w:t>
      </w:r>
    </w:p>
    <w:p w14:paraId="2FF18655" w14:textId="5C93DA32" w:rsidR="00166DB1" w:rsidRPr="00166DB1" w:rsidRDefault="00166DB1" w:rsidP="00C72515">
      <w:pPr>
        <w:pStyle w:val="ESHeading2"/>
        <w:rPr>
          <w:rFonts w:eastAsia="Times New Roman"/>
        </w:rPr>
      </w:pPr>
      <w:r w:rsidRPr="00C72515">
        <w:t>Context</w:t>
      </w:r>
    </w:p>
    <w:p w14:paraId="5FBB4192" w14:textId="77777777" w:rsidR="00166DB1" w:rsidRPr="00166DB1" w:rsidRDefault="00166DB1" w:rsidP="00166DB1">
      <w:pPr>
        <w:spacing w:before="85" w:after="85"/>
        <w:rPr>
          <w:rFonts w:ascii="Garamond" w:eastAsia="Times New Roman" w:hAnsi="Garamond"/>
          <w:color w:val="000000"/>
        </w:rPr>
      </w:pPr>
      <w:r w:rsidRPr="00166DB1">
        <w:rPr>
          <w:rFonts w:ascii="Garamond" w:eastAsia="Times New Roman" w:hAnsi="Garamond"/>
          <w:color w:val="000000"/>
        </w:rPr>
        <w:t xml:space="preserve">The Australian Government Department of Health (the Department) engaged Healthcare Management Advisors (HMA) to evaluate the ongoing Pharmacy Workforce Package. These Package components are </w:t>
      </w:r>
      <w:r w:rsidRPr="00166DB1">
        <w:rPr>
          <w:rFonts w:ascii="Garamond" w:eastAsia="Garamond" w:hAnsi="Garamond"/>
          <w:color w:val="000000"/>
        </w:rPr>
        <w:t>funded under the 6th Community Pharmacy Agreement (6CPA) between The Pharmacy Guild of Australia (The Guild) and the Department.</w:t>
      </w:r>
    </w:p>
    <w:p w14:paraId="2DCF5DF3"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There were 12 components of the P</w:t>
      </w:r>
      <w:r w:rsidRPr="00166DB1">
        <w:rPr>
          <w:rFonts w:ascii="Garamond" w:eastAsia="Times New Roman" w:hAnsi="Garamond"/>
          <w:color w:val="000000"/>
        </w:rPr>
        <w:t xml:space="preserve">harmacy Workforce Package </w:t>
      </w:r>
      <w:r w:rsidRPr="00166DB1">
        <w:rPr>
          <w:rFonts w:ascii="Garamond" w:eastAsia="Garamond" w:hAnsi="Garamond"/>
          <w:color w:val="000000"/>
        </w:rPr>
        <w:t>within the project scope. For the purposes of the evaluation, these programs were categorised into two groups:</w:t>
      </w:r>
    </w:p>
    <w:p w14:paraId="0753F9F0" w14:textId="77777777" w:rsidR="00166DB1" w:rsidRPr="00F948C2" w:rsidRDefault="00166DB1" w:rsidP="009F66FB">
      <w:pPr>
        <w:pStyle w:val="ListParagraph"/>
        <w:numPr>
          <w:ilvl w:val="0"/>
          <w:numId w:val="9"/>
        </w:numPr>
        <w:tabs>
          <w:tab w:val="num" w:pos="170"/>
        </w:tabs>
        <w:spacing w:before="20" w:after="20"/>
        <w:rPr>
          <w:rFonts w:ascii="Garamond" w:eastAsia="Times New Roman" w:hAnsi="Garamond"/>
          <w:color w:val="000000"/>
        </w:rPr>
      </w:pPr>
      <w:r w:rsidRPr="00F948C2">
        <w:rPr>
          <w:rFonts w:ascii="Garamond" w:eastAsia="Times New Roman" w:hAnsi="Garamond"/>
          <w:color w:val="000000"/>
        </w:rPr>
        <w:t xml:space="preserve">the </w:t>
      </w:r>
      <w:r w:rsidRPr="00F948C2">
        <w:rPr>
          <w:rFonts w:ascii="Garamond" w:eastAsia="Times New Roman" w:hAnsi="Garamond"/>
          <w:i/>
          <w:color w:val="000000"/>
        </w:rPr>
        <w:t>Rural Workforce Package</w:t>
      </w:r>
      <w:r w:rsidRPr="00F948C2">
        <w:rPr>
          <w:rFonts w:ascii="Garamond" w:eastAsia="Times New Roman" w:hAnsi="Garamond"/>
          <w:color w:val="000000"/>
        </w:rPr>
        <w:t>, which primarily seeks to target recruitment and retention activities in PhARIA 2 or higher locations (10 programs)</w:t>
      </w:r>
    </w:p>
    <w:p w14:paraId="3BA82AAE" w14:textId="77777777" w:rsidR="00166DB1" w:rsidRPr="00F948C2" w:rsidRDefault="00166DB1" w:rsidP="009F66FB">
      <w:pPr>
        <w:pStyle w:val="ListParagraph"/>
        <w:numPr>
          <w:ilvl w:val="1"/>
          <w:numId w:val="10"/>
        </w:numPr>
        <w:tabs>
          <w:tab w:val="num" w:pos="397"/>
        </w:tabs>
        <w:spacing w:before="20" w:after="20"/>
        <w:ind w:hanging="938"/>
        <w:rPr>
          <w:rFonts w:ascii="Garamond" w:eastAsia="Times New Roman" w:hAnsi="Garamond"/>
          <w:color w:val="000000"/>
        </w:rPr>
      </w:pPr>
      <w:r w:rsidRPr="00F948C2">
        <w:rPr>
          <w:rFonts w:ascii="Garamond" w:eastAsia="Times New Roman" w:hAnsi="Garamond"/>
          <w:color w:val="000000"/>
        </w:rPr>
        <w:t>Rural Pharmacy Scholarship Scheme</w:t>
      </w:r>
    </w:p>
    <w:p w14:paraId="3D7A1B6B" w14:textId="77777777" w:rsidR="00166DB1" w:rsidRPr="00F948C2" w:rsidRDefault="00166DB1" w:rsidP="009F66FB">
      <w:pPr>
        <w:pStyle w:val="ListParagraph"/>
        <w:numPr>
          <w:ilvl w:val="1"/>
          <w:numId w:val="10"/>
        </w:numPr>
        <w:tabs>
          <w:tab w:val="num" w:pos="397"/>
        </w:tabs>
        <w:spacing w:before="20" w:after="20"/>
        <w:ind w:hanging="938"/>
        <w:rPr>
          <w:rFonts w:ascii="Garamond" w:eastAsia="Times New Roman" w:hAnsi="Garamond"/>
          <w:color w:val="000000"/>
        </w:rPr>
      </w:pPr>
      <w:r w:rsidRPr="00F948C2">
        <w:rPr>
          <w:rFonts w:ascii="Garamond" w:eastAsia="Times New Roman" w:hAnsi="Garamond"/>
          <w:color w:val="000000"/>
        </w:rPr>
        <w:t>Rural Pharmacy Scholarship Mentor Scheme</w:t>
      </w:r>
    </w:p>
    <w:p w14:paraId="107AB948" w14:textId="77777777" w:rsidR="00166DB1" w:rsidRPr="00F948C2" w:rsidRDefault="00166DB1" w:rsidP="009F66FB">
      <w:pPr>
        <w:pStyle w:val="ListParagraph"/>
        <w:numPr>
          <w:ilvl w:val="1"/>
          <w:numId w:val="10"/>
        </w:numPr>
        <w:tabs>
          <w:tab w:val="num" w:pos="397"/>
        </w:tabs>
        <w:spacing w:before="20" w:after="20"/>
        <w:ind w:hanging="938"/>
        <w:rPr>
          <w:rFonts w:ascii="Garamond" w:eastAsia="Times New Roman" w:hAnsi="Garamond"/>
          <w:color w:val="000000"/>
        </w:rPr>
      </w:pPr>
      <w:r w:rsidRPr="00F948C2">
        <w:rPr>
          <w:rFonts w:ascii="Garamond" w:eastAsia="Times New Roman" w:hAnsi="Garamond"/>
          <w:color w:val="000000"/>
        </w:rPr>
        <w:t>Intern Incentive Allowance for Rural Pharmacies</w:t>
      </w:r>
    </w:p>
    <w:p w14:paraId="4F22B7BA" w14:textId="77777777" w:rsidR="00166DB1" w:rsidRPr="00F948C2" w:rsidRDefault="00166DB1" w:rsidP="009F66FB">
      <w:pPr>
        <w:pStyle w:val="ListParagraph"/>
        <w:numPr>
          <w:ilvl w:val="1"/>
          <w:numId w:val="10"/>
        </w:numPr>
        <w:tabs>
          <w:tab w:val="num" w:pos="397"/>
        </w:tabs>
        <w:spacing w:before="20" w:after="20"/>
        <w:ind w:hanging="938"/>
        <w:rPr>
          <w:rFonts w:ascii="Garamond" w:eastAsia="Times New Roman" w:hAnsi="Garamond"/>
          <w:color w:val="000000"/>
        </w:rPr>
      </w:pPr>
      <w:r w:rsidRPr="00F948C2">
        <w:rPr>
          <w:rFonts w:ascii="Garamond" w:eastAsia="Times New Roman" w:hAnsi="Garamond"/>
          <w:color w:val="000000"/>
        </w:rPr>
        <w:t>Intern Incentive Allowance for Rural Pharmacies – Extension Program</w:t>
      </w:r>
    </w:p>
    <w:p w14:paraId="01EF39BC" w14:textId="77777777" w:rsidR="00166DB1" w:rsidRPr="00F948C2" w:rsidRDefault="00166DB1" w:rsidP="009F66FB">
      <w:pPr>
        <w:pStyle w:val="ListParagraph"/>
        <w:numPr>
          <w:ilvl w:val="1"/>
          <w:numId w:val="10"/>
        </w:numPr>
        <w:tabs>
          <w:tab w:val="num" w:pos="397"/>
        </w:tabs>
        <w:spacing w:before="20" w:after="20"/>
        <w:ind w:hanging="938"/>
        <w:rPr>
          <w:rFonts w:ascii="Garamond" w:eastAsia="Times New Roman" w:hAnsi="Garamond"/>
          <w:color w:val="000000"/>
        </w:rPr>
      </w:pPr>
      <w:r w:rsidRPr="00F948C2">
        <w:rPr>
          <w:rFonts w:ascii="Garamond" w:eastAsia="Times New Roman" w:hAnsi="Garamond"/>
          <w:color w:val="000000"/>
        </w:rPr>
        <w:t>Rural Intern Training Allowance</w:t>
      </w:r>
    </w:p>
    <w:p w14:paraId="518688A2" w14:textId="77777777" w:rsidR="00166DB1" w:rsidRPr="00F948C2" w:rsidRDefault="00166DB1" w:rsidP="009F66FB">
      <w:pPr>
        <w:pStyle w:val="ListParagraph"/>
        <w:numPr>
          <w:ilvl w:val="1"/>
          <w:numId w:val="10"/>
        </w:numPr>
        <w:tabs>
          <w:tab w:val="num" w:pos="397"/>
        </w:tabs>
        <w:spacing w:before="20" w:after="20"/>
        <w:ind w:hanging="938"/>
        <w:rPr>
          <w:rFonts w:ascii="Garamond" w:eastAsia="Times New Roman" w:hAnsi="Garamond"/>
          <w:color w:val="000000"/>
        </w:rPr>
      </w:pPr>
      <w:r w:rsidRPr="00F948C2">
        <w:rPr>
          <w:rFonts w:ascii="Garamond" w:eastAsia="Times New Roman" w:hAnsi="Garamond"/>
          <w:color w:val="000000"/>
        </w:rPr>
        <w:t>Rural Pharmacy Student Placement Allowance</w:t>
      </w:r>
    </w:p>
    <w:p w14:paraId="3134968E" w14:textId="77777777" w:rsidR="00166DB1" w:rsidRPr="00F948C2" w:rsidRDefault="00166DB1" w:rsidP="009F66FB">
      <w:pPr>
        <w:pStyle w:val="ListParagraph"/>
        <w:numPr>
          <w:ilvl w:val="1"/>
          <w:numId w:val="10"/>
        </w:numPr>
        <w:tabs>
          <w:tab w:val="num" w:pos="397"/>
        </w:tabs>
        <w:spacing w:before="20" w:after="20"/>
        <w:ind w:hanging="938"/>
        <w:rPr>
          <w:rFonts w:ascii="Garamond" w:eastAsia="Times New Roman" w:hAnsi="Garamond"/>
          <w:color w:val="000000"/>
        </w:rPr>
      </w:pPr>
      <w:r w:rsidRPr="00F948C2">
        <w:rPr>
          <w:rFonts w:ascii="Garamond" w:eastAsia="Times New Roman" w:hAnsi="Garamond"/>
          <w:color w:val="000000"/>
        </w:rPr>
        <w:t>Administrative Support to Pharmacy Schools</w:t>
      </w:r>
    </w:p>
    <w:p w14:paraId="49809F0D" w14:textId="77777777" w:rsidR="00166DB1" w:rsidRPr="00F948C2" w:rsidRDefault="00166DB1" w:rsidP="009F66FB">
      <w:pPr>
        <w:pStyle w:val="ListParagraph"/>
        <w:numPr>
          <w:ilvl w:val="1"/>
          <w:numId w:val="10"/>
        </w:numPr>
        <w:tabs>
          <w:tab w:val="num" w:pos="397"/>
        </w:tabs>
        <w:spacing w:before="20" w:after="20"/>
        <w:ind w:hanging="938"/>
        <w:rPr>
          <w:rFonts w:ascii="Garamond" w:eastAsia="Times New Roman" w:hAnsi="Garamond"/>
          <w:color w:val="000000"/>
        </w:rPr>
      </w:pPr>
      <w:r w:rsidRPr="00F948C2">
        <w:rPr>
          <w:rFonts w:ascii="Garamond" w:eastAsia="Times New Roman" w:hAnsi="Garamond"/>
          <w:color w:val="000000"/>
        </w:rPr>
        <w:t>Continuing Professional Educational Allowance</w:t>
      </w:r>
    </w:p>
    <w:p w14:paraId="66628AEA" w14:textId="77777777" w:rsidR="00166DB1" w:rsidRPr="00F948C2" w:rsidRDefault="00166DB1" w:rsidP="009F66FB">
      <w:pPr>
        <w:pStyle w:val="ListParagraph"/>
        <w:numPr>
          <w:ilvl w:val="1"/>
          <w:numId w:val="10"/>
        </w:numPr>
        <w:tabs>
          <w:tab w:val="num" w:pos="397"/>
        </w:tabs>
        <w:spacing w:before="20" w:after="20"/>
        <w:ind w:hanging="938"/>
        <w:rPr>
          <w:rFonts w:ascii="Garamond" w:eastAsia="Times New Roman" w:hAnsi="Garamond"/>
          <w:color w:val="000000"/>
        </w:rPr>
      </w:pPr>
      <w:r w:rsidRPr="00F948C2">
        <w:rPr>
          <w:rFonts w:ascii="Garamond" w:eastAsia="Times New Roman" w:hAnsi="Garamond"/>
          <w:color w:val="000000"/>
        </w:rPr>
        <w:t>Rural Pharmacy Liaison Officer Program, and</w:t>
      </w:r>
    </w:p>
    <w:p w14:paraId="6D782100" w14:textId="77777777" w:rsidR="00166DB1" w:rsidRPr="00F948C2" w:rsidRDefault="00166DB1" w:rsidP="009F66FB">
      <w:pPr>
        <w:pStyle w:val="ListParagraph"/>
        <w:numPr>
          <w:ilvl w:val="1"/>
          <w:numId w:val="10"/>
        </w:numPr>
        <w:tabs>
          <w:tab w:val="num" w:pos="397"/>
        </w:tabs>
        <w:spacing w:before="20" w:after="20"/>
        <w:ind w:hanging="938"/>
        <w:rPr>
          <w:rFonts w:ascii="Garamond" w:eastAsia="Times New Roman" w:hAnsi="Garamond"/>
          <w:color w:val="000000"/>
        </w:rPr>
      </w:pPr>
      <w:r w:rsidRPr="00F948C2">
        <w:rPr>
          <w:rFonts w:ascii="Garamond" w:eastAsia="Times New Roman" w:hAnsi="Garamond"/>
          <w:color w:val="000000"/>
        </w:rPr>
        <w:t xml:space="preserve">Emergency Locum Service. </w:t>
      </w:r>
    </w:p>
    <w:p w14:paraId="3496EFB7" w14:textId="77777777" w:rsidR="00166DB1" w:rsidRPr="00F948C2" w:rsidRDefault="00166DB1" w:rsidP="009F66FB">
      <w:pPr>
        <w:pStyle w:val="ListParagraph"/>
        <w:numPr>
          <w:ilvl w:val="0"/>
          <w:numId w:val="9"/>
        </w:numPr>
        <w:tabs>
          <w:tab w:val="num" w:pos="170"/>
        </w:tabs>
        <w:spacing w:before="20" w:after="20"/>
        <w:rPr>
          <w:rFonts w:ascii="Garamond" w:eastAsia="Times New Roman" w:hAnsi="Garamond"/>
          <w:color w:val="000000"/>
        </w:rPr>
      </w:pPr>
      <w:r w:rsidRPr="00F948C2">
        <w:rPr>
          <w:rFonts w:ascii="Garamond" w:eastAsia="Times New Roman" w:hAnsi="Garamond"/>
          <w:color w:val="000000"/>
        </w:rPr>
        <w:t xml:space="preserve">the </w:t>
      </w:r>
      <w:r w:rsidRPr="00F948C2">
        <w:rPr>
          <w:rFonts w:ascii="Garamond" w:eastAsia="Times New Roman" w:hAnsi="Garamond"/>
          <w:i/>
          <w:color w:val="000000"/>
        </w:rPr>
        <w:t>Aboriginal and Torres Strait Islander Workforce Package</w:t>
      </w:r>
      <w:r w:rsidRPr="00F948C2">
        <w:rPr>
          <w:rFonts w:ascii="Garamond" w:eastAsia="Times New Roman" w:hAnsi="Garamond"/>
          <w:color w:val="000000"/>
        </w:rPr>
        <w:t>, which has no specific geographic focus (2 programs):</w:t>
      </w:r>
    </w:p>
    <w:p w14:paraId="1D771CEB" w14:textId="77777777" w:rsidR="00166DB1" w:rsidRPr="00166DB1" w:rsidRDefault="00166DB1" w:rsidP="00166DB1">
      <w:pPr>
        <w:numPr>
          <w:ilvl w:val="1"/>
          <w:numId w:val="0"/>
        </w:numPr>
        <w:tabs>
          <w:tab w:val="num" w:pos="397"/>
        </w:tabs>
        <w:spacing w:before="20" w:after="20"/>
        <w:ind w:left="397" w:hanging="227"/>
        <w:rPr>
          <w:rFonts w:ascii="Garamond" w:eastAsia="Times New Roman" w:hAnsi="Garamond"/>
          <w:color w:val="000000"/>
        </w:rPr>
      </w:pPr>
      <w:r w:rsidRPr="00166DB1">
        <w:rPr>
          <w:rFonts w:ascii="Garamond" w:eastAsia="Times New Roman" w:hAnsi="Garamond"/>
          <w:color w:val="000000"/>
        </w:rPr>
        <w:t xml:space="preserve">Aboriginal and Torres Strait Islander Pharmacy Assistant Traineeship Scheme, and </w:t>
      </w:r>
    </w:p>
    <w:p w14:paraId="7D9D2A40" w14:textId="77777777" w:rsidR="00166DB1" w:rsidRPr="00166DB1" w:rsidRDefault="00166DB1" w:rsidP="00166DB1">
      <w:pPr>
        <w:numPr>
          <w:ilvl w:val="1"/>
          <w:numId w:val="0"/>
        </w:numPr>
        <w:tabs>
          <w:tab w:val="num" w:pos="397"/>
        </w:tabs>
        <w:spacing w:before="20" w:after="20"/>
        <w:ind w:left="397" w:hanging="227"/>
        <w:rPr>
          <w:rFonts w:ascii="Garamond" w:eastAsia="Times New Roman" w:hAnsi="Garamond"/>
          <w:color w:val="000000"/>
        </w:rPr>
      </w:pPr>
      <w:r w:rsidRPr="00166DB1">
        <w:rPr>
          <w:rFonts w:ascii="Garamond" w:eastAsia="Times New Roman" w:hAnsi="Garamond"/>
          <w:color w:val="000000"/>
        </w:rPr>
        <w:t>Aboriginal and Torres Strait Islander Pharmacy Scholarship Scheme.</w:t>
      </w:r>
    </w:p>
    <w:p w14:paraId="116AD303"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project involved a standard evaluation assessment of </w:t>
      </w:r>
      <w:r w:rsidRPr="00166DB1">
        <w:rPr>
          <w:rFonts w:ascii="Garamond" w:eastAsia="Garamond" w:hAnsi="Garamond"/>
          <w:i/>
          <w:color w:val="000000"/>
        </w:rPr>
        <w:t>appropriateness</w:t>
      </w:r>
      <w:r w:rsidRPr="00166DB1">
        <w:rPr>
          <w:rFonts w:ascii="Garamond" w:eastAsia="Garamond" w:hAnsi="Garamond"/>
          <w:color w:val="000000"/>
        </w:rPr>
        <w:t xml:space="preserve">, </w:t>
      </w:r>
      <w:r w:rsidRPr="00166DB1">
        <w:rPr>
          <w:rFonts w:ascii="Garamond" w:eastAsia="Garamond" w:hAnsi="Garamond"/>
          <w:i/>
          <w:color w:val="000000"/>
        </w:rPr>
        <w:t>effectiveness</w:t>
      </w:r>
      <w:r w:rsidRPr="00166DB1">
        <w:rPr>
          <w:rFonts w:ascii="Garamond" w:eastAsia="Garamond" w:hAnsi="Garamond"/>
          <w:color w:val="000000"/>
        </w:rPr>
        <w:t xml:space="preserve"> and </w:t>
      </w:r>
      <w:r w:rsidRPr="00166DB1">
        <w:rPr>
          <w:rFonts w:ascii="Garamond" w:eastAsia="Garamond" w:hAnsi="Garamond"/>
          <w:i/>
          <w:color w:val="000000"/>
        </w:rPr>
        <w:t>efficiency</w:t>
      </w:r>
      <w:r w:rsidRPr="00166DB1">
        <w:rPr>
          <w:rFonts w:ascii="Garamond" w:eastAsia="Garamond" w:hAnsi="Garamond"/>
          <w:color w:val="000000"/>
        </w:rPr>
        <w:t xml:space="preserve"> at both an individual program and a package level. This document is the final report of the evaluation. It is accompanied by two further volumes: a detailed evaluation analysis of each individual program (Volume 2); and technical papers (Volume 3), including the literature scan, survey results and interim project deliverables. </w:t>
      </w:r>
    </w:p>
    <w:p w14:paraId="4A2DD402" w14:textId="77777777" w:rsidR="00166DB1" w:rsidRPr="00166DB1" w:rsidRDefault="00166DB1" w:rsidP="00C72515">
      <w:pPr>
        <w:pStyle w:val="ESHeading2"/>
        <w:rPr>
          <w:rFonts w:eastAsia="Times New Roman"/>
        </w:rPr>
      </w:pPr>
      <w:r w:rsidRPr="008A499C">
        <w:t>Overview</w:t>
      </w:r>
      <w:r w:rsidRPr="00166DB1">
        <w:rPr>
          <w:rFonts w:eastAsia="Times New Roman"/>
        </w:rPr>
        <w:t xml:space="preserve"> of the </w:t>
      </w:r>
      <w:r w:rsidRPr="00C72515">
        <w:t>programs</w:t>
      </w:r>
    </w:p>
    <w:p w14:paraId="5B2B3A39" w14:textId="77777777" w:rsidR="00166DB1" w:rsidRPr="00166DB1" w:rsidRDefault="00166DB1" w:rsidP="00166DB1">
      <w:pPr>
        <w:spacing w:before="85" w:after="85"/>
        <w:rPr>
          <w:rFonts w:ascii="Garamond" w:eastAsia="Times New Roman" w:hAnsi="Garamond"/>
          <w:color w:val="000000"/>
        </w:rPr>
      </w:pPr>
      <w:r w:rsidRPr="00166DB1">
        <w:rPr>
          <w:rFonts w:ascii="Garamond" w:eastAsia="Times New Roman" w:hAnsi="Garamond"/>
          <w:color w:val="000000"/>
        </w:rPr>
        <w:t xml:space="preserve">The value of the 12 in-scope programs is small – around </w:t>
      </w:r>
      <w:r w:rsidRPr="00166DB1">
        <w:rPr>
          <w:rFonts w:ascii="Times New Roman" w:eastAsia="Times New Roman" w:hAnsi="Times New Roman"/>
          <w:color w:val="000000"/>
        </w:rPr>
        <w:t>$</w:t>
      </w:r>
      <w:r w:rsidRPr="00166DB1">
        <w:rPr>
          <w:rFonts w:ascii="Garamond" w:eastAsia="Times New Roman" w:hAnsi="Garamond"/>
          <w:color w:val="000000"/>
        </w:rPr>
        <w:t>7.2m per annum or 4.1% of the 6CPA first year allocation to community pharmacy programs.</w:t>
      </w:r>
    </w:p>
    <w:p w14:paraId="24659352"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6CPA states that the Rural Workforce Package seeks to:</w:t>
      </w:r>
    </w:p>
    <w:p w14:paraId="67D178DE" w14:textId="77777777" w:rsidR="00166DB1" w:rsidRPr="00166DB1" w:rsidRDefault="00166DB1" w:rsidP="00166DB1">
      <w:pPr>
        <w:spacing w:before="85" w:after="85"/>
        <w:ind w:left="284" w:right="284"/>
        <w:rPr>
          <w:rFonts w:ascii="Times New Roman" w:eastAsia="Garamond" w:hAnsi="Times New Roman"/>
          <w:i/>
          <w:iCs/>
          <w:color w:val="000000"/>
          <w:sz w:val="20"/>
        </w:rPr>
      </w:pPr>
      <w:r w:rsidRPr="00166DB1">
        <w:rPr>
          <w:rFonts w:ascii="Times New Roman" w:eastAsia="Garamond" w:hAnsi="Times New Roman"/>
          <w:i/>
          <w:iCs/>
          <w:color w:val="000000"/>
          <w:sz w:val="20"/>
        </w:rPr>
        <w:t>‘fund a range of initiatives designed to</w:t>
      </w:r>
      <w:r w:rsidRPr="00166DB1">
        <w:rPr>
          <w:rFonts w:ascii="Times New Roman" w:eastAsia="Garamond" w:hAnsi="Times New Roman"/>
          <w:b/>
          <w:i/>
          <w:iCs/>
          <w:color w:val="000000"/>
          <w:sz w:val="20"/>
        </w:rPr>
        <w:t xml:space="preserve"> strengthen and support the rural pharmacy workforce</w:t>
      </w:r>
      <w:r w:rsidRPr="00166DB1">
        <w:rPr>
          <w:rFonts w:ascii="Times New Roman" w:eastAsia="Garamond" w:hAnsi="Times New Roman"/>
          <w:i/>
          <w:iCs/>
          <w:color w:val="000000"/>
          <w:sz w:val="20"/>
        </w:rPr>
        <w:t xml:space="preserve">, in turn </w:t>
      </w:r>
      <w:r w:rsidRPr="00166DB1">
        <w:rPr>
          <w:rFonts w:ascii="Times New Roman" w:eastAsia="Garamond" w:hAnsi="Times New Roman"/>
          <w:b/>
          <w:i/>
          <w:iCs/>
          <w:color w:val="000000"/>
          <w:sz w:val="20"/>
        </w:rPr>
        <w:t>to provide increased access to quality pharmacy services for consumers residing in rural and remote regions</w:t>
      </w:r>
      <w:r w:rsidRPr="00166DB1">
        <w:rPr>
          <w:rFonts w:ascii="Times New Roman" w:eastAsia="Garamond" w:hAnsi="Times New Roman"/>
          <w:i/>
          <w:iCs/>
          <w:color w:val="000000"/>
          <w:sz w:val="20"/>
        </w:rPr>
        <w:t xml:space="preserve"> of Australia’. </w:t>
      </w:r>
    </w:p>
    <w:p w14:paraId="6A16D2CF" w14:textId="77777777" w:rsidR="00166DB1" w:rsidRPr="00166DB1" w:rsidRDefault="00166DB1" w:rsidP="00166DB1">
      <w:pPr>
        <w:spacing w:before="85" w:after="85"/>
        <w:rPr>
          <w:rFonts w:ascii="Garamond" w:eastAsia="Times New Roman" w:hAnsi="Garamond"/>
          <w:color w:val="000000"/>
        </w:rPr>
      </w:pPr>
      <w:r w:rsidRPr="00166DB1">
        <w:rPr>
          <w:rFonts w:ascii="Garamond" w:eastAsia="Garamond" w:hAnsi="Garamond"/>
          <w:color w:val="000000"/>
        </w:rPr>
        <w:t xml:space="preserve">The purpose of the </w:t>
      </w:r>
      <w:r w:rsidRPr="00166DB1">
        <w:rPr>
          <w:rFonts w:ascii="Garamond" w:eastAsia="Times New Roman" w:hAnsi="Garamond"/>
          <w:color w:val="000000"/>
        </w:rPr>
        <w:t xml:space="preserve">Aboriginal and Torres Strait Islander Workforce Package is framed in similar terms. Its aims to: </w:t>
      </w:r>
    </w:p>
    <w:p w14:paraId="08A23A33" w14:textId="77777777" w:rsidR="00166DB1" w:rsidRPr="00166DB1" w:rsidRDefault="00166DB1" w:rsidP="00166DB1">
      <w:pPr>
        <w:spacing w:before="85" w:after="85"/>
        <w:ind w:left="284" w:right="284"/>
        <w:rPr>
          <w:rFonts w:ascii="Times New Roman" w:eastAsia="Garamond" w:hAnsi="Times New Roman"/>
          <w:i/>
          <w:iCs/>
          <w:color w:val="000000"/>
          <w:sz w:val="20"/>
        </w:rPr>
      </w:pPr>
      <w:r w:rsidRPr="00166DB1">
        <w:rPr>
          <w:rFonts w:ascii="Times New Roman" w:eastAsia="Garamond" w:hAnsi="Times New Roman"/>
          <w:i/>
          <w:iCs/>
          <w:color w:val="000000"/>
          <w:sz w:val="20"/>
        </w:rPr>
        <w:t xml:space="preserve">‘fund a range of initiatives designed to </w:t>
      </w:r>
      <w:r w:rsidRPr="00166DB1">
        <w:rPr>
          <w:rFonts w:ascii="Times New Roman" w:eastAsia="Garamond" w:hAnsi="Times New Roman"/>
          <w:b/>
          <w:i/>
          <w:iCs/>
          <w:color w:val="000000"/>
          <w:sz w:val="20"/>
        </w:rPr>
        <w:t xml:space="preserve">strengthen and support the ATSI </w:t>
      </w:r>
      <w:r w:rsidRPr="00166DB1">
        <w:rPr>
          <w:rFonts w:ascii="Times New Roman" w:eastAsia="Garamond" w:hAnsi="Times New Roman"/>
          <w:i/>
          <w:iCs/>
          <w:color w:val="000000"/>
          <w:sz w:val="20"/>
        </w:rPr>
        <w:t xml:space="preserve">(sic) </w:t>
      </w:r>
      <w:r w:rsidRPr="00166DB1">
        <w:rPr>
          <w:rFonts w:ascii="Times New Roman" w:eastAsia="Garamond" w:hAnsi="Times New Roman"/>
          <w:b/>
          <w:i/>
          <w:iCs/>
          <w:color w:val="000000"/>
          <w:sz w:val="20"/>
        </w:rPr>
        <w:t>pharmacy workforce</w:t>
      </w:r>
      <w:r w:rsidRPr="00166DB1">
        <w:rPr>
          <w:rFonts w:ascii="Times New Roman" w:eastAsia="Garamond" w:hAnsi="Times New Roman"/>
          <w:i/>
          <w:iCs/>
          <w:color w:val="000000"/>
          <w:sz w:val="20"/>
        </w:rPr>
        <w:t xml:space="preserve">, which in turn will </w:t>
      </w:r>
      <w:r w:rsidRPr="00166DB1">
        <w:rPr>
          <w:rFonts w:ascii="Times New Roman" w:eastAsia="Garamond" w:hAnsi="Times New Roman"/>
          <w:b/>
          <w:i/>
          <w:iCs/>
          <w:color w:val="000000"/>
          <w:sz w:val="20"/>
        </w:rPr>
        <w:t xml:space="preserve">provide improved, culturally-appropriate pharmacy services for ATSI </w:t>
      </w:r>
      <w:r w:rsidRPr="00166DB1">
        <w:rPr>
          <w:rFonts w:ascii="Times New Roman" w:eastAsia="Garamond" w:hAnsi="Times New Roman"/>
          <w:i/>
          <w:iCs/>
          <w:color w:val="000000"/>
          <w:sz w:val="20"/>
        </w:rPr>
        <w:t xml:space="preserve">(sic) </w:t>
      </w:r>
      <w:r w:rsidRPr="00166DB1">
        <w:rPr>
          <w:rFonts w:ascii="Times New Roman" w:eastAsia="Garamond" w:hAnsi="Times New Roman"/>
          <w:b/>
          <w:i/>
          <w:iCs/>
          <w:color w:val="000000"/>
          <w:sz w:val="20"/>
        </w:rPr>
        <w:t>consumers’</w:t>
      </w:r>
      <w:r w:rsidRPr="00166DB1">
        <w:rPr>
          <w:rFonts w:ascii="Times New Roman" w:eastAsia="Garamond" w:hAnsi="Times New Roman"/>
          <w:i/>
          <w:iCs/>
          <w:color w:val="000000"/>
          <w:sz w:val="20"/>
        </w:rPr>
        <w:t xml:space="preserve">. </w:t>
      </w:r>
    </w:p>
    <w:p w14:paraId="529F78B0" w14:textId="77777777" w:rsidR="00166DB1" w:rsidRPr="00166DB1" w:rsidRDefault="00166DB1" w:rsidP="00166DB1">
      <w:pPr>
        <w:spacing w:before="85" w:after="85"/>
        <w:rPr>
          <w:rFonts w:ascii="Garamond" w:eastAsia="Times New Roman" w:hAnsi="Garamond"/>
          <w:color w:val="000000"/>
        </w:rPr>
      </w:pPr>
      <w:r w:rsidRPr="00166DB1">
        <w:rPr>
          <w:rFonts w:ascii="Garamond" w:eastAsia="Times New Roman" w:hAnsi="Garamond"/>
          <w:color w:val="000000"/>
        </w:rPr>
        <w:t>To assist with the evaluation, HMA categorised the 12 programs into four groups with similar characteristics:</w:t>
      </w:r>
    </w:p>
    <w:p w14:paraId="4AE5E0B0" w14:textId="77777777" w:rsidR="00166DB1" w:rsidRPr="00166DB1" w:rsidRDefault="00166DB1" w:rsidP="009F66FB">
      <w:pPr>
        <w:numPr>
          <w:ilvl w:val="0"/>
          <w:numId w:val="2"/>
        </w:numPr>
        <w:spacing w:before="20" w:after="20"/>
        <w:rPr>
          <w:rFonts w:ascii="Garamond" w:eastAsia="Times New Roman" w:hAnsi="Garamond"/>
          <w:color w:val="000000"/>
        </w:rPr>
      </w:pPr>
      <w:r w:rsidRPr="00166DB1">
        <w:rPr>
          <w:rFonts w:ascii="Garamond" w:eastAsia="Times New Roman" w:hAnsi="Garamond"/>
          <w:color w:val="000000"/>
        </w:rPr>
        <w:t>Workforce recruitment programs</w:t>
      </w:r>
    </w:p>
    <w:p w14:paraId="6FE9973A" w14:textId="77777777" w:rsidR="00166DB1" w:rsidRPr="00166DB1" w:rsidRDefault="00166DB1" w:rsidP="009F66FB">
      <w:pPr>
        <w:numPr>
          <w:ilvl w:val="0"/>
          <w:numId w:val="2"/>
        </w:numPr>
        <w:spacing w:before="20" w:after="20"/>
        <w:rPr>
          <w:rFonts w:ascii="Garamond" w:eastAsia="Times New Roman" w:hAnsi="Garamond"/>
          <w:color w:val="000000"/>
        </w:rPr>
      </w:pPr>
      <w:r w:rsidRPr="00166DB1">
        <w:rPr>
          <w:rFonts w:ascii="Garamond" w:eastAsia="Times New Roman" w:hAnsi="Garamond"/>
          <w:color w:val="000000"/>
        </w:rPr>
        <w:t>Workforce retention programs</w:t>
      </w:r>
    </w:p>
    <w:p w14:paraId="6F5B7D5C" w14:textId="77777777" w:rsidR="00166DB1" w:rsidRPr="00166DB1" w:rsidRDefault="00166DB1" w:rsidP="009F66FB">
      <w:pPr>
        <w:numPr>
          <w:ilvl w:val="0"/>
          <w:numId w:val="2"/>
        </w:numPr>
        <w:spacing w:before="20" w:after="20"/>
        <w:rPr>
          <w:rFonts w:ascii="Garamond" w:eastAsia="Times New Roman" w:hAnsi="Garamond"/>
          <w:color w:val="000000"/>
        </w:rPr>
      </w:pPr>
      <w:r w:rsidRPr="00166DB1">
        <w:rPr>
          <w:rFonts w:ascii="Garamond" w:eastAsia="Times New Roman" w:hAnsi="Garamond"/>
          <w:color w:val="000000"/>
        </w:rPr>
        <w:t xml:space="preserve">Other workforce support programs, and </w:t>
      </w:r>
    </w:p>
    <w:p w14:paraId="23E524D7" w14:textId="77777777" w:rsidR="00166DB1" w:rsidRPr="00166DB1" w:rsidRDefault="00166DB1" w:rsidP="009F66FB">
      <w:pPr>
        <w:numPr>
          <w:ilvl w:val="0"/>
          <w:numId w:val="2"/>
        </w:numPr>
        <w:spacing w:before="20" w:after="20"/>
        <w:rPr>
          <w:rFonts w:ascii="Garamond" w:eastAsia="Times New Roman" w:hAnsi="Garamond"/>
          <w:color w:val="000000"/>
        </w:rPr>
      </w:pPr>
      <w:r w:rsidRPr="00166DB1">
        <w:rPr>
          <w:rFonts w:ascii="Garamond" w:eastAsia="Times New Roman" w:hAnsi="Garamond"/>
          <w:color w:val="000000"/>
        </w:rPr>
        <w:t>Enhancing availability of culturally appropriate services.</w:t>
      </w:r>
      <w:r w:rsidRPr="00166DB1">
        <w:rPr>
          <w:rFonts w:ascii="Garamond" w:eastAsia="Times New Roman" w:hAnsi="Garamond"/>
          <w:i/>
          <w:color w:val="000000"/>
        </w:rPr>
        <w:t xml:space="preserve"> </w:t>
      </w:r>
    </w:p>
    <w:p w14:paraId="28C30DAB"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Key findings relating the context of the programs are summarised in the following table. </w:t>
      </w:r>
    </w:p>
    <w:tbl>
      <w:tblPr>
        <w:tblStyle w:val="KeyFindings"/>
        <w:tblW w:w="5000" w:type="pct"/>
        <w:shd w:val="clear" w:color="auto" w:fill="F2F2F2" w:themeFill="background1" w:themeFillShade="F2"/>
        <w:tblLayout w:type="fixed"/>
        <w:tblLook w:val="04A0" w:firstRow="1" w:lastRow="0" w:firstColumn="1" w:lastColumn="0" w:noHBand="0" w:noVBand="1"/>
        <w:tblCaption w:val="Summary of key findings"/>
        <w:tblDescription w:val="Table summarising Key Findings 1 to 3"/>
      </w:tblPr>
      <w:tblGrid>
        <w:gridCol w:w="1843"/>
        <w:gridCol w:w="5201"/>
      </w:tblGrid>
      <w:tr w:rsidR="00367717" w:rsidRPr="00166DB1" w14:paraId="6280FD4E" w14:textId="77777777" w:rsidTr="00367717">
        <w:trPr>
          <w:cnfStyle w:val="100000000000" w:firstRow="1" w:lastRow="0" w:firstColumn="0" w:lastColumn="0" w:oddVBand="0" w:evenVBand="0" w:oddHBand="0" w:evenHBand="0" w:firstRowFirstColumn="0" w:firstRowLastColumn="0" w:lastRowFirstColumn="0" w:lastRowLastColumn="0"/>
          <w:tblHeader/>
        </w:trPr>
        <w:tc>
          <w:tcPr>
            <w:tcW w:w="1843" w:type="dxa"/>
            <w:shd w:val="clear" w:color="auto" w:fill="F2F2F2" w:themeFill="background1" w:themeFillShade="F2"/>
            <w:vAlign w:val="center"/>
          </w:tcPr>
          <w:p w14:paraId="7B725983" w14:textId="2880E3BF" w:rsidR="00367717" w:rsidRPr="00166DB1" w:rsidRDefault="00367717" w:rsidP="002D261F">
            <w:pPr>
              <w:pStyle w:val="KeyFindingsTableHeading"/>
            </w:pPr>
          </w:p>
        </w:tc>
        <w:tc>
          <w:tcPr>
            <w:tcW w:w="5201" w:type="dxa"/>
            <w:shd w:val="clear" w:color="auto" w:fill="F2F2F2" w:themeFill="background1" w:themeFillShade="F2"/>
            <w:vAlign w:val="center"/>
          </w:tcPr>
          <w:p w14:paraId="5DF0307C" w14:textId="73ADE881" w:rsidR="00367717" w:rsidRPr="00166DB1" w:rsidRDefault="00367717" w:rsidP="002D261F">
            <w:pPr>
              <w:pStyle w:val="KeyFindingsTableHeading"/>
            </w:pPr>
            <w:r w:rsidRPr="00166DB1">
              <w:t>Summary of key findings</w:t>
            </w:r>
          </w:p>
        </w:tc>
      </w:tr>
      <w:tr w:rsidR="00166DB1" w:rsidRPr="00166DB1" w14:paraId="04F3205C" w14:textId="77777777" w:rsidTr="00367717">
        <w:tc>
          <w:tcPr>
            <w:tcW w:w="1843" w:type="dxa"/>
            <w:shd w:val="clear" w:color="auto" w:fill="F2F2F2" w:themeFill="background1" w:themeFillShade="F2"/>
            <w:vAlign w:val="center"/>
          </w:tcPr>
          <w:p w14:paraId="098287A2" w14:textId="6F397A21" w:rsidR="00166DB1" w:rsidRPr="00166DB1" w:rsidRDefault="00166DB1" w:rsidP="002D261F">
            <w:pPr>
              <w:pStyle w:val="KeyFindingsTableLeftColumn"/>
            </w:pPr>
            <w:r w:rsidRPr="00166DB1">
              <w:fldChar w:fldCharType="begin"/>
            </w:r>
            <w:r w:rsidRPr="00166DB1">
              <w:instrText xml:space="preserve"> REF _Ref490676609 \r \h </w:instrText>
            </w:r>
            <w:r w:rsidR="002D261F">
              <w:instrText xml:space="preserve"> \* MERGEFORMAT </w:instrText>
            </w:r>
            <w:r w:rsidRPr="00166DB1">
              <w:fldChar w:fldCharType="separate"/>
            </w:r>
            <w:r w:rsidRPr="00166DB1">
              <w:t>Key Finding 1:</w:t>
            </w:r>
            <w:r w:rsidRPr="00166DB1">
              <w:fldChar w:fldCharType="end"/>
            </w:r>
          </w:p>
        </w:tc>
        <w:tc>
          <w:tcPr>
            <w:tcW w:w="5201" w:type="dxa"/>
            <w:shd w:val="clear" w:color="auto" w:fill="F2F2F2" w:themeFill="background1" w:themeFillShade="F2"/>
            <w:vAlign w:val="center"/>
          </w:tcPr>
          <w:p w14:paraId="6F9A13B6" w14:textId="6AD9A5DD" w:rsidR="00166DB1" w:rsidRPr="00166DB1" w:rsidRDefault="00166DB1" w:rsidP="002D261F">
            <w:pPr>
              <w:pStyle w:val="KeyFindingsTableCopy"/>
            </w:pPr>
            <w:r w:rsidRPr="00166DB1">
              <w:fldChar w:fldCharType="begin"/>
            </w:r>
            <w:r w:rsidRPr="00166DB1">
              <w:instrText xml:space="preserve"> REF _Ref490676609 \h </w:instrText>
            </w:r>
            <w:r w:rsidR="002D261F">
              <w:instrText xml:space="preserve"> \* MERGEFORMAT </w:instrText>
            </w:r>
            <w:r w:rsidRPr="00166DB1">
              <w:fldChar w:fldCharType="separate"/>
            </w:r>
            <w:r w:rsidRPr="00166DB1">
              <w:t xml:space="preserve">The small funding allocation to Pharmacy Workforce Programs of </w:t>
            </w:r>
            <w:r w:rsidRPr="00166DB1">
              <w:rPr>
                <w:rFonts w:ascii="Times New Roman" w:hAnsi="Times New Roman"/>
              </w:rPr>
              <w:t>$</w:t>
            </w:r>
            <w:r w:rsidRPr="00166DB1">
              <w:t>7.2m over the five years of the 6CPA limits their capacity to support sizeable change in response to rural or Aboriginal and Torres Strait Islander workforce problems.</w:t>
            </w:r>
            <w:r w:rsidRPr="00166DB1">
              <w:fldChar w:fldCharType="end"/>
            </w:r>
          </w:p>
        </w:tc>
      </w:tr>
      <w:tr w:rsidR="00166DB1" w:rsidRPr="00166DB1" w14:paraId="3EE5CF0E" w14:textId="77777777" w:rsidTr="00367717">
        <w:tc>
          <w:tcPr>
            <w:tcW w:w="1843" w:type="dxa"/>
            <w:shd w:val="clear" w:color="auto" w:fill="F2F2F2" w:themeFill="background1" w:themeFillShade="F2"/>
            <w:vAlign w:val="center"/>
          </w:tcPr>
          <w:p w14:paraId="7E2D2AFB" w14:textId="0B0F3715" w:rsidR="00166DB1" w:rsidRPr="00166DB1" w:rsidRDefault="00166DB1" w:rsidP="002D261F">
            <w:pPr>
              <w:pStyle w:val="KeyFindingsTableLeftColumn"/>
            </w:pPr>
            <w:r w:rsidRPr="00166DB1">
              <w:fldChar w:fldCharType="begin"/>
            </w:r>
            <w:r w:rsidRPr="00166DB1">
              <w:instrText xml:space="preserve"> REF _Ref490676614 \r \h </w:instrText>
            </w:r>
            <w:r w:rsidR="002D261F">
              <w:instrText xml:space="preserve"> \* MERGEFORMAT </w:instrText>
            </w:r>
            <w:r w:rsidRPr="00166DB1">
              <w:fldChar w:fldCharType="separate"/>
            </w:r>
            <w:r w:rsidRPr="00166DB1">
              <w:t>Key Finding 2:</w:t>
            </w:r>
            <w:r w:rsidRPr="00166DB1">
              <w:fldChar w:fldCharType="end"/>
            </w:r>
          </w:p>
        </w:tc>
        <w:tc>
          <w:tcPr>
            <w:tcW w:w="5201" w:type="dxa"/>
            <w:shd w:val="clear" w:color="auto" w:fill="F2F2F2" w:themeFill="background1" w:themeFillShade="F2"/>
            <w:vAlign w:val="center"/>
          </w:tcPr>
          <w:p w14:paraId="25D6DCEA" w14:textId="3ABCFBB5" w:rsidR="00166DB1" w:rsidRPr="00166DB1" w:rsidRDefault="00166DB1" w:rsidP="002D261F">
            <w:pPr>
              <w:pStyle w:val="KeyFindingsTableCopy"/>
            </w:pPr>
            <w:r w:rsidRPr="00166DB1">
              <w:fldChar w:fldCharType="begin"/>
            </w:r>
            <w:r w:rsidRPr="00166DB1">
              <w:instrText xml:space="preserve"> REF _Ref490676614 \h </w:instrText>
            </w:r>
            <w:r w:rsidR="002D261F">
              <w:instrText xml:space="preserve"> \* MERGEFORMAT </w:instrText>
            </w:r>
            <w:r w:rsidRPr="00166DB1">
              <w:fldChar w:fldCharType="separate"/>
            </w:r>
            <w:r w:rsidRPr="00166DB1">
              <w:t>If it is decided to continue with the Pharmacy Workforce Programs, in future there should be a clearer specification of their objectives, including a clear statement of why the programs are being implemented, what they are expected to realise over the life of a Community Pharmacy Agreement, and the target activity level they aim to realise.</w:t>
            </w:r>
            <w:r w:rsidRPr="00166DB1">
              <w:fldChar w:fldCharType="end"/>
            </w:r>
          </w:p>
        </w:tc>
      </w:tr>
      <w:tr w:rsidR="00166DB1" w:rsidRPr="00166DB1" w14:paraId="0A5E60C1" w14:textId="77777777" w:rsidTr="00367717">
        <w:tc>
          <w:tcPr>
            <w:tcW w:w="1843" w:type="dxa"/>
            <w:shd w:val="clear" w:color="auto" w:fill="F2F2F2" w:themeFill="background1" w:themeFillShade="F2"/>
            <w:vAlign w:val="center"/>
          </w:tcPr>
          <w:p w14:paraId="114521F5" w14:textId="61C0D41A" w:rsidR="00166DB1" w:rsidRPr="00166DB1" w:rsidRDefault="00166DB1" w:rsidP="002D261F">
            <w:pPr>
              <w:pStyle w:val="KeyFindingsTableLeftColumn"/>
            </w:pPr>
            <w:r w:rsidRPr="00166DB1">
              <w:fldChar w:fldCharType="begin"/>
            </w:r>
            <w:r w:rsidRPr="00166DB1">
              <w:instrText xml:space="preserve"> REF _Ref490676626 \r \h </w:instrText>
            </w:r>
            <w:r w:rsidR="002D261F">
              <w:instrText xml:space="preserve"> \* MERGEFORMAT </w:instrText>
            </w:r>
            <w:r w:rsidRPr="00166DB1">
              <w:fldChar w:fldCharType="separate"/>
            </w:r>
            <w:r w:rsidRPr="00166DB1">
              <w:t>Key Finding 3:</w:t>
            </w:r>
            <w:r w:rsidRPr="00166DB1">
              <w:fldChar w:fldCharType="end"/>
            </w:r>
          </w:p>
        </w:tc>
        <w:tc>
          <w:tcPr>
            <w:tcW w:w="5201" w:type="dxa"/>
            <w:shd w:val="clear" w:color="auto" w:fill="F2F2F2" w:themeFill="background1" w:themeFillShade="F2"/>
            <w:vAlign w:val="center"/>
          </w:tcPr>
          <w:p w14:paraId="24346DA0" w14:textId="7F11224C" w:rsidR="00166DB1" w:rsidRPr="00166DB1" w:rsidRDefault="00166DB1" w:rsidP="002D261F">
            <w:pPr>
              <w:pStyle w:val="KeyFindingsTableCopy"/>
            </w:pPr>
            <w:r w:rsidRPr="00166DB1">
              <w:fldChar w:fldCharType="begin"/>
            </w:r>
            <w:r w:rsidRPr="00166DB1">
              <w:instrText xml:space="preserve"> REF _Ref490676626 \h </w:instrText>
            </w:r>
            <w:r w:rsidR="002D261F">
              <w:instrText xml:space="preserve"> \* MERGEFORMAT </w:instrText>
            </w:r>
            <w:r w:rsidRPr="00166DB1">
              <w:fldChar w:fldCharType="separate"/>
            </w:r>
            <w:r w:rsidRPr="00166DB1">
              <w:t>Expenditure data available to the evaluators found there was an under-spend on the Pharmacy Workforce Package in the years 2013–14 and 2014–15 of around 40%, suggesting the component programs did not get the resource allocation priority intended by the original 5CPA budget schedule.</w:t>
            </w:r>
            <w:r w:rsidRPr="00166DB1">
              <w:fldChar w:fldCharType="end"/>
            </w:r>
          </w:p>
        </w:tc>
      </w:tr>
    </w:tbl>
    <w:p w14:paraId="61B2867B" w14:textId="77777777" w:rsidR="00166DB1" w:rsidRPr="00166DB1" w:rsidRDefault="00166DB1" w:rsidP="00B24642">
      <w:pPr>
        <w:pStyle w:val="ESHeading2"/>
        <w:rPr>
          <w:rFonts w:eastAsia="Times New Roman"/>
        </w:rPr>
      </w:pPr>
      <w:r w:rsidRPr="00166DB1">
        <w:rPr>
          <w:rFonts w:eastAsia="Times New Roman"/>
        </w:rPr>
        <w:t xml:space="preserve">Method </w:t>
      </w:r>
    </w:p>
    <w:p w14:paraId="18DE09A2" w14:textId="77777777" w:rsidR="00166DB1" w:rsidRPr="00166DB1" w:rsidRDefault="00166DB1" w:rsidP="00B24642">
      <w:pPr>
        <w:pStyle w:val="ESHeading3"/>
        <w:rPr>
          <w:rFonts w:eastAsia="Times New Roman"/>
        </w:rPr>
      </w:pPr>
      <w:r w:rsidRPr="00166DB1">
        <w:rPr>
          <w:rFonts w:eastAsia="Times New Roman"/>
        </w:rPr>
        <w:t xml:space="preserve">Data collection </w:t>
      </w:r>
    </w:p>
    <w:p w14:paraId="19244360" w14:textId="28EF0400"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HMA used a needs </w:t>
      </w:r>
      <w:r w:rsidR="00D65552" w:rsidRPr="00166DB1">
        <w:rPr>
          <w:rFonts w:ascii="Garamond" w:eastAsia="Garamond" w:hAnsi="Garamond"/>
          <w:color w:val="000000"/>
        </w:rPr>
        <w:t>assessment-based</w:t>
      </w:r>
      <w:r w:rsidRPr="00166DB1">
        <w:rPr>
          <w:rFonts w:ascii="Garamond" w:eastAsia="Garamond" w:hAnsi="Garamond"/>
          <w:color w:val="000000"/>
        </w:rPr>
        <w:t xml:space="preserve"> methodology to obtain relevant information on the program need, use and perceived benefits. The key stages were:</w:t>
      </w:r>
    </w:p>
    <w:p w14:paraId="1F398435" w14:textId="77777777" w:rsidR="00166DB1" w:rsidRPr="00A4675C" w:rsidRDefault="00166DB1" w:rsidP="009F66FB">
      <w:pPr>
        <w:pStyle w:val="ListParagraph"/>
        <w:numPr>
          <w:ilvl w:val="0"/>
          <w:numId w:val="6"/>
        </w:numPr>
        <w:tabs>
          <w:tab w:val="num" w:pos="170"/>
        </w:tabs>
        <w:spacing w:before="20" w:after="20"/>
        <w:rPr>
          <w:rFonts w:ascii="Garamond" w:eastAsia="Times New Roman" w:hAnsi="Garamond"/>
          <w:color w:val="000000"/>
        </w:rPr>
      </w:pPr>
      <w:r w:rsidRPr="00A4675C">
        <w:rPr>
          <w:rFonts w:ascii="Garamond" w:eastAsia="Times New Roman" w:hAnsi="Garamond"/>
          <w:color w:val="000000"/>
        </w:rPr>
        <w:t xml:space="preserve">Situation analysis to review program objectives, use and costs. </w:t>
      </w:r>
    </w:p>
    <w:p w14:paraId="7C919FEB" w14:textId="77777777" w:rsidR="00166DB1" w:rsidRPr="00A4675C" w:rsidRDefault="00166DB1" w:rsidP="009F66FB">
      <w:pPr>
        <w:pStyle w:val="ListParagraph"/>
        <w:numPr>
          <w:ilvl w:val="0"/>
          <w:numId w:val="6"/>
        </w:numPr>
        <w:tabs>
          <w:tab w:val="num" w:pos="170"/>
        </w:tabs>
        <w:spacing w:before="20" w:after="20"/>
        <w:rPr>
          <w:rFonts w:ascii="Garamond" w:eastAsia="Times New Roman" w:hAnsi="Garamond"/>
          <w:color w:val="000000"/>
        </w:rPr>
      </w:pPr>
      <w:r w:rsidRPr="00A4675C">
        <w:rPr>
          <w:rFonts w:ascii="Garamond" w:eastAsia="Times New Roman" w:hAnsi="Garamond"/>
          <w:color w:val="000000"/>
        </w:rPr>
        <w:t>PICO (Population, Intervention, Comparison, Outcome) analysis of program data and peer reviewed literature to assess program need and evidence base.</w:t>
      </w:r>
    </w:p>
    <w:p w14:paraId="79B10330" w14:textId="77777777" w:rsidR="00166DB1" w:rsidRPr="00A4675C" w:rsidRDefault="00166DB1" w:rsidP="009F66FB">
      <w:pPr>
        <w:pStyle w:val="ListParagraph"/>
        <w:numPr>
          <w:ilvl w:val="0"/>
          <w:numId w:val="6"/>
        </w:numPr>
        <w:tabs>
          <w:tab w:val="num" w:pos="170"/>
        </w:tabs>
        <w:spacing w:before="20" w:after="20"/>
        <w:rPr>
          <w:rFonts w:ascii="Garamond" w:eastAsia="Times New Roman" w:hAnsi="Garamond"/>
          <w:color w:val="000000"/>
        </w:rPr>
      </w:pPr>
      <w:r w:rsidRPr="00A4675C">
        <w:rPr>
          <w:rFonts w:ascii="Garamond" w:eastAsia="Times New Roman" w:hAnsi="Garamond"/>
          <w:color w:val="000000"/>
        </w:rPr>
        <w:t>Assess relative need through consultation with peak body stakeholders.</w:t>
      </w:r>
    </w:p>
    <w:p w14:paraId="16D43C5B" w14:textId="77777777" w:rsidR="00166DB1" w:rsidRPr="00A4675C" w:rsidRDefault="00166DB1" w:rsidP="009F66FB">
      <w:pPr>
        <w:pStyle w:val="ListParagraph"/>
        <w:numPr>
          <w:ilvl w:val="0"/>
          <w:numId w:val="6"/>
        </w:numPr>
        <w:tabs>
          <w:tab w:val="num" w:pos="170"/>
        </w:tabs>
        <w:spacing w:before="20" w:after="20"/>
        <w:rPr>
          <w:rFonts w:ascii="Garamond" w:eastAsia="Times New Roman" w:hAnsi="Garamond"/>
          <w:color w:val="000000"/>
        </w:rPr>
      </w:pPr>
      <w:r w:rsidRPr="00A4675C">
        <w:rPr>
          <w:rFonts w:ascii="Garamond" w:eastAsia="Times New Roman" w:hAnsi="Garamond"/>
          <w:color w:val="000000"/>
        </w:rPr>
        <w:t xml:space="preserve">Assess program outcomes through consultation with funding recipients and rural and remote pharmacists, face to face and via an online survey. </w:t>
      </w:r>
    </w:p>
    <w:p w14:paraId="671C2288" w14:textId="0C602C6A" w:rsidR="00166DB1" w:rsidRPr="00A4675C" w:rsidRDefault="00166DB1" w:rsidP="009F66FB">
      <w:pPr>
        <w:pStyle w:val="ListParagraph"/>
        <w:numPr>
          <w:ilvl w:val="0"/>
          <w:numId w:val="6"/>
        </w:numPr>
        <w:tabs>
          <w:tab w:val="num" w:pos="170"/>
        </w:tabs>
        <w:spacing w:before="20" w:after="20"/>
        <w:rPr>
          <w:rFonts w:ascii="Garamond" w:eastAsia="Times New Roman" w:hAnsi="Garamond"/>
          <w:color w:val="000000"/>
        </w:rPr>
      </w:pPr>
      <w:r w:rsidRPr="00A4675C">
        <w:rPr>
          <w:rFonts w:ascii="Garamond" w:eastAsia="Times New Roman" w:hAnsi="Garamond"/>
          <w:color w:val="000000"/>
        </w:rPr>
        <w:t>Evidence synthesis using a data triangulation methodology to assess the appropriateness, effectiveness and efficiency of the programs individually and the Pharmacy Workforce Programs as a package.</w:t>
      </w:r>
    </w:p>
    <w:p w14:paraId="3D65B371"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This document represented the assessment of the Pharmacy Workforce Programs as a package. Detail on the findings for individual programs is available in the accompanying </w:t>
      </w:r>
      <w:r w:rsidRPr="00166DB1">
        <w:rPr>
          <w:rFonts w:ascii="Garamond" w:eastAsia="Garamond" w:hAnsi="Garamond"/>
          <w:i/>
          <w:color w:val="000000"/>
        </w:rPr>
        <w:t xml:space="preserve">Detailed Analysis of Workforce Programs </w:t>
      </w:r>
      <w:r w:rsidRPr="00166DB1">
        <w:rPr>
          <w:rFonts w:ascii="Garamond" w:eastAsia="Garamond" w:hAnsi="Garamond"/>
          <w:color w:val="000000"/>
        </w:rPr>
        <w:t xml:space="preserve">(Volume 2). Interim deliverables and data collection tools are available in the accompanying </w:t>
      </w:r>
      <w:r w:rsidRPr="00166DB1">
        <w:rPr>
          <w:rFonts w:ascii="Garamond" w:eastAsia="Garamond" w:hAnsi="Garamond"/>
          <w:i/>
          <w:color w:val="000000"/>
        </w:rPr>
        <w:t>Technical Paper</w:t>
      </w:r>
      <w:r w:rsidRPr="00166DB1">
        <w:rPr>
          <w:rFonts w:ascii="Garamond" w:eastAsia="Garamond" w:hAnsi="Garamond"/>
          <w:color w:val="000000"/>
        </w:rPr>
        <w:t xml:space="preserve"> (Volume 3). </w:t>
      </w:r>
    </w:p>
    <w:p w14:paraId="01A1CF72" w14:textId="77777777" w:rsidR="00166DB1" w:rsidRPr="00166DB1" w:rsidRDefault="00166DB1" w:rsidP="00B24642">
      <w:pPr>
        <w:pStyle w:val="ESHeading3"/>
        <w:rPr>
          <w:rFonts w:eastAsia="Times New Roman"/>
        </w:rPr>
      </w:pPr>
      <w:r w:rsidRPr="00166DB1">
        <w:rPr>
          <w:rFonts w:eastAsia="Times New Roman"/>
        </w:rPr>
        <w:t xml:space="preserve">Data limitations </w:t>
      </w:r>
    </w:p>
    <w:p w14:paraId="379FF047"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Pharmacy workforce data from the Department of Health Workforce Reform Branch was only available for the 2013–2015 period due to a change in the data collection format in 2012. The limited data set diminished the identification of workforce trends over time and the capacity to track the impact of workforce programs. </w:t>
      </w:r>
    </w:p>
    <w:p w14:paraId="0DD19F8D"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Individual program data including program participation, expenditure and budget was provided by The Guild. However, there were significant gaps in the data provided. For example, audited statements for each program were only available for the 2013–14 and 2014–15 financial years.</w:t>
      </w:r>
    </w:p>
    <w:p w14:paraId="3DE2954D" w14:textId="77777777" w:rsidR="00166DB1" w:rsidRPr="00166DB1" w:rsidRDefault="00166DB1" w:rsidP="00B24642">
      <w:pPr>
        <w:pStyle w:val="ESHeading2"/>
        <w:rPr>
          <w:rFonts w:eastAsia="Times New Roman"/>
        </w:rPr>
      </w:pPr>
      <w:r w:rsidRPr="00166DB1">
        <w:rPr>
          <w:rFonts w:eastAsia="Times New Roman"/>
        </w:rPr>
        <w:t xml:space="preserve">Program findings </w:t>
      </w:r>
    </w:p>
    <w:p w14:paraId="388683D7"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Pharmacy Workforce Package was evaluated for appropriateness, effectiveness and efficiency. The key findings are summarised here. </w:t>
      </w:r>
    </w:p>
    <w:p w14:paraId="1B7C92EB" w14:textId="77777777" w:rsidR="00166DB1" w:rsidRPr="00166DB1" w:rsidRDefault="00166DB1" w:rsidP="00B24642">
      <w:pPr>
        <w:pStyle w:val="ESHeading3"/>
        <w:rPr>
          <w:rFonts w:eastAsia="Times New Roman"/>
        </w:rPr>
      </w:pPr>
      <w:r w:rsidRPr="00166DB1">
        <w:rPr>
          <w:rFonts w:eastAsia="Times New Roman"/>
        </w:rPr>
        <w:t xml:space="preserve">Appropriateness </w:t>
      </w:r>
    </w:p>
    <w:p w14:paraId="151D039C"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An examination of a program’s </w:t>
      </w:r>
      <w:r w:rsidRPr="00166DB1">
        <w:rPr>
          <w:rFonts w:ascii="Garamond" w:eastAsia="Garamond" w:hAnsi="Garamond"/>
          <w:i/>
          <w:color w:val="000000"/>
        </w:rPr>
        <w:t>appropriateness</w:t>
      </w:r>
      <w:r w:rsidRPr="00166DB1">
        <w:rPr>
          <w:rFonts w:ascii="Garamond" w:eastAsia="Garamond" w:hAnsi="Garamond"/>
          <w:color w:val="000000"/>
        </w:rPr>
        <w:t xml:space="preserve"> seeks to ascertain:</w:t>
      </w:r>
    </w:p>
    <w:p w14:paraId="15204108" w14:textId="77777777" w:rsidR="00166DB1" w:rsidRPr="00166DB1" w:rsidRDefault="00166DB1" w:rsidP="00166DB1">
      <w:pPr>
        <w:spacing w:before="85" w:after="85"/>
        <w:ind w:left="284" w:right="284"/>
        <w:rPr>
          <w:rFonts w:ascii="Times New Roman" w:eastAsia="Garamond" w:hAnsi="Times New Roman"/>
          <w:i/>
          <w:iCs/>
          <w:color w:val="000000"/>
          <w:sz w:val="20"/>
          <w:lang w:val="en-US"/>
        </w:rPr>
      </w:pPr>
      <w:r w:rsidRPr="00166DB1">
        <w:rPr>
          <w:rFonts w:ascii="Times New Roman" w:eastAsia="Garamond" w:hAnsi="Times New Roman"/>
          <w:i/>
          <w:iCs/>
          <w:color w:val="000000"/>
          <w:sz w:val="20"/>
        </w:rPr>
        <w:lastRenderedPageBreak/>
        <w:t>the continued relevance and priority of program objectives in the light of current circumstances including government policy changes</w:t>
      </w:r>
      <w:r w:rsidRPr="00166DB1">
        <w:rPr>
          <w:rFonts w:ascii="Times New Roman" w:eastAsia="Garamond" w:hAnsi="Times New Roman"/>
          <w:i/>
          <w:iCs/>
          <w:color w:val="000000"/>
          <w:sz w:val="20"/>
          <w:lang w:val="en-US"/>
        </w:rPr>
        <w:t>.</w:t>
      </w:r>
      <w:sdt>
        <w:sdtPr>
          <w:rPr>
            <w:rFonts w:ascii="Times New Roman" w:eastAsia="Garamond" w:hAnsi="Times New Roman"/>
            <w:i/>
            <w:iCs/>
            <w:color w:val="000000"/>
            <w:sz w:val="20"/>
            <w:lang w:val="en-US"/>
          </w:rPr>
          <w:id w:val="2127877566"/>
          <w:citation/>
        </w:sdtPr>
        <w:sdtEndPr/>
        <w:sdtContent>
          <w:r w:rsidRPr="00166DB1">
            <w:rPr>
              <w:rFonts w:ascii="Times New Roman" w:eastAsia="Garamond" w:hAnsi="Times New Roman"/>
              <w:i/>
              <w:iCs/>
              <w:color w:val="000000"/>
              <w:sz w:val="20"/>
              <w:lang w:val="en-US"/>
            </w:rPr>
            <w:fldChar w:fldCharType="begin"/>
          </w:r>
          <w:r w:rsidRPr="00166DB1">
            <w:rPr>
              <w:rFonts w:ascii="Times New Roman" w:eastAsia="Garamond" w:hAnsi="Times New Roman"/>
              <w:i/>
              <w:iCs/>
              <w:color w:val="000000"/>
              <w:sz w:val="20"/>
            </w:rPr>
            <w:instrText xml:space="preserve"> CITATION Tun10 \l 3081 </w:instrText>
          </w:r>
          <w:r w:rsidRPr="00166DB1">
            <w:rPr>
              <w:rFonts w:ascii="Times New Roman" w:eastAsia="Garamond" w:hAnsi="Times New Roman"/>
              <w:i/>
              <w:iCs/>
              <w:color w:val="000000"/>
              <w:sz w:val="20"/>
              <w:lang w:val="en-US"/>
            </w:rPr>
            <w:fldChar w:fldCharType="separate"/>
          </w:r>
          <w:r w:rsidRPr="00166DB1">
            <w:rPr>
              <w:rFonts w:ascii="Times New Roman" w:eastAsia="Garamond" w:hAnsi="Times New Roman"/>
              <w:i/>
              <w:iCs/>
              <w:noProof/>
              <w:color w:val="000000"/>
              <w:sz w:val="20"/>
            </w:rPr>
            <w:t xml:space="preserve"> [1]</w:t>
          </w:r>
          <w:r w:rsidRPr="00166DB1">
            <w:rPr>
              <w:rFonts w:ascii="Times New Roman" w:eastAsia="Garamond" w:hAnsi="Times New Roman"/>
              <w:i/>
              <w:iCs/>
              <w:color w:val="000000"/>
              <w:sz w:val="20"/>
              <w:lang w:val="en-US"/>
            </w:rPr>
            <w:fldChar w:fldCharType="end"/>
          </w:r>
        </w:sdtContent>
      </w:sdt>
    </w:p>
    <w:p w14:paraId="116B7CB7"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 The key findings of the appropriateness of the Pharmacy Workforce Program package are presented below. </w:t>
      </w:r>
    </w:p>
    <w:tbl>
      <w:tblPr>
        <w:tblStyle w:val="KeyFindings"/>
        <w:tblW w:w="5000" w:type="pct"/>
        <w:shd w:val="clear" w:color="auto" w:fill="F2F2F2" w:themeFill="background1" w:themeFillShade="F2"/>
        <w:tblLayout w:type="fixed"/>
        <w:tblLook w:val="04A0" w:firstRow="1" w:lastRow="0" w:firstColumn="1" w:lastColumn="0" w:noHBand="0" w:noVBand="1"/>
        <w:tblCaption w:val="Summary of Key Findings - Appropriateness"/>
        <w:tblDescription w:val="Table summarising Key Findings 4 to 11"/>
      </w:tblPr>
      <w:tblGrid>
        <w:gridCol w:w="1843"/>
        <w:gridCol w:w="5201"/>
      </w:tblGrid>
      <w:tr w:rsidR="00133610" w:rsidRPr="00166DB1" w14:paraId="7CE13E8C" w14:textId="77777777" w:rsidTr="00133610">
        <w:trPr>
          <w:cnfStyle w:val="100000000000" w:firstRow="1" w:lastRow="0" w:firstColumn="0" w:lastColumn="0" w:oddVBand="0" w:evenVBand="0" w:oddHBand="0" w:evenHBand="0" w:firstRowFirstColumn="0" w:firstRowLastColumn="0" w:lastRowFirstColumn="0" w:lastRowLastColumn="0"/>
          <w:tblHeader/>
        </w:trPr>
        <w:tc>
          <w:tcPr>
            <w:tcW w:w="1843" w:type="dxa"/>
            <w:shd w:val="clear" w:color="auto" w:fill="F2F2F2" w:themeFill="background1" w:themeFillShade="F2"/>
            <w:vAlign w:val="center"/>
          </w:tcPr>
          <w:p w14:paraId="5E5B3819" w14:textId="05242F84" w:rsidR="00133610" w:rsidRPr="00166DB1" w:rsidRDefault="00133610" w:rsidP="002D261F">
            <w:pPr>
              <w:pStyle w:val="KeyFindingsTableHeading"/>
            </w:pPr>
          </w:p>
        </w:tc>
        <w:tc>
          <w:tcPr>
            <w:tcW w:w="5201" w:type="dxa"/>
            <w:shd w:val="clear" w:color="auto" w:fill="F2F2F2" w:themeFill="background1" w:themeFillShade="F2"/>
            <w:vAlign w:val="center"/>
          </w:tcPr>
          <w:p w14:paraId="639C43C8" w14:textId="583F8669" w:rsidR="00133610" w:rsidRPr="00166DB1" w:rsidRDefault="00133610" w:rsidP="002D261F">
            <w:pPr>
              <w:pStyle w:val="KeyFindingsTableHeading"/>
            </w:pPr>
            <w:r w:rsidRPr="00166DB1">
              <w:t>Summary of key findings – Appropriateness</w:t>
            </w:r>
          </w:p>
        </w:tc>
      </w:tr>
      <w:tr w:rsidR="00166DB1" w:rsidRPr="00166DB1" w14:paraId="75722BED" w14:textId="77777777" w:rsidTr="00133610">
        <w:tc>
          <w:tcPr>
            <w:tcW w:w="1843" w:type="dxa"/>
            <w:shd w:val="clear" w:color="auto" w:fill="F2F2F2" w:themeFill="background1" w:themeFillShade="F2"/>
            <w:vAlign w:val="center"/>
          </w:tcPr>
          <w:p w14:paraId="68297A77" w14:textId="4F5DABC1" w:rsidR="00166DB1" w:rsidRPr="00166DB1" w:rsidRDefault="00166DB1" w:rsidP="002D261F">
            <w:pPr>
              <w:pStyle w:val="KeyFindingsTableLeftColumn"/>
            </w:pPr>
            <w:r w:rsidRPr="00166DB1">
              <w:fldChar w:fldCharType="begin"/>
            </w:r>
            <w:r w:rsidRPr="00166DB1">
              <w:instrText xml:space="preserve"> REF _Ref490665284 \r \h </w:instrText>
            </w:r>
            <w:r w:rsidR="002D261F">
              <w:instrText xml:space="preserve"> \* MERGEFORMAT </w:instrText>
            </w:r>
            <w:r w:rsidRPr="00166DB1">
              <w:fldChar w:fldCharType="separate"/>
            </w:r>
            <w:r w:rsidRPr="00166DB1">
              <w:t>Key Finding 4:</w:t>
            </w:r>
            <w:r w:rsidRPr="00166DB1">
              <w:fldChar w:fldCharType="end"/>
            </w:r>
          </w:p>
        </w:tc>
        <w:tc>
          <w:tcPr>
            <w:tcW w:w="5201" w:type="dxa"/>
            <w:shd w:val="clear" w:color="auto" w:fill="F2F2F2" w:themeFill="background1" w:themeFillShade="F2"/>
            <w:vAlign w:val="center"/>
          </w:tcPr>
          <w:p w14:paraId="1A4C1FF1" w14:textId="5792E58D" w:rsidR="00166DB1" w:rsidRPr="00166DB1" w:rsidRDefault="00166DB1" w:rsidP="002D261F">
            <w:pPr>
              <w:pStyle w:val="KeyFindingsTableCopy"/>
            </w:pPr>
            <w:r w:rsidRPr="00166DB1">
              <w:fldChar w:fldCharType="begin"/>
            </w:r>
            <w:r w:rsidRPr="00166DB1">
              <w:instrText xml:space="preserve"> REF _Ref490665284 \h </w:instrText>
            </w:r>
            <w:r w:rsidR="002D261F">
              <w:instrText xml:space="preserve"> \* MERGEFORMAT </w:instrText>
            </w:r>
            <w:r w:rsidRPr="00166DB1">
              <w:fldChar w:fldCharType="separate"/>
            </w:r>
            <w:r w:rsidRPr="00166DB1">
              <w:t>There was an overall increase of 5.8% in the number of pharmacists from 19,188 in 2013 to 20,297 in 2015.</w:t>
            </w:r>
            <w:r w:rsidRPr="00166DB1">
              <w:fldChar w:fldCharType="end"/>
            </w:r>
          </w:p>
        </w:tc>
      </w:tr>
      <w:tr w:rsidR="00166DB1" w:rsidRPr="00166DB1" w14:paraId="32ECE84B" w14:textId="77777777" w:rsidTr="00133610">
        <w:tc>
          <w:tcPr>
            <w:tcW w:w="1843" w:type="dxa"/>
            <w:shd w:val="clear" w:color="auto" w:fill="F2F2F2" w:themeFill="background1" w:themeFillShade="F2"/>
            <w:vAlign w:val="center"/>
          </w:tcPr>
          <w:p w14:paraId="380C18F6" w14:textId="397D3547" w:rsidR="00166DB1" w:rsidRPr="00166DB1" w:rsidRDefault="00166DB1" w:rsidP="002D261F">
            <w:pPr>
              <w:pStyle w:val="KeyFindingsTableLeftColumn"/>
            </w:pPr>
            <w:r w:rsidRPr="00166DB1">
              <w:fldChar w:fldCharType="begin"/>
            </w:r>
            <w:r w:rsidRPr="00166DB1">
              <w:instrText xml:space="preserve"> REF _Ref490665326 \r \h </w:instrText>
            </w:r>
            <w:r w:rsidR="002D261F">
              <w:instrText xml:space="preserve"> \* MERGEFORMAT </w:instrText>
            </w:r>
            <w:r w:rsidRPr="00166DB1">
              <w:fldChar w:fldCharType="separate"/>
            </w:r>
            <w:r w:rsidRPr="00166DB1">
              <w:t>Key Finding 5:</w:t>
            </w:r>
            <w:r w:rsidRPr="00166DB1">
              <w:fldChar w:fldCharType="end"/>
            </w:r>
          </w:p>
        </w:tc>
        <w:tc>
          <w:tcPr>
            <w:tcW w:w="5201" w:type="dxa"/>
            <w:shd w:val="clear" w:color="auto" w:fill="F2F2F2" w:themeFill="background1" w:themeFillShade="F2"/>
            <w:vAlign w:val="center"/>
          </w:tcPr>
          <w:p w14:paraId="43266491" w14:textId="1371C395" w:rsidR="00166DB1" w:rsidRPr="00166DB1" w:rsidRDefault="00166DB1" w:rsidP="002D261F">
            <w:pPr>
              <w:pStyle w:val="KeyFindingsTableCopy"/>
            </w:pPr>
            <w:r w:rsidRPr="00166DB1">
              <w:fldChar w:fldCharType="begin"/>
            </w:r>
            <w:r w:rsidRPr="00166DB1">
              <w:instrText xml:space="preserve"> REF _Ref490665326 \h </w:instrText>
            </w:r>
            <w:r w:rsidR="002D261F">
              <w:instrText xml:space="preserve"> \* MERGEFORMAT </w:instrText>
            </w:r>
            <w:r w:rsidRPr="00166DB1">
              <w:fldChar w:fldCharType="separate"/>
            </w:r>
            <w:r w:rsidRPr="00166DB1">
              <w:t xml:space="preserve">The distribution of pharmacist FTE rates (per 100,000 population) was skewed towards metropolitan areas. The latest available data showed the following community pharmacist FTE per 100,000 people in 2015: major cities – 54.5; inner regional – 52.2; outer regional – 50.4; remote </w:t>
            </w:r>
            <w:r w:rsidRPr="00166DB1">
              <w:softHyphen/>
              <w:t xml:space="preserve"> 40.3; and very remote – 27.5.</w:t>
            </w:r>
            <w:r w:rsidRPr="00166DB1">
              <w:fldChar w:fldCharType="end"/>
            </w:r>
          </w:p>
        </w:tc>
      </w:tr>
      <w:tr w:rsidR="00166DB1" w:rsidRPr="00166DB1" w14:paraId="355BF592" w14:textId="77777777" w:rsidTr="00133610">
        <w:tc>
          <w:tcPr>
            <w:tcW w:w="1843" w:type="dxa"/>
            <w:shd w:val="clear" w:color="auto" w:fill="F2F2F2" w:themeFill="background1" w:themeFillShade="F2"/>
            <w:vAlign w:val="center"/>
          </w:tcPr>
          <w:p w14:paraId="45984203" w14:textId="0E68D5FE" w:rsidR="00166DB1" w:rsidRPr="00166DB1" w:rsidRDefault="00166DB1" w:rsidP="002D261F">
            <w:pPr>
              <w:pStyle w:val="KeyFindingsTableLeftColumn"/>
            </w:pPr>
            <w:r w:rsidRPr="00166DB1">
              <w:fldChar w:fldCharType="begin"/>
            </w:r>
            <w:r w:rsidRPr="00166DB1">
              <w:instrText xml:space="preserve"> REF _Ref490665289 \r \h </w:instrText>
            </w:r>
            <w:r w:rsidR="002D261F">
              <w:instrText xml:space="preserve"> \* MERGEFORMAT </w:instrText>
            </w:r>
            <w:r w:rsidRPr="00166DB1">
              <w:fldChar w:fldCharType="separate"/>
            </w:r>
            <w:r w:rsidRPr="00166DB1">
              <w:t>Key Finding 6:</w:t>
            </w:r>
            <w:r w:rsidRPr="00166DB1">
              <w:fldChar w:fldCharType="end"/>
            </w:r>
          </w:p>
        </w:tc>
        <w:tc>
          <w:tcPr>
            <w:tcW w:w="5201" w:type="dxa"/>
            <w:shd w:val="clear" w:color="auto" w:fill="F2F2F2" w:themeFill="background1" w:themeFillShade="F2"/>
            <w:vAlign w:val="center"/>
          </w:tcPr>
          <w:p w14:paraId="7D2952D7" w14:textId="66E620DA" w:rsidR="00166DB1" w:rsidRPr="00166DB1" w:rsidRDefault="00166DB1" w:rsidP="002D261F">
            <w:pPr>
              <w:pStyle w:val="KeyFindingsTableCopy"/>
            </w:pPr>
            <w:r w:rsidRPr="00166DB1">
              <w:fldChar w:fldCharType="begin"/>
            </w:r>
            <w:r w:rsidRPr="00166DB1">
              <w:instrText xml:space="preserve"> REF _Ref490665289 \h </w:instrText>
            </w:r>
            <w:r w:rsidR="002D261F">
              <w:instrText xml:space="preserve"> \* MERGEFORMAT </w:instrText>
            </w:r>
            <w:r w:rsidRPr="00166DB1">
              <w:fldChar w:fldCharType="separate"/>
            </w:r>
            <w:r w:rsidRPr="00166DB1">
              <w:t>Based on the ongoing inequity of the pharmacist workforce distribution, it was concluded there is a continuing need for mechanisms to promote recruitment and retention of pharmacists in non-metropolitan areas, across all pharmacist types.</w:t>
            </w:r>
            <w:r w:rsidRPr="00166DB1">
              <w:fldChar w:fldCharType="end"/>
            </w:r>
          </w:p>
        </w:tc>
      </w:tr>
      <w:tr w:rsidR="00166DB1" w:rsidRPr="00166DB1" w14:paraId="1B7D2691" w14:textId="77777777" w:rsidTr="00133610">
        <w:tc>
          <w:tcPr>
            <w:tcW w:w="1843" w:type="dxa"/>
            <w:shd w:val="clear" w:color="auto" w:fill="F2F2F2" w:themeFill="background1" w:themeFillShade="F2"/>
            <w:vAlign w:val="center"/>
          </w:tcPr>
          <w:p w14:paraId="23E8B86F" w14:textId="25873226" w:rsidR="00166DB1" w:rsidRPr="00166DB1" w:rsidRDefault="00166DB1" w:rsidP="002D261F">
            <w:pPr>
              <w:pStyle w:val="KeyFindingsTableLeftColumn"/>
            </w:pPr>
            <w:r w:rsidRPr="00166DB1">
              <w:fldChar w:fldCharType="begin"/>
            </w:r>
            <w:r w:rsidRPr="00166DB1">
              <w:instrText xml:space="preserve"> REF _Ref490665340 \r \h </w:instrText>
            </w:r>
            <w:r w:rsidR="002D261F">
              <w:instrText xml:space="preserve"> \* MERGEFORMAT </w:instrText>
            </w:r>
            <w:r w:rsidRPr="00166DB1">
              <w:fldChar w:fldCharType="separate"/>
            </w:r>
            <w:r w:rsidRPr="00166DB1">
              <w:t>Key Finding 7:</w:t>
            </w:r>
            <w:r w:rsidRPr="00166DB1">
              <w:fldChar w:fldCharType="end"/>
            </w:r>
          </w:p>
        </w:tc>
        <w:tc>
          <w:tcPr>
            <w:tcW w:w="5201" w:type="dxa"/>
            <w:shd w:val="clear" w:color="auto" w:fill="F2F2F2" w:themeFill="background1" w:themeFillShade="F2"/>
            <w:vAlign w:val="center"/>
          </w:tcPr>
          <w:p w14:paraId="31F83E5C" w14:textId="4E9BA54F" w:rsidR="00166DB1" w:rsidRPr="00166DB1" w:rsidRDefault="00166DB1" w:rsidP="002D261F">
            <w:pPr>
              <w:pStyle w:val="KeyFindingsTableCopy"/>
            </w:pPr>
            <w:r w:rsidRPr="00166DB1">
              <w:fldChar w:fldCharType="begin"/>
            </w:r>
            <w:r w:rsidRPr="00166DB1">
              <w:instrText xml:space="preserve"> REF _Ref490665340 \h </w:instrText>
            </w:r>
            <w:r w:rsidR="002D261F">
              <w:instrText xml:space="preserve"> \* MERGEFORMAT </w:instrText>
            </w:r>
            <w:r w:rsidRPr="00166DB1">
              <w:fldChar w:fldCharType="separate"/>
            </w:r>
            <w:r w:rsidRPr="00166DB1">
              <w:t>Recruitment component programs are supported by moderate to strong evidence, as students with a rural origin or who have had exposure to rural practice are more likely to take up positions in rural areas. However, most literature focused on other health workforces and did not specifically support the appropriateness of delivery mechanisms (i.e. scholarships, placements) in encouraging rural practice.</w:t>
            </w:r>
            <w:r w:rsidRPr="00166DB1">
              <w:fldChar w:fldCharType="end"/>
            </w:r>
          </w:p>
        </w:tc>
      </w:tr>
      <w:tr w:rsidR="00166DB1" w:rsidRPr="00166DB1" w14:paraId="57591A9C" w14:textId="77777777" w:rsidTr="00133610">
        <w:tc>
          <w:tcPr>
            <w:tcW w:w="1843" w:type="dxa"/>
            <w:shd w:val="clear" w:color="auto" w:fill="F2F2F2" w:themeFill="background1" w:themeFillShade="F2"/>
            <w:vAlign w:val="center"/>
          </w:tcPr>
          <w:p w14:paraId="2B3D45AB" w14:textId="4421A8CE" w:rsidR="00166DB1" w:rsidRPr="00166DB1" w:rsidRDefault="00166DB1" w:rsidP="002D261F">
            <w:pPr>
              <w:pStyle w:val="KeyFindingsTableLeftColumn"/>
            </w:pPr>
            <w:r w:rsidRPr="00166DB1">
              <w:fldChar w:fldCharType="begin"/>
            </w:r>
            <w:r w:rsidRPr="00166DB1">
              <w:instrText xml:space="preserve"> REF _Ref490665345 \r \h </w:instrText>
            </w:r>
            <w:r w:rsidR="002D261F">
              <w:instrText xml:space="preserve"> \* MERGEFORMAT </w:instrText>
            </w:r>
            <w:r w:rsidRPr="00166DB1">
              <w:fldChar w:fldCharType="separate"/>
            </w:r>
            <w:r w:rsidRPr="00166DB1">
              <w:t>Key Finding 8:</w:t>
            </w:r>
            <w:r w:rsidRPr="00166DB1">
              <w:fldChar w:fldCharType="end"/>
            </w:r>
          </w:p>
        </w:tc>
        <w:tc>
          <w:tcPr>
            <w:tcW w:w="5201" w:type="dxa"/>
            <w:shd w:val="clear" w:color="auto" w:fill="F2F2F2" w:themeFill="background1" w:themeFillShade="F2"/>
            <w:vAlign w:val="center"/>
          </w:tcPr>
          <w:p w14:paraId="68A6856A" w14:textId="5A55D042" w:rsidR="00166DB1" w:rsidRPr="00166DB1" w:rsidRDefault="00166DB1" w:rsidP="002D261F">
            <w:pPr>
              <w:pStyle w:val="KeyFindingsTableCopy"/>
            </w:pPr>
            <w:r w:rsidRPr="00166DB1">
              <w:fldChar w:fldCharType="begin"/>
            </w:r>
            <w:r w:rsidRPr="00166DB1">
              <w:instrText xml:space="preserve"> REF _Ref490665345 \h </w:instrText>
            </w:r>
            <w:r w:rsidR="002D261F">
              <w:instrText xml:space="preserve"> \* MERGEFORMAT </w:instrText>
            </w:r>
            <w:r w:rsidRPr="00166DB1">
              <w:fldChar w:fldCharType="separate"/>
            </w:r>
            <w:r w:rsidRPr="00166DB1">
              <w:t xml:space="preserve">Retention component programs are supported by moderate evidence. While the programs address key barriers experienced by pharmacists (i.e. access to interns, locums and CPE), there was limited evidence to support the </w:t>
            </w:r>
            <w:r w:rsidRPr="00166DB1">
              <w:t>mechanisms by which support was delivered (i.e. financial assistance to employ an intern).</w:t>
            </w:r>
            <w:r w:rsidRPr="00166DB1">
              <w:fldChar w:fldCharType="end"/>
            </w:r>
          </w:p>
        </w:tc>
      </w:tr>
      <w:tr w:rsidR="00166DB1" w:rsidRPr="00166DB1" w14:paraId="11767A3B" w14:textId="77777777" w:rsidTr="00133610">
        <w:tc>
          <w:tcPr>
            <w:tcW w:w="1843" w:type="dxa"/>
            <w:shd w:val="clear" w:color="auto" w:fill="F2F2F2" w:themeFill="background1" w:themeFillShade="F2"/>
            <w:vAlign w:val="center"/>
          </w:tcPr>
          <w:p w14:paraId="105EAA1E" w14:textId="2923639F" w:rsidR="00166DB1" w:rsidRPr="00166DB1" w:rsidRDefault="00166DB1" w:rsidP="002D261F">
            <w:pPr>
              <w:pStyle w:val="KeyFindingsTableLeftColumn"/>
            </w:pPr>
            <w:r w:rsidRPr="00166DB1">
              <w:fldChar w:fldCharType="begin"/>
            </w:r>
            <w:r w:rsidRPr="00166DB1">
              <w:instrText xml:space="preserve"> REF _Ref490665354 \r \h </w:instrText>
            </w:r>
            <w:r w:rsidR="002D261F">
              <w:instrText xml:space="preserve"> \* MERGEFORMAT </w:instrText>
            </w:r>
            <w:r w:rsidRPr="00166DB1">
              <w:fldChar w:fldCharType="separate"/>
            </w:r>
            <w:r w:rsidRPr="00166DB1">
              <w:t>Key Finding 9:</w:t>
            </w:r>
            <w:r w:rsidRPr="00166DB1">
              <w:fldChar w:fldCharType="end"/>
            </w:r>
          </w:p>
        </w:tc>
        <w:tc>
          <w:tcPr>
            <w:tcW w:w="5201" w:type="dxa"/>
            <w:shd w:val="clear" w:color="auto" w:fill="F2F2F2" w:themeFill="background1" w:themeFillShade="F2"/>
            <w:vAlign w:val="center"/>
          </w:tcPr>
          <w:p w14:paraId="1AB0F367" w14:textId="77777777" w:rsidR="00166DB1" w:rsidRPr="00166DB1" w:rsidRDefault="00166DB1" w:rsidP="002D261F">
            <w:pPr>
              <w:pStyle w:val="KeyFindingsTableCopy"/>
            </w:pPr>
            <w:r w:rsidRPr="00166DB1">
              <w:fldChar w:fldCharType="begin"/>
            </w:r>
            <w:r w:rsidRPr="00166DB1">
              <w:instrText xml:space="preserve"> REF _Ref490665354 \h  \* MERGEFORMAT </w:instrText>
            </w:r>
            <w:r w:rsidRPr="00166DB1">
              <w:fldChar w:fldCharType="separate"/>
            </w:r>
            <w:r w:rsidRPr="00166DB1">
              <w:t>Due to the broad aims underpinning programs providing other support to the pharmacy workforce, the appropriateness of their design is difficult to assess. No literature exists to support the design of either program. However, both programs providing other supports facilitate rural student placements, which have strong support in the literature.</w:t>
            </w:r>
            <w:r w:rsidRPr="00166DB1">
              <w:fldChar w:fldCharType="end"/>
            </w:r>
          </w:p>
        </w:tc>
      </w:tr>
      <w:tr w:rsidR="00166DB1" w:rsidRPr="00166DB1" w14:paraId="02F38148" w14:textId="77777777" w:rsidTr="00133610">
        <w:tc>
          <w:tcPr>
            <w:tcW w:w="1843" w:type="dxa"/>
            <w:shd w:val="clear" w:color="auto" w:fill="F2F2F2" w:themeFill="background1" w:themeFillShade="F2"/>
            <w:vAlign w:val="center"/>
          </w:tcPr>
          <w:p w14:paraId="093BEBAD" w14:textId="4DB196F7" w:rsidR="00166DB1" w:rsidRPr="00166DB1" w:rsidRDefault="00166DB1" w:rsidP="002D261F">
            <w:pPr>
              <w:pStyle w:val="KeyFindingsTableLeftColumn"/>
              <w:rPr>
                <w:rFonts w:eastAsia="Garamond"/>
              </w:rPr>
            </w:pPr>
            <w:r w:rsidRPr="00166DB1">
              <w:rPr>
                <w:rFonts w:eastAsia="Garamond"/>
              </w:rPr>
              <w:fldChar w:fldCharType="begin"/>
            </w:r>
            <w:r w:rsidRPr="00166DB1">
              <w:rPr>
                <w:rFonts w:eastAsia="Garamond"/>
              </w:rPr>
              <w:instrText xml:space="preserve"> REF _Ref490665362 \r \h </w:instrText>
            </w:r>
            <w:r w:rsidR="002D261F">
              <w:rPr>
                <w:rFonts w:eastAsia="Garamond"/>
              </w:rPr>
              <w:instrText xml:space="preserve"> \* MERGEFORMAT </w:instrText>
            </w:r>
            <w:r w:rsidRPr="00166DB1">
              <w:rPr>
                <w:rFonts w:eastAsia="Garamond"/>
              </w:rPr>
            </w:r>
            <w:r w:rsidRPr="00166DB1">
              <w:rPr>
                <w:rFonts w:eastAsia="Garamond"/>
              </w:rPr>
              <w:fldChar w:fldCharType="separate"/>
            </w:r>
            <w:r w:rsidRPr="00166DB1">
              <w:rPr>
                <w:rFonts w:eastAsia="Garamond"/>
              </w:rPr>
              <w:t>Key Finding 10:</w:t>
            </w:r>
            <w:r w:rsidRPr="00166DB1">
              <w:rPr>
                <w:rFonts w:eastAsia="Garamond"/>
              </w:rPr>
              <w:fldChar w:fldCharType="end"/>
            </w:r>
          </w:p>
        </w:tc>
        <w:tc>
          <w:tcPr>
            <w:tcW w:w="5201" w:type="dxa"/>
            <w:shd w:val="clear" w:color="auto" w:fill="F2F2F2" w:themeFill="background1" w:themeFillShade="F2"/>
            <w:vAlign w:val="center"/>
          </w:tcPr>
          <w:p w14:paraId="5ACCEED6" w14:textId="30F95128" w:rsidR="00166DB1" w:rsidRPr="00166DB1" w:rsidRDefault="00166DB1" w:rsidP="002D261F">
            <w:pPr>
              <w:pStyle w:val="KeyFindingsTableCopy"/>
              <w:rPr>
                <w:rFonts w:eastAsia="Garamond"/>
              </w:rPr>
            </w:pPr>
            <w:r w:rsidRPr="00166DB1">
              <w:rPr>
                <w:rFonts w:eastAsia="Garamond"/>
              </w:rPr>
              <w:fldChar w:fldCharType="begin"/>
            </w:r>
            <w:r w:rsidRPr="00166DB1">
              <w:rPr>
                <w:rFonts w:eastAsia="Garamond"/>
              </w:rPr>
              <w:instrText xml:space="preserve"> REF _Ref490665362 \h </w:instrText>
            </w:r>
            <w:r w:rsidR="002D261F">
              <w:rPr>
                <w:rFonts w:eastAsia="Garamond"/>
              </w:rPr>
              <w:instrText xml:space="preserve"> \* MERGEFORMAT </w:instrText>
            </w:r>
            <w:r w:rsidRPr="00166DB1">
              <w:rPr>
                <w:rFonts w:eastAsia="Garamond"/>
              </w:rPr>
            </w:r>
            <w:r w:rsidRPr="00166DB1">
              <w:rPr>
                <w:rFonts w:eastAsia="Garamond"/>
              </w:rPr>
              <w:fldChar w:fldCharType="separate"/>
            </w:r>
            <w:r w:rsidRPr="00166DB1">
              <w:rPr>
                <w:rFonts w:eastAsia="Garamond"/>
              </w:rPr>
              <w:t>PBS expenditure data showed that Aboriginal and Torres Strait Islander people have an ongoing need to increase their access to subsidised medicines.</w:t>
            </w:r>
            <w:r w:rsidRPr="00166DB1">
              <w:rPr>
                <w:rFonts w:eastAsia="Garamond"/>
              </w:rPr>
              <w:fldChar w:fldCharType="end"/>
            </w:r>
          </w:p>
        </w:tc>
      </w:tr>
      <w:tr w:rsidR="00166DB1" w:rsidRPr="00166DB1" w14:paraId="66122848" w14:textId="77777777" w:rsidTr="00133610">
        <w:tc>
          <w:tcPr>
            <w:tcW w:w="1843" w:type="dxa"/>
            <w:shd w:val="clear" w:color="auto" w:fill="F2F2F2" w:themeFill="background1" w:themeFillShade="F2"/>
            <w:vAlign w:val="center"/>
          </w:tcPr>
          <w:p w14:paraId="52B34C18" w14:textId="67AB33AF" w:rsidR="00166DB1" w:rsidRPr="00166DB1" w:rsidRDefault="00166DB1" w:rsidP="002D261F">
            <w:pPr>
              <w:pStyle w:val="KeyFindingsTableLeftColumn"/>
              <w:rPr>
                <w:rFonts w:eastAsia="Garamond"/>
              </w:rPr>
            </w:pPr>
            <w:r w:rsidRPr="00166DB1">
              <w:rPr>
                <w:rFonts w:eastAsia="Garamond"/>
              </w:rPr>
              <w:fldChar w:fldCharType="begin"/>
            </w:r>
            <w:r w:rsidRPr="00166DB1">
              <w:rPr>
                <w:rFonts w:eastAsia="Garamond"/>
              </w:rPr>
              <w:instrText xml:space="preserve"> REF _Ref490665369 \r \h </w:instrText>
            </w:r>
            <w:r w:rsidR="002D261F">
              <w:rPr>
                <w:rFonts w:eastAsia="Garamond"/>
              </w:rPr>
              <w:instrText xml:space="preserve"> \* MERGEFORMAT </w:instrText>
            </w:r>
            <w:r w:rsidRPr="00166DB1">
              <w:rPr>
                <w:rFonts w:eastAsia="Garamond"/>
              </w:rPr>
            </w:r>
            <w:r w:rsidRPr="00166DB1">
              <w:rPr>
                <w:rFonts w:eastAsia="Garamond"/>
              </w:rPr>
              <w:fldChar w:fldCharType="separate"/>
            </w:r>
            <w:r w:rsidRPr="00166DB1">
              <w:rPr>
                <w:rFonts w:eastAsia="Garamond"/>
              </w:rPr>
              <w:t>Key Finding 11:</w:t>
            </w:r>
            <w:r w:rsidRPr="00166DB1">
              <w:rPr>
                <w:rFonts w:eastAsia="Garamond"/>
              </w:rPr>
              <w:fldChar w:fldCharType="end"/>
            </w:r>
          </w:p>
        </w:tc>
        <w:tc>
          <w:tcPr>
            <w:tcW w:w="5201" w:type="dxa"/>
            <w:shd w:val="clear" w:color="auto" w:fill="F2F2F2" w:themeFill="background1" w:themeFillShade="F2"/>
            <w:vAlign w:val="center"/>
          </w:tcPr>
          <w:p w14:paraId="437B239D" w14:textId="2DEABDB5" w:rsidR="00166DB1" w:rsidRPr="00166DB1" w:rsidRDefault="00166DB1" w:rsidP="002D261F">
            <w:pPr>
              <w:pStyle w:val="KeyFindingsTableCopy"/>
              <w:rPr>
                <w:rFonts w:eastAsia="Garamond"/>
              </w:rPr>
            </w:pPr>
            <w:r w:rsidRPr="00166DB1">
              <w:rPr>
                <w:rFonts w:eastAsia="Garamond"/>
              </w:rPr>
              <w:fldChar w:fldCharType="begin"/>
            </w:r>
            <w:r w:rsidRPr="00166DB1">
              <w:rPr>
                <w:rFonts w:eastAsia="Garamond"/>
              </w:rPr>
              <w:instrText xml:space="preserve"> REF _Ref490676772 \h </w:instrText>
            </w:r>
            <w:r w:rsidR="002D261F">
              <w:rPr>
                <w:rFonts w:eastAsia="Garamond"/>
              </w:rPr>
              <w:instrText xml:space="preserve"> \* MERGEFORMAT </w:instrText>
            </w:r>
            <w:r w:rsidRPr="00166DB1">
              <w:rPr>
                <w:rFonts w:eastAsia="Garamond"/>
              </w:rPr>
            </w:r>
            <w:r w:rsidRPr="00166DB1">
              <w:rPr>
                <w:rFonts w:eastAsia="Garamond"/>
              </w:rPr>
              <w:fldChar w:fldCharType="separate"/>
            </w:r>
            <w:r w:rsidRPr="00166DB1">
              <w:rPr>
                <w:rFonts w:eastAsia="Garamond"/>
              </w:rPr>
              <w:t>Alternative models of service delivery, in addition to / or as an alternative, may need to be considered to maximise access to PBS medicines in rural and remote locations.</w:t>
            </w:r>
            <w:r w:rsidRPr="00166DB1">
              <w:rPr>
                <w:rFonts w:eastAsia="Garamond"/>
              </w:rPr>
              <w:fldChar w:fldCharType="end"/>
            </w:r>
          </w:p>
        </w:tc>
      </w:tr>
    </w:tbl>
    <w:p w14:paraId="61A041B9" w14:textId="77777777" w:rsidR="00166DB1" w:rsidRPr="00166DB1" w:rsidRDefault="00166DB1" w:rsidP="00B24642">
      <w:pPr>
        <w:pStyle w:val="ESHeading3"/>
        <w:rPr>
          <w:rFonts w:eastAsia="Times New Roman"/>
        </w:rPr>
      </w:pPr>
      <w:r w:rsidRPr="00166DB1">
        <w:rPr>
          <w:rFonts w:eastAsia="Times New Roman"/>
        </w:rPr>
        <w:t xml:space="preserve">Effectiveness </w:t>
      </w:r>
    </w:p>
    <w:p w14:paraId="5C0641CD"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An examination of a program’s </w:t>
      </w:r>
      <w:r w:rsidRPr="00166DB1">
        <w:rPr>
          <w:rFonts w:ascii="Garamond" w:eastAsia="Garamond" w:hAnsi="Garamond"/>
          <w:i/>
          <w:color w:val="000000"/>
        </w:rPr>
        <w:t>effectiveness</w:t>
      </w:r>
      <w:r w:rsidRPr="00166DB1">
        <w:rPr>
          <w:rFonts w:ascii="Garamond" w:eastAsia="Garamond" w:hAnsi="Garamond"/>
          <w:color w:val="000000"/>
        </w:rPr>
        <w:t xml:space="preserve"> seeks to ascertain:</w:t>
      </w:r>
    </w:p>
    <w:p w14:paraId="77174F61" w14:textId="77777777" w:rsidR="00166DB1" w:rsidRPr="00166DB1" w:rsidRDefault="00166DB1" w:rsidP="00166DB1">
      <w:pPr>
        <w:spacing w:before="85" w:after="85"/>
        <w:ind w:left="284" w:right="284"/>
        <w:rPr>
          <w:rFonts w:ascii="Times New Roman" w:eastAsia="Garamond" w:hAnsi="Times New Roman"/>
          <w:i/>
          <w:iCs/>
          <w:color w:val="000000"/>
          <w:sz w:val="20"/>
          <w:lang w:val="en-US"/>
        </w:rPr>
      </w:pPr>
      <w:r w:rsidRPr="00166DB1">
        <w:rPr>
          <w:rFonts w:ascii="Times New Roman" w:eastAsia="Garamond" w:hAnsi="Times New Roman"/>
          <w:i/>
          <w:iCs/>
          <w:color w:val="000000"/>
          <w:sz w:val="20"/>
        </w:rPr>
        <w:t>Whether program outcomes have achieved stated objectives</w:t>
      </w:r>
      <w:sdt>
        <w:sdtPr>
          <w:rPr>
            <w:rFonts w:ascii="Times New Roman" w:eastAsia="Garamond" w:hAnsi="Times New Roman"/>
            <w:i/>
            <w:iCs/>
            <w:color w:val="000000"/>
            <w:sz w:val="20"/>
          </w:rPr>
          <w:id w:val="-1342540237"/>
          <w:citation/>
        </w:sdtPr>
        <w:sdtEndPr/>
        <w:sdtContent>
          <w:r w:rsidRPr="00166DB1">
            <w:rPr>
              <w:rFonts w:ascii="Times New Roman" w:eastAsia="Garamond" w:hAnsi="Times New Roman"/>
              <w:i/>
              <w:iCs/>
              <w:color w:val="000000"/>
              <w:sz w:val="20"/>
            </w:rPr>
            <w:fldChar w:fldCharType="begin"/>
          </w:r>
          <w:r w:rsidRPr="00166DB1">
            <w:rPr>
              <w:rFonts w:ascii="Times New Roman" w:eastAsia="Garamond" w:hAnsi="Times New Roman"/>
              <w:i/>
              <w:iCs/>
              <w:color w:val="000000"/>
              <w:sz w:val="20"/>
            </w:rPr>
            <w:instrText xml:space="preserve"> CITATION Tun10 \l 3081 </w:instrText>
          </w:r>
          <w:r w:rsidRPr="00166DB1">
            <w:rPr>
              <w:rFonts w:ascii="Times New Roman" w:eastAsia="Garamond" w:hAnsi="Times New Roman"/>
              <w:i/>
              <w:iCs/>
              <w:color w:val="000000"/>
              <w:sz w:val="20"/>
            </w:rPr>
            <w:fldChar w:fldCharType="separate"/>
          </w:r>
          <w:r w:rsidRPr="00166DB1">
            <w:rPr>
              <w:rFonts w:ascii="Times New Roman" w:eastAsia="Garamond" w:hAnsi="Times New Roman"/>
              <w:i/>
              <w:iCs/>
              <w:noProof/>
              <w:color w:val="000000"/>
              <w:sz w:val="20"/>
            </w:rPr>
            <w:t xml:space="preserve"> [1]</w:t>
          </w:r>
          <w:r w:rsidRPr="00166DB1">
            <w:rPr>
              <w:rFonts w:ascii="Times New Roman" w:eastAsia="Garamond" w:hAnsi="Times New Roman"/>
              <w:i/>
              <w:iCs/>
              <w:color w:val="000000"/>
              <w:sz w:val="20"/>
            </w:rPr>
            <w:fldChar w:fldCharType="end"/>
          </w:r>
        </w:sdtContent>
      </w:sdt>
      <w:r w:rsidRPr="00166DB1">
        <w:rPr>
          <w:rFonts w:ascii="Times New Roman" w:eastAsia="Garamond" w:hAnsi="Times New Roman"/>
          <w:i/>
          <w:iCs/>
          <w:color w:val="000000"/>
          <w:sz w:val="20"/>
          <w:lang w:val="en-US"/>
        </w:rPr>
        <w:t>.</w:t>
      </w:r>
    </w:p>
    <w:p w14:paraId="544D2A62"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key findings of the effectiveness of the Pharmacy Workforce Program package are presented below. </w:t>
      </w:r>
    </w:p>
    <w:tbl>
      <w:tblPr>
        <w:tblStyle w:val="KeyFindings"/>
        <w:tblW w:w="5000" w:type="pct"/>
        <w:shd w:val="clear" w:color="auto" w:fill="F2F2F2" w:themeFill="background1" w:themeFillShade="F2"/>
        <w:tblLayout w:type="fixed"/>
        <w:tblLook w:val="04A0" w:firstRow="1" w:lastRow="0" w:firstColumn="1" w:lastColumn="0" w:noHBand="0" w:noVBand="1"/>
        <w:tblCaption w:val="Summary of Key Findings - Effectiveness"/>
        <w:tblDescription w:val="Table summarising Key Findings 12 to 21"/>
      </w:tblPr>
      <w:tblGrid>
        <w:gridCol w:w="1843"/>
        <w:gridCol w:w="5201"/>
      </w:tblGrid>
      <w:tr w:rsidR="00133610" w:rsidRPr="00166DB1" w14:paraId="09237EB1" w14:textId="77777777" w:rsidTr="00133610">
        <w:trPr>
          <w:cnfStyle w:val="100000000000" w:firstRow="1" w:lastRow="0" w:firstColumn="0" w:lastColumn="0" w:oddVBand="0" w:evenVBand="0" w:oddHBand="0" w:evenHBand="0" w:firstRowFirstColumn="0" w:firstRowLastColumn="0" w:lastRowFirstColumn="0" w:lastRowLastColumn="0"/>
          <w:cantSplit/>
          <w:tblHeader/>
        </w:trPr>
        <w:tc>
          <w:tcPr>
            <w:tcW w:w="1843" w:type="dxa"/>
            <w:shd w:val="clear" w:color="auto" w:fill="F2F2F2" w:themeFill="background1" w:themeFillShade="F2"/>
            <w:vAlign w:val="center"/>
          </w:tcPr>
          <w:p w14:paraId="7E694A1F" w14:textId="66B494AE" w:rsidR="00133610" w:rsidRPr="00166DB1" w:rsidRDefault="00133610" w:rsidP="002D261F">
            <w:pPr>
              <w:pStyle w:val="KeyFindingsTableHeading"/>
            </w:pPr>
          </w:p>
        </w:tc>
        <w:tc>
          <w:tcPr>
            <w:tcW w:w="5201" w:type="dxa"/>
            <w:shd w:val="clear" w:color="auto" w:fill="F2F2F2" w:themeFill="background1" w:themeFillShade="F2"/>
            <w:vAlign w:val="center"/>
          </w:tcPr>
          <w:p w14:paraId="2F5FCC0B" w14:textId="38B8C907" w:rsidR="00133610" w:rsidRPr="00166DB1" w:rsidRDefault="00133610" w:rsidP="002D261F">
            <w:pPr>
              <w:pStyle w:val="KeyFindingsTableHeading"/>
            </w:pPr>
            <w:r w:rsidRPr="00166DB1">
              <w:t>Summary of key findings – effectiveness</w:t>
            </w:r>
          </w:p>
        </w:tc>
      </w:tr>
      <w:tr w:rsidR="00166DB1" w:rsidRPr="00166DB1" w14:paraId="4C0A97E7" w14:textId="77777777" w:rsidTr="00133610">
        <w:trPr>
          <w:cantSplit/>
        </w:trPr>
        <w:tc>
          <w:tcPr>
            <w:tcW w:w="1843" w:type="dxa"/>
            <w:shd w:val="clear" w:color="auto" w:fill="F2F2F2" w:themeFill="background1" w:themeFillShade="F2"/>
            <w:vAlign w:val="center"/>
          </w:tcPr>
          <w:p w14:paraId="31C004B9" w14:textId="217C8945" w:rsidR="00166DB1" w:rsidRPr="00166DB1" w:rsidRDefault="00166DB1" w:rsidP="002D261F">
            <w:pPr>
              <w:pStyle w:val="KeyFindingsTableLeftColumn"/>
            </w:pPr>
            <w:r w:rsidRPr="00166DB1">
              <w:fldChar w:fldCharType="begin"/>
            </w:r>
            <w:r w:rsidRPr="00166DB1">
              <w:instrText xml:space="preserve"> REF _Ref490676913 \r \h </w:instrText>
            </w:r>
            <w:r w:rsidR="002D261F">
              <w:instrText xml:space="preserve"> \* MERGEFORMAT </w:instrText>
            </w:r>
            <w:r w:rsidRPr="00166DB1">
              <w:fldChar w:fldCharType="separate"/>
            </w:r>
            <w:r w:rsidRPr="00166DB1">
              <w:t>Key Finding 12:</w:t>
            </w:r>
            <w:r w:rsidRPr="00166DB1">
              <w:fldChar w:fldCharType="end"/>
            </w:r>
          </w:p>
        </w:tc>
        <w:tc>
          <w:tcPr>
            <w:tcW w:w="5201" w:type="dxa"/>
            <w:shd w:val="clear" w:color="auto" w:fill="F2F2F2" w:themeFill="background1" w:themeFillShade="F2"/>
            <w:vAlign w:val="center"/>
          </w:tcPr>
          <w:p w14:paraId="2E81FE6E" w14:textId="41AADE9A" w:rsidR="00166DB1" w:rsidRPr="00166DB1" w:rsidRDefault="00166DB1" w:rsidP="002D261F">
            <w:pPr>
              <w:pStyle w:val="KeyFindingsTableCopy"/>
            </w:pPr>
            <w:r w:rsidRPr="00166DB1">
              <w:fldChar w:fldCharType="begin"/>
            </w:r>
            <w:r w:rsidRPr="00166DB1">
              <w:instrText xml:space="preserve"> REF _Ref490676913 \h </w:instrText>
            </w:r>
            <w:r w:rsidR="002D261F">
              <w:instrText xml:space="preserve"> \* MERGEFORMAT </w:instrText>
            </w:r>
            <w:r w:rsidRPr="00166DB1">
              <w:fldChar w:fldCharType="separate"/>
            </w:r>
            <w:r w:rsidRPr="00166DB1">
              <w:t>Around an extra 270 FTE of community pharmacists would be required for regional and remote areas to achieve parity with major cities.</w:t>
            </w:r>
            <w:r w:rsidRPr="00166DB1">
              <w:fldChar w:fldCharType="end"/>
            </w:r>
          </w:p>
        </w:tc>
      </w:tr>
      <w:tr w:rsidR="00166DB1" w:rsidRPr="00166DB1" w14:paraId="7691240F" w14:textId="77777777" w:rsidTr="00133610">
        <w:trPr>
          <w:cantSplit/>
        </w:trPr>
        <w:tc>
          <w:tcPr>
            <w:tcW w:w="1843" w:type="dxa"/>
            <w:shd w:val="clear" w:color="auto" w:fill="F2F2F2" w:themeFill="background1" w:themeFillShade="F2"/>
            <w:vAlign w:val="center"/>
          </w:tcPr>
          <w:p w14:paraId="4D725FDE" w14:textId="532A9F2C" w:rsidR="00166DB1" w:rsidRPr="00166DB1" w:rsidRDefault="00166DB1" w:rsidP="002D261F">
            <w:pPr>
              <w:pStyle w:val="KeyFindingsTableLeftColumn"/>
            </w:pPr>
            <w:r w:rsidRPr="00166DB1">
              <w:lastRenderedPageBreak/>
              <w:fldChar w:fldCharType="begin"/>
            </w:r>
            <w:r w:rsidRPr="00166DB1">
              <w:instrText xml:space="preserve"> REF _Ref490676918 \r \h </w:instrText>
            </w:r>
            <w:r w:rsidR="002D261F">
              <w:instrText xml:space="preserve"> \* MERGEFORMAT </w:instrText>
            </w:r>
            <w:r w:rsidRPr="00166DB1">
              <w:fldChar w:fldCharType="separate"/>
            </w:r>
            <w:r w:rsidRPr="00166DB1">
              <w:t>Key Finding 13:</w:t>
            </w:r>
            <w:r w:rsidRPr="00166DB1">
              <w:fldChar w:fldCharType="end"/>
            </w:r>
          </w:p>
        </w:tc>
        <w:tc>
          <w:tcPr>
            <w:tcW w:w="5201" w:type="dxa"/>
            <w:shd w:val="clear" w:color="auto" w:fill="F2F2F2" w:themeFill="background1" w:themeFillShade="F2"/>
            <w:vAlign w:val="center"/>
          </w:tcPr>
          <w:p w14:paraId="37D4B784" w14:textId="25294409" w:rsidR="00166DB1" w:rsidRPr="00166DB1" w:rsidRDefault="00166DB1" w:rsidP="002D261F">
            <w:pPr>
              <w:pStyle w:val="KeyFindingsTableCopy"/>
            </w:pPr>
            <w:r w:rsidRPr="00166DB1">
              <w:fldChar w:fldCharType="begin"/>
            </w:r>
            <w:r w:rsidRPr="00166DB1">
              <w:instrText xml:space="preserve"> REF _Ref490676918 \h </w:instrText>
            </w:r>
            <w:r w:rsidR="002D261F">
              <w:instrText xml:space="preserve"> \* MERGEFORMAT </w:instrText>
            </w:r>
            <w:r w:rsidRPr="00166DB1">
              <w:fldChar w:fldCharType="separate"/>
            </w:r>
            <w:r w:rsidRPr="00166DB1">
              <w:t>The workforce recruitment and retention components of the Rural Workforce Package involve approximately 21% of the community pharmacist market annually, or around 800 pharmacists.</w:t>
            </w:r>
            <w:r w:rsidRPr="00166DB1">
              <w:fldChar w:fldCharType="end"/>
            </w:r>
          </w:p>
        </w:tc>
      </w:tr>
      <w:tr w:rsidR="00166DB1" w:rsidRPr="00166DB1" w14:paraId="04BFA71C" w14:textId="77777777" w:rsidTr="00133610">
        <w:trPr>
          <w:cantSplit/>
        </w:trPr>
        <w:tc>
          <w:tcPr>
            <w:tcW w:w="1843" w:type="dxa"/>
            <w:shd w:val="clear" w:color="auto" w:fill="F2F2F2" w:themeFill="background1" w:themeFillShade="F2"/>
            <w:vAlign w:val="center"/>
          </w:tcPr>
          <w:p w14:paraId="39213CE0" w14:textId="3B23DA12" w:rsidR="00166DB1" w:rsidRPr="00166DB1" w:rsidRDefault="00166DB1" w:rsidP="002D261F">
            <w:pPr>
              <w:pStyle w:val="KeyFindingsTableLeftColumn"/>
            </w:pPr>
            <w:r w:rsidRPr="00166DB1">
              <w:fldChar w:fldCharType="begin"/>
            </w:r>
            <w:r w:rsidRPr="00166DB1">
              <w:instrText xml:space="preserve"> REF _Ref490676923 \r \h </w:instrText>
            </w:r>
            <w:r w:rsidR="002D261F">
              <w:instrText xml:space="preserve"> \* MERGEFORMAT </w:instrText>
            </w:r>
            <w:r w:rsidRPr="00166DB1">
              <w:fldChar w:fldCharType="separate"/>
            </w:r>
            <w:r w:rsidRPr="00166DB1">
              <w:t>Key Finding 14:</w:t>
            </w:r>
            <w:r w:rsidRPr="00166DB1">
              <w:fldChar w:fldCharType="end"/>
            </w:r>
          </w:p>
        </w:tc>
        <w:tc>
          <w:tcPr>
            <w:tcW w:w="5201" w:type="dxa"/>
            <w:shd w:val="clear" w:color="auto" w:fill="F2F2F2" w:themeFill="background1" w:themeFillShade="F2"/>
            <w:vAlign w:val="center"/>
          </w:tcPr>
          <w:p w14:paraId="4B2926BB" w14:textId="6971C558" w:rsidR="00166DB1" w:rsidRPr="00166DB1" w:rsidRDefault="00166DB1" w:rsidP="002D261F">
            <w:pPr>
              <w:pStyle w:val="KeyFindingsTableCopy"/>
            </w:pPr>
            <w:r w:rsidRPr="00166DB1">
              <w:fldChar w:fldCharType="begin"/>
            </w:r>
            <w:r w:rsidRPr="00166DB1">
              <w:instrText xml:space="preserve"> REF _Ref490676923 \h </w:instrText>
            </w:r>
            <w:r w:rsidR="002D261F">
              <w:instrText xml:space="preserve"> \* MERGEFORMAT </w:instrText>
            </w:r>
            <w:r w:rsidRPr="00166DB1">
              <w:fldChar w:fldCharType="separate"/>
            </w:r>
            <w:r w:rsidRPr="00166DB1">
              <w:t>The evaluation concluded that the Rural Workforce Package components under the 5CPA were largely ineffective in strengthening the rural workforce at a macro level, evidenced by the static (inner and outer regional areas) and negative (remote areas) community pharmacist FTE rates per 100,000 people between 2013 and 2015.</w:t>
            </w:r>
            <w:r w:rsidRPr="00166DB1">
              <w:fldChar w:fldCharType="end"/>
            </w:r>
          </w:p>
        </w:tc>
      </w:tr>
      <w:tr w:rsidR="00166DB1" w:rsidRPr="00166DB1" w14:paraId="0A586E6D" w14:textId="77777777" w:rsidTr="00133610">
        <w:trPr>
          <w:cantSplit/>
        </w:trPr>
        <w:tc>
          <w:tcPr>
            <w:tcW w:w="1843" w:type="dxa"/>
            <w:shd w:val="clear" w:color="auto" w:fill="F2F2F2" w:themeFill="background1" w:themeFillShade="F2"/>
            <w:vAlign w:val="center"/>
          </w:tcPr>
          <w:p w14:paraId="477A821D" w14:textId="4CACB4E2" w:rsidR="00166DB1" w:rsidRPr="00166DB1" w:rsidRDefault="00166DB1" w:rsidP="002D261F">
            <w:pPr>
              <w:pStyle w:val="KeyFindingsTableLeftColumn"/>
            </w:pPr>
            <w:r w:rsidRPr="00166DB1">
              <w:fldChar w:fldCharType="begin"/>
            </w:r>
            <w:r w:rsidRPr="00166DB1">
              <w:instrText xml:space="preserve"> REF _Ref490676929 \r \h </w:instrText>
            </w:r>
            <w:r w:rsidR="002D261F">
              <w:instrText xml:space="preserve"> \* MERGEFORMAT </w:instrText>
            </w:r>
            <w:r w:rsidRPr="00166DB1">
              <w:fldChar w:fldCharType="separate"/>
            </w:r>
            <w:r w:rsidRPr="00166DB1">
              <w:t>Key Finding 15:</w:t>
            </w:r>
            <w:r w:rsidRPr="00166DB1">
              <w:fldChar w:fldCharType="end"/>
            </w:r>
          </w:p>
        </w:tc>
        <w:tc>
          <w:tcPr>
            <w:tcW w:w="5201" w:type="dxa"/>
            <w:shd w:val="clear" w:color="auto" w:fill="F2F2F2" w:themeFill="background1" w:themeFillShade="F2"/>
            <w:vAlign w:val="center"/>
          </w:tcPr>
          <w:p w14:paraId="41DE5B11" w14:textId="18A41BDE" w:rsidR="00166DB1" w:rsidRPr="00166DB1" w:rsidRDefault="00166DB1" w:rsidP="002D261F">
            <w:pPr>
              <w:pStyle w:val="KeyFindingsTableCopy"/>
            </w:pPr>
            <w:r w:rsidRPr="00166DB1">
              <w:fldChar w:fldCharType="begin"/>
            </w:r>
            <w:r w:rsidRPr="00166DB1">
              <w:instrText xml:space="preserve"> REF _Ref490676929 \h </w:instrText>
            </w:r>
            <w:r w:rsidR="002D261F">
              <w:instrText xml:space="preserve"> \* MERGEFORMAT </w:instrText>
            </w:r>
            <w:r w:rsidRPr="00166DB1">
              <w:fldChar w:fldCharType="separate"/>
            </w:r>
            <w:r w:rsidRPr="00166DB1">
              <w:t>Workforce recruitment programs generally achieved their derived aims of supporting students and interns to undertake education, placements and training that increased their exposure to rural pharmacy practice. Some programs (i.e. the Scholarship Scheme) were found to have a tangible impact on the number of prospective new rural pharmacists. Some programs may increase intention to practise in a rural area but there is no clear evidence that the program actually increases recruitment.</w:t>
            </w:r>
            <w:r w:rsidRPr="00166DB1">
              <w:fldChar w:fldCharType="end"/>
            </w:r>
          </w:p>
        </w:tc>
      </w:tr>
      <w:tr w:rsidR="00166DB1" w:rsidRPr="00166DB1" w14:paraId="256312E9" w14:textId="77777777" w:rsidTr="00133610">
        <w:trPr>
          <w:cantSplit/>
        </w:trPr>
        <w:tc>
          <w:tcPr>
            <w:tcW w:w="1843" w:type="dxa"/>
            <w:shd w:val="clear" w:color="auto" w:fill="F2F2F2" w:themeFill="background1" w:themeFillShade="F2"/>
            <w:vAlign w:val="center"/>
          </w:tcPr>
          <w:p w14:paraId="7D90F781" w14:textId="6ACDDE5A" w:rsidR="00166DB1" w:rsidRPr="00166DB1" w:rsidRDefault="00166DB1" w:rsidP="002D261F">
            <w:pPr>
              <w:pStyle w:val="KeyFindingsTableLeftColumn"/>
            </w:pPr>
            <w:r w:rsidRPr="00166DB1">
              <w:fldChar w:fldCharType="begin"/>
            </w:r>
            <w:r w:rsidRPr="00166DB1">
              <w:instrText xml:space="preserve"> REF _Ref490676934 \r \h </w:instrText>
            </w:r>
            <w:r w:rsidR="002D261F">
              <w:instrText xml:space="preserve"> \* MERGEFORMAT </w:instrText>
            </w:r>
            <w:r w:rsidRPr="00166DB1">
              <w:fldChar w:fldCharType="separate"/>
            </w:r>
            <w:r w:rsidRPr="00166DB1">
              <w:t>Key Finding 16:</w:t>
            </w:r>
            <w:r w:rsidRPr="00166DB1">
              <w:fldChar w:fldCharType="end"/>
            </w:r>
          </w:p>
        </w:tc>
        <w:tc>
          <w:tcPr>
            <w:tcW w:w="5201" w:type="dxa"/>
            <w:shd w:val="clear" w:color="auto" w:fill="F2F2F2" w:themeFill="background1" w:themeFillShade="F2"/>
            <w:vAlign w:val="center"/>
          </w:tcPr>
          <w:p w14:paraId="3D73FAA3" w14:textId="76D80034" w:rsidR="00166DB1" w:rsidRPr="00166DB1" w:rsidRDefault="00166DB1" w:rsidP="002D261F">
            <w:pPr>
              <w:pStyle w:val="KeyFindingsTableCopy"/>
            </w:pPr>
            <w:r w:rsidRPr="00166DB1">
              <w:fldChar w:fldCharType="begin"/>
            </w:r>
            <w:r w:rsidRPr="00166DB1">
              <w:instrText xml:space="preserve"> REF _Ref490676934 \h </w:instrText>
            </w:r>
            <w:r w:rsidR="002D261F">
              <w:instrText xml:space="preserve"> \* MERGEFORMAT </w:instrText>
            </w:r>
            <w:r w:rsidRPr="00166DB1">
              <w:fldChar w:fldCharType="separate"/>
            </w:r>
            <w:r w:rsidRPr="00166DB1">
              <w:t xml:space="preserve">Retention component programs achieved their </w:t>
            </w:r>
            <w:r w:rsidRPr="00166DB1">
              <w:rPr>
                <w:i/>
              </w:rPr>
              <w:t>derived aims</w:t>
            </w:r>
            <w:r w:rsidRPr="00166DB1">
              <w:t xml:space="preserve"> of reducing financial barriers to rural practice such as access to CPE, locums and interns. All programs were highly valued by the pharmacists who accessed them. However, the extent to which these programs prevented pharmacists leaving rural practice was not measurable and could not be isolated from other drivers of greater retention.</w:t>
            </w:r>
            <w:r w:rsidRPr="00166DB1">
              <w:fldChar w:fldCharType="end"/>
            </w:r>
          </w:p>
        </w:tc>
      </w:tr>
      <w:tr w:rsidR="00166DB1" w:rsidRPr="00166DB1" w14:paraId="3CC7F83F" w14:textId="77777777" w:rsidTr="00133610">
        <w:trPr>
          <w:cantSplit/>
        </w:trPr>
        <w:tc>
          <w:tcPr>
            <w:tcW w:w="1843" w:type="dxa"/>
            <w:shd w:val="clear" w:color="auto" w:fill="F2F2F2" w:themeFill="background1" w:themeFillShade="F2"/>
            <w:vAlign w:val="center"/>
          </w:tcPr>
          <w:p w14:paraId="64D94A5C" w14:textId="578CBF1A" w:rsidR="00166DB1" w:rsidRPr="00166DB1" w:rsidRDefault="00166DB1" w:rsidP="002D261F">
            <w:pPr>
              <w:pStyle w:val="KeyFindingsTableLeftColumn"/>
            </w:pPr>
            <w:r w:rsidRPr="00166DB1">
              <w:fldChar w:fldCharType="begin"/>
            </w:r>
            <w:r w:rsidRPr="00166DB1">
              <w:instrText xml:space="preserve"> REF _Ref490676959 \r \h </w:instrText>
            </w:r>
            <w:r w:rsidR="002D261F">
              <w:instrText xml:space="preserve"> \* MERGEFORMAT </w:instrText>
            </w:r>
            <w:r w:rsidRPr="00166DB1">
              <w:fldChar w:fldCharType="separate"/>
            </w:r>
            <w:r w:rsidRPr="00166DB1">
              <w:t>Key Finding 17:</w:t>
            </w:r>
            <w:r w:rsidRPr="00166DB1">
              <w:fldChar w:fldCharType="end"/>
            </w:r>
          </w:p>
        </w:tc>
        <w:tc>
          <w:tcPr>
            <w:tcW w:w="5201" w:type="dxa"/>
            <w:shd w:val="clear" w:color="auto" w:fill="F2F2F2" w:themeFill="background1" w:themeFillShade="F2"/>
            <w:vAlign w:val="center"/>
          </w:tcPr>
          <w:p w14:paraId="7F06A3D4" w14:textId="4D8C3E28" w:rsidR="00166DB1" w:rsidRPr="00166DB1" w:rsidRDefault="00166DB1" w:rsidP="002D261F">
            <w:pPr>
              <w:pStyle w:val="KeyFindingsTableCopy"/>
            </w:pPr>
            <w:r w:rsidRPr="00166DB1">
              <w:fldChar w:fldCharType="begin"/>
            </w:r>
            <w:r w:rsidRPr="00166DB1">
              <w:instrText xml:space="preserve"> REF _Ref490676959 \h </w:instrText>
            </w:r>
            <w:r w:rsidR="002D261F">
              <w:instrText xml:space="preserve"> \* MERGEFORMAT </w:instrText>
            </w:r>
            <w:r w:rsidRPr="00166DB1">
              <w:fldChar w:fldCharType="separate"/>
            </w:r>
            <w:r w:rsidRPr="00166DB1">
              <w:t xml:space="preserve">Other support component programs generally achieved their </w:t>
            </w:r>
            <w:r w:rsidRPr="00166DB1">
              <w:rPr>
                <w:i/>
              </w:rPr>
              <w:t>derived aims</w:t>
            </w:r>
            <w:r w:rsidRPr="00166DB1">
              <w:t>. However, these aims remain broad and self-fulfilling. A majority of stakeholders involved in the delivery of the programs stated that the support programs were vital to supporting recruitment activities.</w:t>
            </w:r>
            <w:r w:rsidRPr="00166DB1">
              <w:fldChar w:fldCharType="end"/>
            </w:r>
          </w:p>
        </w:tc>
      </w:tr>
      <w:tr w:rsidR="00166DB1" w:rsidRPr="00166DB1" w14:paraId="730921BA" w14:textId="77777777" w:rsidTr="00133610">
        <w:trPr>
          <w:cantSplit/>
        </w:trPr>
        <w:tc>
          <w:tcPr>
            <w:tcW w:w="1843" w:type="dxa"/>
            <w:shd w:val="clear" w:color="auto" w:fill="F2F2F2" w:themeFill="background1" w:themeFillShade="F2"/>
            <w:vAlign w:val="center"/>
          </w:tcPr>
          <w:p w14:paraId="5E8B6905" w14:textId="18396C16" w:rsidR="00166DB1" w:rsidRPr="00166DB1" w:rsidRDefault="00166DB1" w:rsidP="002D261F">
            <w:pPr>
              <w:pStyle w:val="KeyFindingsTableLeftColumn"/>
            </w:pPr>
            <w:r w:rsidRPr="00166DB1">
              <w:fldChar w:fldCharType="begin"/>
            </w:r>
            <w:r w:rsidRPr="00166DB1">
              <w:instrText xml:space="preserve"> REF _Ref490676965 \r \h </w:instrText>
            </w:r>
            <w:r w:rsidR="002D261F">
              <w:instrText xml:space="preserve"> \* MERGEFORMAT </w:instrText>
            </w:r>
            <w:r w:rsidRPr="00166DB1">
              <w:fldChar w:fldCharType="separate"/>
            </w:r>
            <w:r w:rsidRPr="00166DB1">
              <w:t>Key Finding 18:</w:t>
            </w:r>
            <w:r w:rsidRPr="00166DB1">
              <w:fldChar w:fldCharType="end"/>
            </w:r>
          </w:p>
        </w:tc>
        <w:tc>
          <w:tcPr>
            <w:tcW w:w="5201" w:type="dxa"/>
            <w:shd w:val="clear" w:color="auto" w:fill="F2F2F2" w:themeFill="background1" w:themeFillShade="F2"/>
            <w:vAlign w:val="center"/>
          </w:tcPr>
          <w:p w14:paraId="2548C061" w14:textId="6DF43C84" w:rsidR="00166DB1" w:rsidRPr="00166DB1" w:rsidRDefault="00166DB1" w:rsidP="002D261F">
            <w:pPr>
              <w:pStyle w:val="KeyFindingsTableCopy"/>
            </w:pPr>
            <w:r w:rsidRPr="00166DB1">
              <w:fldChar w:fldCharType="begin"/>
            </w:r>
            <w:r w:rsidRPr="00166DB1">
              <w:instrText xml:space="preserve"> REF _Ref490676965 \h </w:instrText>
            </w:r>
            <w:r w:rsidR="002D261F">
              <w:instrText xml:space="preserve"> \* MERGEFORMAT </w:instrText>
            </w:r>
            <w:r w:rsidRPr="00166DB1">
              <w:fldChar w:fldCharType="separate"/>
            </w:r>
            <w:r w:rsidRPr="00166DB1">
              <w:t>Despite the overall growth in the number of Aboriginal and Torres Strait Islander pharmacists, the FTE rate per 100,000 Aboriginal and Torres Strait Islander population remained low, supporting a position that there is an ongoing need to have recruitment programs for Aboriginal and Torres Islander pharmacy workforce.</w:t>
            </w:r>
            <w:r w:rsidRPr="00166DB1">
              <w:fldChar w:fldCharType="end"/>
            </w:r>
          </w:p>
        </w:tc>
      </w:tr>
      <w:tr w:rsidR="00166DB1" w:rsidRPr="00166DB1" w14:paraId="56E0E757" w14:textId="77777777" w:rsidTr="00133610">
        <w:trPr>
          <w:cantSplit/>
        </w:trPr>
        <w:tc>
          <w:tcPr>
            <w:tcW w:w="1843" w:type="dxa"/>
            <w:shd w:val="clear" w:color="auto" w:fill="F2F2F2" w:themeFill="background1" w:themeFillShade="F2"/>
            <w:vAlign w:val="center"/>
          </w:tcPr>
          <w:p w14:paraId="405FCA44" w14:textId="4DC27A74" w:rsidR="00166DB1" w:rsidRPr="00166DB1" w:rsidRDefault="00166DB1" w:rsidP="002D261F">
            <w:pPr>
              <w:pStyle w:val="KeyFindingsTableLeftColumn"/>
            </w:pPr>
            <w:r w:rsidRPr="00166DB1">
              <w:fldChar w:fldCharType="begin"/>
            </w:r>
            <w:r w:rsidRPr="00166DB1">
              <w:instrText xml:space="preserve"> REF _Ref490676970 \r \h </w:instrText>
            </w:r>
            <w:r w:rsidR="002D261F">
              <w:instrText xml:space="preserve"> \* MERGEFORMAT </w:instrText>
            </w:r>
            <w:r w:rsidRPr="00166DB1">
              <w:fldChar w:fldCharType="separate"/>
            </w:r>
            <w:r w:rsidRPr="00166DB1">
              <w:t>Key Finding 19:</w:t>
            </w:r>
            <w:r w:rsidRPr="00166DB1">
              <w:fldChar w:fldCharType="end"/>
            </w:r>
          </w:p>
        </w:tc>
        <w:tc>
          <w:tcPr>
            <w:tcW w:w="5201" w:type="dxa"/>
            <w:shd w:val="clear" w:color="auto" w:fill="F2F2F2" w:themeFill="background1" w:themeFillShade="F2"/>
            <w:vAlign w:val="center"/>
          </w:tcPr>
          <w:p w14:paraId="35DF698C" w14:textId="38E0A090" w:rsidR="00166DB1" w:rsidRPr="00166DB1" w:rsidRDefault="00166DB1" w:rsidP="002D261F">
            <w:pPr>
              <w:pStyle w:val="KeyFindingsTableCopy"/>
            </w:pPr>
            <w:r w:rsidRPr="00166DB1">
              <w:fldChar w:fldCharType="begin"/>
            </w:r>
            <w:r w:rsidRPr="00166DB1">
              <w:instrText xml:space="preserve"> REF _Ref490676970 \h </w:instrText>
            </w:r>
            <w:r w:rsidR="002D261F">
              <w:instrText xml:space="preserve"> \* MERGEFORMAT </w:instrText>
            </w:r>
            <w:r w:rsidRPr="00166DB1">
              <w:fldChar w:fldCharType="separate"/>
            </w:r>
            <w:r w:rsidRPr="00166DB1">
              <w:t>Distribution of the Aboriginal and Torres Strait Islander pharmacy workforce is skewed towards major cities and remote areas.</w:t>
            </w:r>
            <w:r w:rsidRPr="00166DB1">
              <w:fldChar w:fldCharType="end"/>
            </w:r>
          </w:p>
        </w:tc>
      </w:tr>
      <w:tr w:rsidR="00166DB1" w:rsidRPr="00166DB1" w14:paraId="5626326B" w14:textId="77777777" w:rsidTr="00133610">
        <w:trPr>
          <w:cantSplit/>
        </w:trPr>
        <w:tc>
          <w:tcPr>
            <w:tcW w:w="1843" w:type="dxa"/>
            <w:shd w:val="clear" w:color="auto" w:fill="F2F2F2" w:themeFill="background1" w:themeFillShade="F2"/>
            <w:vAlign w:val="center"/>
          </w:tcPr>
          <w:p w14:paraId="0D17D963" w14:textId="1C7C87C9" w:rsidR="00166DB1" w:rsidRPr="00166DB1" w:rsidRDefault="00166DB1" w:rsidP="002D261F">
            <w:pPr>
              <w:pStyle w:val="KeyFindingsTableLeftColumn"/>
            </w:pPr>
            <w:r w:rsidRPr="00166DB1">
              <w:fldChar w:fldCharType="begin"/>
            </w:r>
            <w:r w:rsidRPr="00166DB1">
              <w:instrText xml:space="preserve"> REF _Ref490676974 \r \h </w:instrText>
            </w:r>
            <w:r w:rsidR="002D261F">
              <w:instrText xml:space="preserve"> \* MERGEFORMAT </w:instrText>
            </w:r>
            <w:r w:rsidRPr="00166DB1">
              <w:fldChar w:fldCharType="separate"/>
            </w:r>
            <w:r w:rsidRPr="00166DB1">
              <w:t>Key Finding 20:</w:t>
            </w:r>
            <w:r w:rsidRPr="00166DB1">
              <w:fldChar w:fldCharType="end"/>
            </w:r>
          </w:p>
        </w:tc>
        <w:tc>
          <w:tcPr>
            <w:tcW w:w="5201" w:type="dxa"/>
            <w:shd w:val="clear" w:color="auto" w:fill="F2F2F2" w:themeFill="background1" w:themeFillShade="F2"/>
            <w:vAlign w:val="center"/>
          </w:tcPr>
          <w:p w14:paraId="66FB6A34" w14:textId="7071EAD4" w:rsidR="00166DB1" w:rsidRPr="00166DB1" w:rsidRDefault="00166DB1" w:rsidP="002D261F">
            <w:pPr>
              <w:pStyle w:val="KeyFindingsTableCopy"/>
            </w:pPr>
            <w:r w:rsidRPr="00166DB1">
              <w:fldChar w:fldCharType="begin"/>
            </w:r>
            <w:r w:rsidRPr="00166DB1">
              <w:instrText xml:space="preserve"> REF _Ref490676974 \h </w:instrText>
            </w:r>
            <w:r w:rsidR="002D261F">
              <w:instrText xml:space="preserve"> \* MERGEFORMAT </w:instrText>
            </w:r>
            <w:r w:rsidRPr="00166DB1">
              <w:fldChar w:fldCharType="separate"/>
            </w:r>
            <w:r w:rsidRPr="00166DB1">
              <w:t>Programs under the component addressing the availability of culturally appropriate services for Aboriginal and Torres Strait Islander people contributed to their aim of increasing the Aboriginal and Torres Strait Islander pharmacy workforce. However, it is unclear whether an increase in Aboriginal and Torres Strait Islander representation in pharmacy workforce will effectively enhance the availability of culturally appropriate services for Aboriginal and Torres Strait Islander communities.</w:t>
            </w:r>
            <w:r w:rsidRPr="00166DB1">
              <w:fldChar w:fldCharType="end"/>
            </w:r>
          </w:p>
        </w:tc>
      </w:tr>
      <w:tr w:rsidR="00166DB1" w:rsidRPr="00166DB1" w14:paraId="05CFF4E3" w14:textId="77777777" w:rsidTr="00133610">
        <w:trPr>
          <w:cantSplit/>
        </w:trPr>
        <w:tc>
          <w:tcPr>
            <w:tcW w:w="1843" w:type="dxa"/>
            <w:shd w:val="clear" w:color="auto" w:fill="F2F2F2" w:themeFill="background1" w:themeFillShade="F2"/>
            <w:vAlign w:val="center"/>
          </w:tcPr>
          <w:p w14:paraId="1269116F" w14:textId="5D4ACBC9" w:rsidR="00166DB1" w:rsidRPr="00166DB1" w:rsidRDefault="00166DB1" w:rsidP="002D261F">
            <w:pPr>
              <w:pStyle w:val="KeyFindingsTableLeftColumn"/>
            </w:pPr>
            <w:r w:rsidRPr="00166DB1">
              <w:lastRenderedPageBreak/>
              <w:fldChar w:fldCharType="begin"/>
            </w:r>
            <w:r w:rsidRPr="00166DB1">
              <w:instrText xml:space="preserve"> REF _Ref490676981 \r \h </w:instrText>
            </w:r>
            <w:r w:rsidR="002D261F">
              <w:instrText xml:space="preserve"> \* MERGEFORMAT </w:instrText>
            </w:r>
            <w:r w:rsidRPr="00166DB1">
              <w:fldChar w:fldCharType="separate"/>
            </w:r>
            <w:r w:rsidRPr="00166DB1">
              <w:t>Key Finding 21:</w:t>
            </w:r>
            <w:r w:rsidRPr="00166DB1">
              <w:fldChar w:fldCharType="end"/>
            </w:r>
          </w:p>
        </w:tc>
        <w:tc>
          <w:tcPr>
            <w:tcW w:w="5201" w:type="dxa"/>
            <w:shd w:val="clear" w:color="auto" w:fill="F2F2F2" w:themeFill="background1" w:themeFillShade="F2"/>
            <w:vAlign w:val="center"/>
          </w:tcPr>
          <w:p w14:paraId="63CE8BA4" w14:textId="1978D921" w:rsidR="00166DB1" w:rsidRPr="00166DB1" w:rsidRDefault="00166DB1" w:rsidP="002D261F">
            <w:pPr>
              <w:pStyle w:val="KeyFindingsTableCopy"/>
            </w:pPr>
            <w:r w:rsidRPr="00166DB1">
              <w:fldChar w:fldCharType="begin"/>
            </w:r>
            <w:r w:rsidRPr="00166DB1">
              <w:instrText xml:space="preserve"> REF _Ref490676981 \h </w:instrText>
            </w:r>
            <w:r w:rsidR="002D261F">
              <w:instrText xml:space="preserve"> \* MERGEFORMAT </w:instrText>
            </w:r>
            <w:r w:rsidRPr="00166DB1">
              <w:fldChar w:fldCharType="separate"/>
            </w:r>
            <w:r w:rsidRPr="00166DB1">
              <w:t>Wholesale changes to the Pharmacy Programs should be approached with caution. Although we found that the programs did not have any observable impact on strengthening the rural and remote pharmacy workforce levels, based on the available 2013–2015 data, there are other factors that must be considered in forming decisions about the future of the programs: the impacts of the current programs and their value to current and prospective recipients. An increase in the value of the grants could increase the incentives to take up the grants and promote larger shifts in the workforce into rural and remote areas.</w:t>
            </w:r>
            <w:r w:rsidRPr="00166DB1">
              <w:fldChar w:fldCharType="end"/>
            </w:r>
          </w:p>
        </w:tc>
      </w:tr>
    </w:tbl>
    <w:p w14:paraId="15F267EF" w14:textId="77777777" w:rsidR="00166DB1" w:rsidRPr="00166DB1" w:rsidRDefault="00166DB1" w:rsidP="00B24642">
      <w:pPr>
        <w:pStyle w:val="ESHeading3"/>
        <w:rPr>
          <w:rFonts w:eastAsia="Times New Roman"/>
        </w:rPr>
      </w:pPr>
      <w:r w:rsidRPr="00166DB1">
        <w:rPr>
          <w:rFonts w:eastAsia="Times New Roman"/>
        </w:rPr>
        <w:t>Efficiency</w:t>
      </w:r>
    </w:p>
    <w:p w14:paraId="0F89E989" w14:textId="77777777" w:rsidR="00166DB1" w:rsidRPr="00166DB1" w:rsidRDefault="00166DB1" w:rsidP="00D65552">
      <w:pPr>
        <w:keepNext/>
        <w:spacing w:before="85" w:after="85"/>
        <w:rPr>
          <w:rFonts w:ascii="Garamond" w:eastAsia="Garamond" w:hAnsi="Garamond"/>
          <w:color w:val="000000"/>
        </w:rPr>
      </w:pPr>
      <w:r w:rsidRPr="00166DB1">
        <w:rPr>
          <w:rFonts w:ascii="Garamond" w:eastAsia="Garamond" w:hAnsi="Garamond"/>
          <w:color w:val="000000"/>
        </w:rPr>
        <w:t xml:space="preserve">An examination of a program’s </w:t>
      </w:r>
      <w:r w:rsidRPr="00166DB1">
        <w:rPr>
          <w:rFonts w:ascii="Garamond" w:eastAsia="Garamond" w:hAnsi="Garamond"/>
          <w:i/>
          <w:color w:val="000000"/>
        </w:rPr>
        <w:t>efficiency</w:t>
      </w:r>
      <w:r w:rsidRPr="00166DB1">
        <w:rPr>
          <w:rFonts w:ascii="Garamond" w:eastAsia="Garamond" w:hAnsi="Garamond"/>
          <w:color w:val="000000"/>
        </w:rPr>
        <w:t xml:space="preserve"> seeks to ascertain:</w:t>
      </w:r>
    </w:p>
    <w:p w14:paraId="38D0D89A" w14:textId="77777777" w:rsidR="00166DB1" w:rsidRPr="00166DB1" w:rsidRDefault="00166DB1" w:rsidP="00166DB1">
      <w:pPr>
        <w:spacing w:before="85" w:after="85"/>
        <w:ind w:left="284" w:right="284"/>
        <w:rPr>
          <w:rFonts w:ascii="Times New Roman" w:eastAsia="Garamond" w:hAnsi="Times New Roman"/>
          <w:i/>
          <w:iCs/>
          <w:color w:val="000000"/>
          <w:sz w:val="20"/>
          <w:lang w:val="en-US"/>
        </w:rPr>
      </w:pPr>
      <w:r w:rsidRPr="00166DB1">
        <w:rPr>
          <w:rFonts w:ascii="Times New Roman" w:eastAsia="Garamond" w:hAnsi="Times New Roman"/>
          <w:i/>
          <w:iCs/>
          <w:color w:val="000000"/>
          <w:sz w:val="20"/>
        </w:rPr>
        <w:t>whether there are better ways of achieving these objectives</w:t>
      </w:r>
      <w:sdt>
        <w:sdtPr>
          <w:rPr>
            <w:rFonts w:ascii="Times New Roman" w:eastAsia="Garamond" w:hAnsi="Times New Roman"/>
            <w:i/>
            <w:iCs/>
            <w:color w:val="000000"/>
            <w:sz w:val="20"/>
          </w:rPr>
          <w:id w:val="11431434"/>
          <w:citation/>
        </w:sdtPr>
        <w:sdtEndPr/>
        <w:sdtContent>
          <w:r w:rsidRPr="00166DB1">
            <w:rPr>
              <w:rFonts w:ascii="Times New Roman" w:eastAsia="Garamond" w:hAnsi="Times New Roman"/>
              <w:i/>
              <w:iCs/>
              <w:color w:val="000000"/>
              <w:sz w:val="20"/>
            </w:rPr>
            <w:fldChar w:fldCharType="begin"/>
          </w:r>
          <w:r w:rsidRPr="00166DB1">
            <w:rPr>
              <w:rFonts w:ascii="Times New Roman" w:eastAsia="Garamond" w:hAnsi="Times New Roman"/>
              <w:i/>
              <w:iCs/>
              <w:color w:val="000000"/>
              <w:sz w:val="20"/>
            </w:rPr>
            <w:instrText xml:space="preserve"> CITATION Tun10 \l 3081 </w:instrText>
          </w:r>
          <w:r w:rsidRPr="00166DB1">
            <w:rPr>
              <w:rFonts w:ascii="Times New Roman" w:eastAsia="Garamond" w:hAnsi="Times New Roman"/>
              <w:i/>
              <w:iCs/>
              <w:color w:val="000000"/>
              <w:sz w:val="20"/>
            </w:rPr>
            <w:fldChar w:fldCharType="separate"/>
          </w:r>
          <w:r w:rsidRPr="00166DB1">
            <w:rPr>
              <w:rFonts w:ascii="Times New Roman" w:eastAsia="Garamond" w:hAnsi="Times New Roman"/>
              <w:i/>
              <w:iCs/>
              <w:noProof/>
              <w:color w:val="000000"/>
              <w:sz w:val="20"/>
            </w:rPr>
            <w:t xml:space="preserve"> [1]</w:t>
          </w:r>
          <w:r w:rsidRPr="00166DB1">
            <w:rPr>
              <w:rFonts w:ascii="Times New Roman" w:eastAsia="Garamond" w:hAnsi="Times New Roman"/>
              <w:i/>
              <w:iCs/>
              <w:color w:val="000000"/>
              <w:sz w:val="20"/>
            </w:rPr>
            <w:fldChar w:fldCharType="end"/>
          </w:r>
        </w:sdtContent>
      </w:sdt>
      <w:r w:rsidRPr="00166DB1">
        <w:rPr>
          <w:rFonts w:ascii="Times New Roman" w:eastAsia="Garamond" w:hAnsi="Times New Roman"/>
          <w:i/>
          <w:iCs/>
          <w:color w:val="000000"/>
          <w:sz w:val="20"/>
        </w:rPr>
        <w:t>, including consideration of expenditure and cost per output, project governance arrangements, and implementation processes</w:t>
      </w:r>
      <w:r w:rsidRPr="00166DB1">
        <w:rPr>
          <w:rFonts w:ascii="Times New Roman" w:eastAsia="Garamond" w:hAnsi="Times New Roman"/>
          <w:i/>
          <w:iCs/>
          <w:color w:val="000000"/>
          <w:sz w:val="20"/>
          <w:lang w:val="en-US"/>
        </w:rPr>
        <w:t>.</w:t>
      </w:r>
      <w:sdt>
        <w:sdtPr>
          <w:rPr>
            <w:rFonts w:ascii="Times New Roman" w:eastAsia="Garamond" w:hAnsi="Times New Roman"/>
            <w:i/>
            <w:iCs/>
            <w:color w:val="000000"/>
            <w:sz w:val="20"/>
            <w:lang w:val="en-US"/>
          </w:rPr>
          <w:id w:val="-728687045"/>
          <w:citation/>
        </w:sdtPr>
        <w:sdtEndPr/>
        <w:sdtContent>
          <w:r w:rsidRPr="00166DB1">
            <w:rPr>
              <w:rFonts w:ascii="Times New Roman" w:eastAsia="Garamond" w:hAnsi="Times New Roman"/>
              <w:i/>
              <w:iCs/>
              <w:color w:val="000000"/>
              <w:sz w:val="20"/>
              <w:lang w:val="en-US"/>
            </w:rPr>
            <w:fldChar w:fldCharType="begin"/>
          </w:r>
          <w:r w:rsidRPr="00166DB1">
            <w:rPr>
              <w:rFonts w:ascii="Times New Roman" w:eastAsia="Garamond" w:hAnsi="Times New Roman"/>
              <w:i/>
              <w:iCs/>
              <w:color w:val="000000"/>
              <w:sz w:val="20"/>
            </w:rPr>
            <w:instrText xml:space="preserve">CITATION Hea \l 3081 </w:instrText>
          </w:r>
          <w:r w:rsidRPr="00166DB1">
            <w:rPr>
              <w:rFonts w:ascii="Times New Roman" w:eastAsia="Garamond" w:hAnsi="Times New Roman"/>
              <w:i/>
              <w:iCs/>
              <w:color w:val="000000"/>
              <w:sz w:val="20"/>
              <w:lang w:val="en-US"/>
            </w:rPr>
            <w:fldChar w:fldCharType="separate"/>
          </w:r>
          <w:r w:rsidRPr="00166DB1">
            <w:rPr>
              <w:rFonts w:ascii="Times New Roman" w:eastAsia="Garamond" w:hAnsi="Times New Roman"/>
              <w:i/>
              <w:iCs/>
              <w:noProof/>
              <w:color w:val="000000"/>
              <w:sz w:val="20"/>
            </w:rPr>
            <w:t xml:space="preserve"> [2]</w:t>
          </w:r>
          <w:r w:rsidRPr="00166DB1">
            <w:rPr>
              <w:rFonts w:ascii="Times New Roman" w:eastAsia="Garamond" w:hAnsi="Times New Roman"/>
              <w:i/>
              <w:iCs/>
              <w:color w:val="000000"/>
              <w:sz w:val="20"/>
              <w:lang w:val="en-US"/>
            </w:rPr>
            <w:fldChar w:fldCharType="end"/>
          </w:r>
        </w:sdtContent>
      </w:sdt>
    </w:p>
    <w:p w14:paraId="3F126FC0"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key findings of the effectiveness of the Pharmacy Workforce Program package are presented below.</w:t>
      </w:r>
    </w:p>
    <w:tbl>
      <w:tblPr>
        <w:tblStyle w:val="KeyFindings"/>
        <w:tblW w:w="5000" w:type="pct"/>
        <w:shd w:val="clear" w:color="auto" w:fill="F2F2F2" w:themeFill="background1" w:themeFillShade="F2"/>
        <w:tblLayout w:type="fixed"/>
        <w:tblLook w:val="04A0" w:firstRow="1" w:lastRow="0" w:firstColumn="1" w:lastColumn="0" w:noHBand="0" w:noVBand="1"/>
        <w:tblCaption w:val="Summary of Key Findings - Efficiency"/>
        <w:tblDescription w:val="Table summarising Key Findings 22 to 28"/>
      </w:tblPr>
      <w:tblGrid>
        <w:gridCol w:w="1843"/>
        <w:gridCol w:w="5201"/>
      </w:tblGrid>
      <w:tr w:rsidR="00133610" w:rsidRPr="00166DB1" w14:paraId="18F7E027" w14:textId="77777777" w:rsidTr="00133610">
        <w:trPr>
          <w:cnfStyle w:val="100000000000" w:firstRow="1" w:lastRow="0" w:firstColumn="0" w:lastColumn="0" w:oddVBand="0" w:evenVBand="0" w:oddHBand="0" w:evenHBand="0" w:firstRowFirstColumn="0" w:firstRowLastColumn="0" w:lastRowFirstColumn="0" w:lastRowLastColumn="0"/>
          <w:cantSplit/>
          <w:tblHeader/>
        </w:trPr>
        <w:tc>
          <w:tcPr>
            <w:tcW w:w="1843" w:type="dxa"/>
            <w:shd w:val="clear" w:color="auto" w:fill="F2F2F2" w:themeFill="background1" w:themeFillShade="F2"/>
            <w:vAlign w:val="center"/>
          </w:tcPr>
          <w:p w14:paraId="06A7AB3C" w14:textId="33FF9AC6" w:rsidR="00133610" w:rsidRPr="00166DB1" w:rsidRDefault="00133610" w:rsidP="002D261F">
            <w:pPr>
              <w:pStyle w:val="KeyFindingsTableHeading"/>
            </w:pPr>
          </w:p>
        </w:tc>
        <w:tc>
          <w:tcPr>
            <w:tcW w:w="5201" w:type="dxa"/>
            <w:shd w:val="clear" w:color="auto" w:fill="F2F2F2" w:themeFill="background1" w:themeFillShade="F2"/>
            <w:vAlign w:val="center"/>
          </w:tcPr>
          <w:p w14:paraId="4155F07E" w14:textId="6FE160EA" w:rsidR="00133610" w:rsidRPr="00166DB1" w:rsidRDefault="00133610" w:rsidP="002D261F">
            <w:pPr>
              <w:pStyle w:val="KeyFindingsTableHeading"/>
            </w:pPr>
            <w:r w:rsidRPr="00166DB1">
              <w:t>Summary of key findings – Efficiency</w:t>
            </w:r>
          </w:p>
        </w:tc>
      </w:tr>
      <w:tr w:rsidR="00166DB1" w:rsidRPr="00166DB1" w14:paraId="18E28EA5" w14:textId="77777777" w:rsidTr="00133610">
        <w:trPr>
          <w:cantSplit/>
        </w:trPr>
        <w:tc>
          <w:tcPr>
            <w:tcW w:w="1843" w:type="dxa"/>
            <w:shd w:val="clear" w:color="auto" w:fill="F2F2F2" w:themeFill="background1" w:themeFillShade="F2"/>
            <w:vAlign w:val="center"/>
          </w:tcPr>
          <w:p w14:paraId="785EEB7E" w14:textId="4C2E8B2C" w:rsidR="00166DB1" w:rsidRPr="00166DB1" w:rsidRDefault="00166DB1" w:rsidP="002D261F">
            <w:pPr>
              <w:pStyle w:val="KeyFindingsTableLeftColumn"/>
            </w:pPr>
            <w:r w:rsidRPr="00166DB1">
              <w:fldChar w:fldCharType="begin"/>
            </w:r>
            <w:r w:rsidRPr="00166DB1">
              <w:instrText xml:space="preserve"> REF _Ref492992955 \r \h </w:instrText>
            </w:r>
            <w:r w:rsidR="002D261F">
              <w:instrText xml:space="preserve"> \* MERGEFORMAT </w:instrText>
            </w:r>
            <w:r w:rsidRPr="00166DB1">
              <w:fldChar w:fldCharType="separate"/>
            </w:r>
            <w:r w:rsidRPr="00166DB1">
              <w:t>Key Finding 22:</w:t>
            </w:r>
            <w:r w:rsidRPr="00166DB1">
              <w:fldChar w:fldCharType="end"/>
            </w:r>
          </w:p>
        </w:tc>
        <w:tc>
          <w:tcPr>
            <w:tcW w:w="5201" w:type="dxa"/>
            <w:shd w:val="clear" w:color="auto" w:fill="F2F2F2" w:themeFill="background1" w:themeFillShade="F2"/>
            <w:vAlign w:val="center"/>
          </w:tcPr>
          <w:p w14:paraId="6C7D2ADF" w14:textId="309DFC10" w:rsidR="00166DB1" w:rsidRPr="00166DB1" w:rsidRDefault="00166DB1" w:rsidP="002D261F">
            <w:pPr>
              <w:pStyle w:val="KeyFindingsTableCopy"/>
            </w:pPr>
            <w:r w:rsidRPr="00166DB1">
              <w:fldChar w:fldCharType="begin"/>
            </w:r>
            <w:r w:rsidRPr="00166DB1">
              <w:instrText xml:space="preserve"> REF _Ref492992955 \h </w:instrText>
            </w:r>
            <w:r w:rsidR="002D261F">
              <w:instrText xml:space="preserve"> \* MERGEFORMAT </w:instrText>
            </w:r>
            <w:r w:rsidRPr="00166DB1">
              <w:fldChar w:fldCharType="separate"/>
            </w:r>
            <w:r w:rsidRPr="00166DB1">
              <w:t>The review of Pharmacy Workforce Programs found they are not maximising their impact or reach and may not be reacting to the changing needs of rural community pharmacists. The impact, reach and currency of the Pharmacy Workforce Programs could be improved by more proactive program governance.</w:t>
            </w:r>
            <w:r w:rsidRPr="00166DB1">
              <w:fldChar w:fldCharType="end"/>
            </w:r>
          </w:p>
        </w:tc>
      </w:tr>
      <w:tr w:rsidR="00166DB1" w:rsidRPr="00166DB1" w14:paraId="6EE92CD5" w14:textId="77777777" w:rsidTr="00133610">
        <w:trPr>
          <w:cantSplit/>
        </w:trPr>
        <w:tc>
          <w:tcPr>
            <w:tcW w:w="1843" w:type="dxa"/>
            <w:shd w:val="clear" w:color="auto" w:fill="F2F2F2" w:themeFill="background1" w:themeFillShade="F2"/>
            <w:vAlign w:val="center"/>
          </w:tcPr>
          <w:p w14:paraId="46871D7E" w14:textId="37DBCCED" w:rsidR="00166DB1" w:rsidRPr="00166DB1" w:rsidRDefault="00166DB1" w:rsidP="002D261F">
            <w:pPr>
              <w:pStyle w:val="KeyFindingsTableLeftColumn"/>
            </w:pPr>
            <w:r w:rsidRPr="00166DB1">
              <w:fldChar w:fldCharType="begin"/>
            </w:r>
            <w:r w:rsidRPr="00166DB1">
              <w:instrText xml:space="preserve"> REF _Ref490677216 \r \h </w:instrText>
            </w:r>
            <w:r w:rsidR="002D261F">
              <w:instrText xml:space="preserve"> \* MERGEFORMAT </w:instrText>
            </w:r>
            <w:r w:rsidRPr="00166DB1">
              <w:fldChar w:fldCharType="separate"/>
            </w:r>
            <w:r w:rsidRPr="00166DB1">
              <w:t>Key Finding 23:</w:t>
            </w:r>
            <w:r w:rsidRPr="00166DB1">
              <w:fldChar w:fldCharType="end"/>
            </w:r>
          </w:p>
        </w:tc>
        <w:tc>
          <w:tcPr>
            <w:tcW w:w="5201" w:type="dxa"/>
            <w:shd w:val="clear" w:color="auto" w:fill="F2F2F2" w:themeFill="background1" w:themeFillShade="F2"/>
            <w:vAlign w:val="center"/>
          </w:tcPr>
          <w:p w14:paraId="4883448A" w14:textId="06517525" w:rsidR="00166DB1" w:rsidRPr="00166DB1" w:rsidRDefault="00166DB1" w:rsidP="002D261F">
            <w:pPr>
              <w:pStyle w:val="KeyFindingsTableCopy"/>
            </w:pPr>
            <w:r w:rsidRPr="00166DB1">
              <w:fldChar w:fldCharType="begin"/>
            </w:r>
            <w:r w:rsidRPr="00166DB1">
              <w:instrText xml:space="preserve"> REF _Ref490677216 \h </w:instrText>
            </w:r>
            <w:r w:rsidR="002D261F">
              <w:instrText xml:space="preserve"> \* MERGEFORMAT </w:instrText>
            </w:r>
            <w:r w:rsidRPr="00166DB1">
              <w:fldChar w:fldCharType="separate"/>
            </w:r>
            <w:r w:rsidRPr="00166DB1">
              <w:t>The majority of program funding was directed to recruitment programs (38.1% of total Pharmacy Workforce Programs’ expenditure), followed by retention programs (28.1% of expenditure), other workforce support programs (28.9% of expenditure) and programs to enhance availability of culturally appropriate services (4.9% of expenditure).</w:t>
            </w:r>
            <w:r w:rsidRPr="00166DB1">
              <w:fldChar w:fldCharType="end"/>
            </w:r>
          </w:p>
        </w:tc>
      </w:tr>
      <w:tr w:rsidR="00166DB1" w:rsidRPr="00166DB1" w14:paraId="3799A682" w14:textId="77777777" w:rsidTr="00133610">
        <w:trPr>
          <w:cantSplit/>
        </w:trPr>
        <w:tc>
          <w:tcPr>
            <w:tcW w:w="1843" w:type="dxa"/>
            <w:shd w:val="clear" w:color="auto" w:fill="F2F2F2" w:themeFill="background1" w:themeFillShade="F2"/>
            <w:vAlign w:val="center"/>
          </w:tcPr>
          <w:p w14:paraId="0269EB42" w14:textId="7E07C622" w:rsidR="00166DB1" w:rsidRPr="00166DB1" w:rsidRDefault="00166DB1" w:rsidP="002D261F">
            <w:pPr>
              <w:pStyle w:val="KeyFindingsTableLeftColumn"/>
            </w:pPr>
            <w:r w:rsidRPr="00166DB1">
              <w:fldChar w:fldCharType="begin"/>
            </w:r>
            <w:r w:rsidRPr="00166DB1">
              <w:instrText xml:space="preserve"> REF _Ref490677221 \r \h </w:instrText>
            </w:r>
            <w:r w:rsidR="002D261F">
              <w:instrText xml:space="preserve"> \* MERGEFORMAT </w:instrText>
            </w:r>
            <w:r w:rsidRPr="00166DB1">
              <w:fldChar w:fldCharType="separate"/>
            </w:r>
            <w:r w:rsidRPr="00166DB1">
              <w:t>Key Finding 24:</w:t>
            </w:r>
            <w:r w:rsidRPr="00166DB1">
              <w:fldChar w:fldCharType="end"/>
            </w:r>
          </w:p>
        </w:tc>
        <w:tc>
          <w:tcPr>
            <w:tcW w:w="5201" w:type="dxa"/>
            <w:shd w:val="clear" w:color="auto" w:fill="F2F2F2" w:themeFill="background1" w:themeFillShade="F2"/>
            <w:vAlign w:val="center"/>
          </w:tcPr>
          <w:p w14:paraId="3472EA77" w14:textId="0B490150" w:rsidR="00166DB1" w:rsidRPr="00166DB1" w:rsidRDefault="00166DB1" w:rsidP="002D261F">
            <w:pPr>
              <w:pStyle w:val="KeyFindingsTableCopy"/>
            </w:pPr>
            <w:r w:rsidRPr="00166DB1">
              <w:fldChar w:fldCharType="begin"/>
            </w:r>
            <w:r w:rsidRPr="00166DB1">
              <w:instrText xml:space="preserve"> REF _Ref490677221 \h </w:instrText>
            </w:r>
            <w:r w:rsidR="002D261F">
              <w:instrText xml:space="preserve"> \* MERGEFORMAT </w:instrText>
            </w:r>
            <w:r w:rsidRPr="00166DB1">
              <w:fldChar w:fldCharType="separate"/>
            </w:r>
            <w:r w:rsidRPr="00166DB1">
              <w:t>In contrast to general practice and dentistry, there are no programs that incentivise existing pharmacists in major cities to relocate to rural and remote areas, or overseas trained pharmacists to work in non-metropolitan areas. Consideration could be given to introducing such programs to enhance recruitment rates to non-metropolitan areas.</w:t>
            </w:r>
            <w:r w:rsidRPr="00166DB1">
              <w:fldChar w:fldCharType="end"/>
            </w:r>
          </w:p>
        </w:tc>
      </w:tr>
      <w:tr w:rsidR="00166DB1" w:rsidRPr="00166DB1" w14:paraId="35C290CC" w14:textId="77777777" w:rsidTr="00133610">
        <w:trPr>
          <w:cantSplit/>
        </w:trPr>
        <w:tc>
          <w:tcPr>
            <w:tcW w:w="1843" w:type="dxa"/>
            <w:shd w:val="clear" w:color="auto" w:fill="F2F2F2" w:themeFill="background1" w:themeFillShade="F2"/>
            <w:vAlign w:val="center"/>
          </w:tcPr>
          <w:p w14:paraId="1C959A74" w14:textId="0AC41064" w:rsidR="00166DB1" w:rsidRPr="00166DB1" w:rsidRDefault="00166DB1" w:rsidP="002D261F">
            <w:pPr>
              <w:pStyle w:val="KeyFindingsTableLeftColumn"/>
            </w:pPr>
            <w:r w:rsidRPr="00166DB1">
              <w:fldChar w:fldCharType="begin"/>
            </w:r>
            <w:r w:rsidRPr="00166DB1">
              <w:instrText xml:space="preserve"> REF _Ref489869158 \r \h </w:instrText>
            </w:r>
            <w:r w:rsidR="002D261F">
              <w:instrText xml:space="preserve"> \* MERGEFORMAT </w:instrText>
            </w:r>
            <w:r w:rsidRPr="00166DB1">
              <w:fldChar w:fldCharType="separate"/>
            </w:r>
            <w:r w:rsidRPr="00166DB1">
              <w:t>Key Finding 25:</w:t>
            </w:r>
            <w:r w:rsidRPr="00166DB1">
              <w:fldChar w:fldCharType="end"/>
            </w:r>
          </w:p>
        </w:tc>
        <w:tc>
          <w:tcPr>
            <w:tcW w:w="5201" w:type="dxa"/>
            <w:shd w:val="clear" w:color="auto" w:fill="F2F2F2" w:themeFill="background1" w:themeFillShade="F2"/>
            <w:vAlign w:val="center"/>
          </w:tcPr>
          <w:p w14:paraId="325303B9" w14:textId="1EB573E5" w:rsidR="00166DB1" w:rsidRPr="00166DB1" w:rsidRDefault="00166DB1" w:rsidP="002D261F">
            <w:pPr>
              <w:pStyle w:val="KeyFindingsTableCopy"/>
            </w:pPr>
            <w:r w:rsidRPr="00166DB1">
              <w:fldChar w:fldCharType="begin"/>
            </w:r>
            <w:r w:rsidRPr="00166DB1">
              <w:instrText xml:space="preserve"> REF _Ref489869158 \h </w:instrText>
            </w:r>
            <w:r w:rsidR="002D261F">
              <w:instrText xml:space="preserve"> \* MERGEFORMAT </w:instrText>
            </w:r>
            <w:r w:rsidRPr="00166DB1">
              <w:fldChar w:fldCharType="separate"/>
            </w:r>
            <w:r w:rsidRPr="00166DB1">
              <w:t>The funding for enhanced culturally appropriate services targeting Aboriginal and Torres Straits students and trainees was focussed solely on recruitment programs. This was reflected in the recruitment of new graduates to rural and remote areas, but there were no retention programs for this workforce category.</w:t>
            </w:r>
            <w:r w:rsidRPr="00166DB1">
              <w:fldChar w:fldCharType="end"/>
            </w:r>
          </w:p>
        </w:tc>
      </w:tr>
      <w:tr w:rsidR="00166DB1" w:rsidRPr="00166DB1" w14:paraId="58425980" w14:textId="77777777" w:rsidTr="00133610">
        <w:trPr>
          <w:cantSplit/>
        </w:trPr>
        <w:tc>
          <w:tcPr>
            <w:tcW w:w="1843" w:type="dxa"/>
            <w:shd w:val="clear" w:color="auto" w:fill="F2F2F2" w:themeFill="background1" w:themeFillShade="F2"/>
            <w:vAlign w:val="center"/>
          </w:tcPr>
          <w:p w14:paraId="0439AB9E" w14:textId="322BC812" w:rsidR="00166DB1" w:rsidRPr="00166DB1" w:rsidRDefault="00166DB1" w:rsidP="002D261F">
            <w:pPr>
              <w:pStyle w:val="KeyFindingsTableLeftColumn"/>
            </w:pPr>
            <w:r w:rsidRPr="00166DB1">
              <w:fldChar w:fldCharType="begin"/>
            </w:r>
            <w:r w:rsidRPr="00166DB1">
              <w:instrText xml:space="preserve"> REF _Ref489869175 \r \h </w:instrText>
            </w:r>
            <w:r w:rsidR="002D261F">
              <w:instrText xml:space="preserve"> \* MERGEFORMAT </w:instrText>
            </w:r>
            <w:r w:rsidRPr="00166DB1">
              <w:fldChar w:fldCharType="separate"/>
            </w:r>
            <w:r w:rsidRPr="00166DB1">
              <w:t>Key Finding 26:</w:t>
            </w:r>
            <w:r w:rsidRPr="00166DB1">
              <w:fldChar w:fldCharType="end"/>
            </w:r>
          </w:p>
        </w:tc>
        <w:tc>
          <w:tcPr>
            <w:tcW w:w="5201" w:type="dxa"/>
            <w:shd w:val="clear" w:color="auto" w:fill="F2F2F2" w:themeFill="background1" w:themeFillShade="F2"/>
            <w:vAlign w:val="center"/>
          </w:tcPr>
          <w:p w14:paraId="33798725" w14:textId="54A73700" w:rsidR="00166DB1" w:rsidRPr="00166DB1" w:rsidRDefault="00166DB1" w:rsidP="002D261F">
            <w:pPr>
              <w:pStyle w:val="KeyFindingsTableCopy"/>
            </w:pPr>
            <w:r w:rsidRPr="00166DB1">
              <w:fldChar w:fldCharType="begin"/>
            </w:r>
            <w:r w:rsidRPr="00166DB1">
              <w:instrText xml:space="preserve"> REF _Ref489869175 \h </w:instrText>
            </w:r>
            <w:r w:rsidR="002D261F">
              <w:instrText xml:space="preserve"> \* MERGEFORMAT </w:instrText>
            </w:r>
            <w:r w:rsidRPr="00166DB1">
              <w:fldChar w:fldCharType="separate"/>
            </w:r>
            <w:r w:rsidRPr="00166DB1">
              <w:t>There was insufficient data on programs aimed at increasing access to culturally appropriate pharmacy services to determine their impact on the rural and remote workforce. However, the Aboriginal and Torres Strait Islander Scholarship Scheme appeared to have contributed to modest growth in the Aboriginal and Torres Strait Islander pharmacist workforce.</w:t>
            </w:r>
            <w:r w:rsidRPr="00166DB1">
              <w:fldChar w:fldCharType="end"/>
            </w:r>
          </w:p>
        </w:tc>
      </w:tr>
      <w:tr w:rsidR="00166DB1" w:rsidRPr="00166DB1" w14:paraId="77EA6F5D" w14:textId="77777777" w:rsidTr="00133610">
        <w:trPr>
          <w:cantSplit/>
        </w:trPr>
        <w:tc>
          <w:tcPr>
            <w:tcW w:w="1843" w:type="dxa"/>
            <w:shd w:val="clear" w:color="auto" w:fill="F2F2F2" w:themeFill="background1" w:themeFillShade="F2"/>
            <w:vAlign w:val="center"/>
          </w:tcPr>
          <w:p w14:paraId="04707326" w14:textId="2DF5DA63" w:rsidR="00166DB1" w:rsidRPr="00166DB1" w:rsidRDefault="00166DB1" w:rsidP="002D261F">
            <w:pPr>
              <w:pStyle w:val="KeyFindingsTableLeftColumn"/>
            </w:pPr>
            <w:r w:rsidRPr="00166DB1">
              <w:fldChar w:fldCharType="begin"/>
            </w:r>
            <w:r w:rsidRPr="00166DB1">
              <w:instrText xml:space="preserve"> REF _Ref490677235 \r \h </w:instrText>
            </w:r>
            <w:r w:rsidR="002D261F">
              <w:instrText xml:space="preserve"> \* MERGEFORMAT </w:instrText>
            </w:r>
            <w:r w:rsidRPr="00166DB1">
              <w:fldChar w:fldCharType="separate"/>
            </w:r>
            <w:r w:rsidRPr="00166DB1">
              <w:t>Key Finding 27:</w:t>
            </w:r>
            <w:r w:rsidRPr="00166DB1">
              <w:fldChar w:fldCharType="end"/>
            </w:r>
          </w:p>
        </w:tc>
        <w:tc>
          <w:tcPr>
            <w:tcW w:w="5201" w:type="dxa"/>
            <w:shd w:val="clear" w:color="auto" w:fill="F2F2F2" w:themeFill="background1" w:themeFillShade="F2"/>
            <w:vAlign w:val="center"/>
          </w:tcPr>
          <w:p w14:paraId="68FE1EA4" w14:textId="4BC7C435" w:rsidR="00166DB1" w:rsidRPr="00166DB1" w:rsidRDefault="00166DB1" w:rsidP="002D261F">
            <w:pPr>
              <w:pStyle w:val="KeyFindingsTableCopy"/>
            </w:pPr>
            <w:r w:rsidRPr="00166DB1">
              <w:fldChar w:fldCharType="begin"/>
            </w:r>
            <w:r w:rsidRPr="00166DB1">
              <w:instrText xml:space="preserve"> REF _Ref490677235 \h </w:instrText>
            </w:r>
            <w:r w:rsidR="002D261F">
              <w:instrText xml:space="preserve"> \* MERGEFORMAT </w:instrText>
            </w:r>
            <w:r w:rsidRPr="00166DB1">
              <w:fldChar w:fldCharType="separate"/>
            </w:r>
            <w:r w:rsidRPr="00166DB1">
              <w:t>The estimated cost of administering both Pharmacy Workforce package components was within an acceptable range (under 30% of total program cost).</w:t>
            </w:r>
            <w:r w:rsidRPr="00166DB1">
              <w:fldChar w:fldCharType="end"/>
            </w:r>
          </w:p>
        </w:tc>
      </w:tr>
      <w:tr w:rsidR="00166DB1" w:rsidRPr="00166DB1" w14:paraId="52513044" w14:textId="77777777" w:rsidTr="00133610">
        <w:trPr>
          <w:cantSplit/>
        </w:trPr>
        <w:tc>
          <w:tcPr>
            <w:tcW w:w="1843" w:type="dxa"/>
            <w:shd w:val="clear" w:color="auto" w:fill="F2F2F2" w:themeFill="background1" w:themeFillShade="F2"/>
            <w:vAlign w:val="center"/>
          </w:tcPr>
          <w:p w14:paraId="77BF314D" w14:textId="49BF0097" w:rsidR="00166DB1" w:rsidRPr="00166DB1" w:rsidRDefault="00166DB1" w:rsidP="002D261F">
            <w:pPr>
              <w:pStyle w:val="KeyFindingsTableLeftColumn"/>
            </w:pPr>
            <w:r w:rsidRPr="00166DB1">
              <w:lastRenderedPageBreak/>
              <w:fldChar w:fldCharType="begin"/>
            </w:r>
            <w:r w:rsidRPr="00166DB1">
              <w:instrText xml:space="preserve"> REF _Ref490677246 \r \h </w:instrText>
            </w:r>
            <w:r w:rsidR="002D261F">
              <w:instrText xml:space="preserve"> \* MERGEFORMAT </w:instrText>
            </w:r>
            <w:r w:rsidRPr="00166DB1">
              <w:fldChar w:fldCharType="separate"/>
            </w:r>
            <w:r w:rsidRPr="00166DB1">
              <w:t>Key Finding 28:</w:t>
            </w:r>
            <w:r w:rsidRPr="00166DB1">
              <w:fldChar w:fldCharType="end"/>
            </w:r>
          </w:p>
        </w:tc>
        <w:tc>
          <w:tcPr>
            <w:tcW w:w="5201" w:type="dxa"/>
            <w:shd w:val="clear" w:color="auto" w:fill="F2F2F2" w:themeFill="background1" w:themeFillShade="F2"/>
            <w:vAlign w:val="center"/>
          </w:tcPr>
          <w:p w14:paraId="7CD3542D" w14:textId="3F868ACE" w:rsidR="00166DB1" w:rsidRPr="00166DB1" w:rsidRDefault="00166DB1" w:rsidP="002D261F">
            <w:pPr>
              <w:pStyle w:val="KeyFindingsTableCopy"/>
            </w:pPr>
            <w:r w:rsidRPr="00166DB1">
              <w:fldChar w:fldCharType="begin"/>
            </w:r>
            <w:r w:rsidRPr="00166DB1">
              <w:instrText xml:space="preserve"> REF _Ref490677246 \h </w:instrText>
            </w:r>
            <w:r w:rsidR="002D261F">
              <w:instrText xml:space="preserve"> \* MERGEFORMAT </w:instrText>
            </w:r>
            <w:r w:rsidRPr="00166DB1">
              <w:fldChar w:fldCharType="separate"/>
            </w:r>
            <w:r w:rsidRPr="00166DB1">
              <w:t>Pharmacists considered the most effective programs relative to cost were the Intern Incentive Allowance for Rural Pharmacies, the CPE Allowance and the RPLO Program.</w:t>
            </w:r>
            <w:r w:rsidRPr="00166DB1">
              <w:fldChar w:fldCharType="end"/>
            </w:r>
          </w:p>
        </w:tc>
      </w:tr>
    </w:tbl>
    <w:p w14:paraId="0FB58C87" w14:textId="1299F9FC" w:rsidR="00166DB1" w:rsidRPr="00166DB1" w:rsidRDefault="00166DB1" w:rsidP="00B24642">
      <w:pPr>
        <w:pStyle w:val="ESHeading2"/>
        <w:rPr>
          <w:rFonts w:eastAsia="Times New Roman"/>
        </w:rPr>
      </w:pPr>
      <w:r w:rsidRPr="00166DB1">
        <w:rPr>
          <w:rFonts w:eastAsia="Times New Roman"/>
        </w:rPr>
        <w:t>Conclusions</w:t>
      </w:r>
    </w:p>
    <w:p w14:paraId="42DCD921"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We found that the Pharmacy Workforce Package was ineffective at a macro level in reducing the underlying need for a strengthened workforce in rural and remote areas, evidenced by the static (inner and outer regional areas) and reduced (remote and very remote regional areas) pharmacist FTE rates per 100,000 people between 2013 and 2015.</w:t>
      </w:r>
    </w:p>
    <w:p w14:paraId="2D82A8C5"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programs were more effective at a micro level – the impact on individual students and community pharmacists. There are around 270 new recipients of direct support annually via the recruitment support programs and 500 recipients annually of direct support via workforce retention grants. The evaluation survey responses and consultation feedback suggest that an overwhelming majority of these recipients valued the grant monies received and acknowledged that it informed their decisions about career planning. </w:t>
      </w:r>
    </w:p>
    <w:p w14:paraId="089168FC"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Based on these observations, we suggest that wholesale changes to the Pharmacy Workforce Programs should be approached with caution. Although we found that </w:t>
      </w:r>
      <w:r w:rsidRPr="00166DB1">
        <w:rPr>
          <w:rFonts w:ascii="Garamond" w:eastAsia="Garamond" w:hAnsi="Garamond"/>
          <w:color w:val="000000"/>
        </w:rPr>
        <w:t>the programs did not have any observable impact on strengthening the rural and remote pharmacy workforce levels, there are other factors that must be considered in forming decisions about the future of the program: the impacts of the current programs and their value to current and prospective recipients. An increase in the value of the grants could increase the incentives to take-up the grants and promote larger shifts in the workforce into rural and remote areas.</w:t>
      </w:r>
    </w:p>
    <w:p w14:paraId="4D752FBD"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Programs supporting increased access to culturally appropriate services for Aboriginal and Torres Strait Islander people were more challenging to evaluate and should not be limited to workforce growth or rural and remote locations.</w:t>
      </w:r>
    </w:p>
    <w:p w14:paraId="23B5353C"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Based on the evaluation findings of the individual programs and of the overall impact of the package components, we describe four potential options for future development:</w:t>
      </w:r>
    </w:p>
    <w:p w14:paraId="79C814E3" w14:textId="77777777" w:rsidR="00166DB1" w:rsidRPr="00F948C2" w:rsidRDefault="00166DB1" w:rsidP="009F66FB">
      <w:pPr>
        <w:pStyle w:val="ListParagraph"/>
        <w:numPr>
          <w:ilvl w:val="0"/>
          <w:numId w:val="11"/>
        </w:numPr>
        <w:tabs>
          <w:tab w:val="num" w:pos="170"/>
        </w:tabs>
        <w:spacing w:before="20" w:after="20"/>
        <w:rPr>
          <w:rFonts w:ascii="Garamond" w:eastAsia="Times New Roman" w:hAnsi="Garamond"/>
          <w:color w:val="000000"/>
        </w:rPr>
      </w:pPr>
      <w:r w:rsidRPr="00F948C2">
        <w:rPr>
          <w:rFonts w:ascii="Garamond" w:eastAsia="Times New Roman" w:hAnsi="Garamond"/>
          <w:b/>
          <w:color w:val="000000"/>
        </w:rPr>
        <w:t>Option 1:</w:t>
      </w:r>
      <w:r w:rsidRPr="00F948C2">
        <w:rPr>
          <w:rFonts w:ascii="Garamond" w:eastAsia="Times New Roman" w:hAnsi="Garamond"/>
          <w:color w:val="000000"/>
        </w:rPr>
        <w:t xml:space="preserve"> keep existing programs with minor modifications to improve their functionality</w:t>
      </w:r>
    </w:p>
    <w:p w14:paraId="0BD63D5B" w14:textId="77777777" w:rsidR="00166DB1" w:rsidRPr="00F948C2" w:rsidRDefault="00166DB1" w:rsidP="009F66FB">
      <w:pPr>
        <w:pStyle w:val="ListParagraph"/>
        <w:numPr>
          <w:ilvl w:val="0"/>
          <w:numId w:val="11"/>
        </w:numPr>
        <w:tabs>
          <w:tab w:val="num" w:pos="170"/>
        </w:tabs>
        <w:spacing w:before="20" w:after="20"/>
        <w:rPr>
          <w:rFonts w:ascii="Garamond" w:eastAsia="Times New Roman" w:hAnsi="Garamond"/>
          <w:color w:val="000000"/>
        </w:rPr>
      </w:pPr>
      <w:r w:rsidRPr="00F948C2">
        <w:rPr>
          <w:rFonts w:ascii="Garamond" w:eastAsia="Times New Roman" w:hAnsi="Garamond"/>
          <w:b/>
          <w:color w:val="000000"/>
        </w:rPr>
        <w:t>Option 2:</w:t>
      </w:r>
      <w:r w:rsidRPr="00F948C2">
        <w:rPr>
          <w:rFonts w:ascii="Garamond" w:eastAsia="Times New Roman" w:hAnsi="Garamond"/>
          <w:color w:val="000000"/>
        </w:rPr>
        <w:t xml:space="preserve"> remove Pharmacy Accessibility Remoteness Index (PhARIA) 1 restrictions to existing programs to improve the Pharmacy Workforce Program’s reach in regional areas</w:t>
      </w:r>
    </w:p>
    <w:p w14:paraId="34FC8D52" w14:textId="77777777" w:rsidR="00166DB1" w:rsidRPr="00F948C2" w:rsidRDefault="00166DB1" w:rsidP="009F66FB">
      <w:pPr>
        <w:pStyle w:val="ListParagraph"/>
        <w:numPr>
          <w:ilvl w:val="0"/>
          <w:numId w:val="11"/>
        </w:numPr>
        <w:tabs>
          <w:tab w:val="num" w:pos="170"/>
        </w:tabs>
        <w:spacing w:before="20" w:after="20"/>
        <w:rPr>
          <w:rFonts w:ascii="Garamond" w:eastAsia="Times New Roman" w:hAnsi="Garamond"/>
          <w:color w:val="000000"/>
        </w:rPr>
      </w:pPr>
      <w:r w:rsidRPr="00F948C2">
        <w:rPr>
          <w:rFonts w:ascii="Garamond" w:eastAsia="Times New Roman" w:hAnsi="Garamond"/>
          <w:b/>
          <w:color w:val="000000"/>
        </w:rPr>
        <w:t xml:space="preserve">Option 3: </w:t>
      </w:r>
      <w:r w:rsidRPr="00F948C2">
        <w:rPr>
          <w:rFonts w:ascii="Garamond" w:eastAsia="Times New Roman" w:hAnsi="Garamond"/>
          <w:color w:val="000000"/>
        </w:rPr>
        <w:t xml:space="preserve">undertake a moderate restructure to include additional workforce program types, whilst retaining some or all of the existing programs, or </w:t>
      </w:r>
    </w:p>
    <w:p w14:paraId="57C664A5" w14:textId="5B8436F3" w:rsidR="00166DB1" w:rsidRPr="00F948C2" w:rsidRDefault="00166DB1" w:rsidP="009F66FB">
      <w:pPr>
        <w:pStyle w:val="ListParagraph"/>
        <w:numPr>
          <w:ilvl w:val="0"/>
          <w:numId w:val="11"/>
        </w:numPr>
        <w:tabs>
          <w:tab w:val="num" w:pos="170"/>
        </w:tabs>
        <w:spacing w:before="20" w:after="20"/>
        <w:rPr>
          <w:rFonts w:ascii="Garamond" w:eastAsia="Times New Roman" w:hAnsi="Garamond"/>
          <w:color w:val="000000"/>
        </w:rPr>
      </w:pPr>
      <w:r w:rsidRPr="00F948C2">
        <w:rPr>
          <w:rFonts w:ascii="Garamond" w:eastAsia="Times New Roman" w:hAnsi="Garamond"/>
          <w:b/>
          <w:color w:val="000000"/>
        </w:rPr>
        <w:t>Option 4:</w:t>
      </w:r>
      <w:r w:rsidRPr="00F948C2">
        <w:rPr>
          <w:rFonts w:ascii="Garamond" w:eastAsia="Times New Roman" w:hAnsi="Garamond"/>
          <w:color w:val="000000"/>
        </w:rPr>
        <w:t xml:space="preserve"> undertake a major restructure to cease all existing program and use funds to enhance the level of workforce support pharmacists in targeted geographic areas (possibly prioritised on the basis of rurality).</w:t>
      </w:r>
    </w:p>
    <w:p w14:paraId="3D71F745" w14:textId="77777777" w:rsidR="000121A1" w:rsidRDefault="000121A1" w:rsidP="00166DB1">
      <w:pPr>
        <w:tabs>
          <w:tab w:val="num" w:pos="170"/>
        </w:tabs>
        <w:spacing w:before="20" w:after="20"/>
        <w:ind w:left="170" w:hanging="170"/>
        <w:rPr>
          <w:rFonts w:ascii="Garamond" w:eastAsia="Times New Roman" w:hAnsi="Garamond"/>
          <w:color w:val="000000"/>
        </w:rPr>
        <w:sectPr w:rsidR="000121A1" w:rsidSect="00D65552">
          <w:headerReference w:type="default" r:id="rId18"/>
          <w:pgSz w:w="16839" w:h="11907" w:orient="landscape" w:code="9"/>
          <w:pgMar w:top="1985" w:right="1304" w:bottom="850" w:left="737" w:header="570" w:footer="284" w:gutter="0"/>
          <w:pgNumType w:fmt="lowerRoman"/>
          <w:cols w:num="2" w:space="709"/>
          <w:titlePg/>
          <w:docGrid w:linePitch="360"/>
        </w:sectPr>
      </w:pPr>
    </w:p>
    <w:p w14:paraId="75B124EE" w14:textId="77777777" w:rsidR="000121A1" w:rsidRDefault="000121A1" w:rsidP="00166DB1">
      <w:pPr>
        <w:tabs>
          <w:tab w:val="num" w:pos="170"/>
        </w:tabs>
        <w:spacing w:before="20" w:after="20"/>
        <w:ind w:left="170" w:hanging="170"/>
        <w:rPr>
          <w:rFonts w:ascii="Garamond" w:eastAsia="Times New Roman" w:hAnsi="Garamond"/>
          <w:color w:val="000000"/>
        </w:rPr>
      </w:pPr>
    </w:p>
    <w:p w14:paraId="7A3CFBE3" w14:textId="7F509BAD" w:rsidR="000121A1" w:rsidRDefault="000121A1" w:rsidP="00166DB1">
      <w:pPr>
        <w:tabs>
          <w:tab w:val="num" w:pos="170"/>
        </w:tabs>
        <w:spacing w:before="20" w:after="20"/>
        <w:ind w:left="170" w:hanging="170"/>
        <w:rPr>
          <w:rFonts w:ascii="Garamond" w:eastAsia="Times New Roman" w:hAnsi="Garamond"/>
          <w:color w:val="000000"/>
        </w:rPr>
      </w:pPr>
    </w:p>
    <w:p w14:paraId="7CACDE73" w14:textId="77777777" w:rsidR="000121A1" w:rsidRDefault="000121A1" w:rsidP="00166DB1">
      <w:pPr>
        <w:tabs>
          <w:tab w:val="num" w:pos="170"/>
        </w:tabs>
        <w:spacing w:before="20" w:after="20"/>
        <w:ind w:left="170" w:hanging="170"/>
        <w:rPr>
          <w:rFonts w:ascii="Garamond" w:eastAsia="Times New Roman" w:hAnsi="Garamond"/>
          <w:color w:val="000000"/>
        </w:rPr>
        <w:sectPr w:rsidR="000121A1" w:rsidSect="000121A1">
          <w:headerReference w:type="default" r:id="rId19"/>
          <w:footerReference w:type="default" r:id="rId20"/>
          <w:type w:val="continuous"/>
          <w:pgSz w:w="16839" w:h="11907" w:orient="landscape" w:code="9"/>
          <w:pgMar w:top="2268" w:right="1304" w:bottom="850" w:left="737" w:header="567" w:footer="284" w:gutter="0"/>
          <w:cols w:space="709"/>
          <w:docGrid w:linePitch="360"/>
        </w:sectPr>
      </w:pPr>
    </w:p>
    <w:p w14:paraId="470E22DD" w14:textId="451021A3" w:rsidR="00A4675C" w:rsidRPr="00C61DC7" w:rsidRDefault="00A4675C" w:rsidP="00EA1B6E">
      <w:pPr>
        <w:pStyle w:val="SectionPageTitle"/>
        <w:numPr>
          <w:ilvl w:val="0"/>
          <w:numId w:val="0"/>
        </w:numPr>
        <w:rPr>
          <w:lang w:val="en-US"/>
        </w:rPr>
      </w:pPr>
      <w:bookmarkStart w:id="5" w:name="_Toc523322031"/>
      <w:r>
        <w:lastRenderedPageBreak/>
        <w:t>PART A – CONTEXT</w:t>
      </w:r>
      <w:bookmarkEnd w:id="5"/>
    </w:p>
    <w:p w14:paraId="442A8AF7" w14:textId="2F220D82" w:rsidR="00D25FF8" w:rsidRDefault="00D25FF8" w:rsidP="00166DB1">
      <w:pPr>
        <w:tabs>
          <w:tab w:val="left" w:pos="7513"/>
        </w:tabs>
        <w:spacing w:line="624" w:lineRule="atLeast"/>
        <w:ind w:left="7513" w:hanging="7513"/>
        <w:rPr>
          <w:rFonts w:ascii="Franklin Gothic Book" w:eastAsia="Garamond" w:hAnsi="Franklin Gothic Book"/>
          <w:caps/>
          <w:sz w:val="52"/>
          <w:u w:val="single"/>
        </w:rPr>
      </w:pPr>
    </w:p>
    <w:p w14:paraId="0FE1E724" w14:textId="77777777" w:rsidR="000121A1" w:rsidRDefault="000121A1" w:rsidP="00166DB1">
      <w:pPr>
        <w:tabs>
          <w:tab w:val="left" w:pos="7513"/>
        </w:tabs>
        <w:spacing w:line="624" w:lineRule="atLeast"/>
        <w:ind w:left="7513" w:hanging="7513"/>
        <w:rPr>
          <w:rFonts w:ascii="Franklin Gothic Book" w:eastAsia="Garamond" w:hAnsi="Franklin Gothic Book"/>
          <w:caps/>
          <w:sz w:val="52"/>
          <w:u w:val="single"/>
        </w:rPr>
        <w:sectPr w:rsidR="000121A1" w:rsidSect="00BA72F1">
          <w:headerReference w:type="default" r:id="rId21"/>
          <w:footerReference w:type="default" r:id="rId22"/>
          <w:pgSz w:w="16839" w:h="11907" w:orient="landscape" w:code="9"/>
          <w:pgMar w:top="2268" w:right="1304" w:bottom="850" w:left="737" w:header="567" w:footer="284" w:gutter="0"/>
          <w:pgNumType w:start="1"/>
          <w:cols w:num="2" w:space="709"/>
          <w:docGrid w:linePitch="360"/>
        </w:sectPr>
      </w:pPr>
    </w:p>
    <w:p w14:paraId="720DB8F3" w14:textId="77777777" w:rsidR="00112926" w:rsidRPr="000121A1" w:rsidRDefault="00112926" w:rsidP="00B24642">
      <w:pPr>
        <w:pStyle w:val="Heading1"/>
        <w:rPr>
          <w:lang w:val="en-US"/>
        </w:rPr>
      </w:pPr>
      <w:bookmarkStart w:id="6" w:name="_Toc523322032"/>
      <w:r w:rsidRPr="000121A1">
        <w:rPr>
          <w:lang w:val="en-US"/>
        </w:rPr>
        <w:lastRenderedPageBreak/>
        <w:t>Introduction</w:t>
      </w:r>
      <w:bookmarkEnd w:id="6"/>
    </w:p>
    <w:p w14:paraId="1FFA4F88" w14:textId="23469ECD" w:rsidR="00166DB1" w:rsidRPr="006060CE" w:rsidRDefault="00166DB1" w:rsidP="00B24642">
      <w:pPr>
        <w:pStyle w:val="Heading2"/>
        <w:rPr>
          <w:u w:val="none"/>
        </w:rPr>
      </w:pPr>
      <w:bookmarkStart w:id="7" w:name="_Toc523322033"/>
      <w:r w:rsidRPr="006060CE">
        <w:t>Background</w:t>
      </w:r>
      <w:bookmarkEnd w:id="7"/>
    </w:p>
    <w:p w14:paraId="60C9D691" w14:textId="77777777" w:rsidR="00166DB1" w:rsidRPr="00166DB1" w:rsidRDefault="00166DB1" w:rsidP="00166DB1">
      <w:pPr>
        <w:spacing w:before="85" w:after="85"/>
        <w:rPr>
          <w:rFonts w:ascii="Garamond" w:eastAsia="Times New Roman" w:hAnsi="Garamond"/>
          <w:color w:val="000000"/>
        </w:rPr>
      </w:pPr>
      <w:r w:rsidRPr="00166DB1">
        <w:rPr>
          <w:rFonts w:ascii="Garamond" w:eastAsia="Times New Roman" w:hAnsi="Garamond"/>
          <w:color w:val="000000"/>
        </w:rPr>
        <w:t xml:space="preserve">The Australian Government Department of Health (the Department) engaged Healthcare Management Advisors (HMA) to evaluate the ongoing Pharmacy Workforce Programs. These programs are </w:t>
      </w:r>
      <w:r w:rsidRPr="00166DB1">
        <w:rPr>
          <w:rFonts w:ascii="Garamond" w:eastAsia="Garamond" w:hAnsi="Garamond"/>
          <w:color w:val="000000"/>
        </w:rPr>
        <w:t>funded under the 6th Community Pharmacy Agreement (6CPA) between The Pharmacy Guild of Australia (The Guild) and the Department.</w:t>
      </w:r>
    </w:p>
    <w:p w14:paraId="3A39616D" w14:textId="5D9C4A19" w:rsidR="00166DB1" w:rsidRPr="006060CE" w:rsidRDefault="00166DB1" w:rsidP="00B24642">
      <w:pPr>
        <w:pStyle w:val="Heading2"/>
      </w:pPr>
      <w:bookmarkStart w:id="8" w:name="_Toc523322034"/>
      <w:r w:rsidRPr="006060CE">
        <w:t>Individual Programs within scope</w:t>
      </w:r>
      <w:bookmarkEnd w:id="8"/>
    </w:p>
    <w:p w14:paraId="465B69E4"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w:t>
      </w:r>
      <w:r w:rsidRPr="00166DB1">
        <w:rPr>
          <w:rFonts w:ascii="Garamond" w:eastAsia="Times New Roman" w:hAnsi="Garamond"/>
          <w:color w:val="000000"/>
        </w:rPr>
        <w:t>Pharmacy Workforce Programs</w:t>
      </w:r>
      <w:r w:rsidRPr="00166DB1">
        <w:rPr>
          <w:rFonts w:ascii="Garamond" w:eastAsia="Garamond" w:hAnsi="Garamond"/>
          <w:color w:val="000000"/>
        </w:rPr>
        <w:t xml:space="preserve"> within the project scope are listed in the following sections. There are 12 of these programs. For the purposes of the evaluation, these programs were categorised into two groups:</w:t>
      </w:r>
    </w:p>
    <w:p w14:paraId="3BFA1AC2" w14:textId="77777777" w:rsidR="00166DB1" w:rsidRPr="00F948C2" w:rsidRDefault="00166DB1" w:rsidP="009F66FB">
      <w:pPr>
        <w:pStyle w:val="ListParagraph"/>
        <w:numPr>
          <w:ilvl w:val="0"/>
          <w:numId w:val="12"/>
        </w:numPr>
        <w:tabs>
          <w:tab w:val="num" w:pos="170"/>
        </w:tabs>
        <w:spacing w:before="20" w:after="20"/>
        <w:rPr>
          <w:rFonts w:ascii="Garamond" w:eastAsia="Times New Roman" w:hAnsi="Garamond"/>
          <w:color w:val="000000"/>
        </w:rPr>
      </w:pPr>
      <w:r w:rsidRPr="00F948C2">
        <w:rPr>
          <w:rFonts w:ascii="Garamond" w:eastAsia="Times New Roman" w:hAnsi="Garamond"/>
          <w:color w:val="000000"/>
        </w:rPr>
        <w:t xml:space="preserve">the </w:t>
      </w:r>
      <w:r w:rsidRPr="00F948C2">
        <w:rPr>
          <w:rFonts w:ascii="Garamond" w:eastAsia="Times New Roman" w:hAnsi="Garamond"/>
          <w:i/>
          <w:color w:val="000000"/>
        </w:rPr>
        <w:t>Rural Workforce Package</w:t>
      </w:r>
      <w:r w:rsidRPr="00F948C2">
        <w:rPr>
          <w:rFonts w:ascii="Garamond" w:eastAsia="Times New Roman" w:hAnsi="Garamond"/>
          <w:color w:val="000000"/>
        </w:rPr>
        <w:t>, which primarily seeks to target recruitment and retention activities in PhARIA 2</w:t>
      </w:r>
      <w:r w:rsidRPr="00166DB1">
        <w:rPr>
          <w:vertAlign w:val="superscript"/>
        </w:rPr>
        <w:footnoteReference w:id="1"/>
      </w:r>
      <w:r w:rsidRPr="00F948C2">
        <w:rPr>
          <w:rFonts w:ascii="Garamond" w:eastAsia="Times New Roman" w:hAnsi="Garamond"/>
          <w:color w:val="000000"/>
        </w:rPr>
        <w:t xml:space="preserve"> or higher locations (10 programs), and</w:t>
      </w:r>
    </w:p>
    <w:p w14:paraId="04E15088" w14:textId="77777777" w:rsidR="00166DB1" w:rsidRPr="00F948C2" w:rsidRDefault="00166DB1" w:rsidP="009F66FB">
      <w:pPr>
        <w:pStyle w:val="ListParagraph"/>
        <w:numPr>
          <w:ilvl w:val="0"/>
          <w:numId w:val="12"/>
        </w:numPr>
        <w:tabs>
          <w:tab w:val="num" w:pos="170"/>
        </w:tabs>
        <w:spacing w:before="20" w:after="20"/>
        <w:rPr>
          <w:rFonts w:ascii="Garamond" w:eastAsia="Times New Roman" w:hAnsi="Garamond"/>
          <w:color w:val="000000"/>
        </w:rPr>
      </w:pPr>
      <w:r w:rsidRPr="00F948C2">
        <w:rPr>
          <w:rFonts w:ascii="Garamond" w:eastAsia="Times New Roman" w:hAnsi="Garamond"/>
          <w:color w:val="000000"/>
        </w:rPr>
        <w:t xml:space="preserve">the </w:t>
      </w:r>
      <w:r w:rsidRPr="00F948C2">
        <w:rPr>
          <w:rFonts w:ascii="Garamond" w:eastAsia="Times New Roman" w:hAnsi="Garamond"/>
          <w:i/>
          <w:color w:val="000000"/>
        </w:rPr>
        <w:t>Aboriginal and Torres Strait Islander Workforce Package</w:t>
      </w:r>
      <w:r w:rsidRPr="00F948C2">
        <w:rPr>
          <w:rFonts w:ascii="Garamond" w:eastAsia="Times New Roman" w:hAnsi="Garamond"/>
          <w:color w:val="000000"/>
        </w:rPr>
        <w:t>, which has no specific geographic focus (2 programs).</w:t>
      </w:r>
    </w:p>
    <w:p w14:paraId="52DB32E5"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Not all workforce programs, or programs related to medicines access within community pharmacies by people in non-metropolitan areas or Aboriginal and Torres Strait Islander people, were within the evaluation scope. Out of scope programs are also listed in the following sub-sections.</w:t>
      </w:r>
    </w:p>
    <w:p w14:paraId="3E3C4B97"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This scope boundary has important implications; it means that changes to any of the 12 programs must also consider knock-on effects to the out-of-scope programs.</w:t>
      </w:r>
    </w:p>
    <w:p w14:paraId="2A2CB5E0"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specific objectives of the 12 in-scope programs are examined in more detail in Chapter 2 of the report.</w:t>
      </w:r>
    </w:p>
    <w:p w14:paraId="104A19EF" w14:textId="77777777" w:rsidR="00166DB1" w:rsidRPr="00775E5D" w:rsidRDefault="00166DB1" w:rsidP="000C002F">
      <w:pPr>
        <w:pStyle w:val="Heading3"/>
      </w:pPr>
      <w:bookmarkStart w:id="9" w:name="_Toc523322035"/>
      <w:r w:rsidRPr="00775E5D">
        <w:t>Rural Workforce Package</w:t>
      </w:r>
      <w:bookmarkEnd w:id="9"/>
    </w:p>
    <w:p w14:paraId="05D1AB36"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Rural Workforce Package programs within the evaluation scope were the following: </w:t>
      </w:r>
    </w:p>
    <w:p w14:paraId="57A1F1BC" w14:textId="77777777" w:rsidR="00166DB1" w:rsidRPr="00166DB1" w:rsidRDefault="00166DB1" w:rsidP="009F66FB">
      <w:pPr>
        <w:numPr>
          <w:ilvl w:val="0"/>
          <w:numId w:val="1"/>
        </w:numPr>
        <w:spacing w:before="20" w:after="20"/>
        <w:rPr>
          <w:rFonts w:ascii="Garamond" w:eastAsia="Times New Roman" w:hAnsi="Garamond"/>
          <w:color w:val="000000"/>
        </w:rPr>
      </w:pPr>
      <w:r w:rsidRPr="00166DB1">
        <w:rPr>
          <w:rFonts w:ascii="Garamond" w:eastAsia="Times New Roman" w:hAnsi="Garamond"/>
          <w:color w:val="000000"/>
        </w:rPr>
        <w:t>Rural Pharmacy Scholarship Scheme</w:t>
      </w:r>
    </w:p>
    <w:p w14:paraId="7AC39F32" w14:textId="77777777" w:rsidR="00166DB1" w:rsidRPr="00166DB1" w:rsidRDefault="00166DB1" w:rsidP="009F66FB">
      <w:pPr>
        <w:numPr>
          <w:ilvl w:val="0"/>
          <w:numId w:val="1"/>
        </w:numPr>
        <w:spacing w:before="20" w:after="20"/>
        <w:rPr>
          <w:rFonts w:ascii="Garamond" w:eastAsia="Times New Roman" w:hAnsi="Garamond"/>
          <w:color w:val="000000"/>
        </w:rPr>
      </w:pPr>
      <w:r w:rsidRPr="00166DB1">
        <w:rPr>
          <w:rFonts w:ascii="Garamond" w:eastAsia="Times New Roman" w:hAnsi="Garamond"/>
          <w:color w:val="000000"/>
        </w:rPr>
        <w:t>Rural Pharmacy Scholarship Mentor Scheme</w:t>
      </w:r>
    </w:p>
    <w:p w14:paraId="3DBF4291" w14:textId="77777777" w:rsidR="00166DB1" w:rsidRPr="00166DB1" w:rsidRDefault="00166DB1" w:rsidP="009F66FB">
      <w:pPr>
        <w:numPr>
          <w:ilvl w:val="0"/>
          <w:numId w:val="1"/>
        </w:numPr>
        <w:spacing w:before="20" w:after="20"/>
        <w:rPr>
          <w:rFonts w:ascii="Garamond" w:eastAsia="Times New Roman" w:hAnsi="Garamond"/>
          <w:color w:val="000000"/>
        </w:rPr>
      </w:pPr>
      <w:r w:rsidRPr="00166DB1">
        <w:rPr>
          <w:rFonts w:ascii="Garamond" w:eastAsia="Times New Roman" w:hAnsi="Garamond"/>
          <w:color w:val="000000"/>
        </w:rPr>
        <w:t>Intern Incentive Allowance for Rural Pharmacies</w:t>
      </w:r>
    </w:p>
    <w:p w14:paraId="6D6982D3" w14:textId="77777777" w:rsidR="00166DB1" w:rsidRPr="00166DB1" w:rsidRDefault="00166DB1" w:rsidP="009F66FB">
      <w:pPr>
        <w:numPr>
          <w:ilvl w:val="0"/>
          <w:numId w:val="1"/>
        </w:numPr>
        <w:spacing w:before="20" w:after="20"/>
        <w:rPr>
          <w:rFonts w:ascii="Garamond" w:eastAsia="Times New Roman" w:hAnsi="Garamond"/>
          <w:color w:val="000000"/>
        </w:rPr>
      </w:pPr>
      <w:r w:rsidRPr="00166DB1">
        <w:rPr>
          <w:rFonts w:ascii="Garamond" w:eastAsia="Times New Roman" w:hAnsi="Garamond"/>
          <w:color w:val="000000"/>
        </w:rPr>
        <w:t>Intern Incentive Allowance for Rural Pharmacies – Extension Program</w:t>
      </w:r>
    </w:p>
    <w:p w14:paraId="03CCC3CE" w14:textId="77777777" w:rsidR="00166DB1" w:rsidRPr="00166DB1" w:rsidRDefault="00166DB1" w:rsidP="009F66FB">
      <w:pPr>
        <w:numPr>
          <w:ilvl w:val="0"/>
          <w:numId w:val="1"/>
        </w:numPr>
        <w:spacing w:before="20" w:after="20"/>
        <w:rPr>
          <w:rFonts w:ascii="Garamond" w:eastAsia="Times New Roman" w:hAnsi="Garamond"/>
          <w:color w:val="000000"/>
        </w:rPr>
      </w:pPr>
      <w:r w:rsidRPr="00166DB1">
        <w:rPr>
          <w:rFonts w:ascii="Garamond" w:eastAsia="Times New Roman" w:hAnsi="Garamond"/>
          <w:color w:val="000000"/>
        </w:rPr>
        <w:t>Rural Intern Training Allowance</w:t>
      </w:r>
    </w:p>
    <w:p w14:paraId="61805FB8" w14:textId="77777777" w:rsidR="00166DB1" w:rsidRPr="00166DB1" w:rsidRDefault="00166DB1" w:rsidP="009F66FB">
      <w:pPr>
        <w:numPr>
          <w:ilvl w:val="0"/>
          <w:numId w:val="1"/>
        </w:numPr>
        <w:spacing w:before="20" w:after="20"/>
        <w:rPr>
          <w:rFonts w:ascii="Garamond" w:eastAsia="Times New Roman" w:hAnsi="Garamond"/>
          <w:color w:val="000000"/>
        </w:rPr>
      </w:pPr>
      <w:r w:rsidRPr="00166DB1">
        <w:rPr>
          <w:rFonts w:ascii="Garamond" w:eastAsia="Times New Roman" w:hAnsi="Garamond"/>
          <w:color w:val="000000"/>
        </w:rPr>
        <w:t>Rural Pharmacy Student Placement Allowance</w:t>
      </w:r>
    </w:p>
    <w:p w14:paraId="14E5044A" w14:textId="77777777" w:rsidR="00166DB1" w:rsidRPr="00166DB1" w:rsidRDefault="00166DB1" w:rsidP="009F66FB">
      <w:pPr>
        <w:numPr>
          <w:ilvl w:val="0"/>
          <w:numId w:val="1"/>
        </w:numPr>
        <w:spacing w:before="20" w:after="20"/>
        <w:rPr>
          <w:rFonts w:ascii="Garamond" w:eastAsia="Times New Roman" w:hAnsi="Garamond"/>
          <w:color w:val="000000"/>
        </w:rPr>
      </w:pPr>
      <w:r w:rsidRPr="00166DB1">
        <w:rPr>
          <w:rFonts w:ascii="Garamond" w:eastAsia="Times New Roman" w:hAnsi="Garamond"/>
          <w:color w:val="000000"/>
        </w:rPr>
        <w:t>Administrative Support to Pharmacy Schools</w:t>
      </w:r>
    </w:p>
    <w:p w14:paraId="30E25AAF" w14:textId="77777777" w:rsidR="00166DB1" w:rsidRPr="00166DB1" w:rsidRDefault="00166DB1" w:rsidP="009F66FB">
      <w:pPr>
        <w:numPr>
          <w:ilvl w:val="0"/>
          <w:numId w:val="1"/>
        </w:numPr>
        <w:spacing w:before="20" w:after="20"/>
        <w:rPr>
          <w:rFonts w:ascii="Garamond" w:eastAsia="Times New Roman" w:hAnsi="Garamond"/>
          <w:color w:val="000000"/>
        </w:rPr>
      </w:pPr>
      <w:r w:rsidRPr="00166DB1">
        <w:rPr>
          <w:rFonts w:ascii="Garamond" w:eastAsia="Times New Roman" w:hAnsi="Garamond"/>
          <w:color w:val="000000"/>
        </w:rPr>
        <w:t>Continuing Professional Educational Allowance</w:t>
      </w:r>
    </w:p>
    <w:p w14:paraId="76BDB035" w14:textId="77777777" w:rsidR="00166DB1" w:rsidRPr="00166DB1" w:rsidRDefault="00166DB1" w:rsidP="009F66FB">
      <w:pPr>
        <w:numPr>
          <w:ilvl w:val="0"/>
          <w:numId w:val="1"/>
        </w:numPr>
        <w:spacing w:before="20" w:after="20"/>
        <w:rPr>
          <w:rFonts w:ascii="Garamond" w:eastAsia="Times New Roman" w:hAnsi="Garamond"/>
          <w:color w:val="000000"/>
        </w:rPr>
      </w:pPr>
      <w:r w:rsidRPr="00166DB1">
        <w:rPr>
          <w:rFonts w:ascii="Garamond" w:eastAsia="Times New Roman" w:hAnsi="Garamond"/>
          <w:color w:val="000000"/>
        </w:rPr>
        <w:t>Rural Pharmacy Liaison Officer Program, and</w:t>
      </w:r>
    </w:p>
    <w:p w14:paraId="661DC9C7" w14:textId="77777777" w:rsidR="00166DB1" w:rsidRPr="00166DB1" w:rsidRDefault="00166DB1" w:rsidP="009F66FB">
      <w:pPr>
        <w:numPr>
          <w:ilvl w:val="0"/>
          <w:numId w:val="1"/>
        </w:numPr>
        <w:spacing w:before="20" w:after="20"/>
        <w:rPr>
          <w:rFonts w:ascii="Garamond" w:eastAsia="Times New Roman" w:hAnsi="Garamond"/>
          <w:color w:val="000000"/>
        </w:rPr>
      </w:pPr>
      <w:r w:rsidRPr="00166DB1">
        <w:rPr>
          <w:rFonts w:ascii="Garamond" w:eastAsia="Times New Roman" w:hAnsi="Garamond"/>
          <w:color w:val="000000"/>
        </w:rPr>
        <w:t xml:space="preserve">Emergency Locum Service. </w:t>
      </w:r>
    </w:p>
    <w:p w14:paraId="1FD2C01F"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There is one further workforce program funded under the 6CPA that was not within the evaluation scope – the Rural Pharmacy Workforce Allowance. </w:t>
      </w:r>
    </w:p>
    <w:p w14:paraId="73211D28" w14:textId="77777777" w:rsidR="00166DB1" w:rsidRPr="00166DB1" w:rsidRDefault="00166DB1" w:rsidP="00B24642">
      <w:pPr>
        <w:pStyle w:val="Heading3"/>
      </w:pPr>
      <w:bookmarkStart w:id="10" w:name="_Toc523322036"/>
      <w:r w:rsidRPr="00166DB1">
        <w:t>Aboriginal and Torres Strait Islander Workforce Package</w:t>
      </w:r>
      <w:bookmarkEnd w:id="10"/>
    </w:p>
    <w:p w14:paraId="586874B3" w14:textId="77777777" w:rsidR="00166DB1" w:rsidRPr="00166DB1" w:rsidRDefault="00166DB1" w:rsidP="00166DB1">
      <w:pPr>
        <w:keepNext/>
        <w:spacing w:before="85" w:after="85"/>
        <w:rPr>
          <w:rFonts w:ascii="Garamond" w:eastAsia="Garamond" w:hAnsi="Garamond"/>
          <w:color w:val="000000"/>
        </w:rPr>
      </w:pPr>
      <w:r w:rsidRPr="00166DB1">
        <w:rPr>
          <w:rFonts w:ascii="Garamond" w:eastAsia="Garamond" w:hAnsi="Garamond"/>
          <w:color w:val="000000"/>
        </w:rPr>
        <w:t xml:space="preserve">The two Aboriginal and Torres Strait Islander programs within the scope of this evaluation were: </w:t>
      </w:r>
    </w:p>
    <w:p w14:paraId="3A51E9E5" w14:textId="77777777" w:rsidR="00166DB1" w:rsidRPr="00166DB1" w:rsidRDefault="00166DB1" w:rsidP="009F66FB">
      <w:pPr>
        <w:numPr>
          <w:ilvl w:val="0"/>
          <w:numId w:val="1"/>
        </w:numPr>
        <w:spacing w:before="20" w:after="20"/>
        <w:rPr>
          <w:rFonts w:ascii="Garamond" w:eastAsia="Times New Roman" w:hAnsi="Garamond"/>
          <w:color w:val="000000"/>
        </w:rPr>
      </w:pPr>
      <w:r w:rsidRPr="00166DB1">
        <w:rPr>
          <w:rFonts w:ascii="Garamond" w:eastAsia="Times New Roman" w:hAnsi="Garamond"/>
          <w:color w:val="000000"/>
        </w:rPr>
        <w:t xml:space="preserve">Aboriginal and Torres Strait Islander Pharmacy Assistant Traineeship Scheme, and </w:t>
      </w:r>
    </w:p>
    <w:p w14:paraId="7386BB1F" w14:textId="77777777" w:rsidR="00166DB1" w:rsidRPr="00166DB1" w:rsidRDefault="00166DB1" w:rsidP="009F66FB">
      <w:pPr>
        <w:numPr>
          <w:ilvl w:val="0"/>
          <w:numId w:val="1"/>
        </w:numPr>
        <w:spacing w:before="20" w:after="20"/>
        <w:rPr>
          <w:rFonts w:ascii="Garamond" w:eastAsia="Times New Roman" w:hAnsi="Garamond"/>
          <w:color w:val="000000"/>
        </w:rPr>
      </w:pPr>
      <w:r w:rsidRPr="00166DB1">
        <w:rPr>
          <w:rFonts w:ascii="Garamond" w:eastAsia="Times New Roman" w:hAnsi="Garamond"/>
          <w:color w:val="000000"/>
        </w:rPr>
        <w:t>Aboriginal and Torres Strait Islander Pharmacy Scholarship Scheme.</w:t>
      </w:r>
    </w:p>
    <w:p w14:paraId="12C598AA"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lastRenderedPageBreak/>
        <w:t xml:space="preserve">Aboriginal and Torres Strait Islander 6CPA-specific programs not within the scope of this evaluation were: </w:t>
      </w:r>
    </w:p>
    <w:p w14:paraId="417E63BC" w14:textId="77777777" w:rsidR="00166DB1" w:rsidRPr="0086316D" w:rsidRDefault="00166DB1" w:rsidP="009F66FB">
      <w:pPr>
        <w:numPr>
          <w:ilvl w:val="0"/>
          <w:numId w:val="1"/>
        </w:numPr>
        <w:spacing w:before="20" w:after="20"/>
        <w:rPr>
          <w:rFonts w:ascii="Garamond" w:eastAsia="Times New Roman" w:hAnsi="Garamond"/>
          <w:color w:val="000000"/>
        </w:rPr>
      </w:pPr>
      <w:r w:rsidRPr="0086316D">
        <w:rPr>
          <w:rFonts w:ascii="Garamond" w:eastAsia="Times New Roman" w:hAnsi="Garamond"/>
          <w:color w:val="000000"/>
        </w:rPr>
        <w:t xml:space="preserve">QUMAX – Quality use of medicines maximised for Aboriginal and Torres Strait Islander People, and </w:t>
      </w:r>
    </w:p>
    <w:p w14:paraId="28C5030F" w14:textId="77777777" w:rsidR="00166DB1" w:rsidRPr="0086316D" w:rsidRDefault="00166DB1" w:rsidP="009F66FB">
      <w:pPr>
        <w:numPr>
          <w:ilvl w:val="0"/>
          <w:numId w:val="1"/>
        </w:numPr>
        <w:spacing w:before="20" w:after="20"/>
        <w:rPr>
          <w:rFonts w:ascii="Garamond" w:eastAsia="Times New Roman" w:hAnsi="Garamond"/>
          <w:color w:val="000000"/>
        </w:rPr>
      </w:pPr>
      <w:r w:rsidRPr="0086316D">
        <w:rPr>
          <w:rFonts w:ascii="Garamond" w:eastAsia="Times New Roman" w:hAnsi="Garamond"/>
          <w:color w:val="000000"/>
        </w:rPr>
        <w:t xml:space="preserve">S100 Pharmacy Support Allowance. </w:t>
      </w:r>
    </w:p>
    <w:p w14:paraId="29130F2C" w14:textId="373F6F6B" w:rsidR="00166DB1" w:rsidRPr="00166DB1" w:rsidRDefault="00166DB1" w:rsidP="00B24642">
      <w:pPr>
        <w:pStyle w:val="Heading2"/>
      </w:pPr>
      <w:bookmarkStart w:id="11" w:name="_Toc523322037"/>
      <w:r w:rsidRPr="00166DB1">
        <w:t>Evaluation scope</w:t>
      </w:r>
      <w:bookmarkEnd w:id="11"/>
    </w:p>
    <w:p w14:paraId="5B39D1B7"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Under the terms of the RFQ, the project was originally intended to </w:t>
      </w:r>
      <w:r w:rsidRPr="00166DB1">
        <w:rPr>
          <w:rFonts w:ascii="Garamond" w:eastAsia="Garamond" w:hAnsi="Garamond"/>
          <w:i/>
          <w:color w:val="000000"/>
        </w:rPr>
        <w:t xml:space="preserve">undertake a </w:t>
      </w:r>
      <w:r w:rsidRPr="00166DB1">
        <w:rPr>
          <w:rFonts w:ascii="Garamond" w:eastAsia="Garamond" w:hAnsi="Garamond"/>
          <w:i/>
          <w:color w:val="000000"/>
          <w:u w:val="single"/>
        </w:rPr>
        <w:t>cost-effectiveness assessment</w:t>
      </w:r>
      <w:r w:rsidRPr="00166DB1">
        <w:rPr>
          <w:rFonts w:ascii="Garamond" w:eastAsia="Garamond" w:hAnsi="Garamond"/>
          <w:color w:val="000000"/>
        </w:rPr>
        <w:t>. The specification of a cost-effectiveness assessment was consistent with the requirements of review processes stated in Clause 6.1.3 of the 6CPA. However, in discussions between the Department and HMA at the time of the project commencement, it was agreed that the nature of data available on the in</w:t>
      </w:r>
      <w:r w:rsidRPr="00166DB1">
        <w:rPr>
          <w:rFonts w:ascii="Garamond" w:eastAsia="Garamond" w:hAnsi="Garamond"/>
          <w:color w:val="000000"/>
        </w:rPr>
        <w:noBreakHyphen/>
        <w:t xml:space="preserve">scope programs would not enable a true cost-effectiveness study. Therefore, it was agreed the project would undertake a standard evaluation assessment of </w:t>
      </w:r>
      <w:r w:rsidRPr="00166DB1">
        <w:rPr>
          <w:rFonts w:ascii="Garamond" w:eastAsia="Garamond" w:hAnsi="Garamond"/>
          <w:i/>
          <w:color w:val="000000"/>
        </w:rPr>
        <w:t>appropriateness</w:t>
      </w:r>
      <w:r w:rsidRPr="00166DB1">
        <w:rPr>
          <w:rFonts w:ascii="Garamond" w:eastAsia="Garamond" w:hAnsi="Garamond"/>
          <w:color w:val="000000"/>
        </w:rPr>
        <w:t xml:space="preserve">, </w:t>
      </w:r>
      <w:r w:rsidRPr="00166DB1">
        <w:rPr>
          <w:rFonts w:ascii="Garamond" w:eastAsia="Garamond" w:hAnsi="Garamond"/>
          <w:i/>
          <w:color w:val="000000"/>
        </w:rPr>
        <w:t>effectiveness</w:t>
      </w:r>
      <w:r w:rsidRPr="00166DB1">
        <w:rPr>
          <w:rFonts w:ascii="Garamond" w:eastAsia="Garamond" w:hAnsi="Garamond"/>
          <w:color w:val="000000"/>
        </w:rPr>
        <w:t xml:space="preserve"> and </w:t>
      </w:r>
      <w:r w:rsidRPr="00166DB1">
        <w:rPr>
          <w:rFonts w:ascii="Garamond" w:eastAsia="Garamond" w:hAnsi="Garamond"/>
          <w:i/>
          <w:color w:val="000000"/>
        </w:rPr>
        <w:t>efficiency</w:t>
      </w:r>
      <w:r w:rsidRPr="00166DB1">
        <w:rPr>
          <w:rFonts w:ascii="Garamond" w:eastAsia="Garamond" w:hAnsi="Garamond"/>
          <w:color w:val="000000"/>
        </w:rPr>
        <w:t xml:space="preserve"> at both an individual program and a package level. </w:t>
      </w:r>
    </w:p>
    <w:p w14:paraId="542F454D" w14:textId="5F4638C0"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A needs assessment approach was used to inform data collection processes for the evaluation. These processes are detailed in Chapter 3.</w:t>
      </w:r>
    </w:p>
    <w:p w14:paraId="3482836C" w14:textId="22EC5359"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It is important to note that, while the broad objective of the Rural Pharmacy Workforce Programs is to increase the number of pharmacists servicing rural communities, the drivers for pharmacists to move into or away from rural practice are complex. Barriers to rural practice that can be addressed by government-funded workforce programs can include financial disincentives associated with non-metropolitan practice. However, other barriers that may be influenced by attitudes and behaviours are less amenable to influence by a program intervention, such as the influence of partners and family on where pharmacists wish to practise. This is particularly relevant given the majority of pharmacists are women (59%), who are more likely to follow their partner’s work location if they take parental leave or rely on their partner’s income.</w:t>
      </w:r>
      <w:sdt>
        <w:sdtPr>
          <w:rPr>
            <w:rFonts w:ascii="Garamond" w:eastAsia="Garamond" w:hAnsi="Garamond"/>
            <w:color w:val="000000"/>
          </w:rPr>
          <w:id w:val="-491025878"/>
          <w:citation/>
        </w:sdtPr>
        <w:sdtEndPr/>
        <w:sdtContent>
          <w:r w:rsidRPr="00166DB1">
            <w:rPr>
              <w:rFonts w:ascii="Garamond" w:eastAsia="Garamond" w:hAnsi="Garamond"/>
              <w:color w:val="000000"/>
            </w:rPr>
            <w:fldChar w:fldCharType="begin"/>
          </w:r>
          <w:r w:rsidRPr="00166DB1">
            <w:rPr>
              <w:rFonts w:ascii="Garamond" w:eastAsia="Garamond" w:hAnsi="Garamond"/>
              <w:color w:val="000000"/>
            </w:rPr>
            <w:instrText xml:space="preserve"> CITATION Aus141 \l 3081 </w:instrText>
          </w:r>
          <w:r w:rsidRPr="00166DB1">
            <w:rPr>
              <w:rFonts w:ascii="Garamond" w:eastAsia="Garamond" w:hAnsi="Garamond"/>
              <w:color w:val="000000"/>
            </w:rPr>
            <w:fldChar w:fldCharType="separate"/>
          </w:r>
          <w:r w:rsidRPr="00166DB1">
            <w:rPr>
              <w:rFonts w:ascii="Garamond" w:eastAsia="Garamond" w:hAnsi="Garamond"/>
              <w:noProof/>
              <w:color w:val="000000"/>
            </w:rPr>
            <w:t xml:space="preserve"> [3]</w:t>
          </w:r>
          <w:r w:rsidRPr="00166DB1">
            <w:rPr>
              <w:rFonts w:ascii="Garamond" w:eastAsia="Garamond" w:hAnsi="Garamond"/>
              <w:color w:val="000000"/>
            </w:rPr>
            <w:fldChar w:fldCharType="end"/>
          </w:r>
        </w:sdtContent>
      </w:sdt>
    </w:p>
    <w:p w14:paraId="0DF8A805" w14:textId="23FBF92A"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Examination of such drivers is beyond the scope of the current review. But their impact on rural workforce recruitment and retention is significant and must be considered alongside the analysis presented in this paper.</w:t>
      </w:r>
    </w:p>
    <w:p w14:paraId="17527CDE" w14:textId="77777777" w:rsidR="00166DB1" w:rsidRPr="00166DB1" w:rsidRDefault="00166DB1" w:rsidP="00B24642">
      <w:pPr>
        <w:pStyle w:val="Heading2"/>
      </w:pPr>
      <w:bookmarkStart w:id="12" w:name="_Toc523322038"/>
      <w:r w:rsidRPr="00166DB1">
        <w:t>Document purpose and structure</w:t>
      </w:r>
      <w:bookmarkEnd w:id="12"/>
    </w:p>
    <w:p w14:paraId="528D1B34"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purpose of the </w:t>
      </w:r>
      <w:r w:rsidRPr="00166DB1">
        <w:rPr>
          <w:rFonts w:ascii="Garamond" w:eastAsia="Garamond" w:hAnsi="Garamond"/>
          <w:i/>
          <w:color w:val="000000"/>
        </w:rPr>
        <w:t>Final Report</w:t>
      </w:r>
      <w:r w:rsidRPr="00166DB1">
        <w:rPr>
          <w:rFonts w:ascii="Garamond" w:eastAsia="Garamond" w:hAnsi="Garamond"/>
          <w:color w:val="000000"/>
        </w:rPr>
        <w:t xml:space="preserve"> (this document, also referred to as Volume 1) is to summarise the evaluation findings for the Rural Workforce programs and the Aboriginal and Torres Strait Islander Workforce programs at a package level. This includes analysis of the packages’ appropriateness, effectiveness and efficiency. </w:t>
      </w:r>
    </w:p>
    <w:p w14:paraId="0A596978"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Final Report is structured as follows:</w:t>
      </w:r>
    </w:p>
    <w:p w14:paraId="232FD053" w14:textId="77777777" w:rsidR="00166DB1" w:rsidRPr="0086316D" w:rsidRDefault="00166DB1" w:rsidP="00483C21">
      <w:pPr>
        <w:pStyle w:val="Bullets1"/>
      </w:pPr>
      <w:r w:rsidRPr="0086316D">
        <w:t>Part A: Context</w:t>
      </w:r>
    </w:p>
    <w:p w14:paraId="7C57CEAD" w14:textId="77777777" w:rsidR="00166DB1" w:rsidRPr="0086316D" w:rsidRDefault="00166DB1" w:rsidP="00483C21">
      <w:pPr>
        <w:pStyle w:val="Bullets2"/>
      </w:pPr>
      <w:r w:rsidRPr="0086316D">
        <w:t>Chapter 2: Overview of the programs</w:t>
      </w:r>
    </w:p>
    <w:p w14:paraId="4FA0AA79" w14:textId="77777777" w:rsidR="00166DB1" w:rsidRPr="0086316D" w:rsidRDefault="00166DB1" w:rsidP="00483C21">
      <w:pPr>
        <w:pStyle w:val="Bullets2"/>
      </w:pPr>
      <w:r w:rsidRPr="0086316D">
        <w:t>Chapter 3: Methodology</w:t>
      </w:r>
    </w:p>
    <w:p w14:paraId="61B8C5E3" w14:textId="77777777" w:rsidR="00166DB1" w:rsidRPr="0086316D" w:rsidRDefault="00166DB1" w:rsidP="00483C21">
      <w:pPr>
        <w:pStyle w:val="Bullets1"/>
      </w:pPr>
      <w:r w:rsidRPr="0086316D">
        <w:t>Part B: Findings</w:t>
      </w:r>
    </w:p>
    <w:p w14:paraId="088C7ED1" w14:textId="77777777" w:rsidR="00166DB1" w:rsidRPr="00166DB1" w:rsidRDefault="00166DB1" w:rsidP="00483C21">
      <w:pPr>
        <w:pStyle w:val="Bullets2"/>
      </w:pPr>
      <w:r w:rsidRPr="00166DB1">
        <w:t>Chapter 4: Appropriateness</w:t>
      </w:r>
    </w:p>
    <w:p w14:paraId="10E9DA3E" w14:textId="77777777" w:rsidR="00166DB1" w:rsidRPr="00166DB1" w:rsidRDefault="00166DB1" w:rsidP="00483C21">
      <w:pPr>
        <w:pStyle w:val="Bullets2"/>
      </w:pPr>
      <w:r w:rsidRPr="00166DB1">
        <w:t>Chapter 5: Effectiveness</w:t>
      </w:r>
    </w:p>
    <w:p w14:paraId="7666267B" w14:textId="77777777" w:rsidR="00166DB1" w:rsidRPr="00166DB1" w:rsidRDefault="00166DB1" w:rsidP="00483C21">
      <w:pPr>
        <w:pStyle w:val="Bullets2"/>
      </w:pPr>
      <w:r w:rsidRPr="00166DB1">
        <w:t>Chapter 6: Efficiency</w:t>
      </w:r>
    </w:p>
    <w:p w14:paraId="47DF3219" w14:textId="77777777" w:rsidR="00166DB1" w:rsidRPr="00166DB1" w:rsidRDefault="00166DB1" w:rsidP="00483C21">
      <w:pPr>
        <w:pStyle w:val="Bullets2"/>
      </w:pPr>
      <w:r w:rsidRPr="00166DB1">
        <w:t>Chapter 7: Conclusion and options for future development, and</w:t>
      </w:r>
    </w:p>
    <w:p w14:paraId="5891B4D5" w14:textId="77777777" w:rsidR="00166DB1" w:rsidRPr="00166DB1" w:rsidRDefault="00166DB1" w:rsidP="00483C21">
      <w:pPr>
        <w:pStyle w:val="Bullets2"/>
      </w:pPr>
      <w:r w:rsidRPr="00166DB1">
        <w:t>Chapter 8: Appendices.</w:t>
      </w:r>
    </w:p>
    <w:p w14:paraId="68D341B8"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package level analysis was made possible by evaluation findings at a detailed program level for each of the 12 programs, contained in the </w:t>
      </w:r>
      <w:r w:rsidRPr="00166DB1">
        <w:rPr>
          <w:rFonts w:ascii="Garamond" w:eastAsia="Garamond" w:hAnsi="Garamond"/>
          <w:i/>
          <w:color w:val="000000"/>
        </w:rPr>
        <w:t xml:space="preserve">Detailed Analysis of Workforce Programs </w:t>
      </w:r>
      <w:r w:rsidRPr="00166DB1">
        <w:rPr>
          <w:rFonts w:ascii="Garamond" w:eastAsia="Garamond" w:hAnsi="Garamond"/>
          <w:color w:val="000000"/>
        </w:rPr>
        <w:t>(Volume 2).</w:t>
      </w:r>
    </w:p>
    <w:p w14:paraId="0B8D10BB" w14:textId="65DCAE15" w:rsid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Data collection tools and reports, including the literature review, are included in the </w:t>
      </w:r>
      <w:r w:rsidRPr="00166DB1">
        <w:rPr>
          <w:rFonts w:ascii="Garamond" w:eastAsia="Garamond" w:hAnsi="Garamond"/>
          <w:i/>
          <w:color w:val="000000"/>
        </w:rPr>
        <w:t>Technical Paper</w:t>
      </w:r>
      <w:r w:rsidRPr="00166DB1">
        <w:rPr>
          <w:rFonts w:ascii="Garamond" w:eastAsia="Garamond" w:hAnsi="Garamond"/>
          <w:color w:val="000000"/>
        </w:rPr>
        <w:t xml:space="preserve"> (Volume 3).</w:t>
      </w:r>
    </w:p>
    <w:p w14:paraId="7DD53FED" w14:textId="77777777" w:rsidR="00112926" w:rsidRPr="00166DB1" w:rsidRDefault="00112926" w:rsidP="00166DB1">
      <w:pPr>
        <w:spacing w:before="85" w:after="85"/>
        <w:rPr>
          <w:rFonts w:ascii="Garamond" w:eastAsia="Garamond" w:hAnsi="Garamond"/>
          <w:color w:val="000000"/>
        </w:rPr>
      </w:pPr>
    </w:p>
    <w:p w14:paraId="2B037BC3" w14:textId="77777777" w:rsidR="00112926" w:rsidRDefault="00112926" w:rsidP="00166DB1">
      <w:pPr>
        <w:spacing w:before="85" w:after="85"/>
        <w:rPr>
          <w:rFonts w:ascii="Garamond" w:eastAsia="Garamond" w:hAnsi="Garamond"/>
          <w:color w:val="000000"/>
        </w:rPr>
        <w:sectPr w:rsidR="00112926" w:rsidSect="00112926">
          <w:headerReference w:type="default" r:id="rId23"/>
          <w:pgSz w:w="16839" w:h="11907" w:orient="landscape" w:code="9"/>
          <w:pgMar w:top="2268" w:right="1304" w:bottom="850" w:left="737" w:header="567" w:footer="284" w:gutter="0"/>
          <w:cols w:num="2" w:space="709"/>
          <w:titlePg/>
          <w:docGrid w:linePitch="360"/>
        </w:sectPr>
      </w:pPr>
    </w:p>
    <w:p w14:paraId="5B945F02" w14:textId="77777777" w:rsidR="00112926" w:rsidRPr="000121A1" w:rsidRDefault="00112926" w:rsidP="00B24642">
      <w:pPr>
        <w:pStyle w:val="Heading1"/>
        <w:rPr>
          <w:lang w:val="en-US"/>
        </w:rPr>
      </w:pPr>
      <w:bookmarkStart w:id="13" w:name="_Toc523322039"/>
      <w:r>
        <w:rPr>
          <w:lang w:val="en-US"/>
        </w:rPr>
        <w:lastRenderedPageBreak/>
        <w:t>Overview of the Programs</w:t>
      </w:r>
      <w:bookmarkEnd w:id="13"/>
    </w:p>
    <w:p w14:paraId="1B479A85" w14:textId="77777777" w:rsidR="00112926" w:rsidRDefault="00112926" w:rsidP="00B24642">
      <w:pPr>
        <w:pStyle w:val="Heading1"/>
        <w:sectPr w:rsidR="00112926" w:rsidSect="00112926">
          <w:headerReference w:type="default" r:id="rId24"/>
          <w:type w:val="continuous"/>
          <w:pgSz w:w="16839" w:h="11907" w:orient="landscape" w:code="9"/>
          <w:pgMar w:top="2268" w:right="1304" w:bottom="850" w:left="737" w:header="567" w:footer="284" w:gutter="0"/>
          <w:cols w:space="709"/>
          <w:titlePg/>
          <w:docGrid w:linePitch="360"/>
        </w:sectPr>
      </w:pPr>
    </w:p>
    <w:p w14:paraId="31CDB441" w14:textId="7322DB65" w:rsidR="00166DB1" w:rsidRPr="00166DB1" w:rsidRDefault="00166DB1" w:rsidP="00B24642">
      <w:pPr>
        <w:pStyle w:val="Heading2"/>
      </w:pPr>
      <w:bookmarkStart w:id="14" w:name="_Toc523322040"/>
      <w:r w:rsidRPr="00166DB1">
        <w:t>Context</w:t>
      </w:r>
      <w:bookmarkEnd w:id="14"/>
      <w:r w:rsidRPr="00166DB1">
        <w:t xml:space="preserve"> </w:t>
      </w:r>
    </w:p>
    <w:p w14:paraId="3B890139" w14:textId="77777777" w:rsidR="00166DB1" w:rsidRPr="00166DB1" w:rsidRDefault="00166DB1" w:rsidP="00166DB1">
      <w:pPr>
        <w:spacing w:before="85" w:after="85"/>
        <w:rPr>
          <w:rFonts w:ascii="Garamond" w:eastAsia="Times New Roman" w:hAnsi="Garamond"/>
          <w:color w:val="000000"/>
        </w:rPr>
      </w:pPr>
      <w:r w:rsidRPr="00166DB1">
        <w:rPr>
          <w:rFonts w:ascii="Garamond" w:eastAsia="Times New Roman" w:hAnsi="Garamond"/>
          <w:color w:val="000000"/>
        </w:rPr>
        <w:t xml:space="preserve">The 6CPA specifies that community pharmacy programs under the Agreement have an ‘indicative allocation’ of </w:t>
      </w:r>
      <w:r w:rsidRPr="00166DB1">
        <w:rPr>
          <w:rFonts w:ascii="Times New Roman" w:eastAsia="Times New Roman" w:hAnsi="Times New Roman"/>
          <w:color w:val="000000"/>
        </w:rPr>
        <w:t>$</w:t>
      </w:r>
      <w:r w:rsidRPr="00166DB1">
        <w:rPr>
          <w:rFonts w:ascii="Garamond" w:eastAsia="Times New Roman" w:hAnsi="Garamond"/>
          <w:color w:val="000000"/>
        </w:rPr>
        <w:t xml:space="preserve">177.3m in the first year. This includes provision for </w:t>
      </w:r>
      <w:r w:rsidRPr="00166DB1">
        <w:rPr>
          <w:rFonts w:ascii="Times New Roman" w:eastAsia="Times New Roman" w:hAnsi="Times New Roman"/>
          <w:color w:val="000000"/>
        </w:rPr>
        <w:t>$</w:t>
      </w:r>
      <w:r w:rsidRPr="00166DB1">
        <w:rPr>
          <w:rFonts w:ascii="Garamond" w:eastAsia="Times New Roman" w:hAnsi="Garamond"/>
          <w:color w:val="000000"/>
        </w:rPr>
        <w:t xml:space="preserve">6.9m for the </w:t>
      </w:r>
      <w:r w:rsidRPr="00166DB1">
        <w:rPr>
          <w:rFonts w:ascii="Garamond" w:eastAsia="Times New Roman" w:hAnsi="Garamond"/>
          <w:i/>
          <w:color w:val="000000"/>
        </w:rPr>
        <w:t>Rural Workforce Package</w:t>
      </w:r>
      <w:r w:rsidRPr="00166DB1">
        <w:rPr>
          <w:rFonts w:ascii="Garamond" w:eastAsia="Times New Roman" w:hAnsi="Garamond"/>
          <w:color w:val="000000"/>
        </w:rPr>
        <w:t xml:space="preserve"> and </w:t>
      </w:r>
      <w:r w:rsidRPr="00166DB1">
        <w:rPr>
          <w:rFonts w:ascii="Times New Roman" w:eastAsia="Times New Roman" w:hAnsi="Times New Roman"/>
          <w:color w:val="000000"/>
        </w:rPr>
        <w:t>$</w:t>
      </w:r>
      <w:r w:rsidRPr="00166DB1">
        <w:rPr>
          <w:rFonts w:ascii="Garamond" w:eastAsia="Times New Roman" w:hAnsi="Garamond"/>
          <w:color w:val="000000"/>
        </w:rPr>
        <w:t xml:space="preserve">0.3m for the </w:t>
      </w:r>
      <w:r w:rsidRPr="00166DB1">
        <w:rPr>
          <w:rFonts w:ascii="Garamond" w:eastAsia="Times New Roman" w:hAnsi="Garamond"/>
          <w:i/>
          <w:color w:val="000000"/>
        </w:rPr>
        <w:t>Aboriginal and Torres Strait Islander Workforce Package</w:t>
      </w:r>
      <w:r w:rsidRPr="00166DB1">
        <w:rPr>
          <w:rFonts w:ascii="Garamond" w:eastAsia="Times New Roman" w:hAnsi="Garamond"/>
          <w:color w:val="000000"/>
        </w:rPr>
        <w:t xml:space="preserve">. </w:t>
      </w:r>
    </w:p>
    <w:p w14:paraId="1200B8DC" w14:textId="77777777" w:rsidR="00166DB1" w:rsidRPr="00166DB1" w:rsidRDefault="00166DB1" w:rsidP="00166DB1">
      <w:pPr>
        <w:spacing w:before="85" w:after="85"/>
        <w:rPr>
          <w:rFonts w:ascii="Garamond" w:eastAsia="Times New Roman" w:hAnsi="Garamond"/>
          <w:color w:val="000000"/>
        </w:rPr>
      </w:pPr>
      <w:r w:rsidRPr="00166DB1">
        <w:rPr>
          <w:rFonts w:ascii="Garamond" w:eastAsia="Times New Roman" w:hAnsi="Garamond"/>
          <w:color w:val="000000"/>
        </w:rPr>
        <w:t xml:space="preserve">In the context of the 6CPA, HMA observes that the value of the 12 in-scope programs is small - </w:t>
      </w:r>
      <w:r w:rsidRPr="00166DB1">
        <w:rPr>
          <w:rFonts w:ascii="Times New Roman" w:eastAsia="Times New Roman" w:hAnsi="Times New Roman"/>
          <w:color w:val="000000"/>
        </w:rPr>
        <w:t>$</w:t>
      </w:r>
      <w:r w:rsidRPr="00166DB1">
        <w:rPr>
          <w:rFonts w:ascii="Garamond" w:eastAsia="Times New Roman" w:hAnsi="Garamond"/>
          <w:color w:val="000000"/>
        </w:rPr>
        <w:t>7.2m or 4.1% of 6CPA community pharmacy program allocations. We consider this resource allocation potentially limits the capacity of the programs to facilitate significant change in response to problems. Whether this level of funding is suitable depends on an assessment of program funding adequacy relative to the size of the underlying problem. We will return to this question in our assessment of the programs’ appropriateness (see Chapter 4) and effectiveness (see Chapter 5).</w:t>
      </w:r>
    </w:p>
    <w:p w14:paraId="40C07889" w14:textId="77777777" w:rsidR="00166DB1" w:rsidRPr="00166DB1" w:rsidRDefault="00166DB1" w:rsidP="0086316D">
      <w:pPr>
        <w:pStyle w:val="KeyFinding"/>
        <w:shd w:val="clear" w:color="auto" w:fill="F2F2F2" w:themeFill="background1" w:themeFillShade="F2"/>
      </w:pPr>
      <w:bookmarkStart w:id="15" w:name="_Ref490676609"/>
      <w:r w:rsidRPr="00166DB1">
        <w:t xml:space="preserve">The small funding allocation to Pharmacy Workforce Programs of </w:t>
      </w:r>
      <w:r w:rsidRPr="00166DB1">
        <w:rPr>
          <w:rFonts w:ascii="Times New Roman" w:hAnsi="Times New Roman"/>
        </w:rPr>
        <w:t>$</w:t>
      </w:r>
      <w:r w:rsidRPr="00166DB1">
        <w:t>7.2m over the five years of the 6CPA limits their capacity to support sizeable change in response to rural or Aboriginal and Torres Strait Islander workforce problems.</w:t>
      </w:r>
      <w:bookmarkEnd w:id="15"/>
      <w:r w:rsidRPr="00166DB1">
        <w:t xml:space="preserve"> </w:t>
      </w:r>
    </w:p>
    <w:p w14:paraId="32DCE47B" w14:textId="77777777" w:rsidR="00166DB1" w:rsidRPr="00166DB1" w:rsidRDefault="00166DB1" w:rsidP="00B24642">
      <w:pPr>
        <w:pStyle w:val="Heading2"/>
      </w:pPr>
      <w:bookmarkStart w:id="16" w:name="_Ref492987606"/>
      <w:bookmarkStart w:id="17" w:name="_Toc523322041"/>
      <w:r w:rsidRPr="00166DB1">
        <w:t>Program objectives and program aims</w:t>
      </w:r>
      <w:bookmarkEnd w:id="16"/>
      <w:bookmarkEnd w:id="17"/>
    </w:p>
    <w:p w14:paraId="5F360BD0"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Evaluation of any program is enhanced by the clear articulation of its objectives. Program performance is then tested against these objectives by an assessment of appropriateness, effectiveness and efficiency. A suitable program objective for any public policy intervention has the following features. It is:</w:t>
      </w:r>
    </w:p>
    <w:p w14:paraId="37700F31" w14:textId="77777777" w:rsidR="00166DB1" w:rsidRPr="0086316D" w:rsidRDefault="00166DB1" w:rsidP="009F66FB">
      <w:pPr>
        <w:pStyle w:val="ListParagraph"/>
        <w:numPr>
          <w:ilvl w:val="0"/>
          <w:numId w:val="15"/>
        </w:numPr>
        <w:tabs>
          <w:tab w:val="num" w:pos="170"/>
        </w:tabs>
        <w:spacing w:before="20" w:after="20"/>
        <w:rPr>
          <w:rFonts w:ascii="Garamond" w:eastAsia="Times New Roman" w:hAnsi="Garamond"/>
          <w:color w:val="000000"/>
        </w:rPr>
      </w:pPr>
      <w:r w:rsidRPr="0086316D">
        <w:rPr>
          <w:rFonts w:ascii="Garamond" w:eastAsia="Times New Roman" w:hAnsi="Garamond"/>
          <w:color w:val="000000"/>
        </w:rPr>
        <w:t>Specific, including a statement of ‘who’, ‘what’, ‘where’ and ‘why’</w:t>
      </w:r>
    </w:p>
    <w:p w14:paraId="6103A277" w14:textId="77777777" w:rsidR="00166DB1" w:rsidRPr="00166DB1" w:rsidRDefault="00166DB1" w:rsidP="009F66FB">
      <w:pPr>
        <w:pStyle w:val="ListParagraph"/>
        <w:numPr>
          <w:ilvl w:val="0"/>
          <w:numId w:val="15"/>
        </w:numPr>
        <w:tabs>
          <w:tab w:val="num" w:pos="170"/>
        </w:tabs>
        <w:spacing w:before="20" w:after="20"/>
        <w:rPr>
          <w:rFonts w:ascii="Garamond" w:eastAsia="Times New Roman" w:hAnsi="Garamond"/>
          <w:color w:val="000000"/>
        </w:rPr>
      </w:pPr>
      <w:r w:rsidRPr="00166DB1">
        <w:rPr>
          <w:rFonts w:ascii="Garamond" w:eastAsia="Times New Roman" w:hAnsi="Garamond"/>
          <w:color w:val="000000"/>
        </w:rPr>
        <w:t>Measurable: focuses on ‘how much’ change is expected</w:t>
      </w:r>
    </w:p>
    <w:p w14:paraId="637C9D00" w14:textId="77777777" w:rsidR="00166DB1" w:rsidRPr="00166DB1" w:rsidRDefault="00166DB1" w:rsidP="009F66FB">
      <w:pPr>
        <w:pStyle w:val="ListParagraph"/>
        <w:numPr>
          <w:ilvl w:val="0"/>
          <w:numId w:val="15"/>
        </w:numPr>
        <w:tabs>
          <w:tab w:val="num" w:pos="170"/>
        </w:tabs>
        <w:spacing w:before="20" w:after="20"/>
        <w:rPr>
          <w:rFonts w:ascii="Garamond" w:eastAsia="Times New Roman" w:hAnsi="Garamond"/>
          <w:color w:val="000000"/>
        </w:rPr>
      </w:pPr>
      <w:r w:rsidRPr="00166DB1">
        <w:rPr>
          <w:rFonts w:ascii="Garamond" w:eastAsia="Times New Roman" w:hAnsi="Garamond"/>
          <w:color w:val="000000"/>
        </w:rPr>
        <w:t>Achievable: realistic given program resources and planned implementation, and</w:t>
      </w:r>
    </w:p>
    <w:p w14:paraId="3E9FE6D0" w14:textId="77777777" w:rsidR="00166DB1" w:rsidRPr="00166DB1" w:rsidRDefault="00166DB1" w:rsidP="009F66FB">
      <w:pPr>
        <w:pStyle w:val="ListParagraph"/>
        <w:numPr>
          <w:ilvl w:val="0"/>
          <w:numId w:val="15"/>
        </w:numPr>
        <w:tabs>
          <w:tab w:val="num" w:pos="170"/>
        </w:tabs>
        <w:spacing w:before="20" w:after="20"/>
        <w:rPr>
          <w:rFonts w:ascii="Garamond" w:eastAsia="Times New Roman" w:hAnsi="Garamond"/>
          <w:color w:val="000000"/>
        </w:rPr>
      </w:pPr>
      <w:r w:rsidRPr="00166DB1">
        <w:rPr>
          <w:rFonts w:ascii="Garamond" w:eastAsia="Times New Roman" w:hAnsi="Garamond"/>
          <w:color w:val="000000"/>
        </w:rPr>
        <w:t>Time-bound: focuses on ‘when’ the objective will be achieved</w:t>
      </w:r>
    </w:p>
    <w:p w14:paraId="17667CED"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Based on our review of the program documentation, we consider there are limitations to the Pharmacy Workforce Program objectives.</w:t>
      </w:r>
    </w:p>
    <w:p w14:paraId="51D34EE3"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6CPA states that the Rural Workforce Package seeks to:</w:t>
      </w:r>
    </w:p>
    <w:p w14:paraId="32863C8C" w14:textId="77777777" w:rsidR="00166DB1" w:rsidRPr="00166DB1" w:rsidRDefault="00166DB1" w:rsidP="00166DB1">
      <w:pPr>
        <w:spacing w:before="85" w:after="85"/>
        <w:ind w:left="284" w:right="284"/>
        <w:rPr>
          <w:rFonts w:ascii="Times New Roman" w:eastAsia="Garamond" w:hAnsi="Times New Roman"/>
          <w:i/>
          <w:iCs/>
          <w:color w:val="000000"/>
          <w:sz w:val="20"/>
        </w:rPr>
      </w:pPr>
      <w:r w:rsidRPr="00166DB1" w:rsidDel="003D4B1E">
        <w:rPr>
          <w:rFonts w:ascii="Times New Roman" w:eastAsia="Garamond" w:hAnsi="Times New Roman"/>
          <w:i/>
          <w:iCs/>
          <w:color w:val="000000"/>
          <w:sz w:val="20"/>
        </w:rPr>
        <w:t xml:space="preserve"> </w:t>
      </w:r>
      <w:r w:rsidRPr="00166DB1">
        <w:rPr>
          <w:rFonts w:ascii="Times New Roman" w:eastAsia="Garamond" w:hAnsi="Times New Roman"/>
          <w:i/>
          <w:iCs/>
          <w:color w:val="000000"/>
          <w:sz w:val="20"/>
        </w:rPr>
        <w:t>‘fund a range of initiatives designed to</w:t>
      </w:r>
      <w:r w:rsidRPr="00166DB1">
        <w:rPr>
          <w:rFonts w:ascii="Times New Roman" w:eastAsia="Garamond" w:hAnsi="Times New Roman"/>
          <w:b/>
          <w:i/>
          <w:iCs/>
          <w:color w:val="000000"/>
          <w:sz w:val="20"/>
        </w:rPr>
        <w:t xml:space="preserve"> strengthen and support the rural pharmacy workforce</w:t>
      </w:r>
      <w:r w:rsidRPr="00166DB1">
        <w:rPr>
          <w:rFonts w:ascii="Times New Roman" w:eastAsia="Garamond" w:hAnsi="Times New Roman"/>
          <w:i/>
          <w:iCs/>
          <w:color w:val="000000"/>
          <w:sz w:val="20"/>
        </w:rPr>
        <w:t xml:space="preserve">, in turn </w:t>
      </w:r>
      <w:r w:rsidRPr="00166DB1">
        <w:rPr>
          <w:rFonts w:ascii="Times New Roman" w:eastAsia="Garamond" w:hAnsi="Times New Roman"/>
          <w:b/>
          <w:i/>
          <w:iCs/>
          <w:color w:val="000000"/>
          <w:sz w:val="20"/>
        </w:rPr>
        <w:t>to provide increased access to quality pharmacy services for consumers residing in rural and remote regions</w:t>
      </w:r>
      <w:r w:rsidRPr="00166DB1">
        <w:rPr>
          <w:rFonts w:ascii="Times New Roman" w:eastAsia="Garamond" w:hAnsi="Times New Roman"/>
          <w:i/>
          <w:iCs/>
          <w:color w:val="000000"/>
          <w:sz w:val="20"/>
        </w:rPr>
        <w:t xml:space="preserve"> of Australia’. </w:t>
      </w:r>
    </w:p>
    <w:p w14:paraId="62CD97C8" w14:textId="77777777" w:rsidR="00166DB1" w:rsidRPr="00166DB1" w:rsidRDefault="00166DB1" w:rsidP="00166DB1">
      <w:pPr>
        <w:spacing w:before="85" w:after="85"/>
        <w:jc w:val="right"/>
        <w:rPr>
          <w:rFonts w:ascii="Garamond" w:eastAsia="Garamond" w:hAnsi="Garamond"/>
          <w:color w:val="000000"/>
        </w:rPr>
      </w:pPr>
      <w:r w:rsidRPr="00166DB1">
        <w:rPr>
          <w:rFonts w:ascii="Garamond" w:eastAsia="Garamond" w:hAnsi="Garamond"/>
          <w:color w:val="000000"/>
        </w:rPr>
        <w:t>[HMA bolding]</w:t>
      </w:r>
    </w:p>
    <w:p w14:paraId="0444B418" w14:textId="77777777" w:rsidR="00166DB1" w:rsidRPr="00166DB1" w:rsidRDefault="00166DB1" w:rsidP="00166DB1">
      <w:pPr>
        <w:spacing w:before="85" w:after="85"/>
        <w:rPr>
          <w:rFonts w:ascii="Garamond" w:eastAsia="Times New Roman" w:hAnsi="Garamond"/>
          <w:color w:val="000000"/>
        </w:rPr>
      </w:pPr>
      <w:r w:rsidRPr="00166DB1">
        <w:rPr>
          <w:rFonts w:ascii="Garamond" w:eastAsia="Garamond" w:hAnsi="Garamond"/>
          <w:color w:val="000000"/>
        </w:rPr>
        <w:t xml:space="preserve">The purpose of the </w:t>
      </w:r>
      <w:r w:rsidRPr="00166DB1">
        <w:rPr>
          <w:rFonts w:ascii="Garamond" w:eastAsia="Times New Roman" w:hAnsi="Garamond"/>
          <w:color w:val="000000"/>
        </w:rPr>
        <w:t xml:space="preserve">Aboriginal and Torres Strait Islander Workforce Package is framed in similar terms. Its aims to: </w:t>
      </w:r>
    </w:p>
    <w:p w14:paraId="5ABDA76D" w14:textId="77777777" w:rsidR="00166DB1" w:rsidRPr="00166DB1" w:rsidRDefault="00166DB1" w:rsidP="00166DB1">
      <w:pPr>
        <w:spacing w:before="85" w:after="85"/>
        <w:ind w:left="284" w:right="284"/>
        <w:rPr>
          <w:rFonts w:ascii="Times New Roman" w:eastAsia="Garamond" w:hAnsi="Times New Roman"/>
          <w:i/>
          <w:iCs/>
          <w:color w:val="000000"/>
          <w:sz w:val="20"/>
        </w:rPr>
      </w:pPr>
      <w:r w:rsidRPr="00166DB1">
        <w:rPr>
          <w:rFonts w:ascii="Times New Roman" w:eastAsia="Garamond" w:hAnsi="Times New Roman"/>
          <w:i/>
          <w:iCs/>
          <w:color w:val="000000"/>
          <w:sz w:val="20"/>
        </w:rPr>
        <w:t xml:space="preserve">‘fund a range of initiatives designed to </w:t>
      </w:r>
      <w:r w:rsidRPr="00166DB1">
        <w:rPr>
          <w:rFonts w:ascii="Times New Roman" w:eastAsia="Garamond" w:hAnsi="Times New Roman"/>
          <w:b/>
          <w:i/>
          <w:iCs/>
          <w:color w:val="000000"/>
          <w:sz w:val="20"/>
        </w:rPr>
        <w:t xml:space="preserve">strengthen and support the ATSI </w:t>
      </w:r>
      <w:r w:rsidRPr="00166DB1">
        <w:rPr>
          <w:rFonts w:ascii="Times New Roman" w:eastAsia="Garamond" w:hAnsi="Times New Roman"/>
          <w:i/>
          <w:iCs/>
          <w:color w:val="000000"/>
          <w:sz w:val="20"/>
        </w:rPr>
        <w:t xml:space="preserve">(sic) </w:t>
      </w:r>
      <w:r w:rsidRPr="00166DB1">
        <w:rPr>
          <w:rFonts w:ascii="Times New Roman" w:eastAsia="Garamond" w:hAnsi="Times New Roman"/>
          <w:b/>
          <w:i/>
          <w:iCs/>
          <w:color w:val="000000"/>
          <w:sz w:val="20"/>
        </w:rPr>
        <w:t>pharmacy workforce</w:t>
      </w:r>
      <w:r w:rsidRPr="00166DB1">
        <w:rPr>
          <w:rFonts w:ascii="Times New Roman" w:eastAsia="Garamond" w:hAnsi="Times New Roman"/>
          <w:i/>
          <w:iCs/>
          <w:color w:val="000000"/>
          <w:sz w:val="20"/>
        </w:rPr>
        <w:t xml:space="preserve">, which in turn will </w:t>
      </w:r>
      <w:r w:rsidRPr="00166DB1">
        <w:rPr>
          <w:rFonts w:ascii="Times New Roman" w:eastAsia="Garamond" w:hAnsi="Times New Roman"/>
          <w:b/>
          <w:i/>
          <w:iCs/>
          <w:color w:val="000000"/>
          <w:sz w:val="20"/>
        </w:rPr>
        <w:t xml:space="preserve">provide improved, culturally-appropriate pharmacy services for ATSI </w:t>
      </w:r>
      <w:r w:rsidRPr="00166DB1">
        <w:rPr>
          <w:rFonts w:ascii="Times New Roman" w:eastAsia="Garamond" w:hAnsi="Times New Roman"/>
          <w:i/>
          <w:iCs/>
          <w:color w:val="000000"/>
          <w:sz w:val="20"/>
        </w:rPr>
        <w:t xml:space="preserve">(sic) </w:t>
      </w:r>
      <w:r w:rsidRPr="00166DB1">
        <w:rPr>
          <w:rFonts w:ascii="Times New Roman" w:eastAsia="Garamond" w:hAnsi="Times New Roman"/>
          <w:b/>
          <w:i/>
          <w:iCs/>
          <w:color w:val="000000"/>
          <w:sz w:val="20"/>
        </w:rPr>
        <w:t>consumers’</w:t>
      </w:r>
      <w:r w:rsidRPr="00166DB1">
        <w:rPr>
          <w:rFonts w:ascii="Times New Roman" w:eastAsia="Garamond" w:hAnsi="Times New Roman"/>
          <w:i/>
          <w:iCs/>
          <w:color w:val="000000"/>
          <w:sz w:val="20"/>
        </w:rPr>
        <w:t xml:space="preserve">. </w:t>
      </w:r>
    </w:p>
    <w:p w14:paraId="38CCEEF8" w14:textId="77777777" w:rsidR="00166DB1" w:rsidRPr="00166DB1" w:rsidRDefault="00166DB1" w:rsidP="00166DB1">
      <w:pPr>
        <w:spacing w:before="85" w:after="85"/>
        <w:jc w:val="right"/>
        <w:rPr>
          <w:rFonts w:ascii="Garamond" w:eastAsia="Garamond" w:hAnsi="Garamond"/>
          <w:color w:val="000000"/>
        </w:rPr>
      </w:pPr>
      <w:r w:rsidRPr="00166DB1">
        <w:rPr>
          <w:rFonts w:ascii="Garamond" w:eastAsia="Garamond" w:hAnsi="Garamond"/>
          <w:color w:val="000000"/>
        </w:rPr>
        <w:t>[HMA bolding]</w:t>
      </w:r>
    </w:p>
    <w:p w14:paraId="28F868ED"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These provisions of the 6CPA are reasonable specifications of goals; they are broad statements of the long-term expectation of both Packages. Ideally these wide-ranging goals would be supported by more specific objectives at a program level, which describe the results to be achieved through the intervention, but this is not the case. Each of the 12 individual workforce programs has a </w:t>
      </w:r>
      <w:r w:rsidRPr="00166DB1">
        <w:rPr>
          <w:rFonts w:ascii="Garamond" w:eastAsia="Garamond" w:hAnsi="Garamond"/>
          <w:i/>
          <w:color w:val="000000"/>
        </w:rPr>
        <w:t>Program Specific Guideline</w:t>
      </w:r>
      <w:r w:rsidRPr="00166DB1">
        <w:rPr>
          <w:rFonts w:ascii="Garamond" w:eastAsia="Garamond" w:hAnsi="Garamond"/>
          <w:color w:val="000000"/>
        </w:rPr>
        <w:t xml:space="preserve"> that describes rules for the operation of the program. But they do not contain a specific statement about the objectives or aims for the program. The closest each Guideline comes to this is in the background section, which includes a statement about what the program seeks to do. We have termed these statements </w:t>
      </w:r>
      <w:r w:rsidRPr="00166DB1">
        <w:rPr>
          <w:rFonts w:ascii="Garamond" w:eastAsia="Garamond" w:hAnsi="Garamond"/>
          <w:i/>
          <w:color w:val="000000"/>
        </w:rPr>
        <w:t>derived aims</w:t>
      </w:r>
      <w:r w:rsidRPr="00166DB1">
        <w:rPr>
          <w:rFonts w:ascii="Garamond" w:eastAsia="Garamond" w:hAnsi="Garamond"/>
          <w:color w:val="000000"/>
        </w:rPr>
        <w:t xml:space="preserve">, because they have had this label applied by HMA, rather than the Program Guidelines. These derived aims are summarised in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_Ref490415890 \h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 xml:space="preserve">Table </w:t>
      </w:r>
      <w:r w:rsidRPr="00166DB1">
        <w:rPr>
          <w:rFonts w:ascii="Garamond" w:eastAsia="Garamond" w:hAnsi="Garamond"/>
          <w:noProof/>
          <w:color w:val="000000"/>
        </w:rPr>
        <w:t>2</w:t>
      </w:r>
      <w:r w:rsidRPr="00166DB1">
        <w:rPr>
          <w:rFonts w:ascii="Garamond" w:eastAsia="Garamond" w:hAnsi="Garamond"/>
          <w:color w:val="000000"/>
        </w:rPr>
        <w:t>.</w:t>
      </w:r>
      <w:r w:rsidRPr="00166DB1">
        <w:rPr>
          <w:rFonts w:ascii="Garamond" w:eastAsia="Garamond" w:hAnsi="Garamond"/>
          <w:noProof/>
          <w:color w:val="000000"/>
        </w:rPr>
        <w:t>1</w:t>
      </w:r>
      <w:r w:rsidRPr="00166DB1">
        <w:rPr>
          <w:rFonts w:ascii="Garamond" w:eastAsia="Garamond" w:hAnsi="Garamond"/>
          <w:color w:val="000000"/>
        </w:rPr>
        <w:fldChar w:fldCharType="end"/>
      </w:r>
      <w:r w:rsidRPr="00166DB1">
        <w:rPr>
          <w:rFonts w:ascii="Garamond" w:eastAsia="Garamond" w:hAnsi="Garamond"/>
          <w:color w:val="000000"/>
        </w:rPr>
        <w:t>.</w:t>
      </w:r>
    </w:p>
    <w:p w14:paraId="5CDE14DA" w14:textId="77777777" w:rsidR="00166DB1" w:rsidRPr="00166DB1" w:rsidRDefault="00166DB1" w:rsidP="00483C21">
      <w:pPr>
        <w:pStyle w:val="Caption"/>
        <w:rPr>
          <w:highlight w:val="magenta"/>
        </w:rPr>
      </w:pPr>
      <w:bookmarkStart w:id="18" w:name="_Ref490415890"/>
      <w:r w:rsidRPr="00166DB1">
        <w:lastRenderedPageBreak/>
        <w:t xml:space="preserve">Table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2</w:t>
      </w:r>
      <w:r w:rsidRPr="00166DB1">
        <w:rPr>
          <w:noProof/>
        </w:rPr>
        <w:fldChar w:fldCharType="end"/>
      </w:r>
      <w:r w:rsidRPr="00166DB1">
        <w:t>.</w:t>
      </w:r>
      <w:r w:rsidRPr="00166DB1">
        <w:rPr>
          <w:noProof/>
        </w:rPr>
        <w:fldChar w:fldCharType="begin"/>
      </w:r>
      <w:r w:rsidRPr="00166DB1">
        <w:rPr>
          <w:noProof/>
        </w:rPr>
        <w:instrText xml:space="preserve"> SEQ Table \* ARABIC \s 1 </w:instrText>
      </w:r>
      <w:r w:rsidRPr="00166DB1">
        <w:rPr>
          <w:noProof/>
        </w:rPr>
        <w:fldChar w:fldCharType="separate"/>
      </w:r>
      <w:r w:rsidRPr="00166DB1">
        <w:rPr>
          <w:noProof/>
        </w:rPr>
        <w:t>1</w:t>
      </w:r>
      <w:r w:rsidRPr="00166DB1">
        <w:rPr>
          <w:noProof/>
        </w:rPr>
        <w:fldChar w:fldCharType="end"/>
      </w:r>
      <w:bookmarkEnd w:id="18"/>
      <w:r w:rsidRPr="00166DB1">
        <w:t>: Derived Program aims, paraphrased from the Program Specific Guidelines (a)</w:t>
      </w:r>
    </w:p>
    <w:tbl>
      <w:tblPr>
        <w:tblStyle w:val="HMATable"/>
        <w:tblW w:w="5000" w:type="pct"/>
        <w:shd w:val="clear" w:color="auto" w:fill="F2F2F2" w:themeFill="background1" w:themeFillShade="F2"/>
        <w:tblLook w:val="04A0" w:firstRow="1" w:lastRow="0" w:firstColumn="1" w:lastColumn="0" w:noHBand="0" w:noVBand="1"/>
        <w:tblCaption w:val="Table 2.1: Derived Program aims, paraphrased from the Program Specific Guidelines (a)"/>
        <w:tblDescription w:val="Table 2.1: Derived Program aims, paraphrased from the Program Specific Guidelines (a)"/>
      </w:tblPr>
      <w:tblGrid>
        <w:gridCol w:w="2121"/>
        <w:gridCol w:w="4913"/>
      </w:tblGrid>
      <w:tr w:rsidR="00166DB1" w:rsidRPr="00166DB1" w14:paraId="49000B0F" w14:textId="77777777" w:rsidTr="00B77C1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08" w:type="pct"/>
            <w:tcBorders>
              <w:top w:val="single" w:sz="4" w:space="0" w:color="4B4B4B"/>
              <w:left w:val="single" w:sz="4" w:space="0" w:color="FFFFFF"/>
              <w:bottom w:val="single" w:sz="4" w:space="0" w:color="4B4B4B"/>
              <w:right w:val="single" w:sz="4" w:space="0" w:color="FFFFFF"/>
            </w:tcBorders>
            <w:shd w:val="clear" w:color="auto" w:fill="D9D9D9" w:themeFill="background1" w:themeFillShade="D9"/>
            <w:hideMark/>
          </w:tcPr>
          <w:p w14:paraId="4ED2D758" w14:textId="77777777" w:rsidR="00166DB1" w:rsidRPr="00166DB1" w:rsidRDefault="00166DB1" w:rsidP="00B77C1D">
            <w:pPr>
              <w:pStyle w:val="TableColumnHeading"/>
            </w:pPr>
            <w:r w:rsidRPr="00166DB1">
              <w:t>Package component</w:t>
            </w:r>
          </w:p>
        </w:tc>
        <w:tc>
          <w:tcPr>
            <w:tcW w:w="3492" w:type="pct"/>
            <w:tcBorders>
              <w:top w:val="single" w:sz="4" w:space="0" w:color="4B4B4B"/>
              <w:left w:val="single" w:sz="4" w:space="0" w:color="FFFFFF"/>
              <w:bottom w:val="single" w:sz="4" w:space="0" w:color="4B4B4B"/>
              <w:right w:val="single" w:sz="4" w:space="0" w:color="FFFFFF"/>
            </w:tcBorders>
            <w:shd w:val="clear" w:color="auto" w:fill="D9D9D9" w:themeFill="background1" w:themeFillShade="D9"/>
            <w:hideMark/>
          </w:tcPr>
          <w:p w14:paraId="099C373E" w14:textId="77777777" w:rsidR="00166DB1" w:rsidRPr="00166DB1" w:rsidRDefault="00166DB1" w:rsidP="00B77C1D">
            <w:pPr>
              <w:pStyle w:val="TableColumnHeading"/>
              <w:cnfStyle w:val="100000000000" w:firstRow="1" w:lastRow="0" w:firstColumn="0" w:lastColumn="0" w:oddVBand="0" w:evenVBand="0" w:oddHBand="0" w:evenHBand="0" w:firstRowFirstColumn="0" w:firstRowLastColumn="0" w:lastRowFirstColumn="0" w:lastRowLastColumn="0"/>
            </w:pPr>
            <w:r w:rsidRPr="00166DB1">
              <w:rPr>
                <w:b/>
              </w:rPr>
              <w:t>Derived Aim</w:t>
            </w:r>
            <w:r w:rsidRPr="00166DB1">
              <w:t xml:space="preserve"> (extracted from the </w:t>
            </w:r>
            <w:r w:rsidRPr="00166DB1">
              <w:rPr>
                <w:i/>
              </w:rPr>
              <w:t>Background</w:t>
            </w:r>
            <w:r w:rsidRPr="00166DB1">
              <w:t xml:space="preserve"> section of each relevant </w:t>
            </w:r>
            <w:r w:rsidRPr="00166DB1">
              <w:rPr>
                <w:i/>
              </w:rPr>
              <w:t>Program Guideline</w:t>
            </w:r>
            <w:r w:rsidRPr="00166DB1">
              <w:t>)</w:t>
            </w:r>
          </w:p>
        </w:tc>
      </w:tr>
      <w:tr w:rsidR="00166DB1" w:rsidRPr="00166DB1" w14:paraId="53767675" w14:textId="77777777" w:rsidTr="00B77C1D">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138C9978" w14:textId="77777777" w:rsidR="00166DB1" w:rsidRPr="00166DB1" w:rsidRDefault="00166DB1" w:rsidP="00B77C1D">
            <w:pPr>
              <w:pStyle w:val="TableCopy"/>
            </w:pPr>
            <w:r w:rsidRPr="00166DB1">
              <w:t>Rural Pharmacy Scholarship Scheme</w:t>
            </w:r>
          </w:p>
        </w:tc>
        <w:tc>
          <w:tcPr>
            <w:tcW w:w="3492"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13E857A1" w14:textId="77777777" w:rsidR="00166DB1" w:rsidRPr="00166DB1" w:rsidRDefault="00166DB1" w:rsidP="00B77C1D">
            <w:pPr>
              <w:pStyle w:val="TableCopy"/>
              <w:cnfStyle w:val="000000000000" w:firstRow="0" w:lastRow="0" w:firstColumn="0" w:lastColumn="0" w:oddVBand="0" w:evenVBand="0" w:oddHBand="0" w:evenHBand="0" w:firstRowFirstColumn="0" w:firstRowLastColumn="0" w:lastRowFirstColumn="0" w:lastRowLastColumn="0"/>
            </w:pPr>
            <w:r w:rsidRPr="00166DB1">
              <w:t>Enable students from rural and remote communities to undertake studies in pharmacy at university.</w:t>
            </w:r>
          </w:p>
        </w:tc>
      </w:tr>
      <w:tr w:rsidR="00166DB1" w:rsidRPr="00166DB1" w14:paraId="5192B2B4" w14:textId="77777777" w:rsidTr="00B77C1D">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02AB3E79" w14:textId="77777777" w:rsidR="00166DB1" w:rsidRPr="00166DB1" w:rsidRDefault="00166DB1" w:rsidP="00B77C1D">
            <w:pPr>
              <w:pStyle w:val="TableCopy"/>
            </w:pPr>
            <w:r w:rsidRPr="00166DB1">
              <w:t>Rural Pharmacy Scholarship Mentor Scheme</w:t>
            </w:r>
          </w:p>
        </w:tc>
        <w:tc>
          <w:tcPr>
            <w:tcW w:w="3492"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7E8864DF" w14:textId="77777777" w:rsidR="00166DB1" w:rsidRPr="00166DB1" w:rsidRDefault="00166DB1" w:rsidP="00B77C1D">
            <w:pPr>
              <w:pStyle w:val="TableCopy"/>
              <w:cnfStyle w:val="000000000000" w:firstRow="0" w:lastRow="0" w:firstColumn="0" w:lastColumn="0" w:oddVBand="0" w:evenVBand="0" w:oddHBand="0" w:evenHBand="0" w:firstRowFirstColumn="0" w:firstRowLastColumn="0" w:lastRowFirstColumn="0" w:lastRowLastColumn="0"/>
            </w:pPr>
            <w:r w:rsidRPr="00166DB1">
              <w:t>Provide mentoring to students from rural and remote communities and to Aboriginal and Torres Strait Islander students undertaking studies in pharmacy at university.</w:t>
            </w:r>
          </w:p>
        </w:tc>
      </w:tr>
      <w:tr w:rsidR="00166DB1" w:rsidRPr="00166DB1" w14:paraId="47B20423" w14:textId="77777777" w:rsidTr="00B77C1D">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tcPr>
          <w:p w14:paraId="03DE7F55" w14:textId="77777777" w:rsidR="00166DB1" w:rsidRPr="00166DB1" w:rsidRDefault="00166DB1" w:rsidP="00B77C1D">
            <w:pPr>
              <w:pStyle w:val="TableCopy"/>
            </w:pPr>
            <w:r w:rsidRPr="00166DB1">
              <w:t>Intern Incentive Allowance for Rural Pharmacies</w:t>
            </w:r>
          </w:p>
        </w:tc>
        <w:tc>
          <w:tcPr>
            <w:tcW w:w="3492"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tcPr>
          <w:p w14:paraId="09C78E7D" w14:textId="77777777" w:rsidR="00166DB1" w:rsidRPr="00166DB1" w:rsidRDefault="00166DB1" w:rsidP="00B77C1D">
            <w:pPr>
              <w:pStyle w:val="TableCopy"/>
              <w:cnfStyle w:val="000000000000" w:firstRow="0" w:lastRow="0" w:firstColumn="0" w:lastColumn="0" w:oddVBand="0" w:evenVBand="0" w:oddHBand="0" w:evenHBand="0" w:firstRowFirstColumn="0" w:firstRowLastColumn="0" w:lastRowFirstColumn="0" w:lastRowLastColumn="0"/>
            </w:pPr>
            <w:r w:rsidRPr="00166DB1">
              <w:t>Enable rural and remote community pharmacies to engage pharmacy interns and new graduates in their intern and post intern year.</w:t>
            </w:r>
          </w:p>
        </w:tc>
      </w:tr>
      <w:tr w:rsidR="00166DB1" w:rsidRPr="00166DB1" w14:paraId="5A968A01" w14:textId="77777777" w:rsidTr="00B77C1D">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tcPr>
          <w:p w14:paraId="13558B6F" w14:textId="77777777" w:rsidR="00166DB1" w:rsidRPr="00166DB1" w:rsidRDefault="00166DB1" w:rsidP="00B77C1D">
            <w:pPr>
              <w:pStyle w:val="TableCopy"/>
            </w:pPr>
            <w:r w:rsidRPr="00166DB1">
              <w:t>Intern Incentive Allowance for Rural Pharmacies – Extension Program</w:t>
            </w:r>
          </w:p>
        </w:tc>
        <w:tc>
          <w:tcPr>
            <w:tcW w:w="3492"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tcPr>
          <w:p w14:paraId="53D2D732" w14:textId="77777777" w:rsidR="00166DB1" w:rsidRPr="00166DB1" w:rsidRDefault="00166DB1" w:rsidP="00B77C1D">
            <w:pPr>
              <w:pStyle w:val="TableCopy"/>
              <w:cnfStyle w:val="000000000000" w:firstRow="0" w:lastRow="0" w:firstColumn="0" w:lastColumn="0" w:oddVBand="0" w:evenVBand="0" w:oddHBand="0" w:evenHBand="0" w:firstRowFirstColumn="0" w:firstRowLastColumn="0" w:lastRowFirstColumn="0" w:lastRowLastColumn="0"/>
            </w:pPr>
            <w:r w:rsidRPr="00166DB1">
              <w:t>Enable rural and remote community pharmacies to engage pharmacy interns and new graduates in their intern and post intern year.</w:t>
            </w:r>
          </w:p>
        </w:tc>
      </w:tr>
      <w:tr w:rsidR="00166DB1" w:rsidRPr="00166DB1" w14:paraId="6F4D70DE" w14:textId="77777777" w:rsidTr="00B77C1D">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5C393755" w14:textId="77777777" w:rsidR="00166DB1" w:rsidRPr="00166DB1" w:rsidRDefault="00166DB1" w:rsidP="00B77C1D">
            <w:pPr>
              <w:pStyle w:val="TableCopy"/>
            </w:pPr>
            <w:r w:rsidRPr="00166DB1">
              <w:t>Rural Intern Training Allowance</w:t>
            </w:r>
          </w:p>
        </w:tc>
        <w:tc>
          <w:tcPr>
            <w:tcW w:w="3492"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1A0C9218" w14:textId="77777777" w:rsidR="00166DB1" w:rsidRPr="00166DB1" w:rsidRDefault="00166DB1" w:rsidP="00B77C1D">
            <w:pPr>
              <w:pStyle w:val="TableCopy"/>
              <w:cnfStyle w:val="000000000000" w:firstRow="0" w:lastRow="0" w:firstColumn="0" w:lastColumn="0" w:oddVBand="0" w:evenVBand="0" w:oddHBand="0" w:evenHBand="0" w:firstRowFirstColumn="0" w:firstRowLastColumn="0" w:lastRowFirstColumn="0" w:lastRowLastColumn="0"/>
            </w:pPr>
            <w:r w:rsidRPr="00166DB1">
              <w:t>Reduce the additional costs incurred by intern pharmacists practising in rural and remote communities to undertake compulsory training.</w:t>
            </w:r>
          </w:p>
        </w:tc>
      </w:tr>
      <w:tr w:rsidR="00166DB1" w:rsidRPr="00166DB1" w14:paraId="67624280" w14:textId="77777777" w:rsidTr="00B77C1D">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08EFDFCD" w14:textId="77777777" w:rsidR="00166DB1" w:rsidRPr="00166DB1" w:rsidRDefault="00166DB1" w:rsidP="00B77C1D">
            <w:pPr>
              <w:pStyle w:val="TableCopy"/>
            </w:pPr>
            <w:r w:rsidRPr="00166DB1">
              <w:t>Rural Pharmacy Student Placement Allowance</w:t>
            </w:r>
          </w:p>
        </w:tc>
        <w:tc>
          <w:tcPr>
            <w:tcW w:w="3492"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7569655B" w14:textId="77777777" w:rsidR="00166DB1" w:rsidRPr="00166DB1" w:rsidRDefault="00166DB1" w:rsidP="00B77C1D">
            <w:pPr>
              <w:pStyle w:val="TableCopy"/>
              <w:cnfStyle w:val="000000000000" w:firstRow="0" w:lastRow="0" w:firstColumn="0" w:lastColumn="0" w:oddVBand="0" w:evenVBand="0" w:oddHBand="0" w:evenHBand="0" w:firstRowFirstColumn="0" w:firstRowLastColumn="0" w:lastRowFirstColumn="0" w:lastRowLastColumn="0"/>
            </w:pPr>
            <w:r w:rsidRPr="00166DB1">
              <w:t>Financial assistance is provided to students for costs incurred for travel and accommodation associated with rural placements.</w:t>
            </w:r>
          </w:p>
        </w:tc>
      </w:tr>
      <w:tr w:rsidR="00166DB1" w:rsidRPr="00166DB1" w14:paraId="130CCCA3" w14:textId="77777777" w:rsidTr="00B77C1D">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3F9E1ED0" w14:textId="77777777" w:rsidR="00166DB1" w:rsidRPr="00166DB1" w:rsidRDefault="00166DB1" w:rsidP="00B77C1D">
            <w:pPr>
              <w:pStyle w:val="TableCopy"/>
            </w:pPr>
            <w:r w:rsidRPr="00166DB1">
              <w:t>Administrative Support to Pharmacy Schools</w:t>
            </w:r>
          </w:p>
        </w:tc>
        <w:tc>
          <w:tcPr>
            <w:tcW w:w="3492"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3010E423" w14:textId="77777777" w:rsidR="00166DB1" w:rsidRPr="00166DB1" w:rsidRDefault="00166DB1" w:rsidP="00B77C1D">
            <w:pPr>
              <w:pStyle w:val="TableCopy"/>
              <w:cnfStyle w:val="000000000000" w:firstRow="0" w:lastRow="0" w:firstColumn="0" w:lastColumn="0" w:oddVBand="0" w:evenVBand="0" w:oddHBand="0" w:evenHBand="0" w:firstRowFirstColumn="0" w:firstRowLastColumn="0" w:lastRowFirstColumn="0" w:lastRowLastColumn="0"/>
            </w:pPr>
            <w:r w:rsidRPr="00166DB1">
              <w:t>Provide financial support to pharmacy schools to facilitate rural placements for students.</w:t>
            </w:r>
          </w:p>
        </w:tc>
      </w:tr>
      <w:tr w:rsidR="00166DB1" w:rsidRPr="00166DB1" w14:paraId="72495411" w14:textId="77777777" w:rsidTr="00B77C1D">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6D134C59" w14:textId="77777777" w:rsidR="00166DB1" w:rsidRPr="00166DB1" w:rsidRDefault="00166DB1" w:rsidP="00B77C1D">
            <w:pPr>
              <w:pStyle w:val="TableCopy"/>
            </w:pPr>
            <w:r w:rsidRPr="00166DB1">
              <w:t>Continuing Professional Education Allowance</w:t>
            </w:r>
          </w:p>
        </w:tc>
        <w:tc>
          <w:tcPr>
            <w:tcW w:w="3492"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1864E8F2" w14:textId="77777777" w:rsidR="00166DB1" w:rsidRPr="00166DB1" w:rsidRDefault="00166DB1" w:rsidP="00B77C1D">
            <w:pPr>
              <w:pStyle w:val="TableCopy"/>
              <w:cnfStyle w:val="000000000000" w:firstRow="0" w:lastRow="0" w:firstColumn="0" w:lastColumn="0" w:oddVBand="0" w:evenVBand="0" w:oddHBand="0" w:evenHBand="0" w:firstRowFirstColumn="0" w:firstRowLastColumn="0" w:lastRowFirstColumn="0" w:lastRowLastColumn="0"/>
            </w:pPr>
            <w:r w:rsidRPr="00166DB1">
              <w:t>Reduce the additional costs incurred by pharmacists practising in rural and remote communities undertaking professional development and training.</w:t>
            </w:r>
          </w:p>
        </w:tc>
      </w:tr>
      <w:tr w:rsidR="00166DB1" w:rsidRPr="00166DB1" w14:paraId="48D9D043" w14:textId="77777777" w:rsidTr="00B77C1D">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022B0D4F" w14:textId="77777777" w:rsidR="00166DB1" w:rsidRPr="00166DB1" w:rsidRDefault="00166DB1" w:rsidP="00B77C1D">
            <w:pPr>
              <w:pStyle w:val="TableCopy"/>
            </w:pPr>
            <w:r w:rsidRPr="00166DB1">
              <w:t>Rural Pharmacy Liaison Officer Program</w:t>
            </w:r>
          </w:p>
        </w:tc>
        <w:tc>
          <w:tcPr>
            <w:tcW w:w="3492"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48AA505D" w14:textId="77777777" w:rsidR="00166DB1" w:rsidRPr="00166DB1" w:rsidRDefault="00166DB1" w:rsidP="00B77C1D">
            <w:pPr>
              <w:pStyle w:val="TableCopy"/>
              <w:cnfStyle w:val="000000000000" w:firstRow="0" w:lastRow="0" w:firstColumn="0" w:lastColumn="0" w:oddVBand="0" w:evenVBand="0" w:oddHBand="0" w:evenHBand="0" w:firstRowFirstColumn="0" w:firstRowLastColumn="0" w:lastRowFirstColumn="0" w:lastRowLastColumn="0"/>
            </w:pPr>
            <w:r w:rsidRPr="00166DB1">
              <w:t xml:space="preserve">Support practising rural community pharmacies and pharmacy students [via grants to University Departments of Rural Health] by: supporting rural placements; promoting inter-professional collaboration; strengthening mentoring and advisory arrangements; and facilitating professional development and networking opportunities. </w:t>
            </w:r>
          </w:p>
        </w:tc>
      </w:tr>
      <w:tr w:rsidR="00166DB1" w:rsidRPr="00166DB1" w14:paraId="7CB95F72" w14:textId="77777777" w:rsidTr="00B77C1D">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671767F7" w14:textId="77777777" w:rsidR="00166DB1" w:rsidRPr="00166DB1" w:rsidRDefault="00166DB1" w:rsidP="00B77C1D">
            <w:pPr>
              <w:pStyle w:val="TableCopy"/>
            </w:pPr>
            <w:r w:rsidRPr="00166DB1">
              <w:t>Emergency Locum Service</w:t>
            </w:r>
          </w:p>
        </w:tc>
        <w:tc>
          <w:tcPr>
            <w:tcW w:w="3492"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07FC4F77" w14:textId="77777777" w:rsidR="00166DB1" w:rsidRPr="00166DB1" w:rsidRDefault="00166DB1" w:rsidP="00B77C1D">
            <w:pPr>
              <w:pStyle w:val="TableCopy"/>
              <w:cnfStyle w:val="000000000000" w:firstRow="0" w:lastRow="0" w:firstColumn="0" w:lastColumn="0" w:oddVBand="0" w:evenVBand="0" w:oddHBand="0" w:evenHBand="0" w:firstRowFirstColumn="0" w:firstRowLastColumn="0" w:lastRowFirstColumn="0" w:lastRowLastColumn="0"/>
            </w:pPr>
            <w:r w:rsidRPr="00166DB1">
              <w:t>Support rural and remote communities to retain access to community pharmacy services at all usual times [via the organisation of locums]</w:t>
            </w:r>
          </w:p>
          <w:p w14:paraId="75814ECF" w14:textId="77777777" w:rsidR="00166DB1" w:rsidRPr="00166DB1" w:rsidRDefault="00166DB1" w:rsidP="00B77C1D">
            <w:pPr>
              <w:pStyle w:val="TableCopy"/>
              <w:cnfStyle w:val="000000000000" w:firstRow="0" w:lastRow="0" w:firstColumn="0" w:lastColumn="0" w:oddVBand="0" w:evenVBand="0" w:oddHBand="0" w:evenHBand="0" w:firstRowFirstColumn="0" w:firstRowLastColumn="0" w:lastRowFirstColumn="0" w:lastRowLastColumn="0"/>
            </w:pPr>
          </w:p>
        </w:tc>
      </w:tr>
      <w:tr w:rsidR="00166DB1" w:rsidRPr="00166DB1" w14:paraId="78DCE5C4" w14:textId="77777777" w:rsidTr="00B77C1D">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5F7BB165" w14:textId="77777777" w:rsidR="00166DB1" w:rsidRPr="00166DB1" w:rsidRDefault="00166DB1" w:rsidP="00B77C1D">
            <w:pPr>
              <w:pStyle w:val="TableCopy"/>
            </w:pPr>
            <w:r w:rsidRPr="00166DB1">
              <w:t>Aboriginal and Torres Strait Islander Pharmacy Scholarship Scheme</w:t>
            </w:r>
          </w:p>
        </w:tc>
        <w:tc>
          <w:tcPr>
            <w:tcW w:w="3492"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275166AE" w14:textId="77777777" w:rsidR="00166DB1" w:rsidRPr="00166DB1" w:rsidRDefault="00166DB1" w:rsidP="00B77C1D">
            <w:pPr>
              <w:pStyle w:val="TableCopy"/>
              <w:cnfStyle w:val="000000000000" w:firstRow="0" w:lastRow="0" w:firstColumn="0" w:lastColumn="0" w:oddVBand="0" w:evenVBand="0" w:oddHBand="0" w:evenHBand="0" w:firstRowFirstColumn="0" w:firstRowLastColumn="0" w:lastRowFirstColumn="0" w:lastRowLastColumn="0"/>
            </w:pPr>
            <w:r w:rsidRPr="00166DB1">
              <w:t>Enable Aboriginal and Torres Strait Islander students to undertake pharmacy studies at university.</w:t>
            </w:r>
          </w:p>
        </w:tc>
      </w:tr>
      <w:tr w:rsidR="00166DB1" w:rsidRPr="00166DB1" w14:paraId="35B41103" w14:textId="77777777" w:rsidTr="00B77C1D">
        <w:tc>
          <w:tcPr>
            <w:cnfStyle w:val="001000000000" w:firstRow="0" w:lastRow="0" w:firstColumn="1" w:lastColumn="0" w:oddVBand="0" w:evenVBand="0" w:oddHBand="0" w:evenHBand="0" w:firstRowFirstColumn="0" w:firstRowLastColumn="0" w:lastRowFirstColumn="0" w:lastRowLastColumn="0"/>
            <w:tcW w:w="1508"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4D67981F" w14:textId="77777777" w:rsidR="00166DB1" w:rsidRPr="00166DB1" w:rsidRDefault="00166DB1" w:rsidP="00B77C1D">
            <w:pPr>
              <w:pStyle w:val="TableCopy"/>
            </w:pPr>
            <w:r w:rsidRPr="00166DB1">
              <w:t>Aboriginal and Torres Strait Islander Pharmacy Assistant Traineeship Scheme</w:t>
            </w:r>
          </w:p>
        </w:tc>
        <w:tc>
          <w:tcPr>
            <w:tcW w:w="3492" w:type="pct"/>
            <w:tcBorders>
              <w:top w:val="single" w:sz="4" w:space="0" w:color="4B4B4B"/>
              <w:left w:val="single" w:sz="4" w:space="0" w:color="FFFFFF"/>
              <w:bottom w:val="single" w:sz="4" w:space="0" w:color="4B4B4B"/>
              <w:right w:val="single" w:sz="4" w:space="0" w:color="FFFFFF"/>
            </w:tcBorders>
            <w:shd w:val="clear" w:color="auto" w:fill="F2F2F2" w:themeFill="background1" w:themeFillShade="F2"/>
            <w:hideMark/>
          </w:tcPr>
          <w:p w14:paraId="1A43CA49" w14:textId="77777777" w:rsidR="00166DB1" w:rsidRPr="00166DB1" w:rsidRDefault="00166DB1" w:rsidP="00B77C1D">
            <w:pPr>
              <w:pStyle w:val="TableCopy"/>
              <w:cnfStyle w:val="000000000000" w:firstRow="0" w:lastRow="0" w:firstColumn="0" w:lastColumn="0" w:oddVBand="0" w:evenVBand="0" w:oddHBand="0" w:evenHBand="0" w:firstRowFirstColumn="0" w:firstRowLastColumn="0" w:lastRowFirstColumn="0" w:lastRowLastColumn="0"/>
            </w:pPr>
            <w:r w:rsidRPr="00166DB1">
              <w:t>Encourage and support Aboriginal and Torres Strait Islander people to become trained as pharmacy assistants and pharmacy technicians.</w:t>
            </w:r>
          </w:p>
        </w:tc>
      </w:tr>
    </w:tbl>
    <w:p w14:paraId="57FD664C" w14:textId="34ECC3B8" w:rsidR="00166DB1" w:rsidRPr="00166DB1" w:rsidRDefault="00166DB1" w:rsidP="0078709D">
      <w:pPr>
        <w:pStyle w:val="TableNotes"/>
      </w:pPr>
      <w:r w:rsidRPr="00166DB1">
        <w:t xml:space="preserve">(a) This paraphrased version from the background section of each of the Program Guidelines seeks to facilitate an overview and comparison across the programs. The full statement of the wording from each of the Program Guidelines is given in </w:t>
      </w:r>
      <w:r w:rsidR="0078709D">
        <w:t>Appendix</w:t>
      </w:r>
      <w:r w:rsidRPr="00166DB1">
        <w:t xml:space="preserve"> A.</w:t>
      </w:r>
    </w:p>
    <w:p w14:paraId="2F4A5304" w14:textId="77777777" w:rsidR="00166DB1" w:rsidRPr="00166DB1" w:rsidRDefault="00166DB1" w:rsidP="00B77C1D">
      <w:pPr>
        <w:spacing w:before="240" w:after="85"/>
        <w:rPr>
          <w:rFonts w:ascii="Garamond" w:eastAsia="Garamond" w:hAnsi="Garamond"/>
          <w:color w:val="000000"/>
        </w:rPr>
      </w:pPr>
      <w:r w:rsidRPr="00166DB1">
        <w:rPr>
          <w:rFonts w:ascii="Garamond" w:eastAsia="Garamond" w:hAnsi="Garamond"/>
          <w:color w:val="000000"/>
        </w:rPr>
        <w:t xml:space="preserve">HMA was not provided with any other documentation during the course of the evaluation that gave a more comprehensive specification of the objective for the in-scope programs. Examination of the derived aims in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_Ref490415890 \h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 xml:space="preserve">Table </w:t>
      </w:r>
      <w:r w:rsidRPr="00166DB1">
        <w:rPr>
          <w:rFonts w:ascii="Garamond" w:eastAsia="Garamond" w:hAnsi="Garamond"/>
          <w:noProof/>
          <w:color w:val="000000"/>
        </w:rPr>
        <w:t>2</w:t>
      </w:r>
      <w:r w:rsidRPr="00166DB1">
        <w:rPr>
          <w:rFonts w:ascii="Garamond" w:eastAsia="Garamond" w:hAnsi="Garamond"/>
          <w:color w:val="000000"/>
        </w:rPr>
        <w:t>.</w:t>
      </w:r>
      <w:r w:rsidRPr="00166DB1">
        <w:rPr>
          <w:rFonts w:ascii="Garamond" w:eastAsia="Garamond" w:hAnsi="Garamond"/>
          <w:noProof/>
          <w:color w:val="000000"/>
        </w:rPr>
        <w:t>1</w:t>
      </w:r>
      <w:r w:rsidRPr="00166DB1">
        <w:rPr>
          <w:rFonts w:ascii="Garamond" w:eastAsia="Garamond" w:hAnsi="Garamond"/>
          <w:color w:val="000000"/>
        </w:rPr>
        <w:fldChar w:fldCharType="end"/>
      </w:r>
      <w:r w:rsidRPr="00166DB1">
        <w:rPr>
          <w:rFonts w:ascii="Garamond" w:eastAsia="Garamond" w:hAnsi="Garamond"/>
          <w:color w:val="000000"/>
        </w:rPr>
        <w:t xml:space="preserve"> shows their limitation; </w:t>
      </w:r>
      <w:r w:rsidRPr="00166DB1">
        <w:rPr>
          <w:rFonts w:ascii="Garamond" w:eastAsia="Garamond" w:hAnsi="Garamond"/>
          <w:b/>
          <w:color w:val="000000"/>
        </w:rPr>
        <w:t xml:space="preserve">they are specific as to </w:t>
      </w:r>
      <w:r w:rsidRPr="00166DB1">
        <w:rPr>
          <w:rFonts w:ascii="Garamond" w:eastAsia="Garamond" w:hAnsi="Garamond"/>
          <w:color w:val="000000"/>
        </w:rPr>
        <w:t>‘</w:t>
      </w:r>
      <w:r w:rsidRPr="00166DB1">
        <w:rPr>
          <w:rFonts w:ascii="Garamond" w:eastAsia="Garamond" w:hAnsi="Garamond"/>
          <w:b/>
          <w:color w:val="000000"/>
        </w:rPr>
        <w:t>who’ is being targeted</w:t>
      </w:r>
      <w:r w:rsidRPr="00166DB1">
        <w:rPr>
          <w:rFonts w:ascii="Garamond" w:eastAsia="Garamond" w:hAnsi="Garamond"/>
          <w:color w:val="000000"/>
        </w:rPr>
        <w:t xml:space="preserve"> – generally a mixture of undergraduate students, and practising community pharmacists, and ‘</w:t>
      </w:r>
      <w:r w:rsidRPr="00166DB1">
        <w:rPr>
          <w:rFonts w:ascii="Garamond" w:eastAsia="Garamond" w:hAnsi="Garamond"/>
          <w:b/>
          <w:color w:val="000000"/>
        </w:rPr>
        <w:t>where’</w:t>
      </w:r>
      <w:r w:rsidRPr="00166DB1">
        <w:rPr>
          <w:rFonts w:ascii="Garamond" w:eastAsia="Garamond" w:hAnsi="Garamond"/>
          <w:color w:val="000000"/>
        </w:rPr>
        <w:t xml:space="preserve"> – the majority target rural and remote communities (generally defined as PhARIA 2 and above locations), but </w:t>
      </w:r>
      <w:r w:rsidRPr="00166DB1">
        <w:rPr>
          <w:rFonts w:ascii="Garamond" w:eastAsia="Garamond" w:hAnsi="Garamond"/>
          <w:b/>
          <w:color w:val="000000"/>
        </w:rPr>
        <w:t>they provide no statements about ‘why’, measurability</w:t>
      </w:r>
      <w:r w:rsidRPr="00166DB1">
        <w:rPr>
          <w:rFonts w:ascii="Garamond" w:eastAsia="Garamond" w:hAnsi="Garamond"/>
          <w:color w:val="000000"/>
        </w:rPr>
        <w:t xml:space="preserve">, or </w:t>
      </w:r>
      <w:r w:rsidRPr="00166DB1">
        <w:rPr>
          <w:rFonts w:ascii="Garamond" w:eastAsia="Garamond" w:hAnsi="Garamond"/>
          <w:b/>
          <w:color w:val="000000"/>
        </w:rPr>
        <w:t>time-based targets</w:t>
      </w:r>
      <w:r w:rsidRPr="00166DB1">
        <w:rPr>
          <w:rFonts w:ascii="Garamond" w:eastAsia="Garamond" w:hAnsi="Garamond"/>
          <w:color w:val="000000"/>
        </w:rPr>
        <w:t>.</w:t>
      </w:r>
    </w:p>
    <w:p w14:paraId="515F9F63" w14:textId="77777777" w:rsidR="00166DB1" w:rsidRPr="00166DB1" w:rsidRDefault="00166DB1" w:rsidP="0086316D">
      <w:pPr>
        <w:pStyle w:val="KeyFinding"/>
        <w:shd w:val="clear" w:color="auto" w:fill="F2F2F2" w:themeFill="background1" w:themeFillShade="F2"/>
      </w:pPr>
      <w:bookmarkStart w:id="19" w:name="_Ref490676614"/>
      <w:r w:rsidRPr="00166DB1">
        <w:t>If it is decided to continue with the Pharmacy Workforce Programs, in future there should be a clearer specification of their objectives, including a clear statement of why the programs are being implemented, what they are expected to realise over the life of a Community Pharmacy Agreement, and the target activity level they aim to realise.</w:t>
      </w:r>
      <w:bookmarkEnd w:id="19"/>
    </w:p>
    <w:p w14:paraId="5C72781F" w14:textId="77777777" w:rsidR="00166DB1" w:rsidRPr="00166DB1" w:rsidRDefault="00166DB1" w:rsidP="00B24642">
      <w:pPr>
        <w:pStyle w:val="Heading2"/>
      </w:pPr>
      <w:bookmarkStart w:id="20" w:name="_Toc523322042"/>
      <w:r w:rsidRPr="00166DB1">
        <w:lastRenderedPageBreak/>
        <w:t>Program Categorisation for evaluation purposes</w:t>
      </w:r>
      <w:bookmarkEnd w:id="20"/>
    </w:p>
    <w:p w14:paraId="2E773154" w14:textId="77777777" w:rsidR="00166DB1" w:rsidRPr="00166DB1" w:rsidRDefault="00166DB1" w:rsidP="00166DB1">
      <w:pPr>
        <w:spacing w:before="85" w:after="85"/>
        <w:rPr>
          <w:rFonts w:ascii="Garamond" w:eastAsia="Times New Roman" w:hAnsi="Garamond"/>
          <w:color w:val="000000"/>
        </w:rPr>
      </w:pPr>
      <w:bookmarkStart w:id="21" w:name="_Ref488145020"/>
      <w:r w:rsidRPr="00166DB1">
        <w:rPr>
          <w:rFonts w:ascii="Garamond" w:eastAsia="Times New Roman" w:hAnsi="Garamond"/>
          <w:color w:val="000000"/>
        </w:rPr>
        <w:t xml:space="preserve">In the absence of clearly defined program objectives, and to assist with the evaluation, HMA categorised the ten Rural Workforce Package component programs and the two Aboriginal and Torres Strait Islander Workforce Package component programs into four groups with similar characteristics. </w:t>
      </w:r>
      <w:r w:rsidRPr="00166DB1">
        <w:rPr>
          <w:rFonts w:ascii="Garamond" w:eastAsia="Times New Roman" w:hAnsi="Garamond"/>
          <w:color w:val="000000"/>
        </w:rPr>
        <w:fldChar w:fldCharType="begin"/>
      </w:r>
      <w:r w:rsidRPr="00166DB1">
        <w:rPr>
          <w:rFonts w:ascii="Garamond" w:eastAsia="Times New Roman" w:hAnsi="Garamond"/>
          <w:color w:val="000000"/>
        </w:rPr>
        <w:instrText xml:space="preserve"> REF _Ref488249460 \h  \* MERGEFORMAT </w:instrText>
      </w:r>
      <w:r w:rsidRPr="00166DB1">
        <w:rPr>
          <w:rFonts w:ascii="Garamond" w:eastAsia="Times New Roman" w:hAnsi="Garamond"/>
          <w:color w:val="000000"/>
        </w:rPr>
      </w:r>
      <w:r w:rsidRPr="00166DB1">
        <w:rPr>
          <w:rFonts w:ascii="Garamond" w:eastAsia="Times New Roman" w:hAnsi="Garamond"/>
          <w:color w:val="000000"/>
        </w:rPr>
        <w:fldChar w:fldCharType="separate"/>
      </w:r>
      <w:r w:rsidRPr="00166DB1">
        <w:rPr>
          <w:rFonts w:ascii="Garamond" w:eastAsia="Garamond" w:hAnsi="Garamond"/>
          <w:color w:val="000000"/>
        </w:rPr>
        <w:t xml:space="preserve">Figure </w:t>
      </w:r>
      <w:r w:rsidRPr="00166DB1">
        <w:rPr>
          <w:rFonts w:ascii="Garamond" w:eastAsia="Garamond" w:hAnsi="Garamond"/>
          <w:noProof/>
          <w:color w:val="000000"/>
        </w:rPr>
        <w:t>2.1</w:t>
      </w:r>
      <w:r w:rsidRPr="00166DB1">
        <w:rPr>
          <w:rFonts w:ascii="Garamond" w:eastAsia="Times New Roman" w:hAnsi="Garamond"/>
          <w:color w:val="000000"/>
        </w:rPr>
        <w:fldChar w:fldCharType="end"/>
      </w:r>
      <w:r w:rsidRPr="00166DB1">
        <w:rPr>
          <w:rFonts w:ascii="Garamond" w:eastAsia="Times New Roman" w:hAnsi="Garamond"/>
          <w:color w:val="000000"/>
        </w:rPr>
        <w:t xml:space="preserve"> </w:t>
      </w:r>
      <w:r w:rsidRPr="00166DB1">
        <w:rPr>
          <w:rFonts w:ascii="Garamond" w:eastAsia="Garamond" w:hAnsi="Garamond"/>
          <w:color w:val="000000"/>
        </w:rPr>
        <w:t>ill</w:t>
      </w:r>
      <w:r w:rsidRPr="00166DB1">
        <w:rPr>
          <w:rFonts w:ascii="Garamond" w:eastAsia="Times New Roman" w:hAnsi="Garamond"/>
          <w:color w:val="000000"/>
        </w:rPr>
        <w:t xml:space="preserve">ustrates the allocation of each program by the common characteristic of what they are seeking to realise. These categories are: </w:t>
      </w:r>
    </w:p>
    <w:p w14:paraId="2DAC24DB" w14:textId="77777777" w:rsidR="00166DB1" w:rsidRPr="0086316D" w:rsidRDefault="00166DB1" w:rsidP="009F66FB">
      <w:pPr>
        <w:pStyle w:val="Numbers1"/>
        <w:numPr>
          <w:ilvl w:val="0"/>
          <w:numId w:val="16"/>
        </w:numPr>
      </w:pPr>
      <w:r w:rsidRPr="0086316D">
        <w:rPr>
          <w:b/>
        </w:rPr>
        <w:t>Workforce recruitment programs:</w:t>
      </w:r>
      <w:r w:rsidRPr="0086316D">
        <w:t xml:space="preserve"> supporting the recruitment of new pharmacists into the rural workforce through programs targeting students and interns.</w:t>
      </w:r>
    </w:p>
    <w:p w14:paraId="400EA805" w14:textId="77777777" w:rsidR="00166DB1" w:rsidRPr="00166DB1" w:rsidRDefault="00166DB1" w:rsidP="0086316D">
      <w:pPr>
        <w:pStyle w:val="Numbers1"/>
      </w:pPr>
      <w:r w:rsidRPr="00166DB1">
        <w:rPr>
          <w:b/>
        </w:rPr>
        <w:t>Workforce retention programs:</w:t>
      </w:r>
      <w:r w:rsidRPr="00166DB1">
        <w:t xml:space="preserve"> supporting the retention of existing rural pharmacists.</w:t>
      </w:r>
    </w:p>
    <w:p w14:paraId="0D50A614" w14:textId="77777777" w:rsidR="00166DB1" w:rsidRPr="00166DB1" w:rsidRDefault="00166DB1" w:rsidP="0086316D">
      <w:pPr>
        <w:pStyle w:val="Numbers1"/>
      </w:pPr>
      <w:r w:rsidRPr="00166DB1">
        <w:rPr>
          <w:b/>
        </w:rPr>
        <w:t>Other workforce support programs:</w:t>
      </w:r>
      <w:r w:rsidRPr="00166DB1">
        <w:t xml:space="preserve"> providing support to the broader rural pharmacy workforce including students, pharmacy schools and practising pharmacists, delivered via funding available to twelve University Departments of Rural Health (UDRH), and Pharmacy Schools.</w:t>
      </w:r>
    </w:p>
    <w:p w14:paraId="6A001412" w14:textId="77777777" w:rsidR="00166DB1" w:rsidRPr="00166DB1" w:rsidRDefault="00166DB1" w:rsidP="0086316D">
      <w:pPr>
        <w:pStyle w:val="Numbers1"/>
      </w:pPr>
      <w:r w:rsidRPr="00166DB1">
        <w:rPr>
          <w:b/>
        </w:rPr>
        <w:t>Enhancing availability of culturally appropriate services:</w:t>
      </w:r>
      <w:r w:rsidRPr="00166DB1">
        <w:t xml:space="preserve"> improving access to culturally appropriate pharmacy services by increasing the number of Aboriginal and Torres Strait Islander people within the pharmacy workforce.</w:t>
      </w:r>
      <w:r w:rsidRPr="00166DB1">
        <w:rPr>
          <w:i/>
        </w:rPr>
        <w:t xml:space="preserve"> </w:t>
      </w:r>
    </w:p>
    <w:p w14:paraId="200EE955" w14:textId="77777777" w:rsidR="00166DB1" w:rsidRPr="00166DB1" w:rsidRDefault="00166DB1" w:rsidP="00483C21">
      <w:pPr>
        <w:pStyle w:val="Caption"/>
      </w:pPr>
      <w:bookmarkStart w:id="22" w:name="_Ref488249460"/>
      <w:bookmarkEnd w:id="21"/>
      <w:r w:rsidRPr="00166DB1">
        <w:t xml:space="preserve">Figure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2</w:t>
      </w:r>
      <w:r w:rsidRPr="00166DB1">
        <w:rPr>
          <w:noProof/>
        </w:rPr>
        <w:fldChar w:fldCharType="end"/>
      </w:r>
      <w:r w:rsidRPr="00166DB1">
        <w:t>.</w:t>
      </w:r>
      <w:r w:rsidRPr="00166DB1">
        <w:rPr>
          <w:noProof/>
        </w:rPr>
        <w:fldChar w:fldCharType="begin"/>
      </w:r>
      <w:r w:rsidRPr="00166DB1">
        <w:rPr>
          <w:noProof/>
        </w:rPr>
        <w:instrText xml:space="preserve"> SEQ Figure \* ARABIC \s 1 </w:instrText>
      </w:r>
      <w:r w:rsidRPr="00166DB1">
        <w:rPr>
          <w:noProof/>
        </w:rPr>
        <w:fldChar w:fldCharType="separate"/>
      </w:r>
      <w:r w:rsidRPr="00166DB1">
        <w:rPr>
          <w:noProof/>
        </w:rPr>
        <w:t>1</w:t>
      </w:r>
      <w:r w:rsidRPr="00166DB1">
        <w:rPr>
          <w:noProof/>
        </w:rPr>
        <w:fldChar w:fldCharType="end"/>
      </w:r>
      <w:bookmarkEnd w:id="22"/>
      <w:r w:rsidRPr="00166DB1">
        <w:t xml:space="preserve">: Pharmacy Workforce Package, grouped by characteristics </w:t>
      </w:r>
    </w:p>
    <w:p w14:paraId="771A1FD7" w14:textId="77777777" w:rsidR="00166DB1" w:rsidRPr="00166DB1" w:rsidRDefault="00166DB1" w:rsidP="00166DB1">
      <w:pPr>
        <w:spacing w:before="85" w:after="85"/>
        <w:rPr>
          <w:rFonts w:ascii="Garamond" w:eastAsia="Times New Roman" w:hAnsi="Garamond"/>
          <w:color w:val="000000"/>
        </w:rPr>
      </w:pPr>
      <w:r w:rsidRPr="00166DB1">
        <w:rPr>
          <w:rFonts w:ascii="Garamond" w:eastAsia="Times New Roman" w:hAnsi="Garamond"/>
          <w:noProof/>
          <w:color w:val="000000"/>
          <w:lang w:eastAsia="en-AU"/>
        </w:rPr>
        <w:drawing>
          <wp:inline distT="0" distB="0" distL="0" distR="0" wp14:anchorId="5760F31E" wp14:editId="3D5BA6B5">
            <wp:extent cx="4466328" cy="2059353"/>
            <wp:effectExtent l="0" t="0" r="0" b="0"/>
            <wp:docPr id="82" name="Picture 82" descr="Table of pharmacy workforce programs, including recruitment, retention, workforce support and culturally appropriate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4134" cy="2062952"/>
                    </a:xfrm>
                    <a:prstGeom prst="rect">
                      <a:avLst/>
                    </a:prstGeom>
                    <a:noFill/>
                  </pic:spPr>
                </pic:pic>
              </a:graphicData>
            </a:graphic>
          </wp:inline>
        </w:drawing>
      </w:r>
    </w:p>
    <w:p w14:paraId="404483A0" w14:textId="77777777" w:rsidR="00166DB1" w:rsidRPr="00166DB1" w:rsidRDefault="00166DB1" w:rsidP="00B24642">
      <w:pPr>
        <w:pStyle w:val="Heading2"/>
      </w:pPr>
      <w:bookmarkStart w:id="23" w:name="_Ref492988637"/>
      <w:bookmarkStart w:id="24" w:name="_Toc523322043"/>
      <w:r w:rsidRPr="00166DB1">
        <w:t>Expenditure and activity by Program: summary</w:t>
      </w:r>
      <w:bookmarkEnd w:id="23"/>
      <w:bookmarkEnd w:id="24"/>
    </w:p>
    <w:p w14:paraId="1F7A692B"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fldChar w:fldCharType="begin"/>
      </w:r>
      <w:r w:rsidRPr="00166DB1">
        <w:rPr>
          <w:rFonts w:ascii="Garamond" w:eastAsia="Garamond" w:hAnsi="Garamond"/>
          <w:color w:val="000000"/>
        </w:rPr>
        <w:instrText xml:space="preserve"> REF _Ref490549493 \h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 xml:space="preserve">Table </w:t>
      </w:r>
      <w:r w:rsidRPr="00166DB1">
        <w:rPr>
          <w:rFonts w:ascii="Garamond" w:eastAsia="Garamond" w:hAnsi="Garamond"/>
          <w:noProof/>
          <w:color w:val="000000"/>
        </w:rPr>
        <w:t>2</w:t>
      </w:r>
      <w:r w:rsidRPr="00166DB1">
        <w:rPr>
          <w:rFonts w:ascii="Garamond" w:eastAsia="Garamond" w:hAnsi="Garamond"/>
          <w:color w:val="000000"/>
        </w:rPr>
        <w:t>.</w:t>
      </w:r>
      <w:r w:rsidRPr="00166DB1">
        <w:rPr>
          <w:rFonts w:ascii="Garamond" w:eastAsia="Garamond" w:hAnsi="Garamond"/>
          <w:noProof/>
          <w:color w:val="000000"/>
        </w:rPr>
        <w:t>2</w:t>
      </w:r>
      <w:r w:rsidRPr="00166DB1">
        <w:rPr>
          <w:rFonts w:ascii="Garamond" w:eastAsia="Garamond" w:hAnsi="Garamond"/>
          <w:color w:val="000000"/>
        </w:rPr>
        <w:fldChar w:fldCharType="end"/>
      </w:r>
      <w:r w:rsidRPr="00166DB1">
        <w:rPr>
          <w:rFonts w:ascii="Garamond" w:eastAsia="Garamond" w:hAnsi="Garamond"/>
          <w:color w:val="000000"/>
        </w:rPr>
        <w:t xml:space="preserve"> summarises the estimated average annual expenditure for 2013–14 and 2014–15 by program and program category. It also gives the activity levels by program. The table shows that the individual programs are quite small, when measured in terms of both expenditure and activity levels. The table also shows the split of resources across the four categories of program, based on averaged 2013–14 and 2014–15 expenditure, as follows:</w:t>
      </w:r>
    </w:p>
    <w:p w14:paraId="36215A82" w14:textId="77777777" w:rsidR="00166DB1" w:rsidRPr="00166DB1" w:rsidRDefault="00166DB1" w:rsidP="009F66FB">
      <w:pPr>
        <w:numPr>
          <w:ilvl w:val="0"/>
          <w:numId w:val="3"/>
        </w:numPr>
        <w:spacing w:before="20" w:after="20"/>
        <w:rPr>
          <w:rFonts w:ascii="Garamond" w:eastAsia="Times New Roman" w:hAnsi="Garamond"/>
          <w:color w:val="000000"/>
        </w:rPr>
      </w:pPr>
      <w:r w:rsidRPr="00166DB1">
        <w:rPr>
          <w:rFonts w:ascii="Garamond" w:eastAsia="Times New Roman" w:hAnsi="Garamond"/>
          <w:b/>
          <w:color w:val="000000"/>
        </w:rPr>
        <w:t>Workforce recruitment programs:</w:t>
      </w:r>
      <w:r w:rsidRPr="00166DB1">
        <w:rPr>
          <w:rFonts w:ascii="Garamond" w:eastAsia="Times New Roman" w:hAnsi="Garamond"/>
          <w:color w:val="000000"/>
        </w:rPr>
        <w:t xml:space="preserve"> an average of </w:t>
      </w:r>
      <w:r w:rsidRPr="00166DB1">
        <w:rPr>
          <w:rFonts w:ascii="Times New Roman" w:eastAsia="Times New Roman" w:hAnsi="Times New Roman"/>
          <w:color w:val="000000"/>
        </w:rPr>
        <w:t>$</w:t>
      </w:r>
      <w:r w:rsidRPr="00166DB1">
        <w:rPr>
          <w:rFonts w:ascii="Garamond" w:eastAsia="Times New Roman" w:hAnsi="Garamond"/>
          <w:color w:val="000000"/>
        </w:rPr>
        <w:t>1.76m per annum or 38% of Pharmacy Workforce Expenditure (averaged across 2013–14 and 2014–15)</w:t>
      </w:r>
    </w:p>
    <w:p w14:paraId="3899F66F" w14:textId="77777777" w:rsidR="00166DB1" w:rsidRPr="00166DB1" w:rsidRDefault="00166DB1" w:rsidP="009F66FB">
      <w:pPr>
        <w:numPr>
          <w:ilvl w:val="0"/>
          <w:numId w:val="3"/>
        </w:numPr>
        <w:spacing w:before="20" w:after="20"/>
        <w:rPr>
          <w:rFonts w:ascii="Garamond" w:eastAsia="Times New Roman" w:hAnsi="Garamond"/>
          <w:color w:val="000000"/>
        </w:rPr>
      </w:pPr>
      <w:r w:rsidRPr="00166DB1">
        <w:rPr>
          <w:rFonts w:ascii="Garamond" w:eastAsia="Times New Roman" w:hAnsi="Garamond"/>
          <w:b/>
          <w:color w:val="000000"/>
        </w:rPr>
        <w:t>Workforce retention programs:</w:t>
      </w:r>
      <w:r w:rsidRPr="00166DB1">
        <w:rPr>
          <w:rFonts w:ascii="Garamond" w:eastAsia="Times New Roman" w:hAnsi="Garamond"/>
          <w:color w:val="000000"/>
        </w:rPr>
        <w:t xml:space="preserve"> an average of </w:t>
      </w:r>
      <w:r w:rsidRPr="00166DB1">
        <w:rPr>
          <w:rFonts w:ascii="Times New Roman" w:eastAsia="Times New Roman" w:hAnsi="Times New Roman"/>
          <w:color w:val="000000"/>
        </w:rPr>
        <w:t>$</w:t>
      </w:r>
      <w:r w:rsidRPr="00166DB1">
        <w:rPr>
          <w:rFonts w:ascii="Garamond" w:eastAsia="Times New Roman" w:hAnsi="Garamond"/>
          <w:color w:val="000000"/>
        </w:rPr>
        <w:t>1.32m per annum or 28% of expenditure</w:t>
      </w:r>
    </w:p>
    <w:p w14:paraId="058FC590" w14:textId="77777777" w:rsidR="00166DB1" w:rsidRPr="00166DB1" w:rsidRDefault="00166DB1" w:rsidP="009F66FB">
      <w:pPr>
        <w:numPr>
          <w:ilvl w:val="0"/>
          <w:numId w:val="3"/>
        </w:numPr>
        <w:spacing w:before="20" w:after="20"/>
        <w:rPr>
          <w:rFonts w:ascii="Garamond" w:eastAsia="Times New Roman" w:hAnsi="Garamond"/>
          <w:color w:val="000000"/>
        </w:rPr>
      </w:pPr>
      <w:r w:rsidRPr="00166DB1">
        <w:rPr>
          <w:rFonts w:ascii="Garamond" w:eastAsia="Times New Roman" w:hAnsi="Garamond"/>
          <w:b/>
          <w:color w:val="000000"/>
        </w:rPr>
        <w:t>Other workforce support programs:</w:t>
      </w:r>
      <w:r w:rsidRPr="00166DB1">
        <w:rPr>
          <w:rFonts w:ascii="Garamond" w:eastAsia="Times New Roman" w:hAnsi="Garamond"/>
          <w:color w:val="000000"/>
        </w:rPr>
        <w:t xml:space="preserve"> an average of </w:t>
      </w:r>
      <w:r w:rsidRPr="00166DB1">
        <w:rPr>
          <w:rFonts w:ascii="Times New Roman" w:eastAsia="Times New Roman" w:hAnsi="Times New Roman"/>
          <w:color w:val="000000"/>
        </w:rPr>
        <w:t>$</w:t>
      </w:r>
      <w:r w:rsidRPr="00166DB1">
        <w:rPr>
          <w:rFonts w:ascii="Garamond" w:eastAsia="Times New Roman" w:hAnsi="Garamond"/>
          <w:color w:val="000000"/>
        </w:rPr>
        <w:t xml:space="preserve">1.36m per annum or 29% of expenditure, and </w:t>
      </w:r>
    </w:p>
    <w:p w14:paraId="779AD27E" w14:textId="77777777" w:rsidR="00166DB1" w:rsidRPr="00166DB1" w:rsidRDefault="00166DB1" w:rsidP="009F66FB">
      <w:pPr>
        <w:numPr>
          <w:ilvl w:val="0"/>
          <w:numId w:val="2"/>
        </w:numPr>
        <w:spacing w:before="20" w:after="20"/>
        <w:rPr>
          <w:rFonts w:ascii="Garamond" w:eastAsia="Times New Roman" w:hAnsi="Garamond"/>
          <w:color w:val="000000"/>
        </w:rPr>
      </w:pPr>
      <w:r w:rsidRPr="00166DB1">
        <w:rPr>
          <w:rFonts w:ascii="Garamond" w:eastAsia="Times New Roman" w:hAnsi="Garamond"/>
          <w:b/>
          <w:color w:val="000000"/>
        </w:rPr>
        <w:t>Enhancing availability of culturally appropriate services:</w:t>
      </w:r>
      <w:r w:rsidRPr="00166DB1">
        <w:rPr>
          <w:rFonts w:ascii="Garamond" w:eastAsia="Times New Roman" w:hAnsi="Garamond"/>
          <w:color w:val="000000"/>
        </w:rPr>
        <w:t xml:space="preserve"> an average of </w:t>
      </w:r>
      <w:r w:rsidRPr="00166DB1">
        <w:rPr>
          <w:rFonts w:ascii="Times New Roman" w:eastAsia="Times New Roman" w:hAnsi="Times New Roman"/>
          <w:color w:val="000000"/>
        </w:rPr>
        <w:t>$</w:t>
      </w:r>
      <w:r w:rsidRPr="00166DB1">
        <w:rPr>
          <w:rFonts w:ascii="Garamond" w:eastAsia="Times New Roman" w:hAnsi="Garamond"/>
          <w:color w:val="000000"/>
        </w:rPr>
        <w:t>0.23 m per annum or 5% of expenditure.</w:t>
      </w:r>
    </w:p>
    <w:p w14:paraId="098A19EC" w14:textId="77777777" w:rsidR="00166DB1" w:rsidRPr="00166DB1" w:rsidRDefault="00166DB1" w:rsidP="00166DB1">
      <w:pPr>
        <w:spacing w:before="85" w:after="85"/>
        <w:rPr>
          <w:rFonts w:ascii="Garamond" w:eastAsia="Garamond" w:hAnsi="Garamond"/>
          <w:color w:val="000000"/>
        </w:rPr>
        <w:sectPr w:rsidR="00166DB1" w:rsidRPr="00166DB1" w:rsidSect="00512879">
          <w:type w:val="continuous"/>
          <w:pgSz w:w="16839" w:h="11907" w:orient="landscape" w:code="9"/>
          <w:pgMar w:top="2268" w:right="1304" w:bottom="850" w:left="737" w:header="567" w:footer="284" w:gutter="0"/>
          <w:cols w:num="2" w:space="709"/>
          <w:docGrid w:linePitch="360"/>
        </w:sectPr>
      </w:pPr>
    </w:p>
    <w:p w14:paraId="121126D0" w14:textId="77777777" w:rsidR="00166DB1" w:rsidRPr="00166DB1" w:rsidRDefault="00166DB1" w:rsidP="00483C21">
      <w:pPr>
        <w:pStyle w:val="Caption"/>
      </w:pPr>
      <w:bookmarkStart w:id="25" w:name="_Ref490549493"/>
      <w:r w:rsidRPr="00166DB1">
        <w:lastRenderedPageBreak/>
        <w:t xml:space="preserve">Table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2</w:t>
      </w:r>
      <w:r w:rsidRPr="00166DB1">
        <w:rPr>
          <w:noProof/>
        </w:rPr>
        <w:fldChar w:fldCharType="end"/>
      </w:r>
      <w:r w:rsidRPr="00166DB1">
        <w:t>.</w:t>
      </w:r>
      <w:r w:rsidRPr="00166DB1">
        <w:rPr>
          <w:noProof/>
        </w:rPr>
        <w:fldChar w:fldCharType="begin"/>
      </w:r>
      <w:r w:rsidRPr="00166DB1">
        <w:rPr>
          <w:noProof/>
        </w:rPr>
        <w:instrText xml:space="preserve"> SEQ Table \* ARABIC \s 1 </w:instrText>
      </w:r>
      <w:r w:rsidRPr="00166DB1">
        <w:rPr>
          <w:noProof/>
        </w:rPr>
        <w:fldChar w:fldCharType="separate"/>
      </w:r>
      <w:r w:rsidRPr="00166DB1">
        <w:rPr>
          <w:noProof/>
        </w:rPr>
        <w:t>2</w:t>
      </w:r>
      <w:r w:rsidRPr="00166DB1">
        <w:rPr>
          <w:noProof/>
        </w:rPr>
        <w:fldChar w:fldCharType="end"/>
      </w:r>
      <w:bookmarkEnd w:id="25"/>
      <w:r w:rsidRPr="00166DB1">
        <w:t>: Average Annual Expenditure (across 2013–2015) and Activity Levels by Pharmacy Workforce Program</w:t>
      </w:r>
    </w:p>
    <w:tbl>
      <w:tblPr>
        <w:tblStyle w:val="HMATable"/>
        <w:tblW w:w="4977" w:type="pct"/>
        <w:jc w:val="center"/>
        <w:tblLook w:val="04A0" w:firstRow="1" w:lastRow="0" w:firstColumn="1" w:lastColumn="0" w:noHBand="0" w:noVBand="1"/>
        <w:tblCaption w:val="Table 2.2: Average Annual Expenditure (across 2013-2015) and Activity Levels by Pharmacy Workforce Program"/>
        <w:tblDescription w:val="Table 2.2: Average Annual Expenditure (across 2013-2015) and Activity Levels by Pharmacy Workforce Program. Table includes Package component, Estimated Annual Expenditure $m (averaged across&#10; 2013–2015), Proportion of program as part of overall package, Measure of activity, and 2015–16 Activity (b)&#10;"/>
      </w:tblPr>
      <w:tblGrid>
        <w:gridCol w:w="5523"/>
        <w:gridCol w:w="2158"/>
        <w:gridCol w:w="1811"/>
        <w:gridCol w:w="3394"/>
        <w:gridCol w:w="1834"/>
      </w:tblGrid>
      <w:tr w:rsidR="001C5BAE" w14:paraId="6D7BAC76" w14:textId="77777777" w:rsidTr="00133610">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876" w:type="pct"/>
            <w:tcBorders>
              <w:bottom w:val="single" w:sz="4" w:space="0" w:color="auto"/>
            </w:tcBorders>
            <w:shd w:val="clear" w:color="auto" w:fill="D9D9D9" w:themeFill="background1" w:themeFillShade="D9"/>
          </w:tcPr>
          <w:p w14:paraId="1D4CC278" w14:textId="55AC3FC2" w:rsidR="001C5BAE" w:rsidRDefault="00B402F5" w:rsidP="0006633E">
            <w:pPr>
              <w:pStyle w:val="TableColumnHeading"/>
              <w:keepNext w:val="0"/>
            </w:pPr>
            <w:bookmarkStart w:id="26" w:name="_Hlk522801714"/>
            <w:r>
              <w:t>Package component</w:t>
            </w:r>
          </w:p>
        </w:tc>
        <w:tc>
          <w:tcPr>
            <w:tcW w:w="733" w:type="pct"/>
            <w:tcBorders>
              <w:bottom w:val="single" w:sz="4" w:space="0" w:color="auto"/>
            </w:tcBorders>
            <w:shd w:val="clear" w:color="auto" w:fill="D9D9D9" w:themeFill="background1" w:themeFillShade="D9"/>
          </w:tcPr>
          <w:p w14:paraId="62FF80F8" w14:textId="42ADA9AF" w:rsidR="00B402F5" w:rsidRDefault="00B402F5" w:rsidP="00B402F5">
            <w:pPr>
              <w:pStyle w:val="TableColumnHeading"/>
              <w:keepNext w:val="0"/>
              <w:jc w:val="center"/>
              <w:cnfStyle w:val="100000000000" w:firstRow="1" w:lastRow="0" w:firstColumn="0" w:lastColumn="0" w:oddVBand="0" w:evenVBand="0" w:oddHBand="0" w:evenHBand="0" w:firstRowFirstColumn="0" w:firstRowLastColumn="0" w:lastRowFirstColumn="0" w:lastRowLastColumn="0"/>
            </w:pPr>
            <w:r>
              <w:t>Estimated Annual Expenditure $m,</w:t>
            </w:r>
          </w:p>
          <w:p w14:paraId="24CD42B2" w14:textId="7F038E32" w:rsidR="001C5BAE" w:rsidRDefault="00B402F5" w:rsidP="00B402F5">
            <w:pPr>
              <w:pStyle w:val="TableColumnHeading"/>
              <w:keepNext w:val="0"/>
              <w:jc w:val="center"/>
              <w:cnfStyle w:val="100000000000" w:firstRow="1" w:lastRow="0" w:firstColumn="0" w:lastColumn="0" w:oddVBand="0" w:evenVBand="0" w:oddHBand="0" w:evenHBand="0" w:firstRowFirstColumn="0" w:firstRowLastColumn="0" w:lastRowFirstColumn="0" w:lastRowLastColumn="0"/>
            </w:pPr>
            <w:r w:rsidRPr="009C1D17">
              <w:t>(av</w:t>
            </w:r>
            <w:r>
              <w:t>eraged</w:t>
            </w:r>
            <w:r w:rsidRPr="009C1D17">
              <w:t xml:space="preserve"> across</w:t>
            </w:r>
            <w:r>
              <w:br/>
            </w:r>
            <w:r w:rsidRPr="009C1D17">
              <w:t xml:space="preserve"> 2013</w:t>
            </w:r>
            <w:r>
              <w:t>–</w:t>
            </w:r>
            <w:r w:rsidRPr="009C1D17">
              <w:t>2015)</w:t>
            </w:r>
          </w:p>
        </w:tc>
        <w:tc>
          <w:tcPr>
            <w:tcW w:w="615" w:type="pct"/>
            <w:tcBorders>
              <w:bottom w:val="single" w:sz="4" w:space="0" w:color="auto"/>
            </w:tcBorders>
            <w:shd w:val="clear" w:color="auto" w:fill="D9D9D9" w:themeFill="background1" w:themeFillShade="D9"/>
          </w:tcPr>
          <w:p w14:paraId="71847CFB" w14:textId="5A81DAA4" w:rsidR="001C5BAE" w:rsidRDefault="00B402F5" w:rsidP="00B402F5">
            <w:pPr>
              <w:pStyle w:val="TableColumnHeading"/>
              <w:keepNext w:val="0"/>
              <w:jc w:val="center"/>
              <w:cnfStyle w:val="100000000000" w:firstRow="1" w:lastRow="0" w:firstColumn="0" w:lastColumn="0" w:oddVBand="0" w:evenVBand="0" w:oddHBand="0" w:evenHBand="0" w:firstRowFirstColumn="0" w:firstRowLastColumn="0" w:lastRowFirstColumn="0" w:lastRowLastColumn="0"/>
            </w:pPr>
            <w:r>
              <w:t>Proportion of program as part of overall package</w:t>
            </w:r>
          </w:p>
        </w:tc>
        <w:tc>
          <w:tcPr>
            <w:tcW w:w="1153" w:type="pct"/>
            <w:tcBorders>
              <w:bottom w:val="single" w:sz="4" w:space="0" w:color="auto"/>
            </w:tcBorders>
            <w:shd w:val="clear" w:color="auto" w:fill="D9D9D9" w:themeFill="background1" w:themeFillShade="D9"/>
          </w:tcPr>
          <w:p w14:paraId="02BB8C9E" w14:textId="77777777" w:rsidR="001C5BAE" w:rsidRDefault="001C5BAE" w:rsidP="0006633E">
            <w:pPr>
              <w:pStyle w:val="TableColumnHeading"/>
              <w:keepNext w:val="0"/>
              <w:jc w:val="center"/>
              <w:cnfStyle w:val="100000000000" w:firstRow="1" w:lastRow="0" w:firstColumn="0" w:lastColumn="0" w:oddVBand="0" w:evenVBand="0" w:oddHBand="0" w:evenHBand="0" w:firstRowFirstColumn="0" w:firstRowLastColumn="0" w:lastRowFirstColumn="0" w:lastRowLastColumn="0"/>
            </w:pPr>
            <w:r>
              <w:t>Measure of activity</w:t>
            </w:r>
          </w:p>
        </w:tc>
        <w:tc>
          <w:tcPr>
            <w:tcW w:w="623" w:type="pct"/>
            <w:tcBorders>
              <w:bottom w:val="single" w:sz="4" w:space="0" w:color="auto"/>
            </w:tcBorders>
            <w:shd w:val="clear" w:color="auto" w:fill="D9D9D9" w:themeFill="background1" w:themeFillShade="D9"/>
          </w:tcPr>
          <w:p w14:paraId="700E3E5F" w14:textId="77777777" w:rsidR="001C5BAE" w:rsidRPr="005D7F66" w:rsidRDefault="001C5BAE" w:rsidP="0006633E">
            <w:pPr>
              <w:pStyle w:val="TableColumnHeading"/>
              <w:keepNext w:val="0"/>
              <w:jc w:val="center"/>
              <w:cnfStyle w:val="100000000000" w:firstRow="1" w:lastRow="0" w:firstColumn="0" w:lastColumn="0" w:oddVBand="0" w:evenVBand="0" w:oddHBand="0" w:evenHBand="0" w:firstRowFirstColumn="0" w:firstRowLastColumn="0" w:lastRowFirstColumn="0" w:lastRowLastColumn="0"/>
            </w:pPr>
            <w:r w:rsidRPr="005D7F66">
              <w:t>2015</w:t>
            </w:r>
            <w:r>
              <w:t>–</w:t>
            </w:r>
            <w:r w:rsidRPr="005D7F66">
              <w:t>16</w:t>
            </w:r>
            <w:r>
              <w:t xml:space="preserve"> Activity (b)</w:t>
            </w:r>
          </w:p>
        </w:tc>
      </w:tr>
      <w:tr w:rsidR="00133610" w:rsidRPr="003E51C4" w14:paraId="180F0847" w14:textId="77777777" w:rsidTr="00133610">
        <w:trPr>
          <w:jc w:val="center"/>
        </w:trPr>
        <w:tc>
          <w:tcPr>
            <w:cnfStyle w:val="001000000000" w:firstRow="0" w:lastRow="0" w:firstColumn="1" w:lastColumn="0" w:oddVBand="0" w:evenVBand="0" w:oddHBand="0" w:evenHBand="0" w:firstRowFirstColumn="0" w:firstRowLastColumn="0" w:lastRowFirstColumn="0" w:lastRowLastColumn="0"/>
            <w:tcW w:w="1876" w:type="pct"/>
            <w:tcBorders>
              <w:right w:val="nil"/>
            </w:tcBorders>
            <w:shd w:val="clear" w:color="auto" w:fill="A6A6A6" w:themeFill="background1" w:themeFillShade="A6"/>
          </w:tcPr>
          <w:p w14:paraId="07A13A28" w14:textId="77777777" w:rsidR="00133610" w:rsidRPr="003E51C4" w:rsidRDefault="00133610" w:rsidP="001E4D58">
            <w:pPr>
              <w:pStyle w:val="Tablesubheading1"/>
              <w:rPr>
                <w:b w:val="0"/>
                <w:color w:val="000000" w:themeColor="text1"/>
              </w:rPr>
            </w:pPr>
            <w:r w:rsidRPr="003E51C4">
              <w:rPr>
                <w:color w:val="000000" w:themeColor="text1"/>
              </w:rPr>
              <w:t xml:space="preserve">Rural Workforce Package </w:t>
            </w:r>
          </w:p>
        </w:tc>
        <w:tc>
          <w:tcPr>
            <w:tcW w:w="733" w:type="pct"/>
            <w:tcBorders>
              <w:left w:val="nil"/>
              <w:right w:val="nil"/>
            </w:tcBorders>
            <w:shd w:val="clear" w:color="auto" w:fill="A6A6A6" w:themeFill="background1" w:themeFillShade="A6"/>
          </w:tcPr>
          <w:p w14:paraId="4F40C787" w14:textId="77777777" w:rsidR="00133610" w:rsidRPr="003E51C4" w:rsidRDefault="00133610" w:rsidP="001E4D58">
            <w:pPr>
              <w:pStyle w:val="Tablesubheading1"/>
              <w:cnfStyle w:val="000000000000" w:firstRow="0" w:lastRow="0" w:firstColumn="0" w:lastColumn="0" w:oddVBand="0" w:evenVBand="0" w:oddHBand="0" w:evenHBand="0" w:firstRowFirstColumn="0" w:firstRowLastColumn="0" w:lastRowFirstColumn="0" w:lastRowLastColumn="0"/>
              <w:rPr>
                <w:b/>
                <w:color w:val="000000" w:themeColor="text1"/>
              </w:rPr>
            </w:pPr>
          </w:p>
        </w:tc>
        <w:tc>
          <w:tcPr>
            <w:tcW w:w="615" w:type="pct"/>
            <w:tcBorders>
              <w:left w:val="nil"/>
              <w:right w:val="nil"/>
            </w:tcBorders>
            <w:shd w:val="clear" w:color="auto" w:fill="A6A6A6" w:themeFill="background1" w:themeFillShade="A6"/>
          </w:tcPr>
          <w:p w14:paraId="03336C53" w14:textId="77777777" w:rsidR="00133610" w:rsidRPr="003E51C4" w:rsidRDefault="00133610" w:rsidP="001E4D58">
            <w:pPr>
              <w:pStyle w:val="Tablesubheading1"/>
              <w:cnfStyle w:val="000000000000" w:firstRow="0" w:lastRow="0" w:firstColumn="0" w:lastColumn="0" w:oddVBand="0" w:evenVBand="0" w:oddHBand="0" w:evenHBand="0" w:firstRowFirstColumn="0" w:firstRowLastColumn="0" w:lastRowFirstColumn="0" w:lastRowLastColumn="0"/>
              <w:rPr>
                <w:b/>
                <w:color w:val="000000" w:themeColor="text1"/>
              </w:rPr>
            </w:pPr>
          </w:p>
        </w:tc>
        <w:tc>
          <w:tcPr>
            <w:tcW w:w="1153" w:type="pct"/>
            <w:tcBorders>
              <w:left w:val="nil"/>
              <w:right w:val="nil"/>
            </w:tcBorders>
            <w:shd w:val="clear" w:color="auto" w:fill="A6A6A6" w:themeFill="background1" w:themeFillShade="A6"/>
          </w:tcPr>
          <w:p w14:paraId="66CF5D4E" w14:textId="77777777" w:rsidR="00133610" w:rsidRPr="003E51C4" w:rsidRDefault="00133610" w:rsidP="001E4D58">
            <w:pPr>
              <w:pStyle w:val="Tablesubheading1"/>
              <w:cnfStyle w:val="000000000000" w:firstRow="0" w:lastRow="0" w:firstColumn="0" w:lastColumn="0" w:oddVBand="0" w:evenVBand="0" w:oddHBand="0" w:evenHBand="0" w:firstRowFirstColumn="0" w:firstRowLastColumn="0" w:lastRowFirstColumn="0" w:lastRowLastColumn="0"/>
              <w:rPr>
                <w:b/>
                <w:color w:val="000000" w:themeColor="text1"/>
              </w:rPr>
            </w:pPr>
          </w:p>
        </w:tc>
        <w:tc>
          <w:tcPr>
            <w:tcW w:w="623" w:type="pct"/>
            <w:tcBorders>
              <w:left w:val="nil"/>
            </w:tcBorders>
            <w:shd w:val="clear" w:color="auto" w:fill="A6A6A6" w:themeFill="background1" w:themeFillShade="A6"/>
          </w:tcPr>
          <w:p w14:paraId="3C9415A4" w14:textId="59B81F9A" w:rsidR="00133610" w:rsidRPr="003E51C4" w:rsidRDefault="00133610" w:rsidP="001E4D58">
            <w:pPr>
              <w:pStyle w:val="Tablesubheading1"/>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A0559" w:rsidRPr="001E4D58" w14:paraId="15F3D408" w14:textId="77777777" w:rsidTr="00133610">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13BD3B27" w14:textId="77777777" w:rsidR="001C5BAE" w:rsidRPr="001E4D58" w:rsidRDefault="001C5BAE" w:rsidP="001E4D58">
            <w:pPr>
              <w:pStyle w:val="Tablesubheading2"/>
              <w:rPr>
                <w:b/>
              </w:rPr>
            </w:pPr>
            <w:r w:rsidRPr="001E4D58">
              <w:rPr>
                <w:b/>
              </w:rPr>
              <w:t>Workforce recruitment programs</w:t>
            </w:r>
          </w:p>
        </w:tc>
        <w:tc>
          <w:tcPr>
            <w:tcW w:w="733" w:type="pct"/>
            <w:tcBorders>
              <w:bottom w:val="single" w:sz="4" w:space="0" w:color="auto"/>
            </w:tcBorders>
            <w:shd w:val="clear" w:color="auto" w:fill="F2F2F2" w:themeFill="background1" w:themeFillShade="F2"/>
          </w:tcPr>
          <w:p w14:paraId="5D92F2DA" w14:textId="77777777" w:rsidR="001C5BAE" w:rsidRPr="001E4D58" w:rsidRDefault="001C5BAE" w:rsidP="001E4D58">
            <w:pPr>
              <w:pStyle w:val="Tablesubheading2"/>
              <w:cnfStyle w:val="000000000000" w:firstRow="0" w:lastRow="0" w:firstColumn="0" w:lastColumn="0" w:oddVBand="0" w:evenVBand="0" w:oddHBand="0" w:evenHBand="0" w:firstRowFirstColumn="0" w:firstRowLastColumn="0" w:lastRowFirstColumn="0" w:lastRowLastColumn="0"/>
            </w:pPr>
          </w:p>
        </w:tc>
        <w:tc>
          <w:tcPr>
            <w:tcW w:w="615" w:type="pct"/>
            <w:shd w:val="clear" w:color="auto" w:fill="F2F2F2" w:themeFill="background1" w:themeFillShade="F2"/>
          </w:tcPr>
          <w:p w14:paraId="697B6B10" w14:textId="77777777" w:rsidR="001C5BAE" w:rsidRPr="001E4D58" w:rsidRDefault="001C5BAE" w:rsidP="001E4D58">
            <w:pPr>
              <w:pStyle w:val="Tablesubheading2"/>
              <w:cnfStyle w:val="000000000000" w:firstRow="0" w:lastRow="0" w:firstColumn="0" w:lastColumn="0" w:oddVBand="0" w:evenVBand="0" w:oddHBand="0" w:evenHBand="0" w:firstRowFirstColumn="0" w:firstRowLastColumn="0" w:lastRowFirstColumn="0" w:lastRowLastColumn="0"/>
            </w:pPr>
          </w:p>
        </w:tc>
        <w:tc>
          <w:tcPr>
            <w:tcW w:w="1153" w:type="pct"/>
            <w:shd w:val="clear" w:color="auto" w:fill="F2F2F2" w:themeFill="background1" w:themeFillShade="F2"/>
          </w:tcPr>
          <w:p w14:paraId="3EC724CC" w14:textId="77777777" w:rsidR="001C5BAE" w:rsidRPr="001E4D58" w:rsidRDefault="001C5BAE" w:rsidP="001E4D58">
            <w:pPr>
              <w:pStyle w:val="Tablesubheading2"/>
              <w:cnfStyle w:val="000000000000" w:firstRow="0" w:lastRow="0" w:firstColumn="0" w:lastColumn="0" w:oddVBand="0" w:evenVBand="0" w:oddHBand="0" w:evenHBand="0" w:firstRowFirstColumn="0" w:firstRowLastColumn="0" w:lastRowFirstColumn="0" w:lastRowLastColumn="0"/>
            </w:pPr>
          </w:p>
        </w:tc>
        <w:tc>
          <w:tcPr>
            <w:tcW w:w="623" w:type="pct"/>
            <w:shd w:val="clear" w:color="auto" w:fill="F2F2F2" w:themeFill="background1" w:themeFillShade="F2"/>
          </w:tcPr>
          <w:p w14:paraId="78DB73BB" w14:textId="77777777" w:rsidR="001C5BAE" w:rsidRPr="001E4D58" w:rsidRDefault="001C5BAE" w:rsidP="001E4D58">
            <w:pPr>
              <w:pStyle w:val="Tablesubheading2"/>
              <w:cnfStyle w:val="000000000000" w:firstRow="0" w:lastRow="0" w:firstColumn="0" w:lastColumn="0" w:oddVBand="0" w:evenVBand="0" w:oddHBand="0" w:evenHBand="0" w:firstRowFirstColumn="0" w:firstRowLastColumn="0" w:lastRowFirstColumn="0" w:lastRowLastColumn="0"/>
            </w:pPr>
          </w:p>
        </w:tc>
      </w:tr>
      <w:tr w:rsidR="00AA0559" w14:paraId="509F3BAC" w14:textId="77777777" w:rsidTr="00133610">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4619FD90" w14:textId="77777777" w:rsidR="001C5BAE" w:rsidRPr="005D7F66" w:rsidRDefault="001C5BAE" w:rsidP="0006633E">
            <w:pPr>
              <w:pStyle w:val="TableCopy"/>
              <w:rPr>
                <w:b w:val="0"/>
              </w:rPr>
            </w:pPr>
            <w:r w:rsidRPr="005D7F66">
              <w:rPr>
                <w:b w:val="0"/>
              </w:rPr>
              <w:t>Rural Pharmacy Scholarship Scheme</w:t>
            </w:r>
          </w:p>
        </w:tc>
        <w:tc>
          <w:tcPr>
            <w:tcW w:w="733" w:type="pct"/>
            <w:tcBorders>
              <w:bottom w:val="nil"/>
            </w:tcBorders>
            <w:shd w:val="clear" w:color="auto" w:fill="F2F2F2" w:themeFill="background1" w:themeFillShade="F2"/>
            <w:vAlign w:val="center"/>
          </w:tcPr>
          <w:p w14:paraId="6E21622A" w14:textId="77777777" w:rsidR="001C5BAE" w:rsidRDefault="001C5BAE" w:rsidP="0006633E">
            <w:pPr>
              <w:pStyle w:val="TableCopy"/>
              <w:cnfStyle w:val="000000000000" w:firstRow="0" w:lastRow="0" w:firstColumn="0" w:lastColumn="0" w:oddVBand="0" w:evenVBand="0" w:oddHBand="0" w:evenHBand="0" w:firstRowFirstColumn="0" w:firstRowLastColumn="0" w:lastRowFirstColumn="0" w:lastRowLastColumn="0"/>
            </w:pPr>
            <w:r>
              <w:rPr>
                <w:rFonts w:ascii="Times New Roman" w:hAnsi="Times New Roman"/>
              </w:rPr>
              <w:t>$</w:t>
            </w:r>
            <w:r>
              <w:t>1.04m</w:t>
            </w:r>
          </w:p>
        </w:tc>
        <w:tc>
          <w:tcPr>
            <w:tcW w:w="615" w:type="pct"/>
            <w:shd w:val="clear" w:color="auto" w:fill="000000" w:themeFill="text1"/>
          </w:tcPr>
          <w:p w14:paraId="11BFD1D5" w14:textId="77777777" w:rsidR="001C5BAE" w:rsidRPr="00E30C52" w:rsidRDefault="001C5BAE" w:rsidP="0006633E">
            <w:pPr>
              <w:pStyle w:val="TableCopy"/>
              <w:cnfStyle w:val="000000000000" w:firstRow="0" w:lastRow="0" w:firstColumn="0" w:lastColumn="0" w:oddVBand="0" w:evenVBand="0" w:oddHBand="0" w:evenHBand="0" w:firstRowFirstColumn="0" w:firstRowLastColumn="0" w:lastRowFirstColumn="0" w:lastRowLastColumn="0"/>
            </w:pPr>
          </w:p>
        </w:tc>
        <w:tc>
          <w:tcPr>
            <w:tcW w:w="1153" w:type="pct"/>
            <w:shd w:val="clear" w:color="auto" w:fill="F2F2F2" w:themeFill="background1" w:themeFillShade="F2"/>
          </w:tcPr>
          <w:p w14:paraId="06E19380" w14:textId="77777777" w:rsidR="001C5BAE" w:rsidRPr="00F44FAD" w:rsidRDefault="001C5BAE" w:rsidP="0006633E">
            <w:pPr>
              <w:pStyle w:val="TableCopy"/>
              <w:cnfStyle w:val="000000000000" w:firstRow="0" w:lastRow="0" w:firstColumn="0" w:lastColumn="0" w:oddVBand="0" w:evenVBand="0" w:oddHBand="0" w:evenHBand="0" w:firstRowFirstColumn="0" w:firstRowLastColumn="0" w:lastRowFirstColumn="0" w:lastRowLastColumn="0"/>
            </w:pPr>
            <w:r>
              <w:t>Scholarships (no.)</w:t>
            </w:r>
          </w:p>
        </w:tc>
        <w:tc>
          <w:tcPr>
            <w:tcW w:w="623" w:type="pct"/>
            <w:shd w:val="clear" w:color="auto" w:fill="F2F2F2" w:themeFill="background1" w:themeFillShade="F2"/>
          </w:tcPr>
          <w:p w14:paraId="16E4550B" w14:textId="77777777" w:rsidR="001C5BAE" w:rsidRPr="00F44FAD" w:rsidRDefault="001C5BAE" w:rsidP="0006633E">
            <w:pPr>
              <w:pStyle w:val="TableCopy"/>
              <w:jc w:val="center"/>
              <w:cnfStyle w:val="000000000000" w:firstRow="0" w:lastRow="0" w:firstColumn="0" w:lastColumn="0" w:oddVBand="0" w:evenVBand="0" w:oddHBand="0" w:evenHBand="0" w:firstRowFirstColumn="0" w:firstRowLastColumn="0" w:lastRowFirstColumn="0" w:lastRowLastColumn="0"/>
            </w:pPr>
            <w:r w:rsidRPr="00F44FAD">
              <w:t>91</w:t>
            </w:r>
          </w:p>
        </w:tc>
      </w:tr>
      <w:tr w:rsidR="001C5BAE" w14:paraId="690B1088" w14:textId="77777777" w:rsidTr="00133610">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07C10390" w14:textId="77777777" w:rsidR="001C5BAE" w:rsidRPr="005D7F66" w:rsidRDefault="001C5BAE" w:rsidP="0006633E">
            <w:pPr>
              <w:pStyle w:val="TableCopy"/>
              <w:rPr>
                <w:b w:val="0"/>
              </w:rPr>
            </w:pPr>
            <w:r w:rsidRPr="005D7F66">
              <w:rPr>
                <w:b w:val="0"/>
              </w:rPr>
              <w:t>Rural Pharmacy Scholarship Mentor Scheme</w:t>
            </w:r>
          </w:p>
        </w:tc>
        <w:tc>
          <w:tcPr>
            <w:tcW w:w="733" w:type="pct"/>
            <w:tcBorders>
              <w:top w:val="nil"/>
            </w:tcBorders>
            <w:shd w:val="clear" w:color="auto" w:fill="F2F2F2" w:themeFill="background1" w:themeFillShade="F2"/>
          </w:tcPr>
          <w:p w14:paraId="12B26922" w14:textId="77777777" w:rsidR="001C5BAE" w:rsidRPr="005F10F2" w:rsidRDefault="001C5BAE" w:rsidP="0006633E">
            <w:pPr>
              <w:pStyle w:val="TableCopy"/>
              <w:cnfStyle w:val="000000000000" w:firstRow="0" w:lastRow="0" w:firstColumn="0" w:lastColumn="0" w:oddVBand="0" w:evenVBand="0" w:oddHBand="0" w:evenHBand="0" w:firstRowFirstColumn="0" w:firstRowLastColumn="0" w:lastRowFirstColumn="0" w:lastRowLastColumn="0"/>
            </w:pPr>
          </w:p>
        </w:tc>
        <w:tc>
          <w:tcPr>
            <w:tcW w:w="615" w:type="pct"/>
            <w:shd w:val="clear" w:color="auto" w:fill="000000" w:themeFill="text1"/>
          </w:tcPr>
          <w:p w14:paraId="6177EB35" w14:textId="77777777" w:rsidR="001C5BAE" w:rsidRPr="00E30C52" w:rsidRDefault="001C5BAE" w:rsidP="0006633E">
            <w:pPr>
              <w:pStyle w:val="TableCopy"/>
              <w:cnfStyle w:val="000000000000" w:firstRow="0" w:lastRow="0" w:firstColumn="0" w:lastColumn="0" w:oddVBand="0" w:evenVBand="0" w:oddHBand="0" w:evenHBand="0" w:firstRowFirstColumn="0" w:firstRowLastColumn="0" w:lastRowFirstColumn="0" w:lastRowLastColumn="0"/>
            </w:pPr>
          </w:p>
        </w:tc>
        <w:tc>
          <w:tcPr>
            <w:tcW w:w="1153" w:type="pct"/>
            <w:shd w:val="clear" w:color="auto" w:fill="F2F2F2" w:themeFill="background1" w:themeFillShade="F2"/>
          </w:tcPr>
          <w:p w14:paraId="50873063" w14:textId="77777777" w:rsidR="001C5BAE" w:rsidRPr="00F44FAD" w:rsidRDefault="001C5BAE" w:rsidP="0006633E">
            <w:pPr>
              <w:pStyle w:val="TableCopy"/>
              <w:cnfStyle w:val="000000000000" w:firstRow="0" w:lastRow="0" w:firstColumn="0" w:lastColumn="0" w:oddVBand="0" w:evenVBand="0" w:oddHBand="0" w:evenHBand="0" w:firstRowFirstColumn="0" w:firstRowLastColumn="0" w:lastRowFirstColumn="0" w:lastRowLastColumn="0"/>
            </w:pPr>
            <w:r>
              <w:t>Mentorships (no.)</w:t>
            </w:r>
          </w:p>
        </w:tc>
        <w:tc>
          <w:tcPr>
            <w:tcW w:w="623" w:type="pct"/>
            <w:shd w:val="clear" w:color="auto" w:fill="F2F2F2" w:themeFill="background1" w:themeFillShade="F2"/>
          </w:tcPr>
          <w:p w14:paraId="6D582186" w14:textId="77777777" w:rsidR="001C5BAE" w:rsidRPr="00F44FAD" w:rsidRDefault="001C5BAE" w:rsidP="0006633E">
            <w:pPr>
              <w:pStyle w:val="TableCopy"/>
              <w:jc w:val="center"/>
              <w:cnfStyle w:val="000000000000" w:firstRow="0" w:lastRow="0" w:firstColumn="0" w:lastColumn="0" w:oddVBand="0" w:evenVBand="0" w:oddHBand="0" w:evenHBand="0" w:firstRowFirstColumn="0" w:firstRowLastColumn="0" w:lastRowFirstColumn="0" w:lastRowLastColumn="0"/>
            </w:pPr>
            <w:r w:rsidRPr="00F44FAD">
              <w:t>91</w:t>
            </w:r>
          </w:p>
        </w:tc>
      </w:tr>
      <w:tr w:rsidR="001C5BAE" w14:paraId="5E109155" w14:textId="77777777" w:rsidTr="00AA0559">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68861F2D" w14:textId="77777777" w:rsidR="001C5BAE" w:rsidRPr="005D7F66" w:rsidRDefault="001C5BAE" w:rsidP="0006633E">
            <w:pPr>
              <w:pStyle w:val="TableCopy"/>
              <w:rPr>
                <w:b w:val="0"/>
              </w:rPr>
            </w:pPr>
            <w:r w:rsidRPr="005D7F66">
              <w:rPr>
                <w:b w:val="0"/>
              </w:rPr>
              <w:t>Rural Pharmacy Student Placement Allowance</w:t>
            </w:r>
          </w:p>
        </w:tc>
        <w:tc>
          <w:tcPr>
            <w:tcW w:w="733" w:type="pct"/>
            <w:shd w:val="clear" w:color="auto" w:fill="F2F2F2" w:themeFill="background1" w:themeFillShade="F2"/>
          </w:tcPr>
          <w:p w14:paraId="7C66DF28" w14:textId="77777777" w:rsidR="001C5BAE" w:rsidRDefault="001C5BAE" w:rsidP="0006633E">
            <w:pPr>
              <w:pStyle w:val="TableCopy"/>
              <w:cnfStyle w:val="000000000000" w:firstRow="0" w:lastRow="0" w:firstColumn="0" w:lastColumn="0" w:oddVBand="0" w:evenVBand="0" w:oddHBand="0" w:evenHBand="0" w:firstRowFirstColumn="0" w:firstRowLastColumn="0" w:lastRowFirstColumn="0" w:lastRowLastColumn="0"/>
            </w:pPr>
            <w:r>
              <w:rPr>
                <w:rFonts w:ascii="Times New Roman" w:hAnsi="Times New Roman"/>
              </w:rPr>
              <w:t>$</w:t>
            </w:r>
            <w:r>
              <w:t>0.67m</w:t>
            </w:r>
          </w:p>
        </w:tc>
        <w:tc>
          <w:tcPr>
            <w:tcW w:w="615" w:type="pct"/>
            <w:shd w:val="clear" w:color="auto" w:fill="000000" w:themeFill="text1"/>
          </w:tcPr>
          <w:p w14:paraId="118BEB42" w14:textId="77777777" w:rsidR="001C5BAE" w:rsidRPr="00E30C52" w:rsidRDefault="001C5BAE" w:rsidP="0006633E">
            <w:pPr>
              <w:pStyle w:val="TableCopy"/>
              <w:jc w:val="center"/>
              <w:cnfStyle w:val="000000000000" w:firstRow="0" w:lastRow="0" w:firstColumn="0" w:lastColumn="0" w:oddVBand="0" w:evenVBand="0" w:oddHBand="0" w:evenHBand="0" w:firstRowFirstColumn="0" w:firstRowLastColumn="0" w:lastRowFirstColumn="0" w:lastRowLastColumn="0"/>
            </w:pPr>
          </w:p>
        </w:tc>
        <w:tc>
          <w:tcPr>
            <w:tcW w:w="1153" w:type="pct"/>
            <w:shd w:val="clear" w:color="auto" w:fill="F2F2F2" w:themeFill="background1" w:themeFillShade="F2"/>
          </w:tcPr>
          <w:p w14:paraId="3FCD01D7" w14:textId="77777777" w:rsidR="001C5BAE" w:rsidRPr="00F44FAD" w:rsidRDefault="001C5BAE" w:rsidP="0006633E">
            <w:pPr>
              <w:pStyle w:val="TableCopy"/>
              <w:cnfStyle w:val="000000000000" w:firstRow="0" w:lastRow="0" w:firstColumn="0" w:lastColumn="0" w:oddVBand="0" w:evenVBand="0" w:oddHBand="0" w:evenHBand="0" w:firstRowFirstColumn="0" w:firstRowLastColumn="0" w:lastRowFirstColumn="0" w:lastRowLastColumn="0"/>
            </w:pPr>
            <w:r>
              <w:t>Universities supported (no.)</w:t>
            </w:r>
          </w:p>
        </w:tc>
        <w:tc>
          <w:tcPr>
            <w:tcW w:w="623" w:type="pct"/>
            <w:shd w:val="clear" w:color="auto" w:fill="F2F2F2" w:themeFill="background1" w:themeFillShade="F2"/>
          </w:tcPr>
          <w:p w14:paraId="36CC7E28" w14:textId="77777777" w:rsidR="001C5BAE" w:rsidRPr="00F44FAD" w:rsidRDefault="001C5BAE" w:rsidP="0006633E">
            <w:pPr>
              <w:pStyle w:val="TableCopy"/>
              <w:jc w:val="center"/>
              <w:cnfStyle w:val="000000000000" w:firstRow="0" w:lastRow="0" w:firstColumn="0" w:lastColumn="0" w:oddVBand="0" w:evenVBand="0" w:oddHBand="0" w:evenHBand="0" w:firstRowFirstColumn="0" w:firstRowLastColumn="0" w:lastRowFirstColumn="0" w:lastRowLastColumn="0"/>
            </w:pPr>
            <w:r>
              <w:t>16</w:t>
            </w:r>
          </w:p>
        </w:tc>
      </w:tr>
      <w:tr w:rsidR="001C5BAE" w14:paraId="2F6014A6" w14:textId="77777777" w:rsidTr="00AA0559">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3CA44AB0" w14:textId="77777777" w:rsidR="001C5BAE" w:rsidRPr="005D7F66" w:rsidRDefault="001C5BAE" w:rsidP="0006633E">
            <w:pPr>
              <w:pStyle w:val="TableCopy"/>
              <w:rPr>
                <w:b w:val="0"/>
              </w:rPr>
            </w:pPr>
            <w:r w:rsidRPr="005D7F66">
              <w:rPr>
                <w:b w:val="0"/>
              </w:rPr>
              <w:t>Rural Intern Training Allowance</w:t>
            </w:r>
          </w:p>
        </w:tc>
        <w:tc>
          <w:tcPr>
            <w:tcW w:w="733" w:type="pct"/>
            <w:shd w:val="clear" w:color="auto" w:fill="F2F2F2" w:themeFill="background1" w:themeFillShade="F2"/>
          </w:tcPr>
          <w:p w14:paraId="05D20F7E" w14:textId="77777777" w:rsidR="001C5BAE" w:rsidRDefault="001C5BAE" w:rsidP="0006633E">
            <w:pPr>
              <w:pStyle w:val="TableCopy"/>
              <w:cnfStyle w:val="000000000000" w:firstRow="0" w:lastRow="0" w:firstColumn="0" w:lastColumn="0" w:oddVBand="0" w:evenVBand="0" w:oddHBand="0" w:evenHBand="0" w:firstRowFirstColumn="0" w:firstRowLastColumn="0" w:lastRowFirstColumn="0" w:lastRowLastColumn="0"/>
            </w:pPr>
            <w:r>
              <w:rPr>
                <w:rFonts w:ascii="Times New Roman" w:hAnsi="Times New Roman"/>
              </w:rPr>
              <w:t>$</w:t>
            </w:r>
            <w:r>
              <w:t>0.08m</w:t>
            </w:r>
          </w:p>
        </w:tc>
        <w:tc>
          <w:tcPr>
            <w:tcW w:w="615" w:type="pct"/>
            <w:shd w:val="clear" w:color="auto" w:fill="000000" w:themeFill="text1"/>
          </w:tcPr>
          <w:p w14:paraId="66A9082C" w14:textId="77777777" w:rsidR="001C5BAE" w:rsidRPr="00E30C52" w:rsidRDefault="001C5BAE" w:rsidP="0006633E">
            <w:pPr>
              <w:pStyle w:val="TableCopy"/>
              <w:jc w:val="center"/>
              <w:cnfStyle w:val="000000000000" w:firstRow="0" w:lastRow="0" w:firstColumn="0" w:lastColumn="0" w:oddVBand="0" w:evenVBand="0" w:oddHBand="0" w:evenHBand="0" w:firstRowFirstColumn="0" w:firstRowLastColumn="0" w:lastRowFirstColumn="0" w:lastRowLastColumn="0"/>
            </w:pPr>
          </w:p>
        </w:tc>
        <w:tc>
          <w:tcPr>
            <w:tcW w:w="1153" w:type="pct"/>
            <w:shd w:val="clear" w:color="auto" w:fill="F2F2F2" w:themeFill="background1" w:themeFillShade="F2"/>
          </w:tcPr>
          <w:p w14:paraId="7DAB710C" w14:textId="77777777" w:rsidR="001C5BAE" w:rsidRPr="00F44FAD" w:rsidRDefault="001C5BAE" w:rsidP="0006633E">
            <w:pPr>
              <w:pStyle w:val="TableCopy"/>
              <w:cnfStyle w:val="000000000000" w:firstRow="0" w:lastRow="0" w:firstColumn="0" w:lastColumn="0" w:oddVBand="0" w:evenVBand="0" w:oddHBand="0" w:evenHBand="0" w:firstRowFirstColumn="0" w:firstRowLastColumn="0" w:lastRowFirstColumn="0" w:lastRowLastColumn="0"/>
            </w:pPr>
            <w:r>
              <w:t>Travel allowance payments (no.)</w:t>
            </w:r>
          </w:p>
        </w:tc>
        <w:tc>
          <w:tcPr>
            <w:tcW w:w="623" w:type="pct"/>
            <w:shd w:val="clear" w:color="auto" w:fill="F2F2F2" w:themeFill="background1" w:themeFillShade="F2"/>
          </w:tcPr>
          <w:p w14:paraId="351CDD3C" w14:textId="77777777" w:rsidR="001C5BAE" w:rsidRPr="00134FD1" w:rsidRDefault="001C5BAE" w:rsidP="0006633E">
            <w:pPr>
              <w:pStyle w:val="TableCopy"/>
              <w:jc w:val="center"/>
              <w:cnfStyle w:val="000000000000" w:firstRow="0" w:lastRow="0" w:firstColumn="0" w:lastColumn="0" w:oddVBand="0" w:evenVBand="0" w:oddHBand="0" w:evenHBand="0" w:firstRowFirstColumn="0" w:firstRowLastColumn="0" w:lastRowFirstColumn="0" w:lastRowLastColumn="0"/>
            </w:pPr>
            <w:r>
              <w:t>157</w:t>
            </w:r>
          </w:p>
        </w:tc>
      </w:tr>
      <w:tr w:rsidR="001C5BAE" w14:paraId="52718F73" w14:textId="77777777" w:rsidTr="00AA0559">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1404F395" w14:textId="77777777" w:rsidR="001C5BAE" w:rsidRPr="00E6670B" w:rsidRDefault="001C5BAE" w:rsidP="0006633E">
            <w:pPr>
              <w:pStyle w:val="TableCopy"/>
              <w:rPr>
                <w:b w:val="0"/>
                <w:i/>
              </w:rPr>
            </w:pPr>
            <w:r w:rsidRPr="00E6670B">
              <w:rPr>
                <w:b w:val="0"/>
                <w:i/>
              </w:rPr>
              <w:t>Sub-total: Workforce recruitment programs</w:t>
            </w:r>
          </w:p>
        </w:tc>
        <w:tc>
          <w:tcPr>
            <w:tcW w:w="733" w:type="pct"/>
            <w:shd w:val="clear" w:color="auto" w:fill="F2F2F2" w:themeFill="background1" w:themeFillShade="F2"/>
          </w:tcPr>
          <w:p w14:paraId="1D01555A" w14:textId="77777777" w:rsidR="001C5BAE" w:rsidRPr="00E6670B" w:rsidRDefault="001C5BAE" w:rsidP="0006633E">
            <w:pPr>
              <w:pStyle w:val="TableCopy"/>
              <w:cnfStyle w:val="000000000000" w:firstRow="0" w:lastRow="0" w:firstColumn="0" w:lastColumn="0" w:oddVBand="0" w:evenVBand="0" w:oddHBand="0" w:evenHBand="0" w:firstRowFirstColumn="0" w:firstRowLastColumn="0" w:lastRowFirstColumn="0" w:lastRowLastColumn="0"/>
              <w:rPr>
                <w:i/>
              </w:rPr>
            </w:pPr>
            <w:r>
              <w:rPr>
                <w:rFonts w:ascii="Times New Roman" w:hAnsi="Times New Roman"/>
                <w:i/>
              </w:rPr>
              <w:t>$</w:t>
            </w:r>
            <w:r>
              <w:rPr>
                <w:i/>
              </w:rPr>
              <w:t>1.79m</w:t>
            </w:r>
          </w:p>
        </w:tc>
        <w:tc>
          <w:tcPr>
            <w:tcW w:w="615" w:type="pct"/>
            <w:shd w:val="clear" w:color="auto" w:fill="F2F2F2" w:themeFill="background1" w:themeFillShade="F2"/>
          </w:tcPr>
          <w:p w14:paraId="57341657" w14:textId="77777777" w:rsidR="001C5BAE" w:rsidRPr="00E6670B" w:rsidRDefault="001C5BAE" w:rsidP="0006633E">
            <w:pPr>
              <w:pStyle w:val="TableCopy"/>
              <w:jc w:val="center"/>
              <w:cnfStyle w:val="000000000000" w:firstRow="0" w:lastRow="0" w:firstColumn="0" w:lastColumn="0" w:oddVBand="0" w:evenVBand="0" w:oddHBand="0" w:evenHBand="0" w:firstRowFirstColumn="0" w:firstRowLastColumn="0" w:lastRowFirstColumn="0" w:lastRowLastColumn="0"/>
              <w:rPr>
                <w:i/>
              </w:rPr>
            </w:pPr>
            <w:r>
              <w:rPr>
                <w:i/>
              </w:rPr>
              <w:t>38%</w:t>
            </w:r>
          </w:p>
        </w:tc>
        <w:tc>
          <w:tcPr>
            <w:tcW w:w="1153" w:type="pct"/>
            <w:shd w:val="clear" w:color="auto" w:fill="000000" w:themeFill="text1"/>
          </w:tcPr>
          <w:p w14:paraId="0449EDBD" w14:textId="77777777" w:rsidR="001C5BAE" w:rsidRPr="00E6670B" w:rsidRDefault="001C5BAE" w:rsidP="0006633E">
            <w:pPr>
              <w:pStyle w:val="TableCopy"/>
              <w:cnfStyle w:val="000000000000" w:firstRow="0" w:lastRow="0" w:firstColumn="0" w:lastColumn="0" w:oddVBand="0" w:evenVBand="0" w:oddHBand="0" w:evenHBand="0" w:firstRowFirstColumn="0" w:firstRowLastColumn="0" w:lastRowFirstColumn="0" w:lastRowLastColumn="0"/>
              <w:rPr>
                <w:i/>
              </w:rPr>
            </w:pPr>
          </w:p>
        </w:tc>
        <w:tc>
          <w:tcPr>
            <w:tcW w:w="623" w:type="pct"/>
            <w:shd w:val="clear" w:color="auto" w:fill="000000" w:themeFill="text1"/>
          </w:tcPr>
          <w:p w14:paraId="23320EE1" w14:textId="77777777" w:rsidR="001C5BAE" w:rsidRPr="00E6670B" w:rsidRDefault="001C5BAE" w:rsidP="0006633E">
            <w:pPr>
              <w:pStyle w:val="TableCopy"/>
              <w:jc w:val="center"/>
              <w:cnfStyle w:val="000000000000" w:firstRow="0" w:lastRow="0" w:firstColumn="0" w:lastColumn="0" w:oddVBand="0" w:evenVBand="0" w:oddHBand="0" w:evenHBand="0" w:firstRowFirstColumn="0" w:firstRowLastColumn="0" w:lastRowFirstColumn="0" w:lastRowLastColumn="0"/>
              <w:rPr>
                <w:i/>
              </w:rPr>
            </w:pPr>
          </w:p>
        </w:tc>
      </w:tr>
      <w:tr w:rsidR="00AA0559" w14:paraId="40DEF3F7" w14:textId="77777777" w:rsidTr="00133610">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69991414" w14:textId="77777777" w:rsidR="001C5BAE" w:rsidRPr="001E4D58" w:rsidRDefault="001C5BAE" w:rsidP="001E4D58">
            <w:pPr>
              <w:pStyle w:val="Tablesubheading2"/>
              <w:rPr>
                <w:b/>
              </w:rPr>
            </w:pPr>
            <w:r w:rsidRPr="001E4D58">
              <w:rPr>
                <w:b/>
              </w:rPr>
              <w:t>Workforce retention programs</w:t>
            </w:r>
          </w:p>
        </w:tc>
        <w:tc>
          <w:tcPr>
            <w:tcW w:w="733" w:type="pct"/>
            <w:tcBorders>
              <w:bottom w:val="single" w:sz="4" w:space="0" w:color="auto"/>
            </w:tcBorders>
            <w:shd w:val="clear" w:color="auto" w:fill="F2F2F2" w:themeFill="background1" w:themeFillShade="F2"/>
          </w:tcPr>
          <w:p w14:paraId="30A43349" w14:textId="77777777" w:rsidR="001C5BAE" w:rsidRPr="001E4D58" w:rsidRDefault="001C5BAE" w:rsidP="001E4D58">
            <w:pPr>
              <w:pStyle w:val="Tablesubheading2"/>
              <w:cnfStyle w:val="000000000000" w:firstRow="0" w:lastRow="0" w:firstColumn="0" w:lastColumn="0" w:oddVBand="0" w:evenVBand="0" w:oddHBand="0" w:evenHBand="0" w:firstRowFirstColumn="0" w:firstRowLastColumn="0" w:lastRowFirstColumn="0" w:lastRowLastColumn="0"/>
              <w:rPr>
                <w:b w:val="0"/>
              </w:rPr>
            </w:pPr>
          </w:p>
        </w:tc>
        <w:tc>
          <w:tcPr>
            <w:tcW w:w="615" w:type="pct"/>
            <w:shd w:val="clear" w:color="auto" w:fill="F2F2F2" w:themeFill="background1" w:themeFillShade="F2"/>
          </w:tcPr>
          <w:p w14:paraId="26504034" w14:textId="77777777" w:rsidR="001C5BAE" w:rsidRPr="001E4D58" w:rsidRDefault="001C5BAE" w:rsidP="001E4D58">
            <w:pPr>
              <w:pStyle w:val="Tablesubheading2"/>
              <w:cnfStyle w:val="000000000000" w:firstRow="0" w:lastRow="0" w:firstColumn="0" w:lastColumn="0" w:oddVBand="0" w:evenVBand="0" w:oddHBand="0" w:evenHBand="0" w:firstRowFirstColumn="0" w:firstRowLastColumn="0" w:lastRowFirstColumn="0" w:lastRowLastColumn="0"/>
              <w:rPr>
                <w:b w:val="0"/>
              </w:rPr>
            </w:pPr>
          </w:p>
        </w:tc>
        <w:tc>
          <w:tcPr>
            <w:tcW w:w="1153" w:type="pct"/>
            <w:shd w:val="clear" w:color="auto" w:fill="F2F2F2" w:themeFill="background1" w:themeFillShade="F2"/>
          </w:tcPr>
          <w:p w14:paraId="6FBBC5B5" w14:textId="77777777" w:rsidR="001C5BAE" w:rsidRPr="001E4D58" w:rsidRDefault="001C5BAE" w:rsidP="001E4D58">
            <w:pPr>
              <w:pStyle w:val="Tablesubheading2"/>
              <w:cnfStyle w:val="000000000000" w:firstRow="0" w:lastRow="0" w:firstColumn="0" w:lastColumn="0" w:oddVBand="0" w:evenVBand="0" w:oddHBand="0" w:evenHBand="0" w:firstRowFirstColumn="0" w:firstRowLastColumn="0" w:lastRowFirstColumn="0" w:lastRowLastColumn="0"/>
              <w:rPr>
                <w:b w:val="0"/>
              </w:rPr>
            </w:pPr>
          </w:p>
        </w:tc>
        <w:tc>
          <w:tcPr>
            <w:tcW w:w="623" w:type="pct"/>
            <w:shd w:val="clear" w:color="auto" w:fill="F2F2F2" w:themeFill="background1" w:themeFillShade="F2"/>
          </w:tcPr>
          <w:p w14:paraId="119CA126" w14:textId="77777777" w:rsidR="001C5BAE" w:rsidRPr="001E4D58" w:rsidRDefault="001C5BAE" w:rsidP="001E4D58">
            <w:pPr>
              <w:pStyle w:val="Tablesubheading2"/>
              <w:cnfStyle w:val="000000000000" w:firstRow="0" w:lastRow="0" w:firstColumn="0" w:lastColumn="0" w:oddVBand="0" w:evenVBand="0" w:oddHBand="0" w:evenHBand="0" w:firstRowFirstColumn="0" w:firstRowLastColumn="0" w:lastRowFirstColumn="0" w:lastRowLastColumn="0"/>
              <w:rPr>
                <w:b w:val="0"/>
              </w:rPr>
            </w:pPr>
          </w:p>
        </w:tc>
      </w:tr>
      <w:tr w:rsidR="00133610" w14:paraId="7FFAC5BA" w14:textId="77777777" w:rsidTr="00133610">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4442174F" w14:textId="77777777" w:rsidR="00133610" w:rsidRPr="005D7F66" w:rsidRDefault="00133610" w:rsidP="0006633E">
            <w:pPr>
              <w:pStyle w:val="TableCopy"/>
              <w:rPr>
                <w:b w:val="0"/>
              </w:rPr>
            </w:pPr>
            <w:r w:rsidRPr="005D7F66">
              <w:rPr>
                <w:b w:val="0"/>
              </w:rPr>
              <w:t>Intern Incentive Allowance for Rural Pharmacies</w:t>
            </w:r>
          </w:p>
        </w:tc>
        <w:tc>
          <w:tcPr>
            <w:tcW w:w="733" w:type="pct"/>
            <w:tcBorders>
              <w:bottom w:val="nil"/>
            </w:tcBorders>
            <w:shd w:val="clear" w:color="auto" w:fill="F2F2F2" w:themeFill="background1" w:themeFillShade="F2"/>
            <w:vAlign w:val="center"/>
          </w:tcPr>
          <w:p w14:paraId="3684FD9A" w14:textId="77777777" w:rsidR="00133610" w:rsidRDefault="00133610" w:rsidP="0006633E">
            <w:pPr>
              <w:pStyle w:val="TableCopy"/>
              <w:cnfStyle w:val="000000000000" w:firstRow="0" w:lastRow="0" w:firstColumn="0" w:lastColumn="0" w:oddVBand="0" w:evenVBand="0" w:oddHBand="0" w:evenHBand="0" w:firstRowFirstColumn="0" w:firstRowLastColumn="0" w:lastRowFirstColumn="0" w:lastRowLastColumn="0"/>
            </w:pPr>
            <w:r>
              <w:rPr>
                <w:rFonts w:ascii="Times New Roman" w:hAnsi="Times New Roman"/>
              </w:rPr>
              <w:t>$</w:t>
            </w:r>
            <w:r>
              <w:t>0.86m</w:t>
            </w:r>
          </w:p>
        </w:tc>
        <w:tc>
          <w:tcPr>
            <w:tcW w:w="615" w:type="pct"/>
            <w:shd w:val="clear" w:color="auto" w:fill="000000" w:themeFill="text1"/>
          </w:tcPr>
          <w:p w14:paraId="2701D6DC" w14:textId="77777777" w:rsidR="00133610" w:rsidRDefault="00133610" w:rsidP="0006633E">
            <w:pPr>
              <w:pStyle w:val="TableCopy"/>
              <w:jc w:val="center"/>
              <w:cnfStyle w:val="000000000000" w:firstRow="0" w:lastRow="0" w:firstColumn="0" w:lastColumn="0" w:oddVBand="0" w:evenVBand="0" w:oddHBand="0" w:evenHBand="0" w:firstRowFirstColumn="0" w:firstRowLastColumn="0" w:lastRowFirstColumn="0" w:lastRowLastColumn="0"/>
            </w:pPr>
          </w:p>
        </w:tc>
        <w:tc>
          <w:tcPr>
            <w:tcW w:w="1153" w:type="pct"/>
            <w:shd w:val="clear" w:color="auto" w:fill="F2F2F2" w:themeFill="background1" w:themeFillShade="F2"/>
          </w:tcPr>
          <w:p w14:paraId="0C9C8E91" w14:textId="77777777" w:rsidR="00133610" w:rsidRDefault="00133610" w:rsidP="0006633E">
            <w:pPr>
              <w:pStyle w:val="TableCopy"/>
              <w:cnfStyle w:val="000000000000" w:firstRow="0" w:lastRow="0" w:firstColumn="0" w:lastColumn="0" w:oddVBand="0" w:evenVBand="0" w:oddHBand="0" w:evenHBand="0" w:firstRowFirstColumn="0" w:firstRowLastColumn="0" w:lastRowFirstColumn="0" w:lastRowLastColumn="0"/>
            </w:pPr>
            <w:r>
              <w:t>Internships (no.)</w:t>
            </w:r>
          </w:p>
        </w:tc>
        <w:tc>
          <w:tcPr>
            <w:tcW w:w="623" w:type="pct"/>
            <w:shd w:val="clear" w:color="auto" w:fill="F2F2F2" w:themeFill="background1" w:themeFillShade="F2"/>
          </w:tcPr>
          <w:p w14:paraId="6D15FF94" w14:textId="77777777" w:rsidR="00133610" w:rsidRDefault="00133610" w:rsidP="0006633E">
            <w:pPr>
              <w:pStyle w:val="TableCopy"/>
              <w:jc w:val="center"/>
              <w:cnfStyle w:val="000000000000" w:firstRow="0" w:lastRow="0" w:firstColumn="0" w:lastColumn="0" w:oddVBand="0" w:evenVBand="0" w:oddHBand="0" w:evenHBand="0" w:firstRowFirstColumn="0" w:firstRowLastColumn="0" w:lastRowFirstColumn="0" w:lastRowLastColumn="0"/>
            </w:pPr>
            <w:r w:rsidRPr="00F44FAD">
              <w:t>65.5</w:t>
            </w:r>
          </w:p>
        </w:tc>
      </w:tr>
      <w:tr w:rsidR="00133610" w14:paraId="56D173B8" w14:textId="77777777" w:rsidTr="00133610">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52805F3D" w14:textId="77777777" w:rsidR="00133610" w:rsidRPr="005D7F66" w:rsidRDefault="00133610" w:rsidP="0006633E">
            <w:pPr>
              <w:pStyle w:val="TableCopy"/>
              <w:rPr>
                <w:b w:val="0"/>
              </w:rPr>
            </w:pPr>
            <w:r w:rsidRPr="005D7F66">
              <w:rPr>
                <w:b w:val="0"/>
              </w:rPr>
              <w:t xml:space="preserve">Intern Incentive Allowance for Rural Pharmacies </w:t>
            </w:r>
            <w:r>
              <w:rPr>
                <w:b w:val="0"/>
              </w:rPr>
              <w:t>–</w:t>
            </w:r>
            <w:r w:rsidRPr="005D7F66">
              <w:rPr>
                <w:b w:val="0"/>
              </w:rPr>
              <w:t xml:space="preserve"> Extension Program</w:t>
            </w:r>
          </w:p>
        </w:tc>
        <w:tc>
          <w:tcPr>
            <w:tcW w:w="733" w:type="pct"/>
            <w:tcBorders>
              <w:top w:val="nil"/>
              <w:bottom w:val="single" w:sz="4" w:space="0" w:color="auto"/>
            </w:tcBorders>
            <w:shd w:val="clear" w:color="auto" w:fill="F2F2F2" w:themeFill="background1" w:themeFillShade="F2"/>
          </w:tcPr>
          <w:p w14:paraId="21D28BF1" w14:textId="77777777" w:rsidR="00133610" w:rsidRDefault="00133610" w:rsidP="0006633E">
            <w:pPr>
              <w:pStyle w:val="TableCopy"/>
              <w:cnfStyle w:val="000000000000" w:firstRow="0" w:lastRow="0" w:firstColumn="0" w:lastColumn="0" w:oddVBand="0" w:evenVBand="0" w:oddHBand="0" w:evenHBand="0" w:firstRowFirstColumn="0" w:firstRowLastColumn="0" w:lastRowFirstColumn="0" w:lastRowLastColumn="0"/>
            </w:pPr>
          </w:p>
        </w:tc>
        <w:tc>
          <w:tcPr>
            <w:tcW w:w="615" w:type="pct"/>
            <w:shd w:val="clear" w:color="auto" w:fill="000000" w:themeFill="text1"/>
          </w:tcPr>
          <w:p w14:paraId="254F5BCB" w14:textId="77777777" w:rsidR="00133610" w:rsidRDefault="00133610" w:rsidP="0006633E">
            <w:pPr>
              <w:pStyle w:val="TableCopy"/>
              <w:jc w:val="center"/>
              <w:cnfStyle w:val="000000000000" w:firstRow="0" w:lastRow="0" w:firstColumn="0" w:lastColumn="0" w:oddVBand="0" w:evenVBand="0" w:oddHBand="0" w:evenHBand="0" w:firstRowFirstColumn="0" w:firstRowLastColumn="0" w:lastRowFirstColumn="0" w:lastRowLastColumn="0"/>
            </w:pPr>
          </w:p>
        </w:tc>
        <w:tc>
          <w:tcPr>
            <w:tcW w:w="1153" w:type="pct"/>
            <w:shd w:val="clear" w:color="auto" w:fill="F2F2F2" w:themeFill="background1" w:themeFillShade="F2"/>
          </w:tcPr>
          <w:p w14:paraId="708139E8" w14:textId="77777777" w:rsidR="00133610" w:rsidRPr="009A5903" w:rsidRDefault="00133610" w:rsidP="0006633E">
            <w:pPr>
              <w:pStyle w:val="TableCopy"/>
              <w:cnfStyle w:val="000000000000" w:firstRow="0" w:lastRow="0" w:firstColumn="0" w:lastColumn="0" w:oddVBand="0" w:evenVBand="0" w:oddHBand="0" w:evenHBand="0" w:firstRowFirstColumn="0" w:firstRowLastColumn="0" w:lastRowFirstColumn="0" w:lastRowLastColumn="0"/>
            </w:pPr>
            <w:r w:rsidRPr="009A5903">
              <w:t xml:space="preserve">Graduates involved </w:t>
            </w:r>
            <w:r>
              <w:t>–</w:t>
            </w:r>
            <w:r w:rsidRPr="009A5903">
              <w:t xml:space="preserve"> numbers employed </w:t>
            </w:r>
          </w:p>
        </w:tc>
        <w:tc>
          <w:tcPr>
            <w:tcW w:w="623" w:type="pct"/>
            <w:shd w:val="clear" w:color="auto" w:fill="F2F2F2" w:themeFill="background1" w:themeFillShade="F2"/>
          </w:tcPr>
          <w:p w14:paraId="28977E35" w14:textId="77777777" w:rsidR="00133610" w:rsidRDefault="00133610" w:rsidP="0006633E">
            <w:pPr>
              <w:pStyle w:val="TableCopy"/>
              <w:jc w:val="center"/>
              <w:cnfStyle w:val="000000000000" w:firstRow="0" w:lastRow="0" w:firstColumn="0" w:lastColumn="0" w:oddVBand="0" w:evenVBand="0" w:oddHBand="0" w:evenHBand="0" w:firstRowFirstColumn="0" w:firstRowLastColumn="0" w:lastRowFirstColumn="0" w:lastRowLastColumn="0"/>
            </w:pPr>
            <w:r w:rsidRPr="00F44FAD">
              <w:t>10</w:t>
            </w:r>
          </w:p>
        </w:tc>
      </w:tr>
      <w:tr w:rsidR="00133610" w14:paraId="75E256E9" w14:textId="77777777" w:rsidTr="00133610">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3C514A16" w14:textId="77777777" w:rsidR="00133610" w:rsidRPr="005D7F66" w:rsidRDefault="00133610" w:rsidP="0006633E">
            <w:pPr>
              <w:pStyle w:val="TableCopy"/>
              <w:rPr>
                <w:b w:val="0"/>
              </w:rPr>
            </w:pPr>
            <w:r w:rsidRPr="005D7F66">
              <w:rPr>
                <w:b w:val="0"/>
              </w:rPr>
              <w:t>Continuing Professional Education Allowance</w:t>
            </w:r>
          </w:p>
        </w:tc>
        <w:tc>
          <w:tcPr>
            <w:tcW w:w="733" w:type="pct"/>
            <w:tcBorders>
              <w:bottom w:val="nil"/>
            </w:tcBorders>
            <w:shd w:val="clear" w:color="auto" w:fill="F2F2F2" w:themeFill="background1" w:themeFillShade="F2"/>
            <w:vAlign w:val="center"/>
          </w:tcPr>
          <w:p w14:paraId="15940B95" w14:textId="77777777" w:rsidR="00133610" w:rsidRDefault="00133610" w:rsidP="0006633E">
            <w:pPr>
              <w:pStyle w:val="TableCopy"/>
              <w:cnfStyle w:val="000000000000" w:firstRow="0" w:lastRow="0" w:firstColumn="0" w:lastColumn="0" w:oddVBand="0" w:evenVBand="0" w:oddHBand="0" w:evenHBand="0" w:firstRowFirstColumn="0" w:firstRowLastColumn="0" w:lastRowFirstColumn="0" w:lastRowLastColumn="0"/>
            </w:pPr>
            <w:r>
              <w:rPr>
                <w:rFonts w:ascii="Times New Roman" w:hAnsi="Times New Roman"/>
              </w:rPr>
              <w:t>$</w:t>
            </w:r>
            <w:r>
              <w:t>0.46m</w:t>
            </w:r>
          </w:p>
        </w:tc>
        <w:tc>
          <w:tcPr>
            <w:tcW w:w="615" w:type="pct"/>
            <w:shd w:val="clear" w:color="auto" w:fill="000000" w:themeFill="text1"/>
          </w:tcPr>
          <w:p w14:paraId="6B8D0195" w14:textId="77777777" w:rsidR="00133610" w:rsidRDefault="00133610" w:rsidP="0006633E">
            <w:pPr>
              <w:pStyle w:val="TableCopy"/>
              <w:jc w:val="center"/>
              <w:cnfStyle w:val="000000000000" w:firstRow="0" w:lastRow="0" w:firstColumn="0" w:lastColumn="0" w:oddVBand="0" w:evenVBand="0" w:oddHBand="0" w:evenHBand="0" w:firstRowFirstColumn="0" w:firstRowLastColumn="0" w:lastRowFirstColumn="0" w:lastRowLastColumn="0"/>
            </w:pPr>
          </w:p>
        </w:tc>
        <w:tc>
          <w:tcPr>
            <w:tcW w:w="1153" w:type="pct"/>
            <w:shd w:val="clear" w:color="auto" w:fill="F2F2F2" w:themeFill="background1" w:themeFillShade="F2"/>
          </w:tcPr>
          <w:p w14:paraId="1B82A2A6" w14:textId="77777777" w:rsidR="00133610" w:rsidRPr="009A5903" w:rsidRDefault="00133610" w:rsidP="0006633E">
            <w:pPr>
              <w:pStyle w:val="TableCopy"/>
              <w:cnfStyle w:val="000000000000" w:firstRow="0" w:lastRow="0" w:firstColumn="0" w:lastColumn="0" w:oddVBand="0" w:evenVBand="0" w:oddHBand="0" w:evenHBand="0" w:firstRowFirstColumn="0" w:firstRowLastColumn="0" w:lastRowFirstColumn="0" w:lastRowLastColumn="0"/>
            </w:pPr>
            <w:r w:rsidRPr="009A5903">
              <w:t>Travel allowance payments (no.)</w:t>
            </w:r>
          </w:p>
        </w:tc>
        <w:tc>
          <w:tcPr>
            <w:tcW w:w="623" w:type="pct"/>
            <w:shd w:val="clear" w:color="auto" w:fill="F2F2F2" w:themeFill="background1" w:themeFillShade="F2"/>
          </w:tcPr>
          <w:p w14:paraId="7DA674F8" w14:textId="77777777" w:rsidR="00133610" w:rsidRDefault="00133610" w:rsidP="0006633E">
            <w:pPr>
              <w:pStyle w:val="TableCopy"/>
              <w:jc w:val="center"/>
              <w:cnfStyle w:val="000000000000" w:firstRow="0" w:lastRow="0" w:firstColumn="0" w:lastColumn="0" w:oddVBand="0" w:evenVBand="0" w:oddHBand="0" w:evenHBand="0" w:firstRowFirstColumn="0" w:firstRowLastColumn="0" w:lastRowFirstColumn="0" w:lastRowLastColumn="0"/>
            </w:pPr>
            <w:r>
              <w:t>329</w:t>
            </w:r>
          </w:p>
        </w:tc>
      </w:tr>
      <w:tr w:rsidR="00133610" w14:paraId="2DC61C9D" w14:textId="77777777" w:rsidTr="00133610">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072D1C90" w14:textId="77777777" w:rsidR="00133610" w:rsidRPr="005D7F66" w:rsidRDefault="00133610" w:rsidP="0006633E">
            <w:pPr>
              <w:pStyle w:val="TableCopy"/>
              <w:rPr>
                <w:b w:val="0"/>
              </w:rPr>
            </w:pPr>
            <w:r w:rsidRPr="005D7F66">
              <w:rPr>
                <w:b w:val="0"/>
              </w:rPr>
              <w:t>Emergency Locum Service</w:t>
            </w:r>
          </w:p>
        </w:tc>
        <w:tc>
          <w:tcPr>
            <w:tcW w:w="733" w:type="pct"/>
            <w:tcBorders>
              <w:top w:val="nil"/>
            </w:tcBorders>
            <w:shd w:val="clear" w:color="auto" w:fill="F2F2F2" w:themeFill="background1" w:themeFillShade="F2"/>
          </w:tcPr>
          <w:p w14:paraId="68AD73C9" w14:textId="77777777" w:rsidR="00133610" w:rsidRDefault="00133610" w:rsidP="0006633E">
            <w:pPr>
              <w:pStyle w:val="TableCopy"/>
              <w:cnfStyle w:val="000000000000" w:firstRow="0" w:lastRow="0" w:firstColumn="0" w:lastColumn="0" w:oddVBand="0" w:evenVBand="0" w:oddHBand="0" w:evenHBand="0" w:firstRowFirstColumn="0" w:firstRowLastColumn="0" w:lastRowFirstColumn="0" w:lastRowLastColumn="0"/>
            </w:pPr>
          </w:p>
        </w:tc>
        <w:tc>
          <w:tcPr>
            <w:tcW w:w="615" w:type="pct"/>
            <w:shd w:val="clear" w:color="auto" w:fill="000000" w:themeFill="text1"/>
          </w:tcPr>
          <w:p w14:paraId="613FDE0E" w14:textId="77777777" w:rsidR="00133610" w:rsidRDefault="00133610" w:rsidP="0006633E">
            <w:pPr>
              <w:pStyle w:val="TableCopy"/>
              <w:jc w:val="center"/>
              <w:cnfStyle w:val="000000000000" w:firstRow="0" w:lastRow="0" w:firstColumn="0" w:lastColumn="0" w:oddVBand="0" w:evenVBand="0" w:oddHBand="0" w:evenHBand="0" w:firstRowFirstColumn="0" w:firstRowLastColumn="0" w:lastRowFirstColumn="0" w:lastRowLastColumn="0"/>
            </w:pPr>
          </w:p>
        </w:tc>
        <w:tc>
          <w:tcPr>
            <w:tcW w:w="1153" w:type="pct"/>
            <w:shd w:val="clear" w:color="auto" w:fill="F2F2F2" w:themeFill="background1" w:themeFillShade="F2"/>
          </w:tcPr>
          <w:p w14:paraId="6A369879" w14:textId="77777777" w:rsidR="00133610" w:rsidRPr="009A5903" w:rsidRDefault="00133610" w:rsidP="0006633E">
            <w:pPr>
              <w:pStyle w:val="TableCopy"/>
              <w:cnfStyle w:val="000000000000" w:firstRow="0" w:lastRow="0" w:firstColumn="0" w:lastColumn="0" w:oddVBand="0" w:evenVBand="0" w:oddHBand="0" w:evenHBand="0" w:firstRowFirstColumn="0" w:firstRowLastColumn="0" w:lastRowFirstColumn="0" w:lastRowLastColumn="0"/>
            </w:pPr>
            <w:r w:rsidRPr="009A5903">
              <w:t>Travel allowance payments (to cover locum costs)</w:t>
            </w:r>
          </w:p>
        </w:tc>
        <w:tc>
          <w:tcPr>
            <w:tcW w:w="623" w:type="pct"/>
            <w:shd w:val="clear" w:color="auto" w:fill="F2F2F2" w:themeFill="background1" w:themeFillShade="F2"/>
          </w:tcPr>
          <w:p w14:paraId="4B844E8C" w14:textId="77777777" w:rsidR="00133610" w:rsidRDefault="00133610" w:rsidP="0006633E">
            <w:pPr>
              <w:pStyle w:val="TableCopy"/>
              <w:jc w:val="center"/>
              <w:cnfStyle w:val="000000000000" w:firstRow="0" w:lastRow="0" w:firstColumn="0" w:lastColumn="0" w:oddVBand="0" w:evenVBand="0" w:oddHBand="0" w:evenHBand="0" w:firstRowFirstColumn="0" w:firstRowLastColumn="0" w:lastRowFirstColumn="0" w:lastRowLastColumn="0"/>
            </w:pPr>
            <w:r w:rsidRPr="00F44FAD">
              <w:t>85</w:t>
            </w:r>
          </w:p>
        </w:tc>
      </w:tr>
      <w:tr w:rsidR="001C5BAE" w14:paraId="16A086B1" w14:textId="77777777" w:rsidTr="00AA0559">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24447F04" w14:textId="77777777" w:rsidR="001C5BAE" w:rsidRPr="00E6670B" w:rsidRDefault="001C5BAE" w:rsidP="0006633E">
            <w:pPr>
              <w:pStyle w:val="TableCopy"/>
              <w:rPr>
                <w:i/>
              </w:rPr>
            </w:pPr>
            <w:r w:rsidRPr="00E6670B">
              <w:rPr>
                <w:b w:val="0"/>
                <w:i/>
              </w:rPr>
              <w:t>Sub-total: Workforce re</w:t>
            </w:r>
            <w:r>
              <w:rPr>
                <w:b w:val="0"/>
                <w:i/>
              </w:rPr>
              <w:t xml:space="preserve">tention </w:t>
            </w:r>
            <w:r w:rsidRPr="00E6670B">
              <w:rPr>
                <w:b w:val="0"/>
                <w:i/>
              </w:rPr>
              <w:t>programs</w:t>
            </w:r>
          </w:p>
        </w:tc>
        <w:tc>
          <w:tcPr>
            <w:tcW w:w="733" w:type="pct"/>
            <w:shd w:val="clear" w:color="auto" w:fill="F2F2F2" w:themeFill="background1" w:themeFillShade="F2"/>
          </w:tcPr>
          <w:p w14:paraId="72C976F8" w14:textId="77777777" w:rsidR="001C5BAE" w:rsidRPr="00C57E56" w:rsidRDefault="001C5BAE" w:rsidP="0006633E">
            <w:pPr>
              <w:pStyle w:val="TableCopy"/>
              <w:cnfStyle w:val="000000000000" w:firstRow="0" w:lastRow="0" w:firstColumn="0" w:lastColumn="0" w:oddVBand="0" w:evenVBand="0" w:oddHBand="0" w:evenHBand="0" w:firstRowFirstColumn="0" w:firstRowLastColumn="0" w:lastRowFirstColumn="0" w:lastRowLastColumn="0"/>
              <w:rPr>
                <w:i/>
              </w:rPr>
            </w:pPr>
            <w:r>
              <w:rPr>
                <w:rFonts w:ascii="Times New Roman" w:hAnsi="Times New Roman"/>
                <w:i/>
              </w:rPr>
              <w:t>$</w:t>
            </w:r>
            <w:r>
              <w:rPr>
                <w:i/>
              </w:rPr>
              <w:t>1.32</w:t>
            </w:r>
            <w:r w:rsidRPr="00C57E56">
              <w:rPr>
                <w:i/>
              </w:rPr>
              <w:t>m</w:t>
            </w:r>
          </w:p>
        </w:tc>
        <w:tc>
          <w:tcPr>
            <w:tcW w:w="615" w:type="pct"/>
            <w:shd w:val="clear" w:color="auto" w:fill="F2F2F2" w:themeFill="background1" w:themeFillShade="F2"/>
          </w:tcPr>
          <w:p w14:paraId="35E602FA" w14:textId="77777777" w:rsidR="001C5BAE" w:rsidRPr="00C57E56" w:rsidRDefault="001C5BAE" w:rsidP="0006633E">
            <w:pPr>
              <w:pStyle w:val="TableCopy"/>
              <w:jc w:val="center"/>
              <w:cnfStyle w:val="000000000000" w:firstRow="0" w:lastRow="0" w:firstColumn="0" w:lastColumn="0" w:oddVBand="0" w:evenVBand="0" w:oddHBand="0" w:evenHBand="0" w:firstRowFirstColumn="0" w:firstRowLastColumn="0" w:lastRowFirstColumn="0" w:lastRowLastColumn="0"/>
              <w:rPr>
                <w:i/>
              </w:rPr>
            </w:pPr>
            <w:r>
              <w:rPr>
                <w:i/>
              </w:rPr>
              <w:t>28%</w:t>
            </w:r>
          </w:p>
        </w:tc>
        <w:tc>
          <w:tcPr>
            <w:tcW w:w="1153" w:type="pct"/>
            <w:shd w:val="clear" w:color="auto" w:fill="000000" w:themeFill="text1"/>
          </w:tcPr>
          <w:p w14:paraId="540D0676" w14:textId="77777777" w:rsidR="001C5BAE" w:rsidRDefault="001C5BAE" w:rsidP="0006633E">
            <w:pPr>
              <w:pStyle w:val="TableCopy"/>
              <w:cnfStyle w:val="000000000000" w:firstRow="0" w:lastRow="0" w:firstColumn="0" w:lastColumn="0" w:oddVBand="0" w:evenVBand="0" w:oddHBand="0" w:evenHBand="0" w:firstRowFirstColumn="0" w:firstRowLastColumn="0" w:lastRowFirstColumn="0" w:lastRowLastColumn="0"/>
            </w:pPr>
          </w:p>
        </w:tc>
        <w:tc>
          <w:tcPr>
            <w:tcW w:w="623" w:type="pct"/>
            <w:shd w:val="clear" w:color="auto" w:fill="000000" w:themeFill="text1"/>
          </w:tcPr>
          <w:p w14:paraId="12BDCE50" w14:textId="77777777" w:rsidR="001C5BAE" w:rsidRDefault="001C5BAE" w:rsidP="0006633E">
            <w:pPr>
              <w:pStyle w:val="TableCopy"/>
              <w:jc w:val="center"/>
              <w:cnfStyle w:val="000000000000" w:firstRow="0" w:lastRow="0" w:firstColumn="0" w:lastColumn="0" w:oddVBand="0" w:evenVBand="0" w:oddHBand="0" w:evenHBand="0" w:firstRowFirstColumn="0" w:firstRowLastColumn="0" w:lastRowFirstColumn="0" w:lastRowLastColumn="0"/>
            </w:pPr>
          </w:p>
        </w:tc>
      </w:tr>
      <w:tr w:rsidR="00AA0559" w14:paraId="22ABCC08" w14:textId="77777777" w:rsidTr="00133610">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275BED8C" w14:textId="77777777" w:rsidR="001C5BAE" w:rsidRPr="005D7F66" w:rsidRDefault="001C5BAE" w:rsidP="001E4D58">
            <w:pPr>
              <w:pStyle w:val="Tablesubheading2"/>
              <w:rPr>
                <w:b/>
              </w:rPr>
            </w:pPr>
            <w:r w:rsidRPr="001E4D58">
              <w:rPr>
                <w:b/>
              </w:rPr>
              <w:t>Other workforce support programs</w:t>
            </w:r>
          </w:p>
        </w:tc>
        <w:tc>
          <w:tcPr>
            <w:tcW w:w="733" w:type="pct"/>
            <w:tcBorders>
              <w:bottom w:val="single" w:sz="4" w:space="0" w:color="auto"/>
            </w:tcBorders>
            <w:shd w:val="clear" w:color="auto" w:fill="F2F2F2" w:themeFill="background1" w:themeFillShade="F2"/>
          </w:tcPr>
          <w:p w14:paraId="0CB4E503" w14:textId="77777777" w:rsidR="001C5BAE" w:rsidRPr="001E4D58" w:rsidRDefault="001C5BAE" w:rsidP="001E4D58">
            <w:pPr>
              <w:pStyle w:val="Tablesubheading2"/>
              <w:cnfStyle w:val="000000000000" w:firstRow="0" w:lastRow="0" w:firstColumn="0" w:lastColumn="0" w:oddVBand="0" w:evenVBand="0" w:oddHBand="0" w:evenHBand="0" w:firstRowFirstColumn="0" w:firstRowLastColumn="0" w:lastRowFirstColumn="0" w:lastRowLastColumn="0"/>
              <w:rPr>
                <w:b w:val="0"/>
              </w:rPr>
            </w:pPr>
          </w:p>
        </w:tc>
        <w:tc>
          <w:tcPr>
            <w:tcW w:w="615" w:type="pct"/>
            <w:shd w:val="clear" w:color="auto" w:fill="F2F2F2" w:themeFill="background1" w:themeFillShade="F2"/>
          </w:tcPr>
          <w:p w14:paraId="12C24CB4" w14:textId="77777777" w:rsidR="001C5BAE" w:rsidRPr="001E4D58" w:rsidRDefault="001C5BAE" w:rsidP="001E4D58">
            <w:pPr>
              <w:pStyle w:val="Tablesubheading2"/>
              <w:cnfStyle w:val="000000000000" w:firstRow="0" w:lastRow="0" w:firstColumn="0" w:lastColumn="0" w:oddVBand="0" w:evenVBand="0" w:oddHBand="0" w:evenHBand="0" w:firstRowFirstColumn="0" w:firstRowLastColumn="0" w:lastRowFirstColumn="0" w:lastRowLastColumn="0"/>
              <w:rPr>
                <w:b w:val="0"/>
              </w:rPr>
            </w:pPr>
          </w:p>
        </w:tc>
        <w:tc>
          <w:tcPr>
            <w:tcW w:w="1153" w:type="pct"/>
            <w:shd w:val="clear" w:color="auto" w:fill="F2F2F2" w:themeFill="background1" w:themeFillShade="F2"/>
          </w:tcPr>
          <w:p w14:paraId="43055A1A" w14:textId="77777777" w:rsidR="001C5BAE" w:rsidRPr="001E4D58" w:rsidRDefault="001C5BAE" w:rsidP="001E4D58">
            <w:pPr>
              <w:pStyle w:val="Tablesubheading2"/>
              <w:cnfStyle w:val="000000000000" w:firstRow="0" w:lastRow="0" w:firstColumn="0" w:lastColumn="0" w:oddVBand="0" w:evenVBand="0" w:oddHBand="0" w:evenHBand="0" w:firstRowFirstColumn="0" w:firstRowLastColumn="0" w:lastRowFirstColumn="0" w:lastRowLastColumn="0"/>
              <w:rPr>
                <w:b w:val="0"/>
              </w:rPr>
            </w:pPr>
          </w:p>
        </w:tc>
        <w:tc>
          <w:tcPr>
            <w:tcW w:w="623" w:type="pct"/>
            <w:shd w:val="clear" w:color="auto" w:fill="F2F2F2" w:themeFill="background1" w:themeFillShade="F2"/>
          </w:tcPr>
          <w:p w14:paraId="3F5E6093" w14:textId="77777777" w:rsidR="001C5BAE" w:rsidRPr="001E4D58" w:rsidRDefault="001C5BAE" w:rsidP="001E4D58">
            <w:pPr>
              <w:pStyle w:val="Tablesubheading2"/>
              <w:cnfStyle w:val="000000000000" w:firstRow="0" w:lastRow="0" w:firstColumn="0" w:lastColumn="0" w:oddVBand="0" w:evenVBand="0" w:oddHBand="0" w:evenHBand="0" w:firstRowFirstColumn="0" w:firstRowLastColumn="0" w:lastRowFirstColumn="0" w:lastRowLastColumn="0"/>
              <w:rPr>
                <w:b w:val="0"/>
              </w:rPr>
            </w:pPr>
          </w:p>
        </w:tc>
      </w:tr>
      <w:tr w:rsidR="00133610" w14:paraId="247D5D8B" w14:textId="77777777" w:rsidTr="00133610">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33BF2693" w14:textId="77777777" w:rsidR="00133610" w:rsidRPr="005D7F66" w:rsidRDefault="00133610" w:rsidP="0006633E">
            <w:pPr>
              <w:pStyle w:val="TableCopy"/>
              <w:rPr>
                <w:b w:val="0"/>
              </w:rPr>
            </w:pPr>
            <w:r w:rsidRPr="005D7F66">
              <w:rPr>
                <w:b w:val="0"/>
              </w:rPr>
              <w:t>Administrative Support to Pharmacy Schools</w:t>
            </w:r>
          </w:p>
        </w:tc>
        <w:tc>
          <w:tcPr>
            <w:tcW w:w="733" w:type="pct"/>
            <w:tcBorders>
              <w:bottom w:val="nil"/>
            </w:tcBorders>
            <w:shd w:val="clear" w:color="auto" w:fill="F2F2F2" w:themeFill="background1" w:themeFillShade="F2"/>
            <w:vAlign w:val="center"/>
          </w:tcPr>
          <w:p w14:paraId="47379CCF" w14:textId="77777777" w:rsidR="00133610" w:rsidRDefault="00133610" w:rsidP="0006633E">
            <w:pPr>
              <w:pStyle w:val="TableCopy"/>
              <w:cnfStyle w:val="000000000000" w:firstRow="0" w:lastRow="0" w:firstColumn="0" w:lastColumn="0" w:oddVBand="0" w:evenVBand="0" w:oddHBand="0" w:evenHBand="0" w:firstRowFirstColumn="0" w:firstRowLastColumn="0" w:lastRowFirstColumn="0" w:lastRowLastColumn="0"/>
            </w:pPr>
            <w:r>
              <w:rPr>
                <w:rFonts w:ascii="Times New Roman" w:hAnsi="Times New Roman"/>
              </w:rPr>
              <w:t>$</w:t>
            </w:r>
            <w:r>
              <w:t>1.36m</w:t>
            </w:r>
          </w:p>
        </w:tc>
        <w:tc>
          <w:tcPr>
            <w:tcW w:w="615" w:type="pct"/>
            <w:shd w:val="clear" w:color="auto" w:fill="000000" w:themeFill="text1"/>
          </w:tcPr>
          <w:p w14:paraId="3B878F03" w14:textId="77777777" w:rsidR="00133610" w:rsidRDefault="00133610" w:rsidP="0006633E">
            <w:pPr>
              <w:pStyle w:val="TableCopy"/>
              <w:jc w:val="center"/>
              <w:cnfStyle w:val="000000000000" w:firstRow="0" w:lastRow="0" w:firstColumn="0" w:lastColumn="0" w:oddVBand="0" w:evenVBand="0" w:oddHBand="0" w:evenHBand="0" w:firstRowFirstColumn="0" w:firstRowLastColumn="0" w:lastRowFirstColumn="0" w:lastRowLastColumn="0"/>
            </w:pPr>
          </w:p>
        </w:tc>
        <w:tc>
          <w:tcPr>
            <w:tcW w:w="1153" w:type="pct"/>
            <w:shd w:val="clear" w:color="auto" w:fill="F2F2F2" w:themeFill="background1" w:themeFillShade="F2"/>
          </w:tcPr>
          <w:p w14:paraId="5A862973" w14:textId="77777777" w:rsidR="00133610" w:rsidRPr="00F44FAD" w:rsidRDefault="00133610" w:rsidP="0006633E">
            <w:pPr>
              <w:pStyle w:val="TableCopy"/>
              <w:cnfStyle w:val="000000000000" w:firstRow="0" w:lastRow="0" w:firstColumn="0" w:lastColumn="0" w:oddVBand="0" w:evenVBand="0" w:oddHBand="0" w:evenHBand="0" w:firstRowFirstColumn="0" w:firstRowLastColumn="0" w:lastRowFirstColumn="0" w:lastRowLastColumn="0"/>
            </w:pPr>
            <w:r>
              <w:t>Universities supported (no.)</w:t>
            </w:r>
          </w:p>
        </w:tc>
        <w:tc>
          <w:tcPr>
            <w:tcW w:w="623" w:type="pct"/>
            <w:shd w:val="clear" w:color="auto" w:fill="F2F2F2" w:themeFill="background1" w:themeFillShade="F2"/>
          </w:tcPr>
          <w:p w14:paraId="67F105EE" w14:textId="77777777" w:rsidR="00133610" w:rsidRPr="00134FD1" w:rsidRDefault="00133610" w:rsidP="0006633E">
            <w:pPr>
              <w:pStyle w:val="TableCopy"/>
              <w:jc w:val="center"/>
              <w:cnfStyle w:val="000000000000" w:firstRow="0" w:lastRow="0" w:firstColumn="0" w:lastColumn="0" w:oddVBand="0" w:evenVBand="0" w:oddHBand="0" w:evenHBand="0" w:firstRowFirstColumn="0" w:firstRowLastColumn="0" w:lastRowFirstColumn="0" w:lastRowLastColumn="0"/>
            </w:pPr>
            <w:r>
              <w:t>16</w:t>
            </w:r>
          </w:p>
        </w:tc>
      </w:tr>
      <w:tr w:rsidR="00133610" w14:paraId="2496CDF6" w14:textId="77777777" w:rsidTr="00133610">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787A6E6A" w14:textId="77777777" w:rsidR="00133610" w:rsidRPr="005D7F66" w:rsidRDefault="00133610" w:rsidP="0006633E">
            <w:pPr>
              <w:pStyle w:val="TableCopy"/>
              <w:rPr>
                <w:b w:val="0"/>
              </w:rPr>
            </w:pPr>
            <w:r w:rsidRPr="005D7F66">
              <w:rPr>
                <w:b w:val="0"/>
              </w:rPr>
              <w:t>Rural Pharmacy Liaison Officer Program^</w:t>
            </w:r>
          </w:p>
        </w:tc>
        <w:tc>
          <w:tcPr>
            <w:tcW w:w="733" w:type="pct"/>
            <w:tcBorders>
              <w:top w:val="nil"/>
            </w:tcBorders>
            <w:shd w:val="clear" w:color="auto" w:fill="F2F2F2" w:themeFill="background1" w:themeFillShade="F2"/>
          </w:tcPr>
          <w:p w14:paraId="0BEADF4F" w14:textId="77777777" w:rsidR="00133610" w:rsidRDefault="00133610" w:rsidP="0006633E">
            <w:pPr>
              <w:pStyle w:val="TableCopy"/>
              <w:cnfStyle w:val="000000000000" w:firstRow="0" w:lastRow="0" w:firstColumn="0" w:lastColumn="0" w:oddVBand="0" w:evenVBand="0" w:oddHBand="0" w:evenHBand="0" w:firstRowFirstColumn="0" w:firstRowLastColumn="0" w:lastRowFirstColumn="0" w:lastRowLastColumn="0"/>
            </w:pPr>
          </w:p>
        </w:tc>
        <w:tc>
          <w:tcPr>
            <w:tcW w:w="615" w:type="pct"/>
            <w:shd w:val="clear" w:color="auto" w:fill="000000" w:themeFill="text1"/>
          </w:tcPr>
          <w:p w14:paraId="4C85847C" w14:textId="77777777" w:rsidR="00133610" w:rsidRDefault="00133610" w:rsidP="0006633E">
            <w:pPr>
              <w:pStyle w:val="TableCopy"/>
              <w:jc w:val="center"/>
              <w:cnfStyle w:val="000000000000" w:firstRow="0" w:lastRow="0" w:firstColumn="0" w:lastColumn="0" w:oddVBand="0" w:evenVBand="0" w:oddHBand="0" w:evenHBand="0" w:firstRowFirstColumn="0" w:firstRowLastColumn="0" w:lastRowFirstColumn="0" w:lastRowLastColumn="0"/>
            </w:pPr>
          </w:p>
        </w:tc>
        <w:tc>
          <w:tcPr>
            <w:tcW w:w="1153" w:type="pct"/>
            <w:shd w:val="clear" w:color="auto" w:fill="F2F2F2" w:themeFill="background1" w:themeFillShade="F2"/>
          </w:tcPr>
          <w:p w14:paraId="39385806" w14:textId="77777777" w:rsidR="00133610" w:rsidRPr="00F44FAD" w:rsidRDefault="00133610" w:rsidP="0006633E">
            <w:pPr>
              <w:pStyle w:val="TableCopy"/>
              <w:cnfStyle w:val="000000000000" w:firstRow="0" w:lastRow="0" w:firstColumn="0" w:lastColumn="0" w:oddVBand="0" w:evenVBand="0" w:oddHBand="0" w:evenHBand="0" w:firstRowFirstColumn="0" w:firstRowLastColumn="0" w:lastRowFirstColumn="0" w:lastRowLastColumn="0"/>
            </w:pPr>
            <w:r>
              <w:t>Number employed at UDRHs</w:t>
            </w:r>
          </w:p>
        </w:tc>
        <w:tc>
          <w:tcPr>
            <w:tcW w:w="623" w:type="pct"/>
            <w:shd w:val="clear" w:color="auto" w:fill="F2F2F2" w:themeFill="background1" w:themeFillShade="F2"/>
          </w:tcPr>
          <w:p w14:paraId="4195A2E4" w14:textId="77777777" w:rsidR="00133610" w:rsidRPr="00134FD1" w:rsidRDefault="00133610" w:rsidP="0006633E">
            <w:pPr>
              <w:pStyle w:val="TableCopy"/>
              <w:jc w:val="center"/>
              <w:cnfStyle w:val="000000000000" w:firstRow="0" w:lastRow="0" w:firstColumn="0" w:lastColumn="0" w:oddVBand="0" w:evenVBand="0" w:oddHBand="0" w:evenHBand="0" w:firstRowFirstColumn="0" w:firstRowLastColumn="0" w:lastRowFirstColumn="0" w:lastRowLastColumn="0"/>
            </w:pPr>
            <w:r>
              <w:t>10</w:t>
            </w:r>
          </w:p>
        </w:tc>
      </w:tr>
      <w:tr w:rsidR="001C5BAE" w14:paraId="0F3D5481" w14:textId="77777777" w:rsidTr="00133610">
        <w:trPr>
          <w:jc w:val="center"/>
        </w:trPr>
        <w:tc>
          <w:tcPr>
            <w:cnfStyle w:val="001000000000" w:firstRow="0" w:lastRow="0" w:firstColumn="1" w:lastColumn="0" w:oddVBand="0" w:evenVBand="0" w:oddHBand="0" w:evenHBand="0" w:firstRowFirstColumn="0" w:firstRowLastColumn="0" w:lastRowFirstColumn="0" w:lastRowLastColumn="0"/>
            <w:tcW w:w="1876" w:type="pct"/>
            <w:tcBorders>
              <w:bottom w:val="single" w:sz="4" w:space="0" w:color="auto"/>
            </w:tcBorders>
            <w:shd w:val="clear" w:color="auto" w:fill="F2F2F2" w:themeFill="background1" w:themeFillShade="F2"/>
          </w:tcPr>
          <w:p w14:paraId="486814A2" w14:textId="77777777" w:rsidR="001C5BAE" w:rsidRPr="005D7F66" w:rsidRDefault="001C5BAE" w:rsidP="0006633E">
            <w:pPr>
              <w:pStyle w:val="TableCopy"/>
              <w:rPr>
                <w:b w:val="0"/>
              </w:rPr>
            </w:pPr>
            <w:r w:rsidRPr="00E6670B">
              <w:rPr>
                <w:b w:val="0"/>
                <w:i/>
              </w:rPr>
              <w:t xml:space="preserve">Sub-total: </w:t>
            </w:r>
            <w:r>
              <w:rPr>
                <w:b w:val="0"/>
                <w:i/>
              </w:rPr>
              <w:t xml:space="preserve">Other workforce support </w:t>
            </w:r>
            <w:r w:rsidRPr="00E6670B">
              <w:rPr>
                <w:b w:val="0"/>
                <w:i/>
              </w:rPr>
              <w:t>programs</w:t>
            </w:r>
          </w:p>
        </w:tc>
        <w:tc>
          <w:tcPr>
            <w:tcW w:w="733" w:type="pct"/>
            <w:tcBorders>
              <w:bottom w:val="single" w:sz="4" w:space="0" w:color="auto"/>
            </w:tcBorders>
            <w:shd w:val="clear" w:color="auto" w:fill="F2F2F2" w:themeFill="background1" w:themeFillShade="F2"/>
          </w:tcPr>
          <w:p w14:paraId="5BEC6284" w14:textId="77777777" w:rsidR="001C5BAE" w:rsidRPr="004A14F0" w:rsidRDefault="001C5BAE" w:rsidP="0006633E">
            <w:pPr>
              <w:pStyle w:val="TableCopy"/>
              <w:cnfStyle w:val="000000000000" w:firstRow="0" w:lastRow="0" w:firstColumn="0" w:lastColumn="0" w:oddVBand="0" w:evenVBand="0" w:oddHBand="0" w:evenHBand="0" w:firstRowFirstColumn="0" w:firstRowLastColumn="0" w:lastRowFirstColumn="0" w:lastRowLastColumn="0"/>
              <w:rPr>
                <w:i/>
              </w:rPr>
            </w:pPr>
            <w:r>
              <w:rPr>
                <w:rFonts w:ascii="Times New Roman" w:hAnsi="Times New Roman"/>
                <w:i/>
              </w:rPr>
              <w:t>$</w:t>
            </w:r>
            <w:r w:rsidRPr="004A14F0">
              <w:rPr>
                <w:i/>
              </w:rPr>
              <w:t>1.36m</w:t>
            </w:r>
          </w:p>
        </w:tc>
        <w:tc>
          <w:tcPr>
            <w:tcW w:w="615" w:type="pct"/>
            <w:tcBorders>
              <w:bottom w:val="single" w:sz="4" w:space="0" w:color="auto"/>
            </w:tcBorders>
            <w:shd w:val="clear" w:color="auto" w:fill="F2F2F2" w:themeFill="background1" w:themeFillShade="F2"/>
          </w:tcPr>
          <w:p w14:paraId="168C4FBA" w14:textId="77777777" w:rsidR="001C5BAE" w:rsidRPr="004A14F0" w:rsidRDefault="001C5BAE" w:rsidP="0006633E">
            <w:pPr>
              <w:pStyle w:val="TableCopy"/>
              <w:jc w:val="center"/>
              <w:cnfStyle w:val="000000000000" w:firstRow="0" w:lastRow="0" w:firstColumn="0" w:lastColumn="0" w:oddVBand="0" w:evenVBand="0" w:oddHBand="0" w:evenHBand="0" w:firstRowFirstColumn="0" w:firstRowLastColumn="0" w:lastRowFirstColumn="0" w:lastRowLastColumn="0"/>
              <w:rPr>
                <w:i/>
              </w:rPr>
            </w:pPr>
            <w:r>
              <w:rPr>
                <w:i/>
              </w:rPr>
              <w:t>29%</w:t>
            </w:r>
          </w:p>
        </w:tc>
        <w:tc>
          <w:tcPr>
            <w:tcW w:w="1153" w:type="pct"/>
            <w:tcBorders>
              <w:bottom w:val="single" w:sz="4" w:space="0" w:color="auto"/>
            </w:tcBorders>
            <w:shd w:val="clear" w:color="auto" w:fill="000000" w:themeFill="text1"/>
          </w:tcPr>
          <w:p w14:paraId="1FDB4A05" w14:textId="77777777" w:rsidR="001C5BAE" w:rsidRPr="00F44FAD" w:rsidRDefault="001C5BAE" w:rsidP="0006633E">
            <w:pPr>
              <w:pStyle w:val="TableCopy"/>
              <w:cnfStyle w:val="000000000000" w:firstRow="0" w:lastRow="0" w:firstColumn="0" w:lastColumn="0" w:oddVBand="0" w:evenVBand="0" w:oddHBand="0" w:evenHBand="0" w:firstRowFirstColumn="0" w:firstRowLastColumn="0" w:lastRowFirstColumn="0" w:lastRowLastColumn="0"/>
            </w:pPr>
          </w:p>
        </w:tc>
        <w:tc>
          <w:tcPr>
            <w:tcW w:w="623" w:type="pct"/>
            <w:tcBorders>
              <w:bottom w:val="single" w:sz="4" w:space="0" w:color="auto"/>
            </w:tcBorders>
            <w:shd w:val="clear" w:color="auto" w:fill="000000" w:themeFill="text1"/>
          </w:tcPr>
          <w:p w14:paraId="3AB3652D" w14:textId="77777777" w:rsidR="001C5BAE" w:rsidRDefault="001C5BAE" w:rsidP="0006633E">
            <w:pPr>
              <w:pStyle w:val="TableCopy"/>
              <w:jc w:val="center"/>
              <w:cnfStyle w:val="000000000000" w:firstRow="0" w:lastRow="0" w:firstColumn="0" w:lastColumn="0" w:oddVBand="0" w:evenVBand="0" w:oddHBand="0" w:evenHBand="0" w:firstRowFirstColumn="0" w:firstRowLastColumn="0" w:lastRowFirstColumn="0" w:lastRowLastColumn="0"/>
            </w:pPr>
          </w:p>
        </w:tc>
      </w:tr>
      <w:tr w:rsidR="00133610" w:rsidRPr="003E51C4" w14:paraId="2253E90E" w14:textId="77777777" w:rsidTr="00133610">
        <w:trPr>
          <w:jc w:val="center"/>
        </w:trPr>
        <w:tc>
          <w:tcPr>
            <w:cnfStyle w:val="001000000000" w:firstRow="0" w:lastRow="0" w:firstColumn="1" w:lastColumn="0" w:oddVBand="0" w:evenVBand="0" w:oddHBand="0" w:evenHBand="0" w:firstRowFirstColumn="0" w:firstRowLastColumn="0" w:lastRowFirstColumn="0" w:lastRowLastColumn="0"/>
            <w:tcW w:w="1876" w:type="pct"/>
            <w:tcBorders>
              <w:right w:val="nil"/>
            </w:tcBorders>
            <w:shd w:val="clear" w:color="auto" w:fill="A6A6A6" w:themeFill="background1" w:themeFillShade="A6"/>
          </w:tcPr>
          <w:p w14:paraId="3B8F4075" w14:textId="77777777" w:rsidR="00133610" w:rsidRPr="003E51C4" w:rsidRDefault="00133610" w:rsidP="001E4D58">
            <w:pPr>
              <w:pStyle w:val="Tablesubheading1"/>
              <w:rPr>
                <w:b w:val="0"/>
                <w:color w:val="000000" w:themeColor="text1"/>
              </w:rPr>
            </w:pPr>
            <w:r w:rsidRPr="003E51C4">
              <w:rPr>
                <w:color w:val="000000" w:themeColor="text1"/>
              </w:rPr>
              <w:t>Aboriginal and Torres Strait Islander Workforce Package components</w:t>
            </w:r>
          </w:p>
        </w:tc>
        <w:tc>
          <w:tcPr>
            <w:tcW w:w="733" w:type="pct"/>
            <w:tcBorders>
              <w:left w:val="nil"/>
              <w:bottom w:val="single" w:sz="4" w:space="0" w:color="auto"/>
              <w:right w:val="nil"/>
            </w:tcBorders>
            <w:shd w:val="clear" w:color="auto" w:fill="A6A6A6" w:themeFill="background1" w:themeFillShade="A6"/>
          </w:tcPr>
          <w:p w14:paraId="01A88E57" w14:textId="77777777" w:rsidR="00133610" w:rsidRPr="003E51C4" w:rsidRDefault="00133610" w:rsidP="001E4D58">
            <w:pPr>
              <w:pStyle w:val="Tablesubheading1"/>
              <w:cnfStyle w:val="000000000000" w:firstRow="0" w:lastRow="0" w:firstColumn="0" w:lastColumn="0" w:oddVBand="0" w:evenVBand="0" w:oddHBand="0" w:evenHBand="0" w:firstRowFirstColumn="0" w:firstRowLastColumn="0" w:lastRowFirstColumn="0" w:lastRowLastColumn="0"/>
              <w:rPr>
                <w:b/>
                <w:color w:val="000000" w:themeColor="text1"/>
              </w:rPr>
            </w:pPr>
          </w:p>
        </w:tc>
        <w:tc>
          <w:tcPr>
            <w:tcW w:w="615" w:type="pct"/>
            <w:tcBorders>
              <w:left w:val="nil"/>
              <w:right w:val="nil"/>
            </w:tcBorders>
            <w:shd w:val="clear" w:color="auto" w:fill="A6A6A6" w:themeFill="background1" w:themeFillShade="A6"/>
          </w:tcPr>
          <w:p w14:paraId="3A695E2C" w14:textId="77777777" w:rsidR="00133610" w:rsidRPr="003E51C4" w:rsidRDefault="00133610" w:rsidP="001E4D58">
            <w:pPr>
              <w:pStyle w:val="Tablesubheading1"/>
              <w:cnfStyle w:val="000000000000" w:firstRow="0" w:lastRow="0" w:firstColumn="0" w:lastColumn="0" w:oddVBand="0" w:evenVBand="0" w:oddHBand="0" w:evenHBand="0" w:firstRowFirstColumn="0" w:firstRowLastColumn="0" w:lastRowFirstColumn="0" w:lastRowLastColumn="0"/>
              <w:rPr>
                <w:b/>
                <w:color w:val="000000" w:themeColor="text1"/>
              </w:rPr>
            </w:pPr>
          </w:p>
        </w:tc>
        <w:tc>
          <w:tcPr>
            <w:tcW w:w="1153" w:type="pct"/>
            <w:tcBorders>
              <w:left w:val="nil"/>
              <w:right w:val="nil"/>
            </w:tcBorders>
            <w:shd w:val="clear" w:color="auto" w:fill="A6A6A6" w:themeFill="background1" w:themeFillShade="A6"/>
          </w:tcPr>
          <w:p w14:paraId="774E8B29" w14:textId="77777777" w:rsidR="00133610" w:rsidRPr="003E51C4" w:rsidRDefault="00133610" w:rsidP="001E4D58">
            <w:pPr>
              <w:pStyle w:val="Tablesubheading1"/>
              <w:cnfStyle w:val="000000000000" w:firstRow="0" w:lastRow="0" w:firstColumn="0" w:lastColumn="0" w:oddVBand="0" w:evenVBand="0" w:oddHBand="0" w:evenHBand="0" w:firstRowFirstColumn="0" w:firstRowLastColumn="0" w:lastRowFirstColumn="0" w:lastRowLastColumn="0"/>
              <w:rPr>
                <w:b/>
                <w:color w:val="000000" w:themeColor="text1"/>
              </w:rPr>
            </w:pPr>
          </w:p>
        </w:tc>
        <w:tc>
          <w:tcPr>
            <w:tcW w:w="623" w:type="pct"/>
            <w:tcBorders>
              <w:left w:val="nil"/>
            </w:tcBorders>
            <w:shd w:val="clear" w:color="auto" w:fill="A6A6A6" w:themeFill="background1" w:themeFillShade="A6"/>
          </w:tcPr>
          <w:p w14:paraId="3EDF9495" w14:textId="665DE7B7" w:rsidR="00133610" w:rsidRPr="003E51C4" w:rsidRDefault="00133610" w:rsidP="001E4D58">
            <w:pPr>
              <w:pStyle w:val="Tablesubheading1"/>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33610" w14:paraId="59D1D715" w14:textId="77777777" w:rsidTr="00133610">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08207829" w14:textId="77777777" w:rsidR="00133610" w:rsidRPr="005D7F66" w:rsidRDefault="00133610" w:rsidP="0006633E">
            <w:pPr>
              <w:pStyle w:val="TableCopy"/>
              <w:rPr>
                <w:b w:val="0"/>
              </w:rPr>
            </w:pPr>
            <w:r w:rsidRPr="005D7F66">
              <w:rPr>
                <w:b w:val="0"/>
              </w:rPr>
              <w:t>Aboriginal and Torres Strait Islander Pharmacy Scholarship Scheme</w:t>
            </w:r>
          </w:p>
        </w:tc>
        <w:tc>
          <w:tcPr>
            <w:tcW w:w="733" w:type="pct"/>
            <w:tcBorders>
              <w:bottom w:val="nil"/>
            </w:tcBorders>
            <w:shd w:val="clear" w:color="auto" w:fill="F2F2F2" w:themeFill="background1" w:themeFillShade="F2"/>
            <w:vAlign w:val="center"/>
          </w:tcPr>
          <w:p w14:paraId="60AE679A" w14:textId="77777777" w:rsidR="00133610" w:rsidRDefault="00133610" w:rsidP="0006633E">
            <w:pPr>
              <w:pStyle w:val="TableCopy"/>
              <w:cnfStyle w:val="000000000000" w:firstRow="0" w:lastRow="0" w:firstColumn="0" w:lastColumn="0" w:oddVBand="0" w:evenVBand="0" w:oddHBand="0" w:evenHBand="0" w:firstRowFirstColumn="0" w:firstRowLastColumn="0" w:lastRowFirstColumn="0" w:lastRowLastColumn="0"/>
            </w:pPr>
            <w:r>
              <w:rPr>
                <w:rFonts w:ascii="Times New Roman" w:hAnsi="Times New Roman"/>
              </w:rPr>
              <w:t>$</w:t>
            </w:r>
            <w:r>
              <w:t>0.23m</w:t>
            </w:r>
          </w:p>
        </w:tc>
        <w:tc>
          <w:tcPr>
            <w:tcW w:w="615" w:type="pct"/>
            <w:shd w:val="clear" w:color="auto" w:fill="000000" w:themeFill="text1"/>
          </w:tcPr>
          <w:p w14:paraId="1DC96D51" w14:textId="77777777" w:rsidR="00133610" w:rsidRDefault="00133610" w:rsidP="0006633E">
            <w:pPr>
              <w:pStyle w:val="TableCopy"/>
              <w:cnfStyle w:val="000000000000" w:firstRow="0" w:lastRow="0" w:firstColumn="0" w:lastColumn="0" w:oddVBand="0" w:evenVBand="0" w:oddHBand="0" w:evenHBand="0" w:firstRowFirstColumn="0" w:firstRowLastColumn="0" w:lastRowFirstColumn="0" w:lastRowLastColumn="0"/>
            </w:pPr>
          </w:p>
        </w:tc>
        <w:tc>
          <w:tcPr>
            <w:tcW w:w="1153" w:type="pct"/>
            <w:shd w:val="clear" w:color="auto" w:fill="F2F2F2" w:themeFill="background1" w:themeFillShade="F2"/>
          </w:tcPr>
          <w:p w14:paraId="53738541" w14:textId="77777777" w:rsidR="00133610" w:rsidRPr="00F44FAD" w:rsidRDefault="00133610" w:rsidP="0006633E">
            <w:pPr>
              <w:pStyle w:val="TableCopy"/>
              <w:cnfStyle w:val="000000000000" w:firstRow="0" w:lastRow="0" w:firstColumn="0" w:lastColumn="0" w:oddVBand="0" w:evenVBand="0" w:oddHBand="0" w:evenHBand="0" w:firstRowFirstColumn="0" w:firstRowLastColumn="0" w:lastRowFirstColumn="0" w:lastRowLastColumn="0"/>
            </w:pPr>
            <w:r>
              <w:t>Scholarships (no.)</w:t>
            </w:r>
          </w:p>
        </w:tc>
        <w:tc>
          <w:tcPr>
            <w:tcW w:w="623" w:type="pct"/>
            <w:shd w:val="clear" w:color="auto" w:fill="F2F2F2" w:themeFill="background1" w:themeFillShade="F2"/>
          </w:tcPr>
          <w:p w14:paraId="11CBFDBC" w14:textId="77777777" w:rsidR="00133610" w:rsidRPr="00F44FAD" w:rsidRDefault="00133610" w:rsidP="0006633E">
            <w:pPr>
              <w:pStyle w:val="TableCopy"/>
              <w:jc w:val="center"/>
              <w:cnfStyle w:val="000000000000" w:firstRow="0" w:lastRow="0" w:firstColumn="0" w:lastColumn="0" w:oddVBand="0" w:evenVBand="0" w:oddHBand="0" w:evenHBand="0" w:firstRowFirstColumn="0" w:firstRowLastColumn="0" w:lastRowFirstColumn="0" w:lastRowLastColumn="0"/>
            </w:pPr>
            <w:r>
              <w:t>6.5</w:t>
            </w:r>
          </w:p>
        </w:tc>
      </w:tr>
      <w:tr w:rsidR="00133610" w14:paraId="4FC9E115" w14:textId="77777777" w:rsidTr="00133610">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62352CE6" w14:textId="77777777" w:rsidR="00133610" w:rsidRPr="005D7F66" w:rsidRDefault="00133610" w:rsidP="0006633E">
            <w:pPr>
              <w:pStyle w:val="TableCopy"/>
              <w:rPr>
                <w:b w:val="0"/>
              </w:rPr>
            </w:pPr>
            <w:r w:rsidRPr="005D7F66">
              <w:rPr>
                <w:b w:val="0"/>
              </w:rPr>
              <w:t>Aboriginal and Torres Strait Islander Pharmacy Assistant Traineeship Scheme</w:t>
            </w:r>
          </w:p>
        </w:tc>
        <w:tc>
          <w:tcPr>
            <w:tcW w:w="733" w:type="pct"/>
            <w:tcBorders>
              <w:top w:val="nil"/>
            </w:tcBorders>
            <w:shd w:val="clear" w:color="auto" w:fill="F2F2F2" w:themeFill="background1" w:themeFillShade="F2"/>
          </w:tcPr>
          <w:p w14:paraId="2D085F74" w14:textId="77777777" w:rsidR="00133610" w:rsidRDefault="00133610" w:rsidP="0006633E">
            <w:pPr>
              <w:pStyle w:val="TableCopy"/>
              <w:cnfStyle w:val="000000000000" w:firstRow="0" w:lastRow="0" w:firstColumn="0" w:lastColumn="0" w:oddVBand="0" w:evenVBand="0" w:oddHBand="0" w:evenHBand="0" w:firstRowFirstColumn="0" w:firstRowLastColumn="0" w:lastRowFirstColumn="0" w:lastRowLastColumn="0"/>
            </w:pPr>
          </w:p>
        </w:tc>
        <w:tc>
          <w:tcPr>
            <w:tcW w:w="615" w:type="pct"/>
            <w:shd w:val="clear" w:color="auto" w:fill="000000" w:themeFill="text1"/>
          </w:tcPr>
          <w:p w14:paraId="3542AE32" w14:textId="77777777" w:rsidR="00133610" w:rsidRDefault="00133610" w:rsidP="0006633E">
            <w:pPr>
              <w:pStyle w:val="TableCopy"/>
              <w:cnfStyle w:val="000000000000" w:firstRow="0" w:lastRow="0" w:firstColumn="0" w:lastColumn="0" w:oddVBand="0" w:evenVBand="0" w:oddHBand="0" w:evenHBand="0" w:firstRowFirstColumn="0" w:firstRowLastColumn="0" w:lastRowFirstColumn="0" w:lastRowLastColumn="0"/>
            </w:pPr>
          </w:p>
        </w:tc>
        <w:tc>
          <w:tcPr>
            <w:tcW w:w="1153" w:type="pct"/>
            <w:shd w:val="clear" w:color="auto" w:fill="F2F2F2" w:themeFill="background1" w:themeFillShade="F2"/>
          </w:tcPr>
          <w:p w14:paraId="5A2191D3" w14:textId="77777777" w:rsidR="00133610" w:rsidRPr="00F44FAD" w:rsidRDefault="00133610" w:rsidP="0006633E">
            <w:pPr>
              <w:pStyle w:val="TableCopy"/>
              <w:cnfStyle w:val="000000000000" w:firstRow="0" w:lastRow="0" w:firstColumn="0" w:lastColumn="0" w:oddVBand="0" w:evenVBand="0" w:oddHBand="0" w:evenHBand="0" w:firstRowFirstColumn="0" w:firstRowLastColumn="0" w:lastRowFirstColumn="0" w:lastRowLastColumn="0"/>
            </w:pPr>
            <w:r>
              <w:t>Pharmacy Assistant Traineeships (no.)</w:t>
            </w:r>
          </w:p>
        </w:tc>
        <w:tc>
          <w:tcPr>
            <w:tcW w:w="623" w:type="pct"/>
            <w:shd w:val="clear" w:color="auto" w:fill="F2F2F2" w:themeFill="background1" w:themeFillShade="F2"/>
          </w:tcPr>
          <w:p w14:paraId="54E42770" w14:textId="77777777" w:rsidR="00133610" w:rsidRPr="00F44FAD" w:rsidRDefault="00133610" w:rsidP="0006633E">
            <w:pPr>
              <w:pStyle w:val="TableCopy"/>
              <w:jc w:val="center"/>
              <w:cnfStyle w:val="000000000000" w:firstRow="0" w:lastRow="0" w:firstColumn="0" w:lastColumn="0" w:oddVBand="0" w:evenVBand="0" w:oddHBand="0" w:evenHBand="0" w:firstRowFirstColumn="0" w:firstRowLastColumn="0" w:lastRowFirstColumn="0" w:lastRowLastColumn="0"/>
            </w:pPr>
            <w:r w:rsidRPr="00F44FAD">
              <w:t>14</w:t>
            </w:r>
          </w:p>
        </w:tc>
      </w:tr>
      <w:tr w:rsidR="001C5BAE" w14:paraId="44D0B2BE" w14:textId="77777777" w:rsidTr="00AA0559">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0ECCC3F7" w14:textId="77777777" w:rsidR="001C5BAE" w:rsidRPr="005D7F66" w:rsidRDefault="001C5BAE" w:rsidP="0006633E">
            <w:pPr>
              <w:pStyle w:val="TableCopy"/>
              <w:rPr>
                <w:b w:val="0"/>
              </w:rPr>
            </w:pPr>
            <w:r w:rsidRPr="00E6670B">
              <w:rPr>
                <w:b w:val="0"/>
                <w:i/>
              </w:rPr>
              <w:t xml:space="preserve">Sub-total: </w:t>
            </w:r>
            <w:r>
              <w:rPr>
                <w:b w:val="0"/>
                <w:i/>
              </w:rPr>
              <w:t>Enhancing availability of culturally appropriate services</w:t>
            </w:r>
          </w:p>
        </w:tc>
        <w:tc>
          <w:tcPr>
            <w:tcW w:w="733" w:type="pct"/>
            <w:shd w:val="clear" w:color="auto" w:fill="F2F2F2" w:themeFill="background1" w:themeFillShade="F2"/>
          </w:tcPr>
          <w:p w14:paraId="60868C55" w14:textId="77777777" w:rsidR="001C5BAE" w:rsidRPr="004A14F0" w:rsidRDefault="001C5BAE" w:rsidP="0006633E">
            <w:pPr>
              <w:pStyle w:val="TableCopy"/>
              <w:cnfStyle w:val="000000000000" w:firstRow="0" w:lastRow="0" w:firstColumn="0" w:lastColumn="0" w:oddVBand="0" w:evenVBand="0" w:oddHBand="0" w:evenHBand="0" w:firstRowFirstColumn="0" w:firstRowLastColumn="0" w:lastRowFirstColumn="0" w:lastRowLastColumn="0"/>
              <w:rPr>
                <w:i/>
              </w:rPr>
            </w:pPr>
            <w:r>
              <w:rPr>
                <w:rFonts w:ascii="Times New Roman" w:hAnsi="Times New Roman"/>
                <w:i/>
              </w:rPr>
              <w:t>$</w:t>
            </w:r>
            <w:r>
              <w:rPr>
                <w:i/>
              </w:rPr>
              <w:t>0.23</w:t>
            </w:r>
            <w:r w:rsidRPr="004A14F0">
              <w:rPr>
                <w:i/>
              </w:rPr>
              <w:t>m</w:t>
            </w:r>
          </w:p>
        </w:tc>
        <w:tc>
          <w:tcPr>
            <w:tcW w:w="615" w:type="pct"/>
            <w:shd w:val="clear" w:color="auto" w:fill="F2F2F2" w:themeFill="background1" w:themeFillShade="F2"/>
          </w:tcPr>
          <w:p w14:paraId="24C27C29" w14:textId="77777777" w:rsidR="001C5BAE" w:rsidRPr="004A14F0" w:rsidRDefault="001C5BAE" w:rsidP="0006633E">
            <w:pPr>
              <w:pStyle w:val="TableCopy"/>
              <w:jc w:val="center"/>
              <w:cnfStyle w:val="000000000000" w:firstRow="0" w:lastRow="0" w:firstColumn="0" w:lastColumn="0" w:oddVBand="0" w:evenVBand="0" w:oddHBand="0" w:evenHBand="0" w:firstRowFirstColumn="0" w:firstRowLastColumn="0" w:lastRowFirstColumn="0" w:lastRowLastColumn="0"/>
              <w:rPr>
                <w:i/>
              </w:rPr>
            </w:pPr>
            <w:r>
              <w:rPr>
                <w:i/>
              </w:rPr>
              <w:t>5%</w:t>
            </w:r>
          </w:p>
        </w:tc>
        <w:tc>
          <w:tcPr>
            <w:tcW w:w="1153" w:type="pct"/>
            <w:shd w:val="clear" w:color="auto" w:fill="000000" w:themeFill="text1"/>
          </w:tcPr>
          <w:p w14:paraId="5421FE38" w14:textId="77777777" w:rsidR="001C5BAE" w:rsidRDefault="001C5BAE" w:rsidP="0006633E">
            <w:pPr>
              <w:pStyle w:val="TableCopy"/>
              <w:cnfStyle w:val="000000000000" w:firstRow="0" w:lastRow="0" w:firstColumn="0" w:lastColumn="0" w:oddVBand="0" w:evenVBand="0" w:oddHBand="0" w:evenHBand="0" w:firstRowFirstColumn="0" w:firstRowLastColumn="0" w:lastRowFirstColumn="0" w:lastRowLastColumn="0"/>
            </w:pPr>
          </w:p>
        </w:tc>
        <w:tc>
          <w:tcPr>
            <w:tcW w:w="623" w:type="pct"/>
            <w:shd w:val="clear" w:color="auto" w:fill="000000" w:themeFill="text1"/>
          </w:tcPr>
          <w:p w14:paraId="37229591" w14:textId="77777777" w:rsidR="001C5BAE" w:rsidRPr="00F44FAD" w:rsidRDefault="001C5BAE" w:rsidP="0006633E">
            <w:pPr>
              <w:pStyle w:val="TableCopy"/>
              <w:jc w:val="center"/>
              <w:cnfStyle w:val="000000000000" w:firstRow="0" w:lastRow="0" w:firstColumn="0" w:lastColumn="0" w:oddVBand="0" w:evenVBand="0" w:oddHBand="0" w:evenHBand="0" w:firstRowFirstColumn="0" w:firstRowLastColumn="0" w:lastRowFirstColumn="0" w:lastRowLastColumn="0"/>
            </w:pPr>
          </w:p>
        </w:tc>
      </w:tr>
      <w:tr w:rsidR="001C5BAE" w14:paraId="2B443C6C" w14:textId="77777777" w:rsidTr="00AA0559">
        <w:trPr>
          <w:jc w:val="center"/>
        </w:trPr>
        <w:tc>
          <w:tcPr>
            <w:cnfStyle w:val="001000000000" w:firstRow="0" w:lastRow="0" w:firstColumn="1" w:lastColumn="0" w:oddVBand="0" w:evenVBand="0" w:oddHBand="0" w:evenHBand="0" w:firstRowFirstColumn="0" w:firstRowLastColumn="0" w:lastRowFirstColumn="0" w:lastRowLastColumn="0"/>
            <w:tcW w:w="1876" w:type="pct"/>
            <w:shd w:val="clear" w:color="auto" w:fill="F2F2F2" w:themeFill="background1" w:themeFillShade="F2"/>
          </w:tcPr>
          <w:p w14:paraId="1565FF6A" w14:textId="77777777" w:rsidR="001C5BAE" w:rsidRPr="0034258C" w:rsidRDefault="001C5BAE" w:rsidP="0006633E">
            <w:pPr>
              <w:pStyle w:val="TableCopy"/>
              <w:rPr>
                <w:i/>
              </w:rPr>
            </w:pPr>
            <w:r w:rsidRPr="0034258C">
              <w:rPr>
                <w:i/>
              </w:rPr>
              <w:t>Total</w:t>
            </w:r>
          </w:p>
        </w:tc>
        <w:tc>
          <w:tcPr>
            <w:tcW w:w="733" w:type="pct"/>
            <w:shd w:val="clear" w:color="auto" w:fill="F2F2F2" w:themeFill="background1" w:themeFillShade="F2"/>
          </w:tcPr>
          <w:p w14:paraId="05043790" w14:textId="77777777" w:rsidR="001C5BAE" w:rsidRPr="00E30C52" w:rsidRDefault="001C5BAE" w:rsidP="0006633E">
            <w:pPr>
              <w:pStyle w:val="TableCopy"/>
              <w:cnfStyle w:val="000000000000" w:firstRow="0" w:lastRow="0" w:firstColumn="0" w:lastColumn="0" w:oddVBand="0" w:evenVBand="0" w:oddHBand="0" w:evenHBand="0" w:firstRowFirstColumn="0" w:firstRowLastColumn="0" w:lastRowFirstColumn="0" w:lastRowLastColumn="0"/>
              <w:rPr>
                <w:b/>
              </w:rPr>
            </w:pPr>
            <w:r w:rsidRPr="006079A7">
              <w:rPr>
                <w:rFonts w:ascii="Times New Roman" w:hAnsi="Times New Roman"/>
                <w:b/>
              </w:rPr>
              <w:t>$</w:t>
            </w:r>
            <w:r w:rsidRPr="00E30C52">
              <w:rPr>
                <w:b/>
              </w:rPr>
              <w:t>4.7m per annum,</w:t>
            </w:r>
          </w:p>
        </w:tc>
        <w:tc>
          <w:tcPr>
            <w:tcW w:w="615" w:type="pct"/>
            <w:shd w:val="clear" w:color="auto" w:fill="F2F2F2" w:themeFill="background1" w:themeFillShade="F2"/>
          </w:tcPr>
          <w:p w14:paraId="0DD44FAE" w14:textId="77777777" w:rsidR="001C5BAE" w:rsidRPr="00E30C52" w:rsidRDefault="001C5BAE" w:rsidP="0006633E">
            <w:pPr>
              <w:pStyle w:val="TableCopy"/>
              <w:jc w:val="center"/>
              <w:cnfStyle w:val="000000000000" w:firstRow="0" w:lastRow="0" w:firstColumn="0" w:lastColumn="0" w:oddVBand="0" w:evenVBand="0" w:oddHBand="0" w:evenHBand="0" w:firstRowFirstColumn="0" w:firstRowLastColumn="0" w:lastRowFirstColumn="0" w:lastRowLastColumn="0"/>
              <w:rPr>
                <w:b/>
              </w:rPr>
            </w:pPr>
            <w:r w:rsidRPr="00E30C52">
              <w:rPr>
                <w:b/>
              </w:rPr>
              <w:t>100%</w:t>
            </w:r>
          </w:p>
        </w:tc>
        <w:tc>
          <w:tcPr>
            <w:tcW w:w="1153" w:type="pct"/>
            <w:shd w:val="clear" w:color="auto" w:fill="000000" w:themeFill="text1"/>
          </w:tcPr>
          <w:p w14:paraId="25017AD0" w14:textId="77777777" w:rsidR="001C5BAE" w:rsidRDefault="001C5BAE" w:rsidP="0006633E">
            <w:pPr>
              <w:pStyle w:val="TableCopy"/>
              <w:cnfStyle w:val="000000000000" w:firstRow="0" w:lastRow="0" w:firstColumn="0" w:lastColumn="0" w:oddVBand="0" w:evenVBand="0" w:oddHBand="0" w:evenHBand="0" w:firstRowFirstColumn="0" w:firstRowLastColumn="0" w:lastRowFirstColumn="0" w:lastRowLastColumn="0"/>
            </w:pPr>
          </w:p>
        </w:tc>
        <w:tc>
          <w:tcPr>
            <w:tcW w:w="623" w:type="pct"/>
            <w:shd w:val="clear" w:color="auto" w:fill="000000" w:themeFill="text1"/>
          </w:tcPr>
          <w:p w14:paraId="44D144AB" w14:textId="77777777" w:rsidR="001C5BAE" w:rsidRPr="00F44FAD" w:rsidRDefault="001C5BAE" w:rsidP="0006633E">
            <w:pPr>
              <w:pStyle w:val="TableCopy"/>
              <w:jc w:val="center"/>
              <w:cnfStyle w:val="000000000000" w:firstRow="0" w:lastRow="0" w:firstColumn="0" w:lastColumn="0" w:oddVBand="0" w:evenVBand="0" w:oddHBand="0" w:evenHBand="0" w:firstRowFirstColumn="0" w:firstRowLastColumn="0" w:lastRowFirstColumn="0" w:lastRowLastColumn="0"/>
            </w:pPr>
          </w:p>
        </w:tc>
      </w:tr>
    </w:tbl>
    <w:bookmarkEnd w:id="26"/>
    <w:p w14:paraId="417648CD" w14:textId="77777777" w:rsidR="00166DB1" w:rsidRPr="00166DB1" w:rsidRDefault="00166DB1" w:rsidP="0078709D">
      <w:pPr>
        <w:pStyle w:val="TableNotes"/>
        <w:ind w:left="284" w:hanging="284"/>
      </w:pPr>
      <w:r w:rsidRPr="00166DB1">
        <w:tab/>
      </w:r>
      <w:r w:rsidRPr="00166DB1">
        <w:tab/>
        <w:t>^ Volumes for the Rural Pharmacy Liaison Officer Program based on 2012 data. Program data was often provided in calendar years and was recalculated to yield volumes by financial year.</w:t>
      </w:r>
    </w:p>
    <w:p w14:paraId="71D3B3A4" w14:textId="77777777" w:rsidR="00166DB1" w:rsidRPr="00166DB1" w:rsidRDefault="00166DB1" w:rsidP="0078709D">
      <w:pPr>
        <w:pStyle w:val="TableNotes"/>
        <w:ind w:left="284" w:hanging="284"/>
      </w:pPr>
      <w:r w:rsidRPr="00166DB1">
        <w:tab/>
      </w:r>
      <w:r w:rsidRPr="00166DB1">
        <w:tab/>
        <w:t xml:space="preserve">Expenditure estimates are based on audited statements made available by The Department. Audited statements were only available for the 2013-14 and 2014-15 financial years. Expenditure was averaged across both financial years to smooth variations in program expenditure between years. </w:t>
      </w:r>
    </w:p>
    <w:p w14:paraId="619F8C3E" w14:textId="77777777" w:rsidR="00166DB1" w:rsidRPr="00166DB1" w:rsidRDefault="00166DB1" w:rsidP="00166DB1">
      <w:pPr>
        <w:tabs>
          <w:tab w:val="left" w:pos="227"/>
        </w:tabs>
        <w:spacing w:before="85" w:after="170" w:line="158" w:lineRule="atLeast"/>
        <w:contextualSpacing/>
        <w:rPr>
          <w:rFonts w:ascii="Garamond" w:eastAsia="Garamond" w:hAnsi="Garamond"/>
          <w:i/>
          <w:color w:val="000000"/>
          <w:sz w:val="14"/>
        </w:rPr>
      </w:pPr>
    </w:p>
    <w:p w14:paraId="40D4157E" w14:textId="77777777" w:rsidR="00166DB1" w:rsidRPr="00166DB1" w:rsidRDefault="00166DB1" w:rsidP="00166DB1">
      <w:pPr>
        <w:spacing w:before="85" w:after="85"/>
        <w:rPr>
          <w:rFonts w:ascii="Garamond" w:eastAsia="Garamond" w:hAnsi="Garamond"/>
          <w:color w:val="000000"/>
        </w:rPr>
        <w:sectPr w:rsidR="00166DB1" w:rsidRPr="00166DB1" w:rsidSect="00720069">
          <w:type w:val="continuous"/>
          <w:pgSz w:w="16839" w:h="11907" w:orient="landscape" w:code="9"/>
          <w:pgMar w:top="2268" w:right="1304" w:bottom="850" w:left="737" w:header="567" w:footer="284" w:gutter="0"/>
          <w:cols w:space="709"/>
          <w:docGrid w:linePitch="360"/>
        </w:sectPr>
      </w:pPr>
    </w:p>
    <w:p w14:paraId="23495CFD" w14:textId="77777777" w:rsidR="00166DB1" w:rsidRPr="00166DB1" w:rsidRDefault="00166DB1" w:rsidP="00166DB1">
      <w:pPr>
        <w:widowControl w:val="0"/>
        <w:spacing w:before="85" w:after="85"/>
        <w:rPr>
          <w:rFonts w:ascii="Garamond" w:eastAsia="Garamond" w:hAnsi="Garamond"/>
          <w:color w:val="000000"/>
        </w:rPr>
      </w:pPr>
      <w:r w:rsidRPr="00166DB1">
        <w:rPr>
          <w:rFonts w:ascii="Garamond" w:eastAsia="Garamond" w:hAnsi="Garamond"/>
          <w:color w:val="000000"/>
        </w:rPr>
        <w:lastRenderedPageBreak/>
        <w:t xml:space="preserve">It is noteworthy that average annual expenditure for the two financial years that data was available to HMA was </w:t>
      </w:r>
      <w:r w:rsidRPr="00166DB1">
        <w:rPr>
          <w:rFonts w:ascii="Times New Roman" w:eastAsia="Garamond" w:hAnsi="Times New Roman"/>
          <w:color w:val="000000"/>
        </w:rPr>
        <w:t>$</w:t>
      </w:r>
      <w:r w:rsidRPr="00166DB1">
        <w:rPr>
          <w:rFonts w:ascii="Garamond" w:eastAsia="Garamond" w:hAnsi="Garamond"/>
          <w:color w:val="000000"/>
        </w:rPr>
        <w:t xml:space="preserve">4.7m (2013–15). The indicative budget allocations in the Schedule to the 5CPA implied an annual allocation to the programs of </w:t>
      </w:r>
      <w:r w:rsidRPr="00166DB1">
        <w:rPr>
          <w:rFonts w:ascii="Times New Roman" w:eastAsia="Garamond" w:hAnsi="Times New Roman"/>
          <w:color w:val="000000"/>
        </w:rPr>
        <w:t>$</w:t>
      </w:r>
      <w:r w:rsidRPr="00166DB1">
        <w:rPr>
          <w:rFonts w:ascii="Garamond" w:eastAsia="Garamond" w:hAnsi="Garamond"/>
          <w:color w:val="000000"/>
        </w:rPr>
        <w:t>8.1m per annum</w:t>
      </w:r>
      <w:r w:rsidRPr="00166DB1">
        <w:rPr>
          <w:rFonts w:ascii="Garamond" w:eastAsia="Garamond" w:hAnsi="Garamond"/>
          <w:color w:val="000000"/>
          <w:vertAlign w:val="superscript"/>
        </w:rPr>
        <w:footnoteReference w:id="2"/>
      </w:r>
      <w:r w:rsidRPr="00166DB1">
        <w:rPr>
          <w:rFonts w:ascii="Garamond" w:eastAsia="Garamond" w:hAnsi="Garamond"/>
          <w:color w:val="000000"/>
        </w:rPr>
        <w:t>, implying a significant under-spend.</w:t>
      </w:r>
    </w:p>
    <w:p w14:paraId="5081240F" w14:textId="77777777" w:rsidR="00166DB1" w:rsidRPr="00166DB1" w:rsidRDefault="00166DB1" w:rsidP="00B77C1D">
      <w:pPr>
        <w:pStyle w:val="KeyFinding"/>
        <w:shd w:val="clear" w:color="auto" w:fill="F2F2F2" w:themeFill="background1" w:themeFillShade="F2"/>
      </w:pPr>
      <w:bookmarkStart w:id="27" w:name="_Ref490676626"/>
      <w:r w:rsidRPr="00166DB1">
        <w:t>Expenditure data available to the evaluators found there was an under-spend on the Pharmacy Workforce Package in the years 2013–14 and 2014–15 of around 40%, suggesting the component programs did not get the resource allocation priority intended by the original 5CPA budget schedule.</w:t>
      </w:r>
      <w:bookmarkEnd w:id="27"/>
    </w:p>
    <w:p w14:paraId="05513E9A" w14:textId="77777777" w:rsidR="00166DB1" w:rsidRPr="00166DB1" w:rsidRDefault="00166DB1" w:rsidP="00166DB1">
      <w:pPr>
        <w:widowControl w:val="0"/>
        <w:spacing w:before="85" w:after="85"/>
        <w:rPr>
          <w:rFonts w:ascii="Garamond" w:eastAsia="Garamond" w:hAnsi="Garamond"/>
          <w:color w:val="000000"/>
        </w:rPr>
      </w:pPr>
      <w:r w:rsidRPr="00166DB1">
        <w:rPr>
          <w:rFonts w:ascii="Garamond" w:eastAsia="Garamond" w:hAnsi="Garamond"/>
          <w:color w:val="000000"/>
        </w:rPr>
        <w:t>We return to an examination of possible reasons for this under-spend in Chapter 6.</w:t>
      </w:r>
    </w:p>
    <w:p w14:paraId="18DB43AF" w14:textId="77777777" w:rsidR="00166DB1" w:rsidRPr="00166DB1" w:rsidRDefault="00166DB1" w:rsidP="00166DB1">
      <w:pPr>
        <w:spacing w:before="85" w:after="85"/>
        <w:rPr>
          <w:rFonts w:ascii="Garamond" w:eastAsia="Garamond" w:hAnsi="Garamond"/>
          <w:color w:val="000000"/>
        </w:rPr>
        <w:sectPr w:rsidR="00166DB1" w:rsidRPr="00166DB1" w:rsidSect="00720069">
          <w:footnotePr>
            <w:numFmt w:val="lowerRoman"/>
          </w:footnotePr>
          <w:pgSz w:w="16839" w:h="11907" w:orient="landscape" w:code="9"/>
          <w:pgMar w:top="2268" w:right="8829" w:bottom="850" w:left="737" w:header="567" w:footer="284" w:gutter="0"/>
          <w:cols w:space="709"/>
          <w:docGrid w:linePitch="360"/>
        </w:sectPr>
      </w:pPr>
    </w:p>
    <w:p w14:paraId="2EC04AB8" w14:textId="77777777" w:rsidR="00166DB1" w:rsidRPr="00166DB1" w:rsidRDefault="00166DB1" w:rsidP="00166DB1">
      <w:pPr>
        <w:spacing w:before="85" w:after="85"/>
        <w:rPr>
          <w:rFonts w:ascii="Garamond" w:eastAsia="Garamond" w:hAnsi="Garamond"/>
          <w:color w:val="000000"/>
        </w:rPr>
      </w:pPr>
    </w:p>
    <w:p w14:paraId="21FF4CE3" w14:textId="77777777" w:rsidR="00166DB1" w:rsidRPr="00166DB1" w:rsidRDefault="00166DB1" w:rsidP="00166DB1">
      <w:pPr>
        <w:spacing w:before="85" w:after="85"/>
        <w:rPr>
          <w:rFonts w:ascii="Garamond" w:eastAsia="Garamond" w:hAnsi="Garamond"/>
          <w:color w:val="000000"/>
        </w:rPr>
        <w:sectPr w:rsidR="00166DB1" w:rsidRPr="00166DB1" w:rsidSect="00720069">
          <w:footnotePr>
            <w:numFmt w:val="lowerRoman"/>
          </w:footnotePr>
          <w:type w:val="continuous"/>
          <w:pgSz w:w="16839" w:h="11907" w:orient="landscape" w:code="9"/>
          <w:pgMar w:top="2268" w:right="1304" w:bottom="850" w:left="737" w:header="567" w:footer="284" w:gutter="0"/>
          <w:cols w:num="2" w:space="709"/>
          <w:docGrid w:linePitch="360"/>
        </w:sectPr>
      </w:pPr>
    </w:p>
    <w:p w14:paraId="44BDF7FD" w14:textId="2D9F295A" w:rsidR="003826FF" w:rsidRPr="003826FF" w:rsidRDefault="003826FF" w:rsidP="00B24642">
      <w:pPr>
        <w:pStyle w:val="Heading1"/>
        <w:rPr>
          <w:lang w:val="en-US"/>
        </w:rPr>
      </w:pPr>
      <w:bookmarkStart w:id="28" w:name="_Toc523322044"/>
      <w:r w:rsidRPr="003826FF">
        <w:rPr>
          <w:lang w:val="en-US"/>
        </w:rPr>
        <w:lastRenderedPageBreak/>
        <w:t>Methodology</w:t>
      </w:r>
      <w:bookmarkEnd w:id="28"/>
    </w:p>
    <w:p w14:paraId="34B7F827" w14:textId="7899F0F6" w:rsidR="00166DB1" w:rsidRPr="00166DB1" w:rsidRDefault="00166DB1" w:rsidP="00B24642">
      <w:pPr>
        <w:pStyle w:val="Heading2"/>
      </w:pPr>
      <w:bookmarkStart w:id="29" w:name="_Toc523322045"/>
      <w:r w:rsidRPr="00166DB1">
        <w:t>Project approach and timing</w:t>
      </w:r>
      <w:bookmarkEnd w:id="29"/>
    </w:p>
    <w:p w14:paraId="10B7C3B7" w14:textId="77777777" w:rsidR="00166DB1" w:rsidRPr="00166DB1" w:rsidRDefault="00166DB1" w:rsidP="00166DB1">
      <w:pPr>
        <w:spacing w:line="240" w:lineRule="auto"/>
        <w:rPr>
          <w:rFonts w:ascii="Garamond" w:eastAsia="Garamond" w:hAnsi="Garamond"/>
          <w:color w:val="000000"/>
        </w:rPr>
      </w:pPr>
      <w:r w:rsidRPr="00166DB1">
        <w:rPr>
          <w:rFonts w:ascii="Garamond" w:eastAsia="Garamond" w:hAnsi="Garamond"/>
          <w:color w:val="000000"/>
        </w:rPr>
        <w:t xml:space="preserve">The project was conducted in seven stages from August 2016 to August 2017, as follows: </w:t>
      </w:r>
    </w:p>
    <w:p w14:paraId="74DC0B42" w14:textId="77777777" w:rsidR="00166DB1" w:rsidRPr="00A4675C" w:rsidRDefault="00166DB1" w:rsidP="009F66FB">
      <w:pPr>
        <w:pStyle w:val="ListParagraph"/>
        <w:numPr>
          <w:ilvl w:val="0"/>
          <w:numId w:val="7"/>
        </w:numPr>
        <w:tabs>
          <w:tab w:val="num" w:pos="284"/>
        </w:tabs>
        <w:spacing w:before="20" w:after="20"/>
        <w:ind w:left="284" w:hanging="284"/>
        <w:rPr>
          <w:rFonts w:ascii="Garamond" w:eastAsia="Times New Roman" w:hAnsi="Garamond"/>
          <w:color w:val="000000"/>
        </w:rPr>
      </w:pPr>
      <w:r w:rsidRPr="00A4675C">
        <w:rPr>
          <w:rFonts w:ascii="Garamond" w:eastAsia="Times New Roman" w:hAnsi="Garamond"/>
          <w:b/>
          <w:color w:val="000000"/>
        </w:rPr>
        <w:t>Stage 1: Project set-up.</w:t>
      </w:r>
      <w:r w:rsidRPr="00A4675C">
        <w:rPr>
          <w:rFonts w:ascii="Garamond" w:eastAsia="Times New Roman" w:hAnsi="Garamond"/>
          <w:color w:val="000000"/>
        </w:rPr>
        <w:t xml:space="preserve"> HMA scheduled an initial ‘kick-off’ meeting with the Department project manager to discuss and finalise the proposed methodology and key deliverable dates. </w:t>
      </w:r>
    </w:p>
    <w:p w14:paraId="38A8E3A1" w14:textId="77777777" w:rsidR="00166DB1" w:rsidRPr="00A4675C" w:rsidRDefault="00166DB1" w:rsidP="009F66FB">
      <w:pPr>
        <w:pStyle w:val="ListParagraph"/>
        <w:numPr>
          <w:ilvl w:val="0"/>
          <w:numId w:val="7"/>
        </w:numPr>
        <w:tabs>
          <w:tab w:val="num" w:pos="284"/>
        </w:tabs>
        <w:spacing w:before="20" w:after="20"/>
        <w:ind w:left="284" w:hanging="284"/>
        <w:rPr>
          <w:rFonts w:ascii="Garamond" w:eastAsia="Times New Roman" w:hAnsi="Garamond"/>
          <w:color w:val="000000"/>
        </w:rPr>
      </w:pPr>
      <w:r w:rsidRPr="00A4675C">
        <w:rPr>
          <w:rFonts w:ascii="Garamond" w:eastAsia="Times New Roman" w:hAnsi="Garamond"/>
          <w:b/>
          <w:color w:val="000000"/>
        </w:rPr>
        <w:t>Stage 2: Situation analysis.</w:t>
      </w:r>
      <w:r w:rsidRPr="00A4675C">
        <w:rPr>
          <w:rFonts w:ascii="Garamond" w:eastAsia="Times New Roman" w:hAnsi="Garamond"/>
          <w:color w:val="000000"/>
        </w:rPr>
        <w:t xml:space="preserve"> This stage involved a review of available program documentation to develop a broad understanding of program volume, value, funding and aims. </w:t>
      </w:r>
    </w:p>
    <w:p w14:paraId="42316CAF" w14:textId="77777777" w:rsidR="00166DB1" w:rsidRPr="00A4675C" w:rsidRDefault="00166DB1" w:rsidP="009F66FB">
      <w:pPr>
        <w:pStyle w:val="ListParagraph"/>
        <w:numPr>
          <w:ilvl w:val="0"/>
          <w:numId w:val="7"/>
        </w:numPr>
        <w:tabs>
          <w:tab w:val="num" w:pos="284"/>
        </w:tabs>
        <w:spacing w:before="20" w:after="20"/>
        <w:ind w:left="284" w:hanging="284"/>
        <w:rPr>
          <w:rFonts w:ascii="Garamond" w:eastAsia="Times New Roman" w:hAnsi="Garamond"/>
          <w:color w:val="000000"/>
        </w:rPr>
      </w:pPr>
      <w:r w:rsidRPr="00A4675C">
        <w:rPr>
          <w:rFonts w:ascii="Garamond" w:eastAsia="Times New Roman" w:hAnsi="Garamond"/>
          <w:b/>
          <w:color w:val="000000"/>
        </w:rPr>
        <w:t>Stage 3: PICO (Population, Intervention, Comparison, Outcome)</w:t>
      </w:r>
      <w:r w:rsidRPr="00A4675C">
        <w:rPr>
          <w:rFonts w:ascii="Garamond" w:eastAsia="Times New Roman" w:hAnsi="Garamond"/>
          <w:color w:val="000000"/>
        </w:rPr>
        <w:t xml:space="preserve"> </w:t>
      </w:r>
      <w:r w:rsidRPr="00A4675C">
        <w:rPr>
          <w:rFonts w:ascii="Garamond" w:eastAsia="Times New Roman" w:hAnsi="Garamond"/>
          <w:b/>
          <w:color w:val="000000"/>
        </w:rPr>
        <w:t>analysis.</w:t>
      </w:r>
      <w:r w:rsidRPr="00A4675C">
        <w:rPr>
          <w:rFonts w:ascii="Garamond" w:eastAsia="Times New Roman" w:hAnsi="Garamond"/>
          <w:color w:val="000000"/>
        </w:rPr>
        <w:t xml:space="preserve"> Using information obtained in previous stages and peer reviewed literature, HMA developed descriptions of each program, guided by the PICO framework. </w:t>
      </w:r>
    </w:p>
    <w:p w14:paraId="7D233D34" w14:textId="77777777" w:rsidR="00166DB1" w:rsidRPr="00A4675C" w:rsidRDefault="00166DB1" w:rsidP="009F66FB">
      <w:pPr>
        <w:pStyle w:val="ListParagraph"/>
        <w:numPr>
          <w:ilvl w:val="0"/>
          <w:numId w:val="7"/>
        </w:numPr>
        <w:tabs>
          <w:tab w:val="num" w:pos="284"/>
        </w:tabs>
        <w:spacing w:before="20" w:after="20"/>
        <w:ind w:left="284" w:hanging="284"/>
        <w:rPr>
          <w:rFonts w:ascii="Garamond" w:eastAsia="Times New Roman" w:hAnsi="Garamond"/>
          <w:color w:val="000000"/>
        </w:rPr>
      </w:pPr>
      <w:r w:rsidRPr="00A4675C">
        <w:rPr>
          <w:rFonts w:ascii="Garamond" w:eastAsia="Times New Roman" w:hAnsi="Garamond"/>
          <w:b/>
          <w:color w:val="000000"/>
        </w:rPr>
        <w:t>Stage 4: Part One – Assess relative need.</w:t>
      </w:r>
      <w:r w:rsidRPr="00A4675C">
        <w:rPr>
          <w:rFonts w:ascii="Garamond" w:eastAsia="Times New Roman" w:hAnsi="Garamond"/>
          <w:color w:val="000000"/>
        </w:rPr>
        <w:t xml:space="preserve"> This stage involved consultation with program administrators and review of comparative pharmacy and other health-related workforce program data. </w:t>
      </w:r>
    </w:p>
    <w:p w14:paraId="4BEFE69B" w14:textId="77777777" w:rsidR="00166DB1" w:rsidRPr="00A4675C" w:rsidRDefault="00166DB1" w:rsidP="009F66FB">
      <w:pPr>
        <w:pStyle w:val="ListParagraph"/>
        <w:numPr>
          <w:ilvl w:val="0"/>
          <w:numId w:val="7"/>
        </w:numPr>
        <w:tabs>
          <w:tab w:val="num" w:pos="284"/>
        </w:tabs>
        <w:spacing w:before="20" w:after="20"/>
        <w:ind w:left="284" w:hanging="284"/>
        <w:rPr>
          <w:rFonts w:ascii="Garamond" w:eastAsia="Times New Roman" w:hAnsi="Garamond"/>
          <w:b/>
          <w:color w:val="000000"/>
        </w:rPr>
      </w:pPr>
      <w:r w:rsidRPr="00A4675C">
        <w:rPr>
          <w:rFonts w:ascii="Garamond" w:eastAsia="Times New Roman" w:hAnsi="Garamond"/>
          <w:b/>
          <w:color w:val="000000"/>
        </w:rPr>
        <w:t xml:space="preserve">Stage 5: Part Two – Assess outcomes and evaluate. </w:t>
      </w:r>
      <w:r w:rsidRPr="00A4675C">
        <w:rPr>
          <w:rFonts w:ascii="Garamond" w:eastAsia="Times New Roman" w:hAnsi="Garamond"/>
          <w:color w:val="000000"/>
        </w:rPr>
        <w:t xml:space="preserve">This stage involved identification and analysis of current data and evidence for each program, and consultation with peak bodies, relevant stakeholders and recipients and beneficiaries of the programs. </w:t>
      </w:r>
    </w:p>
    <w:p w14:paraId="4D6EA5BE" w14:textId="77777777" w:rsidR="00166DB1" w:rsidRPr="00A4675C" w:rsidRDefault="00166DB1" w:rsidP="009F66FB">
      <w:pPr>
        <w:pStyle w:val="ListParagraph"/>
        <w:numPr>
          <w:ilvl w:val="0"/>
          <w:numId w:val="7"/>
        </w:numPr>
        <w:tabs>
          <w:tab w:val="num" w:pos="284"/>
        </w:tabs>
        <w:spacing w:before="20" w:after="20"/>
        <w:ind w:left="284" w:hanging="284"/>
        <w:rPr>
          <w:rFonts w:ascii="Garamond" w:eastAsia="Times New Roman" w:hAnsi="Garamond"/>
          <w:b/>
          <w:color w:val="000000"/>
        </w:rPr>
      </w:pPr>
      <w:r w:rsidRPr="00A4675C">
        <w:rPr>
          <w:rFonts w:ascii="Garamond" w:eastAsia="Times New Roman" w:hAnsi="Garamond"/>
          <w:b/>
          <w:color w:val="000000"/>
        </w:rPr>
        <w:t xml:space="preserve">Stage 6: Evidence synthesis. </w:t>
      </w:r>
      <w:r w:rsidRPr="00A4675C">
        <w:rPr>
          <w:rFonts w:ascii="Garamond" w:eastAsia="Times New Roman" w:hAnsi="Garamond"/>
          <w:color w:val="000000"/>
        </w:rPr>
        <w:t>Using a data triangulation methodology, HMA prepared an analysis assessing the appropriateness, effectiveness and efficiency of each program.</w:t>
      </w:r>
      <w:r w:rsidRPr="00A4675C">
        <w:rPr>
          <w:rFonts w:ascii="Garamond" w:eastAsia="Times New Roman" w:hAnsi="Garamond"/>
          <w:b/>
          <w:color w:val="000000"/>
        </w:rPr>
        <w:t xml:space="preserve"> </w:t>
      </w:r>
    </w:p>
    <w:p w14:paraId="28D95745" w14:textId="77777777" w:rsidR="00166DB1" w:rsidRPr="00A4675C" w:rsidRDefault="00166DB1" w:rsidP="009F66FB">
      <w:pPr>
        <w:pStyle w:val="ListParagraph"/>
        <w:numPr>
          <w:ilvl w:val="0"/>
          <w:numId w:val="7"/>
        </w:numPr>
        <w:tabs>
          <w:tab w:val="num" w:pos="284"/>
        </w:tabs>
        <w:spacing w:before="20" w:after="20"/>
        <w:ind w:left="284" w:hanging="284"/>
        <w:rPr>
          <w:rFonts w:ascii="Garamond" w:eastAsia="Times New Roman" w:hAnsi="Garamond"/>
          <w:color w:val="000000"/>
        </w:rPr>
      </w:pPr>
      <w:r w:rsidRPr="00A4675C">
        <w:rPr>
          <w:rFonts w:ascii="Garamond" w:eastAsia="Times New Roman" w:hAnsi="Garamond"/>
          <w:b/>
          <w:color w:val="000000"/>
        </w:rPr>
        <w:t>Stage 7: Final report preparation.</w:t>
      </w:r>
      <w:r w:rsidRPr="00A4675C">
        <w:rPr>
          <w:rFonts w:ascii="Garamond" w:eastAsia="Times New Roman" w:hAnsi="Garamond"/>
          <w:color w:val="000000"/>
        </w:rPr>
        <w:t xml:space="preserve"> HMA prepared a final report (this document) summarising the evidence and the review findings and incorporating feedback from the Department.</w:t>
      </w:r>
    </w:p>
    <w:p w14:paraId="34F5C576" w14:textId="1EB8C318" w:rsidR="00166DB1" w:rsidRPr="00166DB1" w:rsidRDefault="00166DB1" w:rsidP="00B24642">
      <w:pPr>
        <w:pStyle w:val="Heading2"/>
      </w:pPr>
      <w:bookmarkStart w:id="30" w:name="_Toc523322046"/>
      <w:r w:rsidRPr="00166DB1">
        <w:t>Data Collection methods</w:t>
      </w:r>
      <w:bookmarkEnd w:id="30"/>
    </w:p>
    <w:p w14:paraId="53A52013" w14:textId="77777777" w:rsidR="00166DB1" w:rsidRPr="00166DB1" w:rsidRDefault="00166DB1" w:rsidP="00166DB1">
      <w:pPr>
        <w:keepNext/>
        <w:keepLines/>
        <w:spacing w:before="85" w:after="85"/>
        <w:rPr>
          <w:rFonts w:ascii="Garamond" w:eastAsia="Garamond" w:hAnsi="Garamond"/>
          <w:color w:val="000000"/>
        </w:rPr>
      </w:pPr>
      <w:r w:rsidRPr="00166DB1">
        <w:rPr>
          <w:rFonts w:ascii="Garamond" w:eastAsia="Garamond" w:hAnsi="Garamond"/>
          <w:color w:val="000000"/>
        </w:rPr>
        <w:t>Data collection for the evaluation was informed by a needs assessment framework, in line with the requirements of the project brief, which said he consultant must</w:t>
      </w:r>
    </w:p>
    <w:p w14:paraId="00CC5B70" w14:textId="77777777" w:rsidR="00166DB1" w:rsidRPr="00166DB1" w:rsidRDefault="00166DB1" w:rsidP="00166DB1">
      <w:pPr>
        <w:spacing w:before="85" w:after="85"/>
        <w:ind w:left="284" w:right="284"/>
        <w:rPr>
          <w:rFonts w:ascii="Times New Roman" w:eastAsia="Garamond" w:hAnsi="Times New Roman"/>
          <w:i/>
          <w:iCs/>
          <w:color w:val="000000"/>
          <w:sz w:val="20"/>
        </w:rPr>
      </w:pPr>
      <w:r w:rsidRPr="00166DB1">
        <w:rPr>
          <w:rFonts w:ascii="Times New Roman" w:eastAsia="Garamond" w:hAnsi="Times New Roman"/>
          <w:i/>
          <w:iCs/>
          <w:color w:val="000000"/>
          <w:sz w:val="20"/>
        </w:rPr>
        <w:t>‘investigate the relative need for the programs to target the current program outcomes, including determining the level of relative need for the program when compared to similar programs for other health workforces; and determining the level of relative need for the program when compared to the pharmacy workforce as it currently stands.’</w:t>
      </w:r>
    </w:p>
    <w:p w14:paraId="3ADC85B2" w14:textId="77777777" w:rsidR="00166DB1" w:rsidRPr="00166DB1" w:rsidRDefault="00166DB1" w:rsidP="00166DB1">
      <w:pPr>
        <w:spacing w:before="85"/>
        <w:rPr>
          <w:rFonts w:ascii="Garamond" w:eastAsia="Garamond" w:hAnsi="Garamond"/>
          <w:color w:val="000000"/>
        </w:rPr>
      </w:pPr>
      <w:r w:rsidRPr="00166DB1">
        <w:rPr>
          <w:rFonts w:ascii="Garamond" w:eastAsia="Garamond" w:hAnsi="Garamond"/>
          <w:color w:val="000000"/>
        </w:rPr>
        <w:t xml:space="preserve">Based on this approach, data was collected to inform the assessment of five dimensions of need, illustrated in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_Ref488223935 \h  \* MERGEFORMAT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 xml:space="preserve">Figure </w:t>
      </w:r>
      <w:r w:rsidRPr="00166DB1">
        <w:rPr>
          <w:rFonts w:ascii="Garamond" w:eastAsia="Garamond" w:hAnsi="Garamond"/>
          <w:noProof/>
          <w:color w:val="000000"/>
        </w:rPr>
        <w:t>3.1</w:t>
      </w:r>
      <w:r w:rsidRPr="00166DB1">
        <w:rPr>
          <w:rFonts w:ascii="Garamond" w:eastAsia="Garamond" w:hAnsi="Garamond"/>
          <w:color w:val="000000"/>
        </w:rPr>
        <w:fldChar w:fldCharType="end"/>
      </w:r>
      <w:r w:rsidRPr="00166DB1">
        <w:rPr>
          <w:rFonts w:ascii="Garamond" w:eastAsia="Garamond" w:hAnsi="Garamond"/>
          <w:color w:val="000000"/>
        </w:rPr>
        <w:t>.</w:t>
      </w:r>
    </w:p>
    <w:p w14:paraId="3901C55F" w14:textId="77777777" w:rsidR="00166DB1" w:rsidRPr="00166DB1" w:rsidRDefault="00166DB1" w:rsidP="00483C21">
      <w:pPr>
        <w:pStyle w:val="Caption"/>
      </w:pPr>
      <w:bookmarkStart w:id="31" w:name="_Ref488223935"/>
      <w:r w:rsidRPr="00166DB1">
        <w:t xml:space="preserve">Figure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3</w:t>
      </w:r>
      <w:r w:rsidRPr="00166DB1">
        <w:rPr>
          <w:noProof/>
        </w:rPr>
        <w:fldChar w:fldCharType="end"/>
      </w:r>
      <w:r w:rsidRPr="00166DB1">
        <w:t>.</w:t>
      </w:r>
      <w:r w:rsidRPr="00166DB1">
        <w:rPr>
          <w:noProof/>
        </w:rPr>
        <w:fldChar w:fldCharType="begin"/>
      </w:r>
      <w:r w:rsidRPr="00166DB1">
        <w:rPr>
          <w:noProof/>
        </w:rPr>
        <w:instrText xml:space="preserve"> SEQ Figure \* ARABIC \s 1 </w:instrText>
      </w:r>
      <w:r w:rsidRPr="00166DB1">
        <w:rPr>
          <w:noProof/>
        </w:rPr>
        <w:fldChar w:fldCharType="separate"/>
      </w:r>
      <w:r w:rsidRPr="00166DB1">
        <w:rPr>
          <w:noProof/>
        </w:rPr>
        <w:t>1</w:t>
      </w:r>
      <w:r w:rsidRPr="00166DB1">
        <w:rPr>
          <w:noProof/>
        </w:rPr>
        <w:fldChar w:fldCharType="end"/>
      </w:r>
      <w:bookmarkEnd w:id="31"/>
      <w:r w:rsidRPr="00166DB1">
        <w:t xml:space="preserve">: Five dimensions of health need </w:t>
      </w:r>
    </w:p>
    <w:p w14:paraId="13FDAC4D" w14:textId="77777777" w:rsidR="00166DB1" w:rsidRPr="00166DB1" w:rsidRDefault="00166DB1" w:rsidP="00166DB1">
      <w:pPr>
        <w:spacing w:before="85" w:after="85"/>
        <w:jc w:val="center"/>
        <w:rPr>
          <w:rFonts w:ascii="Garamond" w:eastAsia="Garamond" w:hAnsi="Garamond"/>
          <w:color w:val="000000"/>
        </w:rPr>
      </w:pPr>
      <w:r w:rsidRPr="00166DB1">
        <w:rPr>
          <w:rFonts w:ascii="Garamond" w:eastAsia="Garamond" w:hAnsi="Garamond"/>
          <w:noProof/>
          <w:color w:val="000000"/>
          <w:lang w:eastAsia="en-AU"/>
        </w:rPr>
        <w:drawing>
          <wp:inline distT="0" distB="0" distL="0" distR="0" wp14:anchorId="00173B4F" wp14:editId="164AF91A">
            <wp:extent cx="2250831" cy="2356339"/>
            <wp:effectExtent l="0" t="0" r="0" b="6350"/>
            <wp:docPr id="83" name="Picture 83" descr="Hexagonal diagram of five dimensions of health need: Comparative Need, Peer-reviewed Literature, Normative Perspectives, Expressed Demand, Felt Demand."/>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93658" cy="2401173"/>
                    </a:xfrm>
                    <a:prstGeom prst="rect">
                      <a:avLst/>
                    </a:prstGeom>
                  </pic:spPr>
                </pic:pic>
              </a:graphicData>
            </a:graphic>
          </wp:inline>
        </w:drawing>
      </w:r>
    </w:p>
    <w:p w14:paraId="05C7B0D6"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assessment of needs was informed by the following data collection techniques:</w:t>
      </w:r>
    </w:p>
    <w:p w14:paraId="58D7B152" w14:textId="77777777" w:rsidR="00166DB1" w:rsidRPr="00A4675C" w:rsidRDefault="00166DB1" w:rsidP="009F66FB">
      <w:pPr>
        <w:pStyle w:val="Numbers1"/>
        <w:numPr>
          <w:ilvl w:val="0"/>
          <w:numId w:val="8"/>
        </w:numPr>
      </w:pPr>
      <w:r w:rsidRPr="00A4675C">
        <w:rPr>
          <w:b/>
        </w:rPr>
        <w:t>Peer-reviewed literature on similar programs (to guide assessment of epidemiological need)</w:t>
      </w:r>
      <w:r w:rsidRPr="00A4675C">
        <w:t xml:space="preserve">: we conducted a rapid literature search of Google Scholar and PubMed, and academic journals including the </w:t>
      </w:r>
      <w:r w:rsidRPr="00A4675C">
        <w:rPr>
          <w:i/>
        </w:rPr>
        <w:t>Australian Journal of Rural Health</w:t>
      </w:r>
      <w:r w:rsidRPr="00A4675C">
        <w:t xml:space="preserve"> and </w:t>
      </w:r>
      <w:r w:rsidRPr="00A4675C">
        <w:rPr>
          <w:i/>
        </w:rPr>
        <w:t>Rural and Remote Health</w:t>
      </w:r>
      <w:r w:rsidRPr="00A4675C">
        <w:t>. The literature search included non-</w:t>
      </w:r>
      <w:r w:rsidRPr="00A4675C">
        <w:lastRenderedPageBreak/>
        <w:t xml:space="preserve">peer reviewed literature and grey literature (e.g. government reports) where appropriate. The literature was incorporated into the PICO descriptions of each program. </w:t>
      </w:r>
    </w:p>
    <w:p w14:paraId="65BA7DBD" w14:textId="77777777" w:rsidR="00166DB1" w:rsidRPr="00166DB1" w:rsidRDefault="00166DB1" w:rsidP="00A4675C">
      <w:pPr>
        <w:pStyle w:val="Numbers1"/>
      </w:pPr>
      <w:r w:rsidRPr="00166DB1">
        <w:rPr>
          <w:b/>
        </w:rPr>
        <w:t>Expressed demand</w:t>
      </w:r>
      <w:r w:rsidRPr="00166DB1">
        <w:t xml:space="preserve">: data was collected on program activity levels and expenditure. Unit costs were derived from program data provided by The Guild. This included, program participation reports and spreadsheets and audited financial statements. This analysis was included in the unit cost paper and the relative needs assessment undertaken for Part One of the project methodology. </w:t>
      </w:r>
    </w:p>
    <w:p w14:paraId="3E76AB87" w14:textId="77777777" w:rsidR="00166DB1" w:rsidRPr="00166DB1" w:rsidRDefault="00166DB1" w:rsidP="00A4675C">
      <w:pPr>
        <w:pStyle w:val="Numbers1"/>
      </w:pPr>
      <w:r w:rsidRPr="00166DB1">
        <w:rPr>
          <w:b/>
        </w:rPr>
        <w:t>Comparative need</w:t>
      </w:r>
      <w:r w:rsidRPr="00166DB1">
        <w:t xml:space="preserve">: workforce and population data was collected and analysed to reveal trends in rural pharmacy workforce compared to other professional disciplines. Workforce data was provided by the Pharmacy Board of Australia and the Department of Health Workforce Reform Branch. Population data was derived from the Australian Bureau of Statistics (ABS). This analysis was included in the relative needs assessment undertaken for Part One of the project methodology. </w:t>
      </w:r>
    </w:p>
    <w:p w14:paraId="699F3B26" w14:textId="77777777" w:rsidR="00166DB1" w:rsidRPr="00166DB1" w:rsidRDefault="00166DB1" w:rsidP="00A4675C">
      <w:pPr>
        <w:pStyle w:val="Numbers1"/>
      </w:pPr>
      <w:r w:rsidRPr="00166DB1">
        <w:rPr>
          <w:b/>
        </w:rPr>
        <w:t>Normative perspectives</w:t>
      </w:r>
      <w:r w:rsidRPr="00166DB1">
        <w:t>: program administrators and key peak body stakeholders were consulted to identify the need for the programs, their benefit and potential implementation issues. Consultations were undertaken with representatives of the following organisations:</w:t>
      </w:r>
    </w:p>
    <w:p w14:paraId="1CAD0A3B" w14:textId="77777777" w:rsidR="00166DB1" w:rsidRPr="00166DB1" w:rsidRDefault="00166DB1" w:rsidP="00166DB1">
      <w:pPr>
        <w:numPr>
          <w:ilvl w:val="1"/>
          <w:numId w:val="0"/>
        </w:numPr>
        <w:spacing w:before="20" w:after="20"/>
        <w:ind w:left="765" w:hanging="311"/>
        <w:rPr>
          <w:rFonts w:ascii="Garamond" w:eastAsia="Times New Roman" w:hAnsi="Garamond"/>
          <w:color w:val="000000"/>
        </w:rPr>
      </w:pPr>
      <w:r w:rsidRPr="00166DB1">
        <w:rPr>
          <w:rFonts w:ascii="Garamond" w:eastAsia="Times New Roman" w:hAnsi="Garamond"/>
          <w:color w:val="000000"/>
        </w:rPr>
        <w:t>Australian Association of Consultant Pharmacists (AACP)</w:t>
      </w:r>
    </w:p>
    <w:p w14:paraId="356E42B7" w14:textId="77777777" w:rsidR="00166DB1" w:rsidRPr="00166DB1" w:rsidRDefault="00166DB1" w:rsidP="00166DB1">
      <w:pPr>
        <w:numPr>
          <w:ilvl w:val="1"/>
          <w:numId w:val="0"/>
        </w:numPr>
        <w:spacing w:before="20" w:after="20"/>
        <w:ind w:left="765" w:hanging="311"/>
        <w:rPr>
          <w:rFonts w:ascii="Garamond" w:eastAsia="Times New Roman" w:hAnsi="Garamond"/>
          <w:color w:val="000000"/>
        </w:rPr>
      </w:pPr>
      <w:r w:rsidRPr="00166DB1">
        <w:rPr>
          <w:rFonts w:ascii="Garamond" w:eastAsia="Times New Roman" w:hAnsi="Garamond"/>
          <w:color w:val="000000"/>
        </w:rPr>
        <w:t>National Aboriginal Community Controlled Health Organisation (NACCHO)</w:t>
      </w:r>
    </w:p>
    <w:p w14:paraId="620232AE" w14:textId="77777777" w:rsidR="00166DB1" w:rsidRPr="00166DB1" w:rsidRDefault="00166DB1" w:rsidP="00166DB1">
      <w:pPr>
        <w:numPr>
          <w:ilvl w:val="1"/>
          <w:numId w:val="0"/>
        </w:numPr>
        <w:spacing w:before="20" w:after="20"/>
        <w:ind w:left="765" w:hanging="311"/>
        <w:rPr>
          <w:rFonts w:ascii="Garamond" w:eastAsia="Times New Roman" w:hAnsi="Garamond"/>
          <w:color w:val="000000"/>
        </w:rPr>
      </w:pPr>
      <w:r w:rsidRPr="00166DB1">
        <w:rPr>
          <w:rFonts w:ascii="Garamond" w:eastAsia="Times New Roman" w:hAnsi="Garamond"/>
          <w:color w:val="000000"/>
        </w:rPr>
        <w:t>Australian Rural Health Education Network (ARHEN)</w:t>
      </w:r>
    </w:p>
    <w:p w14:paraId="095F3300" w14:textId="77777777" w:rsidR="00166DB1" w:rsidRPr="00166DB1" w:rsidRDefault="00166DB1" w:rsidP="00166DB1">
      <w:pPr>
        <w:numPr>
          <w:ilvl w:val="1"/>
          <w:numId w:val="0"/>
        </w:numPr>
        <w:spacing w:before="20" w:after="20"/>
        <w:ind w:left="765" w:hanging="311"/>
        <w:rPr>
          <w:rFonts w:ascii="Garamond" w:eastAsia="Times New Roman" w:hAnsi="Garamond"/>
          <w:color w:val="000000"/>
        </w:rPr>
      </w:pPr>
      <w:r w:rsidRPr="00166DB1">
        <w:rPr>
          <w:rFonts w:ascii="Garamond" w:eastAsia="Times New Roman" w:hAnsi="Garamond"/>
          <w:color w:val="000000"/>
        </w:rPr>
        <w:t>The Pharmacy Guild of Australia (The Guild)</w:t>
      </w:r>
    </w:p>
    <w:p w14:paraId="24344F28" w14:textId="77777777" w:rsidR="00166DB1" w:rsidRPr="00166DB1" w:rsidRDefault="00166DB1" w:rsidP="00166DB1">
      <w:pPr>
        <w:numPr>
          <w:ilvl w:val="1"/>
          <w:numId w:val="0"/>
        </w:numPr>
        <w:spacing w:before="20" w:after="20"/>
        <w:ind w:left="765" w:hanging="311"/>
        <w:rPr>
          <w:rFonts w:ascii="Garamond" w:eastAsia="Times New Roman" w:hAnsi="Garamond"/>
          <w:color w:val="000000"/>
        </w:rPr>
      </w:pPr>
      <w:r w:rsidRPr="00166DB1">
        <w:rPr>
          <w:rFonts w:ascii="Garamond" w:eastAsia="Times New Roman" w:hAnsi="Garamond"/>
          <w:color w:val="000000"/>
        </w:rPr>
        <w:t>Pharmaceutical Society of Australia (PSA)</w:t>
      </w:r>
    </w:p>
    <w:p w14:paraId="05CD884D" w14:textId="77777777" w:rsidR="00166DB1" w:rsidRPr="00166DB1" w:rsidRDefault="00166DB1" w:rsidP="00166DB1">
      <w:pPr>
        <w:numPr>
          <w:ilvl w:val="1"/>
          <w:numId w:val="0"/>
        </w:numPr>
        <w:spacing w:before="20" w:after="20"/>
        <w:ind w:left="765" w:hanging="311"/>
        <w:rPr>
          <w:rFonts w:ascii="Garamond" w:eastAsia="Times New Roman" w:hAnsi="Garamond"/>
          <w:color w:val="000000"/>
        </w:rPr>
      </w:pPr>
      <w:r w:rsidRPr="00166DB1">
        <w:rPr>
          <w:rFonts w:ascii="Garamond" w:eastAsia="Times New Roman" w:hAnsi="Garamond"/>
          <w:color w:val="000000"/>
        </w:rPr>
        <w:t>Consumers Health Forum of Australia (CHF), and</w:t>
      </w:r>
    </w:p>
    <w:p w14:paraId="38F2B27D" w14:textId="77777777" w:rsidR="00166DB1" w:rsidRPr="00166DB1" w:rsidRDefault="00166DB1" w:rsidP="00166DB1">
      <w:pPr>
        <w:numPr>
          <w:ilvl w:val="1"/>
          <w:numId w:val="0"/>
        </w:numPr>
        <w:spacing w:before="20" w:after="20"/>
        <w:ind w:left="765" w:hanging="311"/>
        <w:rPr>
          <w:rFonts w:ascii="Garamond" w:eastAsia="Times New Roman" w:hAnsi="Garamond"/>
          <w:color w:val="000000"/>
        </w:rPr>
      </w:pPr>
      <w:r w:rsidRPr="00166DB1">
        <w:rPr>
          <w:rFonts w:ascii="Garamond" w:eastAsia="Times New Roman" w:hAnsi="Garamond"/>
          <w:color w:val="000000"/>
        </w:rPr>
        <w:t>Society of Hospital Pharmacists of Australia (SHPA).</w:t>
      </w:r>
    </w:p>
    <w:p w14:paraId="51B627F2" w14:textId="77777777" w:rsidR="00166DB1" w:rsidRPr="00166DB1" w:rsidRDefault="00166DB1" w:rsidP="00A4675C">
      <w:pPr>
        <w:pStyle w:val="Numbers1"/>
      </w:pPr>
      <w:r w:rsidRPr="00166DB1">
        <w:rPr>
          <w:b/>
        </w:rPr>
        <w:t>Felt demand</w:t>
      </w:r>
      <w:r w:rsidRPr="00166DB1">
        <w:t xml:space="preserve">: recipients and intended beneficiaries of select programs were consulted through face-to-face site visits to UDRHs and web-based surveys. Both consultation activities sought feedback from pharmacy students, scholarship holders, interns, pharmacists practising in rural areas, university support staff and Rural Pharmacy Liaison Officers (RPLOs). </w:t>
      </w:r>
    </w:p>
    <w:p w14:paraId="54275424"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More information on the deliverables produced during the project are included in the </w:t>
      </w:r>
      <w:r w:rsidRPr="00166DB1">
        <w:rPr>
          <w:rFonts w:ascii="Garamond" w:eastAsia="Garamond" w:hAnsi="Garamond"/>
          <w:i/>
          <w:color w:val="000000"/>
        </w:rPr>
        <w:t>Technical Paper.</w:t>
      </w:r>
      <w:r w:rsidRPr="00166DB1">
        <w:rPr>
          <w:rFonts w:ascii="Garamond" w:eastAsia="Garamond" w:hAnsi="Garamond"/>
          <w:color w:val="000000"/>
        </w:rPr>
        <w:t xml:space="preserve"> </w:t>
      </w:r>
    </w:p>
    <w:p w14:paraId="03D3D222" w14:textId="73013062" w:rsidR="00166DB1" w:rsidRPr="00166DB1" w:rsidRDefault="00166DB1" w:rsidP="00B24642">
      <w:pPr>
        <w:pStyle w:val="Heading3"/>
      </w:pPr>
      <w:bookmarkStart w:id="32" w:name="_Toc523322047"/>
      <w:r w:rsidRPr="00166DB1">
        <w:t>Data limitations</w:t>
      </w:r>
      <w:bookmarkEnd w:id="32"/>
    </w:p>
    <w:p w14:paraId="703108CA"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Several issues were encountered during data collection and analysis around data availability, completeness and transparency. </w:t>
      </w:r>
    </w:p>
    <w:p w14:paraId="242B0E31" w14:textId="77777777" w:rsidR="00166DB1" w:rsidRPr="00166DB1" w:rsidRDefault="00166DB1" w:rsidP="00B24642">
      <w:pPr>
        <w:pStyle w:val="Heading3"/>
      </w:pPr>
      <w:bookmarkStart w:id="33" w:name="_Toc523322048"/>
      <w:r w:rsidRPr="00166DB1">
        <w:t>Audited statements: limitations</w:t>
      </w:r>
      <w:bookmarkEnd w:id="33"/>
    </w:p>
    <w:p w14:paraId="22CC3B5B"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Analysis of available program data and expenditure provided by The Guild revealed variations in program participation rates, allocated budget and expenditure each year. However, program data did not provide any information on program-level changes such as changes to program eligibility or funding which may account for annual variations. Furthermore, it was not clear from previous Agreements how the Package budgets were divided between the 12 individual programs. </w:t>
      </w:r>
    </w:p>
    <w:p w14:paraId="100DC576"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Individual program data including program participation, expenditure and budget was provided by The Guild. However, there were significant gaps in the data provided. For example, audited statements for each program were only available for the 2013–14 and 2014–15 financial years. These gaps limited the analyses and conclusions that could be drawn, particularly from an efficiency perspective. </w:t>
      </w:r>
    </w:p>
    <w:p w14:paraId="7B5D0A91" w14:textId="77777777" w:rsidR="00166DB1" w:rsidRPr="00166DB1" w:rsidRDefault="00166DB1" w:rsidP="00B24642">
      <w:pPr>
        <w:pStyle w:val="Heading3"/>
      </w:pPr>
      <w:bookmarkStart w:id="34" w:name="_Toc523322049"/>
      <w:r w:rsidRPr="00166DB1">
        <w:t>Workforce data: lack of historical trendline data</w:t>
      </w:r>
      <w:bookmarkEnd w:id="34"/>
    </w:p>
    <w:p w14:paraId="3B6B608D"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Pharmacy workforce data from the Department of Health Workforce Reform Branch was only available for the 2013–2015 period due to a change in the data collection format in 2012. The limited data meant it was not possible to track the impact of workforce programs over a long timeframe; ideally this would have been possible over the term of the Pharmacy Workforce Programs’ operations, from commencement of the 3CPA to the conclusion of the 5CPA.</w:t>
      </w:r>
    </w:p>
    <w:p w14:paraId="2163CF13" w14:textId="77777777" w:rsidR="00166DB1" w:rsidRPr="00166DB1" w:rsidRDefault="00166DB1" w:rsidP="00B24642">
      <w:pPr>
        <w:pStyle w:val="Heading3"/>
      </w:pPr>
      <w:bookmarkStart w:id="35" w:name="_Toc523322050"/>
      <w:r w:rsidRPr="00166DB1">
        <w:lastRenderedPageBreak/>
        <w:t>Calculation of program unit costs: limitations in determining the overhead component</w:t>
      </w:r>
      <w:bookmarkEnd w:id="35"/>
    </w:p>
    <w:p w14:paraId="0D0BDB2E"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Guild budget allocated for administering the programs was pooled for both the Rural Pharmacy Workforce Programs and the Aboriginal and Torres Strait Islander Pharmacy Workforce Programs. It was not clear from this data what proportion of administration overhead costs were allocated to each individual program. In lieu of undertaking a detailed management accounting survey, HMA (with support from The Guild officials) allocated a proportion of the administration overhead budget pool to each program using program activity volumes as a proxy for administrative effort involved in each program. The direct costs of program service delivery were clear from the audited statements, but these methodological limitations for calculating overheads at a program level (around 10% of the overall program costs) meant the overheads were less definitive at an individual program level.</w:t>
      </w:r>
    </w:p>
    <w:p w14:paraId="1AE42DEF" w14:textId="77777777" w:rsidR="00166DB1" w:rsidRPr="00166DB1" w:rsidRDefault="00166DB1" w:rsidP="00B24642">
      <w:pPr>
        <w:pStyle w:val="Heading3"/>
      </w:pPr>
      <w:bookmarkStart w:id="36" w:name="_Toc523322051"/>
      <w:r w:rsidRPr="00166DB1">
        <w:t>Comparison of FTE across geographic areas</w:t>
      </w:r>
      <w:bookmarkEnd w:id="36"/>
    </w:p>
    <w:p w14:paraId="3EC2E278"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In the analysis that follows we make extensive use of rates of pharmacist full-time equivalent amounts (FTEs) by population level. These rates must be interpreted cautiously when comparing pharmacist FTE availability across different geographic categories. The availability of other pharmacy programs designed to increase access to PBS medicines in remote areas (S100 and QUMAX programs) partially offsets the need for FTE to be physically located in remote locations.</w:t>
      </w:r>
    </w:p>
    <w:p w14:paraId="5576FBB8"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Acknowledging these limitations, important observations can still be made regarding the underlying need for Pharmacy Workforce Programs to address community pharmacist availability outside major cities.</w:t>
      </w:r>
    </w:p>
    <w:p w14:paraId="50A3B1C9" w14:textId="77777777" w:rsidR="00166DB1" w:rsidRPr="00166DB1" w:rsidRDefault="00166DB1" w:rsidP="00166DB1">
      <w:pPr>
        <w:spacing w:before="85" w:after="85"/>
        <w:rPr>
          <w:rFonts w:ascii="Garamond" w:eastAsia="Garamond" w:hAnsi="Garamond"/>
          <w:color w:val="000000"/>
        </w:rPr>
        <w:sectPr w:rsidR="00166DB1" w:rsidRPr="00166DB1" w:rsidSect="00D62D23">
          <w:headerReference w:type="default" r:id="rId27"/>
          <w:type w:val="continuous"/>
          <w:pgSz w:w="16839" w:h="11907" w:orient="landscape" w:code="9"/>
          <w:pgMar w:top="2268" w:right="1304" w:bottom="850" w:left="737" w:header="567" w:footer="284" w:gutter="0"/>
          <w:cols w:num="2" w:space="709"/>
          <w:titlePg/>
          <w:docGrid w:linePitch="360"/>
        </w:sectPr>
      </w:pPr>
    </w:p>
    <w:p w14:paraId="68D6A457" w14:textId="77777777" w:rsidR="00A4675C" w:rsidRPr="00C61DC7" w:rsidRDefault="00A4675C" w:rsidP="00EA1B6E">
      <w:pPr>
        <w:pStyle w:val="SectionPageTitle"/>
        <w:numPr>
          <w:ilvl w:val="0"/>
          <w:numId w:val="0"/>
        </w:numPr>
        <w:ind w:left="7513" w:hanging="7513"/>
        <w:rPr>
          <w:lang w:val="en-US"/>
        </w:rPr>
      </w:pPr>
      <w:bookmarkStart w:id="37" w:name="_Toc523322052"/>
      <w:r>
        <w:lastRenderedPageBreak/>
        <w:t>PART B – FINDINGS</w:t>
      </w:r>
      <w:bookmarkEnd w:id="37"/>
    </w:p>
    <w:p w14:paraId="58F0B36A" w14:textId="77777777" w:rsidR="00166DB1" w:rsidRPr="00166DB1" w:rsidRDefault="00166DB1" w:rsidP="00166DB1">
      <w:pPr>
        <w:spacing w:before="85" w:after="85"/>
        <w:rPr>
          <w:rFonts w:ascii="Garamond" w:eastAsia="Garamond" w:hAnsi="Garamond"/>
          <w:color w:val="000000"/>
        </w:rPr>
      </w:pPr>
    </w:p>
    <w:p w14:paraId="251FD9E7" w14:textId="77777777" w:rsidR="00166DB1" w:rsidRPr="00166DB1" w:rsidRDefault="00166DB1" w:rsidP="00166DB1">
      <w:pPr>
        <w:spacing w:before="85" w:after="85"/>
        <w:rPr>
          <w:rFonts w:ascii="Garamond" w:eastAsia="Garamond" w:hAnsi="Garamond"/>
          <w:color w:val="000000"/>
        </w:rPr>
        <w:sectPr w:rsidR="00166DB1" w:rsidRPr="00166DB1" w:rsidSect="00720069">
          <w:headerReference w:type="default" r:id="rId28"/>
          <w:pgSz w:w="16839" w:h="11907" w:orient="landscape" w:code="9"/>
          <w:pgMar w:top="2268" w:right="1304" w:bottom="850" w:left="737" w:header="567" w:footer="284" w:gutter="0"/>
          <w:cols w:space="709"/>
          <w:docGrid w:linePitch="360"/>
        </w:sectPr>
      </w:pPr>
    </w:p>
    <w:p w14:paraId="18D76B52" w14:textId="7A133AA5" w:rsidR="003826FF" w:rsidRPr="003826FF" w:rsidRDefault="003826FF" w:rsidP="00B24642">
      <w:pPr>
        <w:pStyle w:val="Heading1"/>
        <w:rPr>
          <w:lang w:val="en-US"/>
        </w:rPr>
      </w:pPr>
      <w:bookmarkStart w:id="38" w:name="_Toc523322053"/>
      <w:r w:rsidRPr="003826FF">
        <w:rPr>
          <w:lang w:val="en-US"/>
        </w:rPr>
        <w:lastRenderedPageBreak/>
        <w:t>Appropriateness</w:t>
      </w:r>
      <w:bookmarkEnd w:id="38"/>
    </w:p>
    <w:p w14:paraId="6F7EE15E" w14:textId="32022F25"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An examination of a program’s </w:t>
      </w:r>
      <w:r w:rsidRPr="00166DB1">
        <w:rPr>
          <w:rFonts w:ascii="Garamond" w:eastAsia="Garamond" w:hAnsi="Garamond"/>
          <w:i/>
          <w:color w:val="000000"/>
        </w:rPr>
        <w:t>appropriateness</w:t>
      </w:r>
      <w:r w:rsidRPr="00166DB1">
        <w:rPr>
          <w:rFonts w:ascii="Garamond" w:eastAsia="Garamond" w:hAnsi="Garamond"/>
          <w:color w:val="000000"/>
        </w:rPr>
        <w:t xml:space="preserve"> seeks to ascertain:</w:t>
      </w:r>
    </w:p>
    <w:p w14:paraId="7198D36C" w14:textId="77777777" w:rsidR="00166DB1" w:rsidRPr="00166DB1" w:rsidRDefault="00166DB1" w:rsidP="00166DB1">
      <w:pPr>
        <w:spacing w:before="85" w:after="85"/>
        <w:ind w:left="284" w:right="284"/>
        <w:rPr>
          <w:rFonts w:ascii="Times New Roman" w:eastAsia="Garamond" w:hAnsi="Times New Roman"/>
          <w:i/>
          <w:iCs/>
          <w:color w:val="000000"/>
          <w:sz w:val="20"/>
          <w:lang w:val="en-US"/>
        </w:rPr>
      </w:pPr>
      <w:r w:rsidRPr="00166DB1">
        <w:rPr>
          <w:rFonts w:ascii="Times New Roman" w:eastAsia="Garamond" w:hAnsi="Times New Roman"/>
          <w:i/>
          <w:iCs/>
          <w:color w:val="000000"/>
          <w:sz w:val="20"/>
        </w:rPr>
        <w:t>the continued relevance and priority of program objectives in the light of current circumstances including government policy changes</w:t>
      </w:r>
      <w:r w:rsidRPr="00166DB1">
        <w:rPr>
          <w:rFonts w:ascii="Times New Roman" w:eastAsia="Garamond" w:hAnsi="Times New Roman"/>
          <w:i/>
          <w:iCs/>
          <w:color w:val="000000"/>
          <w:sz w:val="20"/>
          <w:lang w:val="en-US"/>
        </w:rPr>
        <w:t>.</w:t>
      </w:r>
      <w:sdt>
        <w:sdtPr>
          <w:rPr>
            <w:rFonts w:ascii="Times New Roman" w:eastAsia="Garamond" w:hAnsi="Times New Roman"/>
            <w:i/>
            <w:iCs/>
            <w:color w:val="000000"/>
            <w:sz w:val="20"/>
            <w:lang w:val="en-US"/>
          </w:rPr>
          <w:id w:val="2118248056"/>
          <w:citation/>
        </w:sdtPr>
        <w:sdtEndPr/>
        <w:sdtContent>
          <w:r w:rsidRPr="00166DB1">
            <w:rPr>
              <w:rFonts w:ascii="Times New Roman" w:eastAsia="Garamond" w:hAnsi="Times New Roman"/>
              <w:i/>
              <w:iCs/>
              <w:color w:val="000000"/>
              <w:sz w:val="20"/>
              <w:lang w:val="en-US"/>
            </w:rPr>
            <w:fldChar w:fldCharType="begin"/>
          </w:r>
          <w:r w:rsidRPr="00166DB1">
            <w:rPr>
              <w:rFonts w:ascii="Times New Roman" w:eastAsia="Garamond" w:hAnsi="Times New Roman"/>
              <w:i/>
              <w:iCs/>
              <w:color w:val="000000"/>
              <w:sz w:val="20"/>
            </w:rPr>
            <w:instrText xml:space="preserve"> CITATION Tun10 \l 3081 </w:instrText>
          </w:r>
          <w:r w:rsidRPr="00166DB1">
            <w:rPr>
              <w:rFonts w:ascii="Times New Roman" w:eastAsia="Garamond" w:hAnsi="Times New Roman"/>
              <w:i/>
              <w:iCs/>
              <w:color w:val="000000"/>
              <w:sz w:val="20"/>
              <w:lang w:val="en-US"/>
            </w:rPr>
            <w:fldChar w:fldCharType="separate"/>
          </w:r>
          <w:r w:rsidRPr="00166DB1">
            <w:rPr>
              <w:rFonts w:ascii="Times New Roman" w:eastAsia="Garamond" w:hAnsi="Times New Roman"/>
              <w:i/>
              <w:iCs/>
              <w:noProof/>
              <w:color w:val="000000"/>
              <w:sz w:val="20"/>
            </w:rPr>
            <w:t xml:space="preserve"> [1]</w:t>
          </w:r>
          <w:r w:rsidRPr="00166DB1">
            <w:rPr>
              <w:rFonts w:ascii="Times New Roman" w:eastAsia="Garamond" w:hAnsi="Times New Roman"/>
              <w:i/>
              <w:iCs/>
              <w:color w:val="000000"/>
              <w:sz w:val="20"/>
              <w:lang w:val="en-US"/>
            </w:rPr>
            <w:fldChar w:fldCharType="end"/>
          </w:r>
        </w:sdtContent>
      </w:sdt>
    </w:p>
    <w:p w14:paraId="0EF3D53E" w14:textId="77777777" w:rsidR="00166DB1" w:rsidRPr="00166DB1" w:rsidRDefault="00166DB1" w:rsidP="00166DB1">
      <w:pPr>
        <w:spacing w:before="85" w:after="85"/>
        <w:rPr>
          <w:rFonts w:ascii="Garamond" w:eastAsia="Garamond" w:hAnsi="Garamond"/>
          <w:color w:val="000000"/>
          <w:lang w:val="en-US"/>
        </w:rPr>
      </w:pPr>
      <w:r w:rsidRPr="00166DB1">
        <w:rPr>
          <w:rFonts w:ascii="Garamond" w:eastAsia="Garamond" w:hAnsi="Garamond"/>
          <w:color w:val="000000"/>
          <w:lang w:val="en-US"/>
        </w:rPr>
        <w:t xml:space="preserve">To assess appropriateness for this evaluation we examined the Rural Workforce Package and the Aboriginal and Torres Strait Islander Workforce Package separately. </w:t>
      </w:r>
    </w:p>
    <w:p w14:paraId="3B485A81" w14:textId="77777777" w:rsidR="00166DB1" w:rsidRPr="00166DB1" w:rsidRDefault="00166DB1" w:rsidP="00166DB1">
      <w:pPr>
        <w:spacing w:before="85" w:after="85"/>
        <w:rPr>
          <w:rFonts w:ascii="Garamond" w:eastAsia="Garamond" w:hAnsi="Garamond"/>
          <w:color w:val="000000"/>
          <w:lang w:val="en-US"/>
        </w:rPr>
      </w:pPr>
      <w:r w:rsidRPr="00166DB1">
        <w:rPr>
          <w:rFonts w:ascii="Garamond" w:eastAsia="Garamond" w:hAnsi="Garamond"/>
          <w:color w:val="000000"/>
          <w:lang w:val="en-US"/>
        </w:rPr>
        <w:t>Appropriateness for the Rural Workforce Package (see Section A below) examined:</w:t>
      </w:r>
    </w:p>
    <w:p w14:paraId="61C4DC6E" w14:textId="77777777" w:rsidR="00166DB1" w:rsidRPr="00063226" w:rsidRDefault="00166DB1" w:rsidP="009F66FB">
      <w:pPr>
        <w:pStyle w:val="ListParagraph"/>
        <w:numPr>
          <w:ilvl w:val="0"/>
          <w:numId w:val="17"/>
        </w:numPr>
        <w:tabs>
          <w:tab w:val="num" w:pos="426"/>
        </w:tabs>
        <w:spacing w:before="20" w:after="20"/>
        <w:rPr>
          <w:rFonts w:ascii="Garamond" w:eastAsia="Times New Roman" w:hAnsi="Garamond"/>
          <w:color w:val="000000"/>
          <w:lang w:val="en-US"/>
        </w:rPr>
      </w:pPr>
      <w:r w:rsidRPr="00063226">
        <w:rPr>
          <w:rFonts w:ascii="Garamond" w:eastAsia="Times New Roman" w:hAnsi="Garamond"/>
          <w:color w:val="000000"/>
          <w:lang w:val="en-US"/>
        </w:rPr>
        <w:t>evidence on the availability of pharmacists by geographic location across Australia for an assessment of underlying need, and</w:t>
      </w:r>
    </w:p>
    <w:p w14:paraId="5849526F" w14:textId="77777777" w:rsidR="00166DB1" w:rsidRPr="00063226" w:rsidRDefault="00166DB1" w:rsidP="009F66FB">
      <w:pPr>
        <w:pStyle w:val="ListParagraph"/>
        <w:numPr>
          <w:ilvl w:val="0"/>
          <w:numId w:val="17"/>
        </w:numPr>
        <w:tabs>
          <w:tab w:val="num" w:pos="426"/>
        </w:tabs>
        <w:spacing w:before="20" w:after="20"/>
        <w:rPr>
          <w:rFonts w:ascii="Garamond" w:eastAsia="Times New Roman" w:hAnsi="Garamond"/>
          <w:color w:val="000000"/>
          <w:lang w:val="en-US"/>
        </w:rPr>
      </w:pPr>
      <w:r w:rsidRPr="00063226">
        <w:rPr>
          <w:rFonts w:ascii="Garamond" w:eastAsia="Times New Roman" w:hAnsi="Garamond"/>
          <w:color w:val="000000"/>
          <w:lang w:val="en-US"/>
        </w:rPr>
        <w:t>appropriateness of the program design at a package level in responding to that underlying need.</w:t>
      </w:r>
    </w:p>
    <w:p w14:paraId="0FEC4A70" w14:textId="77777777" w:rsidR="00166DB1" w:rsidRPr="00166DB1" w:rsidRDefault="00166DB1" w:rsidP="00166DB1">
      <w:pPr>
        <w:spacing w:before="85" w:after="85"/>
        <w:rPr>
          <w:rFonts w:ascii="Garamond" w:eastAsia="Garamond" w:hAnsi="Garamond"/>
          <w:color w:val="000000"/>
          <w:lang w:val="en-US"/>
        </w:rPr>
      </w:pPr>
      <w:r w:rsidRPr="00166DB1">
        <w:rPr>
          <w:rFonts w:ascii="Garamond" w:eastAsia="Garamond" w:hAnsi="Garamond"/>
          <w:color w:val="000000"/>
          <w:lang w:val="en-US"/>
        </w:rPr>
        <w:t>Appropriateness for the Aboriginal and Torres Strait Islander Workforce Package (see Section B below) examined:</w:t>
      </w:r>
    </w:p>
    <w:p w14:paraId="76F0638E" w14:textId="77777777" w:rsidR="00166DB1" w:rsidRPr="00063226" w:rsidRDefault="00166DB1" w:rsidP="009F66FB">
      <w:pPr>
        <w:pStyle w:val="ListParagraph"/>
        <w:numPr>
          <w:ilvl w:val="0"/>
          <w:numId w:val="17"/>
        </w:numPr>
        <w:tabs>
          <w:tab w:val="num" w:pos="426"/>
        </w:tabs>
        <w:spacing w:before="20" w:after="20"/>
        <w:rPr>
          <w:rFonts w:ascii="Garamond" w:eastAsia="Times New Roman" w:hAnsi="Garamond"/>
          <w:color w:val="000000"/>
          <w:lang w:val="en-US"/>
        </w:rPr>
      </w:pPr>
      <w:r w:rsidRPr="00063226">
        <w:rPr>
          <w:rFonts w:ascii="Garamond" w:eastAsia="Times New Roman" w:hAnsi="Garamond"/>
          <w:color w:val="000000"/>
          <w:lang w:val="en-US"/>
        </w:rPr>
        <w:t>evidence about the underlying need for Aboriginal and Torres Strait Islander people to increase their access to medicines in the community, and</w:t>
      </w:r>
    </w:p>
    <w:p w14:paraId="7F28399D" w14:textId="77777777" w:rsidR="00166DB1" w:rsidRPr="00063226" w:rsidRDefault="00166DB1" w:rsidP="009F66FB">
      <w:pPr>
        <w:pStyle w:val="ListParagraph"/>
        <w:numPr>
          <w:ilvl w:val="0"/>
          <w:numId w:val="17"/>
        </w:numPr>
        <w:tabs>
          <w:tab w:val="num" w:pos="426"/>
        </w:tabs>
        <w:spacing w:before="20" w:after="20"/>
        <w:rPr>
          <w:rFonts w:ascii="Garamond" w:eastAsia="Times New Roman" w:hAnsi="Garamond"/>
          <w:color w:val="000000"/>
          <w:lang w:val="en-US"/>
        </w:rPr>
      </w:pPr>
      <w:r w:rsidRPr="00063226">
        <w:rPr>
          <w:rFonts w:ascii="Garamond" w:eastAsia="Times New Roman" w:hAnsi="Garamond"/>
          <w:color w:val="000000"/>
          <w:lang w:val="en-US"/>
        </w:rPr>
        <w:t>the appropriateness of the Package in responding to that underlying need.</w:t>
      </w:r>
    </w:p>
    <w:p w14:paraId="45374621" w14:textId="77777777" w:rsidR="00166DB1" w:rsidRPr="00166DB1" w:rsidRDefault="00166DB1" w:rsidP="00B24642">
      <w:pPr>
        <w:pStyle w:val="ESHeading2"/>
        <w:rPr>
          <w:lang w:val="en-US"/>
        </w:rPr>
      </w:pPr>
      <w:r w:rsidRPr="00166DB1">
        <w:rPr>
          <w:lang w:val="en-US"/>
        </w:rPr>
        <w:t>KEY FINDINGS ON Appropriateness</w:t>
      </w:r>
    </w:p>
    <w:p w14:paraId="748A30D5" w14:textId="77777777" w:rsidR="00166DB1" w:rsidRPr="00166DB1" w:rsidRDefault="00166DB1" w:rsidP="00166DB1">
      <w:pPr>
        <w:keepNext/>
        <w:spacing w:before="85" w:after="85"/>
        <w:rPr>
          <w:rFonts w:ascii="Garamond" w:eastAsia="Garamond" w:hAnsi="Garamond"/>
          <w:color w:val="000000"/>
          <w:lang w:val="en-US"/>
        </w:rPr>
      </w:pPr>
      <w:r w:rsidRPr="00166DB1">
        <w:rPr>
          <w:rFonts w:ascii="Garamond" w:eastAsia="Garamond" w:hAnsi="Garamond"/>
          <w:color w:val="000000"/>
          <w:lang w:val="en-US"/>
        </w:rPr>
        <w:t>The key findings of the evaluation on appropriateness are summarised in the following table.</w:t>
      </w:r>
    </w:p>
    <w:tbl>
      <w:tblPr>
        <w:tblStyle w:val="KeyFindings"/>
        <w:tblW w:w="5000" w:type="pct"/>
        <w:shd w:val="clear" w:color="auto" w:fill="F2F2F2" w:themeFill="background1" w:themeFillShade="F2"/>
        <w:tblLayout w:type="fixed"/>
        <w:tblLook w:val="04A0" w:firstRow="1" w:lastRow="0" w:firstColumn="1" w:lastColumn="0" w:noHBand="0" w:noVBand="1"/>
        <w:tblCaption w:val="Summary of Key Findings"/>
        <w:tblDescription w:val="Table summarising Key Findings 4 to 11"/>
      </w:tblPr>
      <w:tblGrid>
        <w:gridCol w:w="1843"/>
        <w:gridCol w:w="5201"/>
      </w:tblGrid>
      <w:tr w:rsidR="00133610" w:rsidRPr="00166DB1" w14:paraId="7B37D598" w14:textId="77777777" w:rsidTr="00133610">
        <w:trPr>
          <w:cnfStyle w:val="100000000000" w:firstRow="1" w:lastRow="0" w:firstColumn="0" w:lastColumn="0" w:oddVBand="0" w:evenVBand="0" w:oddHBand="0" w:evenHBand="0" w:firstRowFirstColumn="0" w:firstRowLastColumn="0" w:lastRowFirstColumn="0" w:lastRowLastColumn="0"/>
          <w:tblHeader/>
        </w:trPr>
        <w:tc>
          <w:tcPr>
            <w:tcW w:w="1843" w:type="dxa"/>
            <w:shd w:val="clear" w:color="auto" w:fill="F2F2F2" w:themeFill="background1" w:themeFillShade="F2"/>
            <w:vAlign w:val="center"/>
          </w:tcPr>
          <w:p w14:paraId="66C4FD6E" w14:textId="65DE9FAA" w:rsidR="00133610" w:rsidRPr="00166DB1" w:rsidRDefault="00133610" w:rsidP="002D261F">
            <w:pPr>
              <w:pStyle w:val="KeyFindingsTableHeading"/>
            </w:pPr>
          </w:p>
        </w:tc>
        <w:tc>
          <w:tcPr>
            <w:tcW w:w="5201" w:type="dxa"/>
            <w:shd w:val="clear" w:color="auto" w:fill="F2F2F2" w:themeFill="background1" w:themeFillShade="F2"/>
            <w:vAlign w:val="center"/>
          </w:tcPr>
          <w:p w14:paraId="74805B34" w14:textId="28A02D4D" w:rsidR="00133610" w:rsidRPr="00166DB1" w:rsidRDefault="00133610" w:rsidP="002D261F">
            <w:pPr>
              <w:pStyle w:val="KeyFindingsTableHeading"/>
            </w:pPr>
            <w:r w:rsidRPr="00166DB1">
              <w:t>Summary of key findings</w:t>
            </w:r>
          </w:p>
        </w:tc>
      </w:tr>
      <w:tr w:rsidR="00166DB1" w:rsidRPr="00166DB1" w14:paraId="6AD5BBA9" w14:textId="77777777" w:rsidTr="00133610">
        <w:tc>
          <w:tcPr>
            <w:tcW w:w="1843" w:type="dxa"/>
            <w:shd w:val="clear" w:color="auto" w:fill="F2F2F2" w:themeFill="background1" w:themeFillShade="F2"/>
            <w:vAlign w:val="center"/>
          </w:tcPr>
          <w:p w14:paraId="280A243A" w14:textId="3E58F383" w:rsidR="00166DB1" w:rsidRPr="00166DB1" w:rsidRDefault="00166DB1" w:rsidP="002D261F">
            <w:pPr>
              <w:pStyle w:val="KeyFindingsTableLeftColumn"/>
            </w:pPr>
            <w:r w:rsidRPr="00166DB1">
              <w:fldChar w:fldCharType="begin"/>
            </w:r>
            <w:r w:rsidRPr="00166DB1">
              <w:instrText xml:space="preserve"> REF _Ref490665284 \r \h </w:instrText>
            </w:r>
            <w:r w:rsidR="002D261F">
              <w:instrText xml:space="preserve"> \* MERGEFORMAT </w:instrText>
            </w:r>
            <w:r w:rsidRPr="00166DB1">
              <w:fldChar w:fldCharType="separate"/>
            </w:r>
            <w:r w:rsidRPr="00166DB1">
              <w:t>Key Finding 4:</w:t>
            </w:r>
            <w:r w:rsidRPr="00166DB1">
              <w:fldChar w:fldCharType="end"/>
            </w:r>
          </w:p>
        </w:tc>
        <w:tc>
          <w:tcPr>
            <w:tcW w:w="5201" w:type="dxa"/>
            <w:shd w:val="clear" w:color="auto" w:fill="F2F2F2" w:themeFill="background1" w:themeFillShade="F2"/>
            <w:vAlign w:val="center"/>
          </w:tcPr>
          <w:p w14:paraId="281C903A" w14:textId="7582BB88" w:rsidR="00166DB1" w:rsidRPr="00166DB1" w:rsidRDefault="00166DB1" w:rsidP="002D261F">
            <w:pPr>
              <w:pStyle w:val="KeyFindingsTableCopy"/>
            </w:pPr>
            <w:r w:rsidRPr="00166DB1">
              <w:fldChar w:fldCharType="begin"/>
            </w:r>
            <w:r w:rsidRPr="00166DB1">
              <w:instrText xml:space="preserve"> REF _Ref490665284 \h </w:instrText>
            </w:r>
            <w:r w:rsidR="002D261F">
              <w:instrText xml:space="preserve"> \* MERGEFORMAT </w:instrText>
            </w:r>
            <w:r w:rsidRPr="00166DB1">
              <w:fldChar w:fldCharType="separate"/>
            </w:r>
            <w:r w:rsidRPr="00166DB1">
              <w:t>There was an overall increase of 5.8% in the number of pharmacists from 19,188 in 2013 to 20,297 in 2015.</w:t>
            </w:r>
            <w:r w:rsidRPr="00166DB1">
              <w:fldChar w:fldCharType="end"/>
            </w:r>
          </w:p>
        </w:tc>
      </w:tr>
      <w:tr w:rsidR="00166DB1" w:rsidRPr="00166DB1" w14:paraId="7A1FC577" w14:textId="77777777" w:rsidTr="00133610">
        <w:tc>
          <w:tcPr>
            <w:tcW w:w="1843" w:type="dxa"/>
            <w:shd w:val="clear" w:color="auto" w:fill="F2F2F2" w:themeFill="background1" w:themeFillShade="F2"/>
            <w:vAlign w:val="center"/>
          </w:tcPr>
          <w:p w14:paraId="248D443F" w14:textId="33615388" w:rsidR="00166DB1" w:rsidRPr="00166DB1" w:rsidRDefault="00166DB1" w:rsidP="002D261F">
            <w:pPr>
              <w:pStyle w:val="KeyFindingsTableLeftColumn"/>
            </w:pPr>
            <w:r w:rsidRPr="00166DB1">
              <w:fldChar w:fldCharType="begin"/>
            </w:r>
            <w:r w:rsidRPr="00166DB1">
              <w:instrText xml:space="preserve"> REF _Ref490665326 \r \h </w:instrText>
            </w:r>
            <w:r w:rsidR="002D261F">
              <w:instrText xml:space="preserve"> \* MERGEFORMAT </w:instrText>
            </w:r>
            <w:r w:rsidRPr="00166DB1">
              <w:fldChar w:fldCharType="separate"/>
            </w:r>
            <w:r w:rsidRPr="00166DB1">
              <w:t>Key Finding 5:</w:t>
            </w:r>
            <w:r w:rsidRPr="00166DB1">
              <w:fldChar w:fldCharType="end"/>
            </w:r>
          </w:p>
        </w:tc>
        <w:tc>
          <w:tcPr>
            <w:tcW w:w="5201" w:type="dxa"/>
            <w:shd w:val="clear" w:color="auto" w:fill="F2F2F2" w:themeFill="background1" w:themeFillShade="F2"/>
            <w:vAlign w:val="center"/>
          </w:tcPr>
          <w:p w14:paraId="5A7FF67B" w14:textId="37CE5D73" w:rsidR="00166DB1" w:rsidRPr="00166DB1" w:rsidRDefault="00166DB1" w:rsidP="002D261F">
            <w:pPr>
              <w:pStyle w:val="KeyFindingsTableCopy"/>
            </w:pPr>
            <w:r w:rsidRPr="00166DB1">
              <w:fldChar w:fldCharType="begin"/>
            </w:r>
            <w:r w:rsidRPr="00166DB1">
              <w:instrText xml:space="preserve"> REF _Ref490665326 \h </w:instrText>
            </w:r>
            <w:r w:rsidR="002D261F">
              <w:instrText xml:space="preserve"> \* MERGEFORMAT </w:instrText>
            </w:r>
            <w:r w:rsidRPr="00166DB1">
              <w:fldChar w:fldCharType="separate"/>
            </w:r>
            <w:r w:rsidRPr="00166DB1">
              <w:t xml:space="preserve">The distribution of pharmacist FTE rates (per 100,000 population) was skewed towards metropolitan areas. The </w:t>
            </w:r>
            <w:r w:rsidRPr="00166DB1">
              <w:t xml:space="preserve">latest available data showed the following community pharmacist FTE per 100,000 people in 2015: major cities – 54.5; inner regional – 52.2; outer regional – 50.4; remote </w:t>
            </w:r>
            <w:r w:rsidRPr="00166DB1">
              <w:softHyphen/>
              <w:t xml:space="preserve"> 40.3; and very remote – 27.5.</w:t>
            </w:r>
            <w:r w:rsidRPr="00166DB1">
              <w:fldChar w:fldCharType="end"/>
            </w:r>
          </w:p>
        </w:tc>
      </w:tr>
      <w:tr w:rsidR="00166DB1" w:rsidRPr="00166DB1" w14:paraId="4D766FD4" w14:textId="77777777" w:rsidTr="00133610">
        <w:tc>
          <w:tcPr>
            <w:tcW w:w="1843" w:type="dxa"/>
            <w:shd w:val="clear" w:color="auto" w:fill="F2F2F2" w:themeFill="background1" w:themeFillShade="F2"/>
            <w:vAlign w:val="center"/>
          </w:tcPr>
          <w:p w14:paraId="2FE75EF1" w14:textId="02E3E4D7" w:rsidR="00166DB1" w:rsidRPr="00166DB1" w:rsidRDefault="00166DB1" w:rsidP="002D261F">
            <w:pPr>
              <w:pStyle w:val="KeyFindingsTableLeftColumn"/>
            </w:pPr>
            <w:r w:rsidRPr="00166DB1">
              <w:fldChar w:fldCharType="begin"/>
            </w:r>
            <w:r w:rsidRPr="00166DB1">
              <w:instrText xml:space="preserve"> REF _Ref490665289 \r \h </w:instrText>
            </w:r>
            <w:r w:rsidR="002D261F">
              <w:instrText xml:space="preserve"> \* MERGEFORMAT </w:instrText>
            </w:r>
            <w:r w:rsidRPr="00166DB1">
              <w:fldChar w:fldCharType="separate"/>
            </w:r>
            <w:r w:rsidRPr="00166DB1">
              <w:t>Key Finding 6:</w:t>
            </w:r>
            <w:r w:rsidRPr="00166DB1">
              <w:fldChar w:fldCharType="end"/>
            </w:r>
          </w:p>
        </w:tc>
        <w:tc>
          <w:tcPr>
            <w:tcW w:w="5201" w:type="dxa"/>
            <w:shd w:val="clear" w:color="auto" w:fill="F2F2F2" w:themeFill="background1" w:themeFillShade="F2"/>
            <w:vAlign w:val="center"/>
          </w:tcPr>
          <w:p w14:paraId="5A320F01" w14:textId="7BCEBA55" w:rsidR="00166DB1" w:rsidRPr="00166DB1" w:rsidRDefault="00166DB1" w:rsidP="002D261F">
            <w:pPr>
              <w:pStyle w:val="KeyFindingsTableCopy"/>
            </w:pPr>
            <w:r w:rsidRPr="00166DB1">
              <w:fldChar w:fldCharType="begin"/>
            </w:r>
            <w:r w:rsidRPr="00166DB1">
              <w:instrText xml:space="preserve"> REF _Ref490665289 \h </w:instrText>
            </w:r>
            <w:r w:rsidR="002D261F">
              <w:instrText xml:space="preserve"> \* MERGEFORMAT </w:instrText>
            </w:r>
            <w:r w:rsidRPr="00166DB1">
              <w:fldChar w:fldCharType="separate"/>
            </w:r>
            <w:r w:rsidRPr="00166DB1">
              <w:t>Based on the ongoing inequity of the pharmacist workforce distribution, it was concluded there is a continuing need for mechanisms to promote recruitment and retention of pharmacists in non-metropolitan areas, across all pharmacist types.</w:t>
            </w:r>
            <w:r w:rsidRPr="00166DB1">
              <w:fldChar w:fldCharType="end"/>
            </w:r>
          </w:p>
        </w:tc>
      </w:tr>
      <w:tr w:rsidR="00166DB1" w:rsidRPr="00166DB1" w14:paraId="32F0027E" w14:textId="77777777" w:rsidTr="00133610">
        <w:tc>
          <w:tcPr>
            <w:tcW w:w="1843" w:type="dxa"/>
            <w:shd w:val="clear" w:color="auto" w:fill="F2F2F2" w:themeFill="background1" w:themeFillShade="F2"/>
            <w:vAlign w:val="center"/>
          </w:tcPr>
          <w:p w14:paraId="53AD0962" w14:textId="44CF51DB" w:rsidR="00166DB1" w:rsidRPr="00166DB1" w:rsidRDefault="00166DB1" w:rsidP="002D261F">
            <w:pPr>
              <w:pStyle w:val="KeyFindingsTableLeftColumn"/>
            </w:pPr>
            <w:r w:rsidRPr="00166DB1">
              <w:fldChar w:fldCharType="begin"/>
            </w:r>
            <w:r w:rsidRPr="00166DB1">
              <w:instrText xml:space="preserve"> REF _Ref490665340 \r \h </w:instrText>
            </w:r>
            <w:r w:rsidR="002D261F">
              <w:instrText xml:space="preserve"> \* MERGEFORMAT </w:instrText>
            </w:r>
            <w:r w:rsidRPr="00166DB1">
              <w:fldChar w:fldCharType="separate"/>
            </w:r>
            <w:r w:rsidRPr="00166DB1">
              <w:t>Key Finding 7:</w:t>
            </w:r>
            <w:r w:rsidRPr="00166DB1">
              <w:fldChar w:fldCharType="end"/>
            </w:r>
          </w:p>
        </w:tc>
        <w:tc>
          <w:tcPr>
            <w:tcW w:w="5201" w:type="dxa"/>
            <w:shd w:val="clear" w:color="auto" w:fill="F2F2F2" w:themeFill="background1" w:themeFillShade="F2"/>
            <w:vAlign w:val="center"/>
          </w:tcPr>
          <w:p w14:paraId="304DC7A0" w14:textId="60841C98" w:rsidR="00166DB1" w:rsidRPr="00166DB1" w:rsidRDefault="00166DB1" w:rsidP="002D261F">
            <w:pPr>
              <w:pStyle w:val="KeyFindingsTableCopy"/>
            </w:pPr>
            <w:r w:rsidRPr="00166DB1">
              <w:fldChar w:fldCharType="begin"/>
            </w:r>
            <w:r w:rsidRPr="00166DB1">
              <w:instrText xml:space="preserve"> REF _Ref490665340 \h </w:instrText>
            </w:r>
            <w:r w:rsidR="002D261F">
              <w:instrText xml:space="preserve"> \* MERGEFORMAT </w:instrText>
            </w:r>
            <w:r w:rsidRPr="00166DB1">
              <w:fldChar w:fldCharType="separate"/>
            </w:r>
            <w:r w:rsidRPr="00166DB1">
              <w:t>Recruitment component programs are supported by moderate to strong evidence, as students with a rural origin or who have had exposure to rural practice are more likely to take up positions in rural areas. However, most literature focused on other health workforces and did not specifically support the appropriateness of delivery mechanisms (i.e. scholarships, placements) in encouraging rural practice.</w:t>
            </w:r>
            <w:r w:rsidRPr="00166DB1">
              <w:fldChar w:fldCharType="end"/>
            </w:r>
          </w:p>
        </w:tc>
      </w:tr>
      <w:tr w:rsidR="00166DB1" w:rsidRPr="00166DB1" w14:paraId="215CC160" w14:textId="77777777" w:rsidTr="00133610">
        <w:tc>
          <w:tcPr>
            <w:tcW w:w="1843" w:type="dxa"/>
            <w:shd w:val="clear" w:color="auto" w:fill="F2F2F2" w:themeFill="background1" w:themeFillShade="F2"/>
            <w:vAlign w:val="center"/>
          </w:tcPr>
          <w:p w14:paraId="3C9C6C8C" w14:textId="4749CB7C" w:rsidR="00166DB1" w:rsidRPr="00166DB1" w:rsidRDefault="00166DB1" w:rsidP="002D261F">
            <w:pPr>
              <w:pStyle w:val="KeyFindingsTableLeftColumn"/>
            </w:pPr>
            <w:r w:rsidRPr="00166DB1">
              <w:fldChar w:fldCharType="begin"/>
            </w:r>
            <w:r w:rsidRPr="00166DB1">
              <w:instrText xml:space="preserve"> REF _Ref490665345 \r \h </w:instrText>
            </w:r>
            <w:r w:rsidR="002D261F">
              <w:instrText xml:space="preserve"> \* MERGEFORMAT </w:instrText>
            </w:r>
            <w:r w:rsidRPr="00166DB1">
              <w:fldChar w:fldCharType="separate"/>
            </w:r>
            <w:r w:rsidRPr="00166DB1">
              <w:t>Key Finding 8:</w:t>
            </w:r>
            <w:r w:rsidRPr="00166DB1">
              <w:fldChar w:fldCharType="end"/>
            </w:r>
          </w:p>
        </w:tc>
        <w:tc>
          <w:tcPr>
            <w:tcW w:w="5201" w:type="dxa"/>
            <w:shd w:val="clear" w:color="auto" w:fill="F2F2F2" w:themeFill="background1" w:themeFillShade="F2"/>
            <w:vAlign w:val="center"/>
          </w:tcPr>
          <w:p w14:paraId="57FD095B" w14:textId="75102CD6" w:rsidR="00166DB1" w:rsidRPr="00166DB1" w:rsidRDefault="00166DB1" w:rsidP="002D261F">
            <w:pPr>
              <w:pStyle w:val="KeyFindingsTableCopy"/>
            </w:pPr>
            <w:r w:rsidRPr="00166DB1">
              <w:fldChar w:fldCharType="begin"/>
            </w:r>
            <w:r w:rsidRPr="00166DB1">
              <w:instrText xml:space="preserve"> REF _Ref490665345 \h </w:instrText>
            </w:r>
            <w:r w:rsidR="002D261F">
              <w:instrText xml:space="preserve"> \* MERGEFORMAT </w:instrText>
            </w:r>
            <w:r w:rsidRPr="00166DB1">
              <w:fldChar w:fldCharType="separate"/>
            </w:r>
            <w:r w:rsidRPr="00166DB1">
              <w:t>Retention component programs are supported by moderate evidence. While the programs address key barriers experienced by pharmacists (i.e. access to interns, locums and CPE), there was limited evidence to support the mechanisms by which support was delivered (i.e. financial assistance to employ an intern).</w:t>
            </w:r>
            <w:r w:rsidRPr="00166DB1">
              <w:fldChar w:fldCharType="end"/>
            </w:r>
          </w:p>
        </w:tc>
      </w:tr>
      <w:tr w:rsidR="00166DB1" w:rsidRPr="00166DB1" w14:paraId="75F483D2" w14:textId="77777777" w:rsidTr="00133610">
        <w:tc>
          <w:tcPr>
            <w:tcW w:w="1843" w:type="dxa"/>
            <w:shd w:val="clear" w:color="auto" w:fill="F2F2F2" w:themeFill="background1" w:themeFillShade="F2"/>
            <w:vAlign w:val="center"/>
          </w:tcPr>
          <w:p w14:paraId="7E734721" w14:textId="0894F0F3" w:rsidR="00166DB1" w:rsidRPr="00166DB1" w:rsidRDefault="00166DB1" w:rsidP="002D261F">
            <w:pPr>
              <w:pStyle w:val="KeyFindingsTableLeftColumn"/>
            </w:pPr>
            <w:r w:rsidRPr="00166DB1">
              <w:fldChar w:fldCharType="begin"/>
            </w:r>
            <w:r w:rsidRPr="00166DB1">
              <w:instrText xml:space="preserve"> REF _Ref490665354 \r \h </w:instrText>
            </w:r>
            <w:r w:rsidR="002D261F">
              <w:instrText xml:space="preserve"> \* MERGEFORMAT </w:instrText>
            </w:r>
            <w:r w:rsidRPr="00166DB1">
              <w:fldChar w:fldCharType="separate"/>
            </w:r>
            <w:r w:rsidRPr="00166DB1">
              <w:t>Key Finding 9:</w:t>
            </w:r>
            <w:r w:rsidRPr="00166DB1">
              <w:fldChar w:fldCharType="end"/>
            </w:r>
          </w:p>
        </w:tc>
        <w:tc>
          <w:tcPr>
            <w:tcW w:w="5201" w:type="dxa"/>
            <w:shd w:val="clear" w:color="auto" w:fill="F2F2F2" w:themeFill="background1" w:themeFillShade="F2"/>
            <w:vAlign w:val="center"/>
          </w:tcPr>
          <w:p w14:paraId="277CB33A" w14:textId="54EC60A2" w:rsidR="00166DB1" w:rsidRPr="00166DB1" w:rsidRDefault="00166DB1" w:rsidP="002D261F">
            <w:pPr>
              <w:pStyle w:val="KeyFindingsTableCopy"/>
            </w:pPr>
            <w:r w:rsidRPr="00166DB1">
              <w:fldChar w:fldCharType="begin"/>
            </w:r>
            <w:r w:rsidRPr="00166DB1">
              <w:instrText xml:space="preserve"> REF _Ref490665354 \h </w:instrText>
            </w:r>
            <w:r w:rsidR="002D261F">
              <w:instrText xml:space="preserve"> \* MERGEFORMAT </w:instrText>
            </w:r>
            <w:r w:rsidRPr="00166DB1">
              <w:fldChar w:fldCharType="separate"/>
            </w:r>
            <w:r w:rsidRPr="00166DB1">
              <w:t>Due to the broad aims underpinning programs providing other support to the pharmacy workforce, the appropriateness of their design is difficult to assess. No literature exists to support the design of either program. However, both programs providing other supports facilitate rural student placements, which have strong support in the literature.</w:t>
            </w:r>
            <w:r w:rsidRPr="00166DB1">
              <w:fldChar w:fldCharType="end"/>
            </w:r>
          </w:p>
        </w:tc>
      </w:tr>
      <w:tr w:rsidR="00166DB1" w:rsidRPr="00166DB1" w14:paraId="78F7F6C5" w14:textId="77777777" w:rsidTr="00133610">
        <w:tc>
          <w:tcPr>
            <w:tcW w:w="1843" w:type="dxa"/>
            <w:shd w:val="clear" w:color="auto" w:fill="F2F2F2" w:themeFill="background1" w:themeFillShade="F2"/>
            <w:vAlign w:val="center"/>
          </w:tcPr>
          <w:p w14:paraId="407201A1" w14:textId="0B441633" w:rsidR="00166DB1" w:rsidRPr="00166DB1" w:rsidRDefault="00166DB1" w:rsidP="002D261F">
            <w:pPr>
              <w:pStyle w:val="KeyFindingsTableLeftColumn"/>
            </w:pPr>
            <w:r w:rsidRPr="00166DB1">
              <w:lastRenderedPageBreak/>
              <w:fldChar w:fldCharType="begin"/>
            </w:r>
            <w:r w:rsidRPr="00166DB1">
              <w:instrText xml:space="preserve"> REF _Ref490665362 \r \h </w:instrText>
            </w:r>
            <w:r w:rsidR="002D261F">
              <w:instrText xml:space="preserve"> \* MERGEFORMAT </w:instrText>
            </w:r>
            <w:r w:rsidRPr="00166DB1">
              <w:fldChar w:fldCharType="separate"/>
            </w:r>
            <w:r w:rsidRPr="00166DB1">
              <w:t>Key Finding 10:</w:t>
            </w:r>
            <w:r w:rsidRPr="00166DB1">
              <w:fldChar w:fldCharType="end"/>
            </w:r>
          </w:p>
        </w:tc>
        <w:tc>
          <w:tcPr>
            <w:tcW w:w="5201" w:type="dxa"/>
            <w:shd w:val="clear" w:color="auto" w:fill="F2F2F2" w:themeFill="background1" w:themeFillShade="F2"/>
            <w:vAlign w:val="center"/>
          </w:tcPr>
          <w:p w14:paraId="70B55E85" w14:textId="4E1452DB" w:rsidR="00166DB1" w:rsidRPr="00166DB1" w:rsidRDefault="00166DB1" w:rsidP="002D261F">
            <w:pPr>
              <w:pStyle w:val="KeyFindingsTableCopy"/>
              <w:rPr>
                <w:rFonts w:eastAsia="Garamond"/>
              </w:rPr>
            </w:pPr>
            <w:r w:rsidRPr="00166DB1">
              <w:rPr>
                <w:rFonts w:eastAsia="Garamond"/>
              </w:rPr>
              <w:fldChar w:fldCharType="begin"/>
            </w:r>
            <w:r w:rsidRPr="00166DB1">
              <w:rPr>
                <w:rFonts w:eastAsia="Garamond"/>
              </w:rPr>
              <w:instrText xml:space="preserve"> REF _Ref490665362 \h </w:instrText>
            </w:r>
            <w:r w:rsidR="002D261F">
              <w:rPr>
                <w:rFonts w:eastAsia="Garamond"/>
              </w:rPr>
              <w:instrText xml:space="preserve"> \* MERGEFORMAT </w:instrText>
            </w:r>
            <w:r w:rsidRPr="00166DB1">
              <w:rPr>
                <w:rFonts w:eastAsia="Garamond"/>
              </w:rPr>
            </w:r>
            <w:r w:rsidRPr="00166DB1">
              <w:rPr>
                <w:rFonts w:eastAsia="Garamond"/>
              </w:rPr>
              <w:fldChar w:fldCharType="separate"/>
            </w:r>
            <w:r w:rsidRPr="00166DB1">
              <w:rPr>
                <w:rFonts w:eastAsia="Garamond"/>
              </w:rPr>
              <w:t>PBS expenditure data showed that Aboriginal and Torres Strait Islander people have an ongoing need to increase their access to subsidised medicines.</w:t>
            </w:r>
            <w:r w:rsidRPr="00166DB1">
              <w:rPr>
                <w:rFonts w:eastAsia="Garamond"/>
              </w:rPr>
              <w:fldChar w:fldCharType="end"/>
            </w:r>
          </w:p>
        </w:tc>
      </w:tr>
      <w:tr w:rsidR="00166DB1" w:rsidRPr="00166DB1" w14:paraId="67E3DD59" w14:textId="77777777" w:rsidTr="00133610">
        <w:tc>
          <w:tcPr>
            <w:tcW w:w="1843" w:type="dxa"/>
            <w:shd w:val="clear" w:color="auto" w:fill="F2F2F2" w:themeFill="background1" w:themeFillShade="F2"/>
            <w:vAlign w:val="center"/>
          </w:tcPr>
          <w:p w14:paraId="5BC2D77B" w14:textId="7CBB7B77" w:rsidR="00166DB1" w:rsidRPr="00166DB1" w:rsidRDefault="00166DB1" w:rsidP="002D261F">
            <w:pPr>
              <w:pStyle w:val="KeyFindingsTableLeftColumn"/>
            </w:pPr>
            <w:r w:rsidRPr="00166DB1">
              <w:fldChar w:fldCharType="begin"/>
            </w:r>
            <w:r w:rsidRPr="00166DB1">
              <w:instrText xml:space="preserve"> REF _Ref490665369 \r \h </w:instrText>
            </w:r>
            <w:r w:rsidR="002D261F">
              <w:instrText xml:space="preserve"> \* MERGEFORMAT </w:instrText>
            </w:r>
            <w:r w:rsidRPr="00166DB1">
              <w:fldChar w:fldCharType="separate"/>
            </w:r>
            <w:r w:rsidRPr="00166DB1">
              <w:t>Key Finding 11:</w:t>
            </w:r>
            <w:r w:rsidRPr="00166DB1">
              <w:fldChar w:fldCharType="end"/>
            </w:r>
          </w:p>
        </w:tc>
        <w:tc>
          <w:tcPr>
            <w:tcW w:w="5201" w:type="dxa"/>
            <w:shd w:val="clear" w:color="auto" w:fill="F2F2F2" w:themeFill="background1" w:themeFillShade="F2"/>
            <w:vAlign w:val="center"/>
          </w:tcPr>
          <w:p w14:paraId="5CD16385" w14:textId="3F7C7140" w:rsidR="00166DB1" w:rsidRPr="00166DB1" w:rsidRDefault="00166DB1" w:rsidP="002D261F">
            <w:pPr>
              <w:pStyle w:val="KeyFindingsTableCopy"/>
              <w:rPr>
                <w:rFonts w:eastAsia="Garamond"/>
              </w:rPr>
            </w:pPr>
            <w:r w:rsidRPr="00166DB1">
              <w:rPr>
                <w:rFonts w:eastAsia="Garamond"/>
              </w:rPr>
              <w:fldChar w:fldCharType="begin"/>
            </w:r>
            <w:r w:rsidRPr="00166DB1">
              <w:rPr>
                <w:rFonts w:eastAsia="Garamond"/>
              </w:rPr>
              <w:instrText xml:space="preserve"> REF _Ref490676772 \h </w:instrText>
            </w:r>
            <w:r w:rsidR="002D261F">
              <w:rPr>
                <w:rFonts w:eastAsia="Garamond"/>
              </w:rPr>
              <w:instrText xml:space="preserve"> \* MERGEFORMAT </w:instrText>
            </w:r>
            <w:r w:rsidRPr="00166DB1">
              <w:rPr>
                <w:rFonts w:eastAsia="Garamond"/>
              </w:rPr>
            </w:r>
            <w:r w:rsidRPr="00166DB1">
              <w:rPr>
                <w:rFonts w:eastAsia="Garamond"/>
              </w:rPr>
              <w:fldChar w:fldCharType="separate"/>
            </w:r>
            <w:r w:rsidRPr="00166DB1">
              <w:rPr>
                <w:rFonts w:eastAsia="Garamond"/>
              </w:rPr>
              <w:t>Alternative models of service delivery, in addition to / or as an alternative, may need to be considered to maximise access to PBS medicines in rural and remote locations.</w:t>
            </w:r>
            <w:r w:rsidRPr="00166DB1">
              <w:rPr>
                <w:rFonts w:eastAsia="Garamond"/>
              </w:rPr>
              <w:fldChar w:fldCharType="end"/>
            </w:r>
          </w:p>
        </w:tc>
      </w:tr>
    </w:tbl>
    <w:p w14:paraId="2BAF9F16" w14:textId="77777777" w:rsidR="00166DB1" w:rsidRPr="00166DB1" w:rsidRDefault="00166DB1" w:rsidP="0029291C">
      <w:pPr>
        <w:pStyle w:val="ESHeading2"/>
        <w:spacing w:before="240"/>
        <w:rPr>
          <w:lang w:val="en-US"/>
        </w:rPr>
      </w:pPr>
      <w:r w:rsidRPr="00166DB1">
        <w:rPr>
          <w:lang w:val="en-US"/>
        </w:rPr>
        <w:t>Appropriateness analysis</w:t>
      </w:r>
    </w:p>
    <w:p w14:paraId="0B76DD39" w14:textId="77777777" w:rsidR="00166DB1" w:rsidRPr="00166DB1" w:rsidRDefault="00166DB1" w:rsidP="00292F80">
      <w:pPr>
        <w:pStyle w:val="SectionTitle"/>
        <w:rPr>
          <w:lang w:val="en-US"/>
        </w:rPr>
      </w:pPr>
      <w:bookmarkStart w:id="39" w:name="_Hlk490567940"/>
      <w:r w:rsidRPr="00166DB1">
        <w:rPr>
          <w:lang w:val="en-US"/>
        </w:rPr>
        <w:t>Rural Pharmacy workforce package appropriateness</w:t>
      </w:r>
    </w:p>
    <w:p w14:paraId="6A117918" w14:textId="77777777" w:rsidR="00166DB1" w:rsidRPr="00166DB1" w:rsidRDefault="00166DB1" w:rsidP="00B24642">
      <w:pPr>
        <w:pStyle w:val="Heading2"/>
      </w:pPr>
      <w:bookmarkStart w:id="40" w:name="_Ref488142674"/>
      <w:bookmarkStart w:id="41" w:name="_Toc523322054"/>
      <w:bookmarkEnd w:id="39"/>
      <w:r w:rsidRPr="00166DB1">
        <w:t>Distribution of the pharmacy workforce</w:t>
      </w:r>
      <w:bookmarkEnd w:id="40"/>
      <w:r w:rsidRPr="00166DB1">
        <w:t>: underlying need</w:t>
      </w:r>
      <w:bookmarkEnd w:id="41"/>
    </w:p>
    <w:p w14:paraId="3B5F800F" w14:textId="1413E2A8"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We have assessed underlying need for Pharmacy Workforce Package by examining the total number of pharmacists and community pharmacists registered with APRHA, where the data was available (2013-2015). As shown in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_Ref490547422 \h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 xml:space="preserve">Figure </w:t>
      </w:r>
      <w:r w:rsidRPr="00166DB1">
        <w:rPr>
          <w:rFonts w:ascii="Garamond" w:eastAsia="Garamond" w:hAnsi="Garamond"/>
          <w:noProof/>
          <w:color w:val="000000"/>
        </w:rPr>
        <w:t>4</w:t>
      </w:r>
      <w:r w:rsidRPr="00166DB1">
        <w:rPr>
          <w:rFonts w:ascii="Garamond" w:eastAsia="Garamond" w:hAnsi="Garamond"/>
          <w:color w:val="000000"/>
        </w:rPr>
        <w:t>.</w:t>
      </w:r>
      <w:r w:rsidRPr="00166DB1">
        <w:rPr>
          <w:rFonts w:ascii="Garamond" w:eastAsia="Garamond" w:hAnsi="Garamond"/>
          <w:noProof/>
          <w:color w:val="000000"/>
        </w:rPr>
        <w:t>1</w:t>
      </w:r>
      <w:r w:rsidRPr="00166DB1">
        <w:rPr>
          <w:rFonts w:ascii="Garamond" w:eastAsia="Garamond" w:hAnsi="Garamond"/>
          <w:color w:val="000000"/>
        </w:rPr>
        <w:fldChar w:fldCharType="end"/>
      </w:r>
      <w:r w:rsidRPr="00166DB1">
        <w:rPr>
          <w:rFonts w:ascii="Garamond" w:eastAsia="Garamond" w:hAnsi="Garamond"/>
          <w:color w:val="000000"/>
        </w:rPr>
        <w:t>, the overall pharmacy workforce headcount increased from 19,188 in 2013 to 20,297 in 2015, a 5.8% increase. A similar magnitude of increase was</w:t>
      </w:r>
      <w:r w:rsidR="00D65552">
        <w:rPr>
          <w:rFonts w:ascii="Garamond" w:eastAsia="Garamond" w:hAnsi="Garamond"/>
          <w:color w:val="000000"/>
        </w:rPr>
        <w:t xml:space="preserve"> </w:t>
      </w:r>
      <w:r w:rsidRPr="00166DB1">
        <w:rPr>
          <w:rFonts w:ascii="Garamond" w:eastAsia="Garamond" w:hAnsi="Garamond"/>
          <w:color w:val="000000"/>
        </w:rPr>
        <w:t>seen in the community pharmacy headcount, which increased 4.7% between 2013 and 2015.</w:t>
      </w:r>
    </w:p>
    <w:p w14:paraId="59C0A055" w14:textId="77777777" w:rsidR="00166DB1" w:rsidRPr="00166DB1" w:rsidRDefault="00166DB1" w:rsidP="00166DB1">
      <w:pPr>
        <w:keepNext/>
        <w:keepLines/>
        <w:spacing w:before="170" w:after="85" w:line="200" w:lineRule="exact"/>
        <w:jc w:val="center"/>
        <w:rPr>
          <w:rFonts w:ascii="Franklin Gothic Demi" w:eastAsia="Garamond" w:hAnsi="Franklin Gothic Demi"/>
          <w:bCs/>
          <w:color w:val="000000"/>
          <w:sz w:val="17"/>
          <w:szCs w:val="18"/>
        </w:rPr>
      </w:pPr>
      <w:bookmarkStart w:id="42" w:name="_Ref490547422"/>
      <w:r w:rsidRPr="00166DB1">
        <w:rPr>
          <w:rFonts w:ascii="Franklin Gothic Demi" w:eastAsia="Garamond" w:hAnsi="Franklin Gothic Demi"/>
          <w:bCs/>
          <w:color w:val="000000"/>
          <w:sz w:val="17"/>
          <w:szCs w:val="18"/>
        </w:rPr>
        <w:t xml:space="preserve">Figure </w:t>
      </w:r>
      <w:r w:rsidRPr="00166DB1">
        <w:rPr>
          <w:rFonts w:ascii="Franklin Gothic Demi" w:eastAsia="Garamond" w:hAnsi="Franklin Gothic Demi"/>
          <w:bCs/>
          <w:noProof/>
          <w:color w:val="000000"/>
          <w:sz w:val="17"/>
          <w:szCs w:val="18"/>
        </w:rPr>
        <w:fldChar w:fldCharType="begin"/>
      </w:r>
      <w:r w:rsidRPr="00166DB1">
        <w:rPr>
          <w:rFonts w:ascii="Franklin Gothic Demi" w:eastAsia="Garamond" w:hAnsi="Franklin Gothic Demi"/>
          <w:bCs/>
          <w:noProof/>
          <w:color w:val="000000"/>
          <w:sz w:val="17"/>
          <w:szCs w:val="18"/>
        </w:rPr>
        <w:instrText xml:space="preserve"> STYLEREF 1 \s </w:instrText>
      </w:r>
      <w:r w:rsidRPr="00166DB1">
        <w:rPr>
          <w:rFonts w:ascii="Franklin Gothic Demi" w:eastAsia="Garamond" w:hAnsi="Franklin Gothic Demi"/>
          <w:bCs/>
          <w:noProof/>
          <w:color w:val="000000"/>
          <w:sz w:val="17"/>
          <w:szCs w:val="18"/>
        </w:rPr>
        <w:fldChar w:fldCharType="separate"/>
      </w:r>
      <w:r w:rsidRPr="00166DB1">
        <w:rPr>
          <w:rFonts w:ascii="Franklin Gothic Demi" w:eastAsia="Garamond" w:hAnsi="Franklin Gothic Demi"/>
          <w:bCs/>
          <w:noProof/>
          <w:color w:val="000000"/>
          <w:sz w:val="17"/>
          <w:szCs w:val="18"/>
        </w:rPr>
        <w:t>4</w:t>
      </w:r>
      <w:r w:rsidRPr="00166DB1">
        <w:rPr>
          <w:rFonts w:ascii="Franklin Gothic Demi" w:eastAsia="Garamond" w:hAnsi="Franklin Gothic Demi"/>
          <w:bCs/>
          <w:noProof/>
          <w:color w:val="000000"/>
          <w:sz w:val="17"/>
          <w:szCs w:val="18"/>
        </w:rPr>
        <w:fldChar w:fldCharType="end"/>
      </w:r>
      <w:r w:rsidRPr="00166DB1">
        <w:rPr>
          <w:rFonts w:ascii="Franklin Gothic Demi" w:eastAsia="Garamond" w:hAnsi="Franklin Gothic Demi"/>
          <w:bCs/>
          <w:color w:val="000000"/>
          <w:sz w:val="17"/>
          <w:szCs w:val="18"/>
        </w:rPr>
        <w:t>.</w:t>
      </w:r>
      <w:r w:rsidRPr="00166DB1">
        <w:rPr>
          <w:rFonts w:ascii="Franklin Gothic Demi" w:eastAsia="Garamond" w:hAnsi="Franklin Gothic Demi"/>
          <w:bCs/>
          <w:noProof/>
          <w:color w:val="000000"/>
          <w:sz w:val="17"/>
          <w:szCs w:val="18"/>
        </w:rPr>
        <w:fldChar w:fldCharType="begin"/>
      </w:r>
      <w:r w:rsidRPr="00166DB1">
        <w:rPr>
          <w:rFonts w:ascii="Franklin Gothic Demi" w:eastAsia="Garamond" w:hAnsi="Franklin Gothic Demi"/>
          <w:bCs/>
          <w:noProof/>
          <w:color w:val="000000"/>
          <w:sz w:val="17"/>
          <w:szCs w:val="18"/>
        </w:rPr>
        <w:instrText xml:space="preserve"> SEQ Figure \* ARABIC \s 1 </w:instrText>
      </w:r>
      <w:r w:rsidRPr="00166DB1">
        <w:rPr>
          <w:rFonts w:ascii="Franklin Gothic Demi" w:eastAsia="Garamond" w:hAnsi="Franklin Gothic Demi"/>
          <w:bCs/>
          <w:noProof/>
          <w:color w:val="000000"/>
          <w:sz w:val="17"/>
          <w:szCs w:val="18"/>
        </w:rPr>
        <w:fldChar w:fldCharType="separate"/>
      </w:r>
      <w:r w:rsidRPr="00166DB1">
        <w:rPr>
          <w:rFonts w:ascii="Franklin Gothic Demi" w:eastAsia="Garamond" w:hAnsi="Franklin Gothic Demi"/>
          <w:bCs/>
          <w:noProof/>
          <w:color w:val="000000"/>
          <w:sz w:val="17"/>
          <w:szCs w:val="18"/>
        </w:rPr>
        <w:t>1</w:t>
      </w:r>
      <w:r w:rsidRPr="00166DB1">
        <w:rPr>
          <w:rFonts w:ascii="Franklin Gothic Demi" w:eastAsia="Garamond" w:hAnsi="Franklin Gothic Demi"/>
          <w:bCs/>
          <w:noProof/>
          <w:color w:val="000000"/>
          <w:sz w:val="17"/>
          <w:szCs w:val="18"/>
        </w:rPr>
        <w:fldChar w:fldCharType="end"/>
      </w:r>
      <w:bookmarkEnd w:id="42"/>
      <w:r w:rsidRPr="00166DB1">
        <w:rPr>
          <w:rFonts w:ascii="Franklin Gothic Demi" w:eastAsia="Garamond" w:hAnsi="Franklin Gothic Demi"/>
          <w:bCs/>
          <w:color w:val="000000"/>
          <w:sz w:val="17"/>
          <w:szCs w:val="18"/>
        </w:rPr>
        <w:t xml:space="preserve">: </w:t>
      </w:r>
      <w:bookmarkStart w:id="43" w:name="_Ref490547411"/>
      <w:r w:rsidRPr="00166DB1">
        <w:rPr>
          <w:rFonts w:ascii="Franklin Gothic Demi" w:eastAsia="Garamond" w:hAnsi="Franklin Gothic Demi"/>
          <w:bCs/>
          <w:color w:val="000000"/>
          <w:sz w:val="17"/>
          <w:szCs w:val="18"/>
        </w:rPr>
        <w:t>Headcount of total pharmacists and community pharmacists, 2013 to 2015</w:t>
      </w:r>
      <w:bookmarkEnd w:id="43"/>
      <w:r w:rsidRPr="00166DB1">
        <w:rPr>
          <w:rFonts w:ascii="Franklin Gothic Demi" w:eastAsia="Garamond" w:hAnsi="Franklin Gothic Demi"/>
          <w:bCs/>
          <w:color w:val="000000"/>
          <w:sz w:val="17"/>
          <w:szCs w:val="18"/>
        </w:rPr>
        <w:t xml:space="preserve"> </w:t>
      </w:r>
    </w:p>
    <w:p w14:paraId="4DD3B166" w14:textId="77777777" w:rsidR="00166DB1" w:rsidRPr="00166DB1" w:rsidRDefault="00166DB1" w:rsidP="00166DB1">
      <w:pPr>
        <w:spacing w:after="120" w:line="240" w:lineRule="auto"/>
        <w:rPr>
          <w:rFonts w:ascii="Garamond" w:eastAsia="Garamond" w:hAnsi="Garamond"/>
          <w:sz w:val="20"/>
        </w:rPr>
      </w:pPr>
      <w:r w:rsidRPr="00166DB1">
        <w:rPr>
          <w:rFonts w:ascii="Garamond" w:eastAsia="Garamond" w:hAnsi="Garamond"/>
          <w:noProof/>
          <w:sz w:val="20"/>
          <w:lang w:eastAsia="en-AU"/>
        </w:rPr>
        <w:drawing>
          <wp:inline distT="0" distB="0" distL="0" distR="0" wp14:anchorId="55432526" wp14:editId="36356CA1">
            <wp:extent cx="4472940" cy="2645188"/>
            <wp:effectExtent l="0" t="0" r="3810" b="3175"/>
            <wp:docPr id="79" name="Picture 79" descr="Figure 4.1 Graph showing headcount of total pharmacists and community pharmacists, 2013 t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72940" cy="2645188"/>
                    </a:xfrm>
                    <a:prstGeom prst="rect">
                      <a:avLst/>
                    </a:prstGeom>
                    <a:noFill/>
                    <a:ln>
                      <a:noFill/>
                    </a:ln>
                  </pic:spPr>
                </pic:pic>
              </a:graphicData>
            </a:graphic>
          </wp:inline>
        </w:drawing>
      </w:r>
    </w:p>
    <w:p w14:paraId="4D496BB2" w14:textId="77777777" w:rsidR="00166DB1" w:rsidRPr="00166DB1" w:rsidRDefault="00166DB1" w:rsidP="0006497F">
      <w:pPr>
        <w:pStyle w:val="TableNotes"/>
      </w:pPr>
      <w:r w:rsidRPr="00166DB1">
        <w:t>Source: AHPRA</w:t>
      </w:r>
      <w:sdt>
        <w:sdtPr>
          <w:id w:val="487757803"/>
          <w:citation/>
        </w:sdtPr>
        <w:sdtEndPr/>
        <w:sdtContent>
          <w:r w:rsidRPr="00166DB1">
            <w:fldChar w:fldCharType="begin"/>
          </w:r>
          <w:r w:rsidRPr="00166DB1">
            <w:instrText xml:space="preserve"> CITATION Aus15 \l 3081 </w:instrText>
          </w:r>
          <w:r w:rsidRPr="00166DB1">
            <w:fldChar w:fldCharType="separate"/>
          </w:r>
          <w:r w:rsidRPr="00166DB1">
            <w:rPr>
              <w:noProof/>
            </w:rPr>
            <w:t xml:space="preserve"> [4]</w:t>
          </w:r>
          <w:r w:rsidRPr="00166DB1">
            <w:fldChar w:fldCharType="end"/>
          </w:r>
        </w:sdtContent>
      </w:sdt>
    </w:p>
    <w:p w14:paraId="14B57D1C"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Despite the overall increase in the total number of pharmacists and community pharmacists in Australia, the pharmacy workforce remained unevenly distributed between 2013 and 2015, with the ratio of pharmacists to the population remaining skewed towards major cities. Figure 2.2 and Table 2.1 comprise data from AHPRA, provided by the Department’s Health Workforce Division on the pharmacist workforce in 2013–15. </w:t>
      </w:r>
    </w:p>
    <w:p w14:paraId="118D4ECD" w14:textId="77777777" w:rsidR="00166DB1" w:rsidRPr="00166DB1" w:rsidRDefault="00166DB1" w:rsidP="00166DB1">
      <w:pPr>
        <w:spacing w:before="120" w:after="120"/>
        <w:rPr>
          <w:rFonts w:ascii="Garamond" w:eastAsia="Garamond" w:hAnsi="Garamond"/>
          <w:color w:val="000000"/>
        </w:rPr>
      </w:pPr>
      <w:r w:rsidRPr="00166DB1">
        <w:rPr>
          <w:rFonts w:ascii="Garamond" w:eastAsia="Garamond" w:hAnsi="Garamond"/>
          <w:color w:val="000000"/>
        </w:rPr>
        <w:t>Analysis of pharmacist workforce data showed that the FTE rate of pharmacists per 100,000 head of population was consistently higher in major cities compared to non-metropolitan areas for community pharmacists, hospital pharmacists and other types of pharmacists,</w:t>
      </w:r>
      <w:r w:rsidRPr="00166DB1">
        <w:rPr>
          <w:rFonts w:ascii="Garamond" w:eastAsia="Garamond" w:hAnsi="Garamond"/>
          <w:color w:val="000000"/>
          <w:vertAlign w:val="superscript"/>
        </w:rPr>
        <w:footnoteReference w:id="3"/>
      </w:r>
      <w:r w:rsidRPr="00166DB1">
        <w:rPr>
          <w:rFonts w:ascii="Garamond" w:eastAsia="Garamond" w:hAnsi="Garamond"/>
          <w:color w:val="000000"/>
        </w:rPr>
        <w:t xml:space="preserve"> However, the difference between major cities and non-</w:t>
      </w:r>
      <w:r w:rsidRPr="00166DB1">
        <w:rPr>
          <w:rFonts w:ascii="Garamond" w:eastAsia="Garamond" w:hAnsi="Garamond"/>
          <w:color w:val="000000"/>
        </w:rPr>
        <w:lastRenderedPageBreak/>
        <w:t xml:space="preserve">metropolitan areas was greater for hospital pharmacists compared to community pharmacists or other pharmacists. See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_Ref493516572 \h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 xml:space="preserve">Table </w:t>
      </w:r>
      <w:r w:rsidRPr="00166DB1">
        <w:rPr>
          <w:rFonts w:ascii="Garamond" w:eastAsia="Garamond" w:hAnsi="Garamond"/>
          <w:noProof/>
          <w:color w:val="000000"/>
        </w:rPr>
        <w:t>4</w:t>
      </w:r>
      <w:r w:rsidRPr="00166DB1">
        <w:rPr>
          <w:rFonts w:ascii="Garamond" w:eastAsia="Garamond" w:hAnsi="Garamond"/>
          <w:color w:val="000000"/>
        </w:rPr>
        <w:t>.</w:t>
      </w:r>
      <w:r w:rsidRPr="00166DB1">
        <w:rPr>
          <w:rFonts w:ascii="Garamond" w:eastAsia="Garamond" w:hAnsi="Garamond"/>
          <w:noProof/>
          <w:color w:val="000000"/>
        </w:rPr>
        <w:t>1</w:t>
      </w:r>
      <w:r w:rsidRPr="00166DB1">
        <w:rPr>
          <w:rFonts w:ascii="Garamond" w:eastAsia="Garamond" w:hAnsi="Garamond"/>
          <w:color w:val="000000"/>
        </w:rPr>
        <w:fldChar w:fldCharType="end"/>
      </w:r>
      <w:r w:rsidRPr="00166DB1">
        <w:rPr>
          <w:rFonts w:ascii="Garamond" w:eastAsia="Garamond" w:hAnsi="Garamond"/>
          <w:color w:val="000000"/>
        </w:rPr>
        <w:t xml:space="preserve"> and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_Ref493516579 \h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 xml:space="preserve">Figure </w:t>
      </w:r>
      <w:r w:rsidRPr="00166DB1">
        <w:rPr>
          <w:rFonts w:ascii="Garamond" w:eastAsia="Garamond" w:hAnsi="Garamond"/>
          <w:noProof/>
          <w:color w:val="000000"/>
        </w:rPr>
        <w:t>4</w:t>
      </w:r>
      <w:r w:rsidRPr="00166DB1">
        <w:rPr>
          <w:rFonts w:ascii="Garamond" w:eastAsia="Garamond" w:hAnsi="Garamond"/>
          <w:color w:val="000000"/>
        </w:rPr>
        <w:t>.</w:t>
      </w:r>
      <w:r w:rsidRPr="00166DB1">
        <w:rPr>
          <w:rFonts w:ascii="Garamond" w:eastAsia="Garamond" w:hAnsi="Garamond"/>
          <w:noProof/>
          <w:color w:val="000000"/>
        </w:rPr>
        <w:t>2</w:t>
      </w:r>
      <w:r w:rsidRPr="00166DB1">
        <w:rPr>
          <w:rFonts w:ascii="Garamond" w:eastAsia="Garamond" w:hAnsi="Garamond"/>
          <w:color w:val="000000"/>
        </w:rPr>
        <w:fldChar w:fldCharType="end"/>
      </w:r>
      <w:r w:rsidRPr="00166DB1">
        <w:rPr>
          <w:rFonts w:ascii="Garamond" w:eastAsia="Garamond" w:hAnsi="Garamond"/>
          <w:color w:val="000000"/>
        </w:rPr>
        <w:t xml:space="preserve">. </w:t>
      </w:r>
    </w:p>
    <w:p w14:paraId="7514C7B7" w14:textId="77777777" w:rsidR="00166DB1" w:rsidRPr="00166DB1" w:rsidRDefault="00166DB1" w:rsidP="00483C21">
      <w:pPr>
        <w:pStyle w:val="Caption"/>
      </w:pPr>
      <w:bookmarkStart w:id="44" w:name="_Ref493516572"/>
      <w:r w:rsidRPr="00166DB1">
        <w:t xml:space="preserve">Table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4</w:t>
      </w:r>
      <w:r w:rsidRPr="00166DB1">
        <w:rPr>
          <w:noProof/>
        </w:rPr>
        <w:fldChar w:fldCharType="end"/>
      </w:r>
      <w:r w:rsidRPr="00166DB1">
        <w:t>.</w:t>
      </w:r>
      <w:r w:rsidRPr="00166DB1">
        <w:rPr>
          <w:noProof/>
        </w:rPr>
        <w:fldChar w:fldCharType="begin"/>
      </w:r>
      <w:r w:rsidRPr="00166DB1">
        <w:rPr>
          <w:noProof/>
        </w:rPr>
        <w:instrText xml:space="preserve"> SEQ Table \* ARABIC \s 1 </w:instrText>
      </w:r>
      <w:r w:rsidRPr="00166DB1">
        <w:rPr>
          <w:noProof/>
        </w:rPr>
        <w:fldChar w:fldCharType="separate"/>
      </w:r>
      <w:r w:rsidRPr="00166DB1">
        <w:rPr>
          <w:noProof/>
        </w:rPr>
        <w:t>1</w:t>
      </w:r>
      <w:r w:rsidRPr="00166DB1">
        <w:rPr>
          <w:noProof/>
        </w:rPr>
        <w:fldChar w:fldCharType="end"/>
      </w:r>
      <w:bookmarkEnd w:id="44"/>
      <w:r w:rsidRPr="00166DB1">
        <w:t>: Pharmacist FTE rate per 100,000 population by pharmacist type and geographic location, 2015</w:t>
      </w:r>
    </w:p>
    <w:tbl>
      <w:tblPr>
        <w:tblStyle w:val="HMATable"/>
        <w:tblW w:w="4128" w:type="pct"/>
        <w:jc w:val="center"/>
        <w:tblLayout w:type="fixed"/>
        <w:tblLook w:val="04A0" w:firstRow="1" w:lastRow="0" w:firstColumn="1" w:lastColumn="0" w:noHBand="0" w:noVBand="1"/>
        <w:tblCaption w:val="Table 4.1: Pharmacist FTE rate per 100,000 population by pharmacist type and geographic location, 2015"/>
        <w:tblDescription w:val="Table 4.1: Pharmacist FTE rate per 100,000 population by pharmacist type and geographic location, 2015"/>
      </w:tblPr>
      <w:tblGrid>
        <w:gridCol w:w="2540"/>
        <w:gridCol w:w="1424"/>
        <w:gridCol w:w="1843"/>
      </w:tblGrid>
      <w:tr w:rsidR="00166DB1" w:rsidRPr="00166DB1" w14:paraId="7CD69C62" w14:textId="77777777" w:rsidTr="00367717">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100" w:firstRow="0" w:lastRow="0" w:firstColumn="1" w:lastColumn="0" w:oddVBand="0" w:evenVBand="0" w:oddHBand="0" w:evenHBand="0" w:firstRowFirstColumn="1" w:firstRowLastColumn="0" w:lastRowFirstColumn="0" w:lastRowLastColumn="0"/>
            <w:tcW w:w="2187" w:type="pct"/>
            <w:shd w:val="clear" w:color="auto" w:fill="D9D9D9" w:themeFill="background1" w:themeFillShade="D9"/>
            <w:noWrap/>
            <w:hideMark/>
          </w:tcPr>
          <w:p w14:paraId="393EAEFE" w14:textId="77777777" w:rsidR="00166DB1" w:rsidRPr="00166DB1" w:rsidRDefault="00166DB1" w:rsidP="00063226">
            <w:pPr>
              <w:pStyle w:val="TableColumnHeading"/>
              <w:rPr>
                <w:rFonts w:ascii="Garamond" w:hAnsi="Garamond"/>
                <w:lang w:eastAsia="en-AU"/>
              </w:rPr>
            </w:pPr>
            <w:r w:rsidRPr="00166DB1">
              <w:rPr>
                <w:lang w:eastAsia="en-AU"/>
              </w:rPr>
              <w:t xml:space="preserve">Pharmacist type </w:t>
            </w:r>
          </w:p>
        </w:tc>
        <w:tc>
          <w:tcPr>
            <w:tcW w:w="1226" w:type="pct"/>
            <w:shd w:val="clear" w:color="auto" w:fill="D9D9D9" w:themeFill="background1" w:themeFillShade="D9"/>
            <w:noWrap/>
            <w:hideMark/>
          </w:tcPr>
          <w:p w14:paraId="34CC1553" w14:textId="77777777" w:rsidR="00166DB1" w:rsidRPr="00166DB1" w:rsidRDefault="00166DB1" w:rsidP="00063226">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Major City</w:t>
            </w:r>
          </w:p>
        </w:tc>
        <w:tc>
          <w:tcPr>
            <w:tcW w:w="1587" w:type="pct"/>
            <w:shd w:val="clear" w:color="auto" w:fill="D9D9D9" w:themeFill="background1" w:themeFillShade="D9"/>
            <w:noWrap/>
            <w:hideMark/>
          </w:tcPr>
          <w:p w14:paraId="145ADCD5" w14:textId="77777777" w:rsidR="00166DB1" w:rsidRPr="00166DB1" w:rsidRDefault="00166DB1" w:rsidP="00063226">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Non-metropolitan areas</w:t>
            </w:r>
          </w:p>
        </w:tc>
      </w:tr>
      <w:tr w:rsidR="00166DB1" w:rsidRPr="00166DB1" w14:paraId="3D3EA4FC" w14:textId="77777777" w:rsidTr="00063226">
        <w:trPr>
          <w:trHeight w:val="300"/>
          <w:jc w:val="center"/>
        </w:trPr>
        <w:tc>
          <w:tcPr>
            <w:cnfStyle w:val="001000000000" w:firstRow="0" w:lastRow="0" w:firstColumn="1" w:lastColumn="0" w:oddVBand="0" w:evenVBand="0" w:oddHBand="0" w:evenHBand="0" w:firstRowFirstColumn="0" w:firstRowLastColumn="0" w:lastRowFirstColumn="0" w:lastRowLastColumn="0"/>
            <w:tcW w:w="2187" w:type="pct"/>
            <w:shd w:val="clear" w:color="auto" w:fill="F2F2F2" w:themeFill="background1" w:themeFillShade="F2"/>
            <w:noWrap/>
            <w:hideMark/>
          </w:tcPr>
          <w:p w14:paraId="503A66F8" w14:textId="77777777" w:rsidR="00166DB1" w:rsidRPr="00166DB1" w:rsidRDefault="00166DB1" w:rsidP="00063226">
            <w:pPr>
              <w:pStyle w:val="TableCopy"/>
              <w:rPr>
                <w:lang w:eastAsia="en-AU"/>
              </w:rPr>
            </w:pPr>
            <w:r w:rsidRPr="00166DB1">
              <w:rPr>
                <w:lang w:eastAsia="en-AU"/>
              </w:rPr>
              <w:t>Community Pharmacy</w:t>
            </w:r>
          </w:p>
        </w:tc>
        <w:tc>
          <w:tcPr>
            <w:tcW w:w="1226" w:type="pct"/>
            <w:shd w:val="clear" w:color="auto" w:fill="F2F2F2" w:themeFill="background1" w:themeFillShade="F2"/>
            <w:noWrap/>
            <w:hideMark/>
          </w:tcPr>
          <w:p w14:paraId="6B8D0C3C" w14:textId="77777777" w:rsidR="00166DB1" w:rsidRPr="00166DB1" w:rsidRDefault="00166DB1" w:rsidP="00063226">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54.5</w:t>
            </w:r>
          </w:p>
        </w:tc>
        <w:tc>
          <w:tcPr>
            <w:tcW w:w="1587" w:type="pct"/>
            <w:shd w:val="clear" w:color="auto" w:fill="F2F2F2" w:themeFill="background1" w:themeFillShade="F2"/>
            <w:noWrap/>
            <w:hideMark/>
          </w:tcPr>
          <w:p w14:paraId="1D1B5954" w14:textId="77777777" w:rsidR="00166DB1" w:rsidRPr="00166DB1" w:rsidRDefault="00166DB1" w:rsidP="00063226">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50.4</w:t>
            </w:r>
          </w:p>
        </w:tc>
      </w:tr>
      <w:tr w:rsidR="00166DB1" w:rsidRPr="00166DB1" w14:paraId="136F9B96" w14:textId="77777777" w:rsidTr="00063226">
        <w:trPr>
          <w:trHeight w:val="300"/>
          <w:jc w:val="center"/>
        </w:trPr>
        <w:tc>
          <w:tcPr>
            <w:cnfStyle w:val="001000000000" w:firstRow="0" w:lastRow="0" w:firstColumn="1" w:lastColumn="0" w:oddVBand="0" w:evenVBand="0" w:oddHBand="0" w:evenHBand="0" w:firstRowFirstColumn="0" w:firstRowLastColumn="0" w:lastRowFirstColumn="0" w:lastRowLastColumn="0"/>
            <w:tcW w:w="2187" w:type="pct"/>
            <w:shd w:val="clear" w:color="auto" w:fill="F2F2F2" w:themeFill="background1" w:themeFillShade="F2"/>
            <w:noWrap/>
            <w:hideMark/>
          </w:tcPr>
          <w:p w14:paraId="274C3D9A" w14:textId="77777777" w:rsidR="00166DB1" w:rsidRPr="00166DB1" w:rsidRDefault="00166DB1" w:rsidP="00063226">
            <w:pPr>
              <w:pStyle w:val="TableCopy"/>
              <w:rPr>
                <w:lang w:eastAsia="en-AU"/>
              </w:rPr>
            </w:pPr>
            <w:r w:rsidRPr="00166DB1">
              <w:rPr>
                <w:lang w:eastAsia="en-AU"/>
              </w:rPr>
              <w:t>Hospital Pharmacy</w:t>
            </w:r>
          </w:p>
        </w:tc>
        <w:tc>
          <w:tcPr>
            <w:tcW w:w="1226" w:type="pct"/>
            <w:shd w:val="clear" w:color="auto" w:fill="F2F2F2" w:themeFill="background1" w:themeFillShade="F2"/>
            <w:noWrap/>
            <w:hideMark/>
          </w:tcPr>
          <w:p w14:paraId="32E3FF8F" w14:textId="77777777" w:rsidR="00166DB1" w:rsidRPr="00166DB1" w:rsidRDefault="00166DB1" w:rsidP="00063226">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17.7</w:t>
            </w:r>
          </w:p>
        </w:tc>
        <w:tc>
          <w:tcPr>
            <w:tcW w:w="1587" w:type="pct"/>
            <w:shd w:val="clear" w:color="auto" w:fill="F2F2F2" w:themeFill="background1" w:themeFillShade="F2"/>
            <w:noWrap/>
            <w:hideMark/>
          </w:tcPr>
          <w:p w14:paraId="6FCFD6C8" w14:textId="77777777" w:rsidR="00166DB1" w:rsidRPr="00166DB1" w:rsidRDefault="00166DB1" w:rsidP="00063226">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9.5</w:t>
            </w:r>
          </w:p>
        </w:tc>
      </w:tr>
      <w:tr w:rsidR="00166DB1" w:rsidRPr="00166DB1" w14:paraId="71353232" w14:textId="77777777" w:rsidTr="00063226">
        <w:trPr>
          <w:trHeight w:val="300"/>
          <w:jc w:val="center"/>
        </w:trPr>
        <w:tc>
          <w:tcPr>
            <w:cnfStyle w:val="001000000000" w:firstRow="0" w:lastRow="0" w:firstColumn="1" w:lastColumn="0" w:oddVBand="0" w:evenVBand="0" w:oddHBand="0" w:evenHBand="0" w:firstRowFirstColumn="0" w:firstRowLastColumn="0" w:lastRowFirstColumn="0" w:lastRowLastColumn="0"/>
            <w:tcW w:w="2187" w:type="pct"/>
            <w:shd w:val="clear" w:color="auto" w:fill="F2F2F2" w:themeFill="background1" w:themeFillShade="F2"/>
            <w:noWrap/>
            <w:hideMark/>
          </w:tcPr>
          <w:p w14:paraId="3BB096BE" w14:textId="77777777" w:rsidR="00166DB1" w:rsidRPr="00166DB1" w:rsidRDefault="00166DB1" w:rsidP="00063226">
            <w:pPr>
              <w:pStyle w:val="TableCopy"/>
              <w:rPr>
                <w:lang w:eastAsia="en-AU"/>
              </w:rPr>
            </w:pPr>
            <w:r w:rsidRPr="00166DB1">
              <w:rPr>
                <w:lang w:eastAsia="en-AU"/>
              </w:rPr>
              <w:t>Other Pharmacy</w:t>
            </w:r>
          </w:p>
        </w:tc>
        <w:tc>
          <w:tcPr>
            <w:tcW w:w="1226" w:type="pct"/>
            <w:shd w:val="clear" w:color="auto" w:fill="F2F2F2" w:themeFill="background1" w:themeFillShade="F2"/>
            <w:noWrap/>
            <w:hideMark/>
          </w:tcPr>
          <w:p w14:paraId="0093DB48" w14:textId="77777777" w:rsidR="00166DB1" w:rsidRPr="00166DB1" w:rsidRDefault="00166DB1" w:rsidP="00063226">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7.5</w:t>
            </w:r>
          </w:p>
        </w:tc>
        <w:tc>
          <w:tcPr>
            <w:tcW w:w="1587" w:type="pct"/>
            <w:shd w:val="clear" w:color="auto" w:fill="F2F2F2" w:themeFill="background1" w:themeFillShade="F2"/>
            <w:noWrap/>
            <w:hideMark/>
          </w:tcPr>
          <w:p w14:paraId="43500DFB" w14:textId="77777777" w:rsidR="00166DB1" w:rsidRPr="00166DB1" w:rsidRDefault="00166DB1" w:rsidP="00063226">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3.9</w:t>
            </w:r>
          </w:p>
        </w:tc>
      </w:tr>
    </w:tbl>
    <w:p w14:paraId="20D38F91" w14:textId="77777777" w:rsidR="00166DB1" w:rsidRPr="00166DB1" w:rsidRDefault="00166DB1" w:rsidP="00483C21">
      <w:pPr>
        <w:pStyle w:val="Caption"/>
      </w:pPr>
      <w:bookmarkStart w:id="45" w:name="_Ref493516579"/>
      <w:r w:rsidRPr="00166DB1">
        <w:t xml:space="preserve">Figure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4</w:t>
      </w:r>
      <w:r w:rsidRPr="00166DB1">
        <w:rPr>
          <w:noProof/>
        </w:rPr>
        <w:fldChar w:fldCharType="end"/>
      </w:r>
      <w:r w:rsidRPr="00166DB1">
        <w:t>.</w:t>
      </w:r>
      <w:r w:rsidRPr="00166DB1">
        <w:rPr>
          <w:noProof/>
        </w:rPr>
        <w:fldChar w:fldCharType="begin"/>
      </w:r>
      <w:r w:rsidRPr="00166DB1">
        <w:rPr>
          <w:noProof/>
        </w:rPr>
        <w:instrText xml:space="preserve"> SEQ Figure \* ARABIC \s 1 </w:instrText>
      </w:r>
      <w:r w:rsidRPr="00166DB1">
        <w:rPr>
          <w:noProof/>
        </w:rPr>
        <w:fldChar w:fldCharType="separate"/>
      </w:r>
      <w:r w:rsidRPr="00166DB1">
        <w:rPr>
          <w:noProof/>
        </w:rPr>
        <w:t>2</w:t>
      </w:r>
      <w:r w:rsidRPr="00166DB1">
        <w:rPr>
          <w:noProof/>
        </w:rPr>
        <w:fldChar w:fldCharType="end"/>
      </w:r>
      <w:bookmarkEnd w:id="45"/>
      <w:r w:rsidRPr="00166DB1">
        <w:t>: Pharmacist FTE rate per 100,000 population by pharmacist type and geographic location, 2015</w:t>
      </w:r>
    </w:p>
    <w:p w14:paraId="6F377AA0" w14:textId="77777777" w:rsidR="00166DB1" w:rsidRPr="00166DB1" w:rsidRDefault="00166DB1" w:rsidP="00166DB1">
      <w:pPr>
        <w:spacing w:before="120" w:after="120"/>
        <w:rPr>
          <w:rFonts w:ascii="Garamond" w:eastAsia="Garamond" w:hAnsi="Garamond"/>
          <w:color w:val="000000"/>
        </w:rPr>
      </w:pPr>
      <w:r w:rsidRPr="00166DB1">
        <w:rPr>
          <w:rFonts w:ascii="Garamond" w:eastAsia="Garamond" w:hAnsi="Garamond"/>
          <w:noProof/>
          <w:color w:val="000000"/>
          <w:lang w:eastAsia="en-AU"/>
        </w:rPr>
        <w:drawing>
          <wp:inline distT="0" distB="0" distL="0" distR="0" wp14:anchorId="5325D1B0" wp14:editId="129447D1">
            <wp:extent cx="4472940" cy="2689367"/>
            <wp:effectExtent l="0" t="0" r="3810" b="0"/>
            <wp:docPr id="84" name="Picture 84" descr="Figure 4.2 Bar graph showing Pharmacist FTE rate per 100,000 population by pharmacist type and geographic locatio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72940" cy="2689367"/>
                    </a:xfrm>
                    <a:prstGeom prst="rect">
                      <a:avLst/>
                    </a:prstGeom>
                    <a:noFill/>
                    <a:ln>
                      <a:noFill/>
                    </a:ln>
                  </pic:spPr>
                </pic:pic>
              </a:graphicData>
            </a:graphic>
          </wp:inline>
        </w:drawing>
      </w:r>
    </w:p>
    <w:p w14:paraId="3E683ADF" w14:textId="77777777" w:rsidR="00166DB1" w:rsidRPr="00166DB1" w:rsidRDefault="00166DB1" w:rsidP="00166DB1">
      <w:pPr>
        <w:spacing w:before="120" w:after="120"/>
        <w:rPr>
          <w:rFonts w:ascii="Garamond" w:eastAsia="Garamond" w:hAnsi="Garamond"/>
          <w:color w:val="000000"/>
        </w:rPr>
      </w:pPr>
      <w:r w:rsidRPr="00166DB1">
        <w:rPr>
          <w:rFonts w:ascii="Garamond" w:eastAsia="Garamond" w:hAnsi="Garamond"/>
          <w:color w:val="000000"/>
        </w:rPr>
        <w:t xml:space="preserve">Further analysis of changes in community pharmacist FTE rate over time was undertaken. The analysis also shows an overall increase in the community pharmacy FTE rate per 100,000 people in major cities, inner regional areas and very remote </w:t>
      </w:r>
      <w:r w:rsidRPr="00166DB1">
        <w:rPr>
          <w:rFonts w:ascii="Garamond" w:eastAsia="Garamond" w:hAnsi="Garamond"/>
          <w:color w:val="000000"/>
        </w:rPr>
        <w:t>areas between 2013 and 2015. However, over the same period, FTE rates in remote areas declined over the three years.</w:t>
      </w:r>
    </w:p>
    <w:p w14:paraId="3FA74278" w14:textId="77777777" w:rsidR="00166DB1" w:rsidRPr="00166DB1" w:rsidRDefault="00166DB1" w:rsidP="00166DB1">
      <w:pPr>
        <w:keepNext/>
        <w:keepLines/>
        <w:spacing w:before="170" w:after="85" w:line="200" w:lineRule="exact"/>
        <w:ind w:left="170"/>
        <w:jc w:val="center"/>
        <w:rPr>
          <w:rFonts w:ascii="Franklin Gothic Book" w:eastAsia="Garamond" w:hAnsi="Franklin Gothic Book"/>
          <w:bCs/>
          <w:color w:val="000000"/>
          <w:sz w:val="17"/>
          <w:szCs w:val="18"/>
        </w:rPr>
      </w:pPr>
      <w:bookmarkStart w:id="46" w:name="_Ref460839265"/>
      <w:r w:rsidRPr="00166DB1">
        <w:rPr>
          <w:rFonts w:ascii="Franklin Gothic Demi" w:eastAsia="Garamond" w:hAnsi="Franklin Gothic Demi"/>
          <w:bCs/>
          <w:color w:val="000000"/>
          <w:sz w:val="17"/>
          <w:szCs w:val="18"/>
        </w:rPr>
        <w:t xml:space="preserve">Figure </w:t>
      </w:r>
      <w:r w:rsidRPr="00166DB1">
        <w:rPr>
          <w:rFonts w:ascii="Franklin Gothic Demi" w:eastAsia="Garamond" w:hAnsi="Franklin Gothic Demi"/>
          <w:bCs/>
          <w:color w:val="000000"/>
          <w:sz w:val="17"/>
          <w:szCs w:val="18"/>
        </w:rPr>
        <w:fldChar w:fldCharType="begin"/>
      </w:r>
      <w:r w:rsidRPr="00166DB1">
        <w:rPr>
          <w:rFonts w:ascii="Franklin Gothic Demi" w:eastAsia="Garamond" w:hAnsi="Franklin Gothic Demi"/>
          <w:bCs/>
          <w:color w:val="000000"/>
          <w:sz w:val="17"/>
          <w:szCs w:val="18"/>
        </w:rPr>
        <w:instrText xml:space="preserve"> STYLEREF 1 \s </w:instrText>
      </w:r>
      <w:r w:rsidRPr="00166DB1">
        <w:rPr>
          <w:rFonts w:ascii="Franklin Gothic Demi" w:eastAsia="Garamond" w:hAnsi="Franklin Gothic Demi"/>
          <w:bCs/>
          <w:color w:val="000000"/>
          <w:sz w:val="17"/>
          <w:szCs w:val="18"/>
        </w:rPr>
        <w:fldChar w:fldCharType="separate"/>
      </w:r>
      <w:r w:rsidRPr="00166DB1">
        <w:rPr>
          <w:rFonts w:ascii="Franklin Gothic Demi" w:eastAsia="Garamond" w:hAnsi="Franklin Gothic Demi"/>
          <w:bCs/>
          <w:noProof/>
          <w:color w:val="000000"/>
          <w:sz w:val="17"/>
          <w:szCs w:val="18"/>
        </w:rPr>
        <w:t>4</w:t>
      </w:r>
      <w:r w:rsidRPr="00166DB1">
        <w:rPr>
          <w:rFonts w:ascii="Franklin Gothic Demi" w:eastAsia="Garamond" w:hAnsi="Franklin Gothic Demi"/>
          <w:bCs/>
          <w:noProof/>
          <w:color w:val="000000"/>
          <w:sz w:val="17"/>
          <w:szCs w:val="18"/>
        </w:rPr>
        <w:fldChar w:fldCharType="end"/>
      </w:r>
      <w:r w:rsidRPr="00166DB1">
        <w:rPr>
          <w:rFonts w:ascii="Franklin Gothic Demi" w:eastAsia="Garamond" w:hAnsi="Franklin Gothic Demi"/>
          <w:bCs/>
          <w:noProof/>
          <w:color w:val="000000"/>
          <w:sz w:val="17"/>
          <w:szCs w:val="18"/>
        </w:rPr>
        <w:t>.2</w:t>
      </w:r>
      <w:bookmarkEnd w:id="46"/>
      <w:r w:rsidRPr="00166DB1">
        <w:rPr>
          <w:rFonts w:ascii="Franklin Gothic Demi" w:eastAsia="Garamond" w:hAnsi="Franklin Gothic Demi"/>
          <w:bCs/>
          <w:color w:val="000000"/>
          <w:sz w:val="17"/>
          <w:szCs w:val="18"/>
        </w:rPr>
        <w:t xml:space="preserve">: </w:t>
      </w:r>
      <w:r w:rsidRPr="00166DB1">
        <w:rPr>
          <w:rFonts w:ascii="Franklin Gothic Book" w:eastAsia="Garamond" w:hAnsi="Franklin Gothic Book"/>
          <w:bCs/>
          <w:color w:val="000000"/>
          <w:sz w:val="17"/>
          <w:szCs w:val="18"/>
        </w:rPr>
        <w:t>Community pharmacist workforce FTE rate (per 100,000) by remoteness and year</w:t>
      </w:r>
    </w:p>
    <w:p w14:paraId="0EADDE0C"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noProof/>
          <w:color w:val="000000"/>
          <w:lang w:eastAsia="en-AU"/>
        </w:rPr>
        <w:drawing>
          <wp:inline distT="0" distB="0" distL="0" distR="0" wp14:anchorId="6E73EB3D" wp14:editId="1C63C981">
            <wp:extent cx="4472940" cy="3085982"/>
            <wp:effectExtent l="0" t="0" r="3810" b="635"/>
            <wp:docPr id="80" name="Picture 80" descr="Figure 4.2 Line graph showing community pharmacist workforce FTE rate (per 100,000) by remoteness and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72940" cy="3085982"/>
                    </a:xfrm>
                    <a:prstGeom prst="rect">
                      <a:avLst/>
                    </a:prstGeom>
                    <a:noFill/>
                    <a:ln>
                      <a:noFill/>
                    </a:ln>
                  </pic:spPr>
                </pic:pic>
              </a:graphicData>
            </a:graphic>
          </wp:inline>
        </w:drawing>
      </w:r>
    </w:p>
    <w:p w14:paraId="3F2C2DC7" w14:textId="77777777" w:rsidR="00166DB1" w:rsidRPr="00166DB1" w:rsidRDefault="00166DB1" w:rsidP="00166DB1">
      <w:pPr>
        <w:tabs>
          <w:tab w:val="left" w:pos="227"/>
        </w:tabs>
        <w:spacing w:before="85" w:after="170" w:line="158" w:lineRule="atLeast"/>
        <w:contextualSpacing/>
        <w:rPr>
          <w:rFonts w:ascii="Garamond" w:eastAsia="Garamond" w:hAnsi="Garamond"/>
          <w:i/>
          <w:color w:val="000000"/>
          <w:sz w:val="14"/>
        </w:rPr>
      </w:pPr>
      <w:r w:rsidRPr="00166DB1">
        <w:rPr>
          <w:rFonts w:ascii="Garamond" w:eastAsia="Garamond" w:hAnsi="Garamond"/>
          <w:i/>
          <w:color w:val="000000"/>
          <w:sz w:val="14"/>
        </w:rPr>
        <w:t>Source: AHPRA</w:t>
      </w:r>
      <w:sdt>
        <w:sdtPr>
          <w:rPr>
            <w:rFonts w:ascii="Garamond" w:eastAsia="Garamond" w:hAnsi="Garamond"/>
            <w:i/>
            <w:color w:val="000000"/>
            <w:sz w:val="14"/>
          </w:rPr>
          <w:id w:val="163677949"/>
          <w:citation/>
        </w:sdtPr>
        <w:sdtEndPr/>
        <w:sdtContent>
          <w:r w:rsidRPr="00166DB1">
            <w:rPr>
              <w:rFonts w:ascii="Garamond" w:eastAsia="Garamond" w:hAnsi="Garamond"/>
              <w:i/>
              <w:color w:val="000000"/>
              <w:sz w:val="14"/>
            </w:rPr>
            <w:fldChar w:fldCharType="begin"/>
          </w:r>
          <w:r w:rsidRPr="00166DB1">
            <w:rPr>
              <w:rFonts w:ascii="Garamond" w:eastAsia="Garamond" w:hAnsi="Garamond"/>
              <w:i/>
              <w:color w:val="000000"/>
              <w:sz w:val="14"/>
            </w:rPr>
            <w:instrText xml:space="preserve"> CITATION Aus15 \l 3081 </w:instrText>
          </w:r>
          <w:r w:rsidRPr="00166DB1">
            <w:rPr>
              <w:rFonts w:ascii="Garamond" w:eastAsia="Garamond" w:hAnsi="Garamond"/>
              <w:i/>
              <w:color w:val="000000"/>
              <w:sz w:val="14"/>
            </w:rPr>
            <w:fldChar w:fldCharType="separate"/>
          </w:r>
          <w:r w:rsidRPr="00166DB1">
            <w:rPr>
              <w:rFonts w:ascii="Garamond" w:eastAsia="Garamond" w:hAnsi="Garamond"/>
              <w:i/>
              <w:noProof/>
              <w:color w:val="000000"/>
              <w:sz w:val="14"/>
            </w:rPr>
            <w:t xml:space="preserve"> </w:t>
          </w:r>
          <w:r w:rsidRPr="00166DB1">
            <w:rPr>
              <w:rFonts w:ascii="Garamond" w:eastAsia="Garamond" w:hAnsi="Garamond"/>
              <w:noProof/>
              <w:color w:val="000000"/>
              <w:sz w:val="14"/>
            </w:rPr>
            <w:t>[4]</w:t>
          </w:r>
          <w:r w:rsidRPr="00166DB1">
            <w:rPr>
              <w:rFonts w:ascii="Garamond" w:eastAsia="Garamond" w:hAnsi="Garamond"/>
              <w:i/>
              <w:color w:val="000000"/>
              <w:sz w:val="14"/>
            </w:rPr>
            <w:fldChar w:fldCharType="end"/>
          </w:r>
        </w:sdtContent>
      </w:sdt>
    </w:p>
    <w:p w14:paraId="1CE506B5"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By 2015, very remote areas had a community pharmacist FTE rate (per 100,000 people,) of 27.5, 50% lower than the rate for major cities (see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_Ref461180608 \h  \* MERGEFORMAT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Table 4.2</w:t>
      </w:r>
      <w:r w:rsidRPr="00166DB1">
        <w:rPr>
          <w:rFonts w:ascii="Garamond" w:eastAsia="Garamond" w:hAnsi="Garamond"/>
          <w:color w:val="000000"/>
        </w:rPr>
        <w:fldChar w:fldCharType="end"/>
      </w:r>
      <w:r w:rsidRPr="00166DB1">
        <w:rPr>
          <w:rFonts w:ascii="Garamond" w:eastAsia="Garamond" w:hAnsi="Garamond"/>
          <w:color w:val="000000"/>
        </w:rPr>
        <w:t xml:space="preserve">). </w:t>
      </w:r>
    </w:p>
    <w:p w14:paraId="193F184F"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This indicates that, despite overall increases in community pharmacist headcount and FTE rates, the increases were limited to major cities, inner regional areas and very remote areas, not outer regional or remote areas.</w:t>
      </w:r>
    </w:p>
    <w:p w14:paraId="24945E46" w14:textId="77777777" w:rsidR="00166DB1" w:rsidRPr="00166DB1" w:rsidRDefault="00166DB1" w:rsidP="00483C21">
      <w:pPr>
        <w:pStyle w:val="Caption"/>
      </w:pPr>
      <w:bookmarkStart w:id="47" w:name="_Ref461180608"/>
      <w:r w:rsidRPr="00166DB1">
        <w:lastRenderedPageBreak/>
        <w:t xml:space="preserve">Table </w:t>
      </w:r>
      <w:r w:rsidR="002E1F1A">
        <w:rPr>
          <w:noProof/>
        </w:rPr>
        <w:fldChar w:fldCharType="begin"/>
      </w:r>
      <w:r w:rsidR="002E1F1A">
        <w:rPr>
          <w:noProof/>
        </w:rPr>
        <w:instrText xml:space="preserve"> STYLEREF 1 \s </w:instrText>
      </w:r>
      <w:r w:rsidR="002E1F1A">
        <w:rPr>
          <w:noProof/>
        </w:rPr>
        <w:fldChar w:fldCharType="separate"/>
      </w:r>
      <w:r w:rsidRPr="00166DB1">
        <w:rPr>
          <w:noProof/>
        </w:rPr>
        <w:t>4</w:t>
      </w:r>
      <w:r w:rsidR="002E1F1A">
        <w:rPr>
          <w:noProof/>
        </w:rPr>
        <w:fldChar w:fldCharType="end"/>
      </w:r>
      <w:r w:rsidRPr="00166DB1">
        <w:t>.</w:t>
      </w:r>
      <w:r w:rsidR="002E1F1A">
        <w:rPr>
          <w:noProof/>
        </w:rPr>
        <w:fldChar w:fldCharType="begin"/>
      </w:r>
      <w:r w:rsidR="002E1F1A">
        <w:rPr>
          <w:noProof/>
        </w:rPr>
        <w:instrText xml:space="preserve"> SEQ Table \* ARABIC \s 1 </w:instrText>
      </w:r>
      <w:r w:rsidR="002E1F1A">
        <w:rPr>
          <w:noProof/>
        </w:rPr>
        <w:fldChar w:fldCharType="separate"/>
      </w:r>
      <w:r w:rsidRPr="00166DB1">
        <w:rPr>
          <w:noProof/>
        </w:rPr>
        <w:t>2</w:t>
      </w:r>
      <w:r w:rsidR="002E1F1A">
        <w:rPr>
          <w:noProof/>
        </w:rPr>
        <w:fldChar w:fldCharType="end"/>
      </w:r>
      <w:bookmarkEnd w:id="47"/>
      <w:r w:rsidRPr="00166DB1">
        <w:t>: Community pharmacy workforce FTE rate (per 100,000) by remoteness and year</w:t>
      </w:r>
    </w:p>
    <w:tbl>
      <w:tblPr>
        <w:tblStyle w:val="HMATable"/>
        <w:tblW w:w="5000" w:type="pct"/>
        <w:tblLayout w:type="fixed"/>
        <w:tblLook w:val="04A0" w:firstRow="1" w:lastRow="0" w:firstColumn="1" w:lastColumn="0" w:noHBand="0" w:noVBand="1"/>
        <w:tblCaption w:val="Table 4.2: Community pharmacy workforce FTE rate (per 100,000) by remoteness and year"/>
        <w:tblDescription w:val="Table 4.2: Community pharmacy workforce FTE rate (per 100,000) by remoteness and year"/>
      </w:tblPr>
      <w:tblGrid>
        <w:gridCol w:w="576"/>
        <w:gridCol w:w="846"/>
        <w:gridCol w:w="990"/>
        <w:gridCol w:w="1014"/>
        <w:gridCol w:w="966"/>
        <w:gridCol w:w="1415"/>
        <w:gridCol w:w="1227"/>
      </w:tblGrid>
      <w:tr w:rsidR="00166DB1" w:rsidRPr="00166DB1" w14:paraId="1A1E62CE" w14:textId="77777777" w:rsidTr="00367717">
        <w:trPr>
          <w:cnfStyle w:val="100000000000" w:firstRow="1" w:lastRow="0" w:firstColumn="0" w:lastColumn="0" w:oddVBand="0" w:evenVBand="0" w:oddHBand="0" w:evenHBand="0" w:firstRowFirstColumn="0" w:firstRowLastColumn="0" w:lastRowFirstColumn="0" w:lastRowLastColumn="0"/>
          <w:trHeight w:val="983"/>
          <w:tblHeader/>
        </w:trPr>
        <w:tc>
          <w:tcPr>
            <w:cnfStyle w:val="001000000100" w:firstRow="0" w:lastRow="0" w:firstColumn="1" w:lastColumn="0" w:oddVBand="0" w:evenVBand="0" w:oddHBand="0" w:evenHBand="0" w:firstRowFirstColumn="1" w:firstRowLastColumn="0" w:lastRowFirstColumn="0" w:lastRowLastColumn="0"/>
            <w:tcW w:w="409" w:type="pct"/>
            <w:shd w:val="clear" w:color="auto" w:fill="D9D9D9" w:themeFill="background1" w:themeFillShade="D9"/>
            <w:noWrap/>
            <w:hideMark/>
          </w:tcPr>
          <w:p w14:paraId="6AF17985" w14:textId="77777777" w:rsidR="00166DB1" w:rsidRPr="00166DB1" w:rsidRDefault="00166DB1" w:rsidP="00166DB1">
            <w:pPr>
              <w:keepNext/>
              <w:keepLines/>
              <w:spacing w:before="60" w:after="60"/>
              <w:ind w:left="57" w:right="57"/>
              <w:rPr>
                <w:rFonts w:eastAsia="Garamond"/>
                <w:color w:val="000000"/>
                <w:lang w:eastAsia="en-AU"/>
              </w:rPr>
            </w:pPr>
            <w:r w:rsidRPr="00166DB1">
              <w:rPr>
                <w:rFonts w:eastAsia="Garamond"/>
                <w:color w:val="000000"/>
                <w:lang w:eastAsia="en-AU"/>
              </w:rPr>
              <w:t>Year</w:t>
            </w:r>
          </w:p>
        </w:tc>
        <w:tc>
          <w:tcPr>
            <w:tcW w:w="601" w:type="pct"/>
            <w:shd w:val="clear" w:color="auto" w:fill="D9D9D9" w:themeFill="background1" w:themeFillShade="D9"/>
            <w:noWrap/>
            <w:hideMark/>
          </w:tcPr>
          <w:p w14:paraId="4CCFD834" w14:textId="77777777" w:rsidR="00166DB1" w:rsidRPr="00166DB1" w:rsidRDefault="00166DB1" w:rsidP="00166DB1">
            <w:pPr>
              <w:keepNext/>
              <w:keepLines/>
              <w:spacing w:before="60" w:after="60"/>
              <w:ind w:left="57" w:right="57"/>
              <w:jc w:val="center"/>
              <w:cnfStyle w:val="100000000000" w:firstRow="1" w:lastRow="0" w:firstColumn="0" w:lastColumn="0" w:oddVBand="0" w:evenVBand="0" w:oddHBand="0" w:evenHBand="0" w:firstRowFirstColumn="0" w:firstRowLastColumn="0" w:lastRowFirstColumn="0" w:lastRowLastColumn="0"/>
              <w:rPr>
                <w:rFonts w:eastAsia="Garamond"/>
                <w:color w:val="000000"/>
                <w:lang w:eastAsia="en-AU"/>
              </w:rPr>
            </w:pPr>
            <w:r w:rsidRPr="00166DB1">
              <w:rPr>
                <w:rFonts w:eastAsia="Garamond"/>
                <w:color w:val="000000"/>
                <w:lang w:eastAsia="en-AU"/>
              </w:rPr>
              <w:t>Major cities</w:t>
            </w:r>
          </w:p>
        </w:tc>
        <w:tc>
          <w:tcPr>
            <w:tcW w:w="704" w:type="pct"/>
            <w:shd w:val="clear" w:color="auto" w:fill="D9D9D9" w:themeFill="background1" w:themeFillShade="D9"/>
            <w:noWrap/>
            <w:hideMark/>
          </w:tcPr>
          <w:p w14:paraId="5CA62A84" w14:textId="77777777" w:rsidR="00166DB1" w:rsidRPr="00166DB1" w:rsidRDefault="00166DB1" w:rsidP="00166DB1">
            <w:pPr>
              <w:keepNext/>
              <w:keepLines/>
              <w:spacing w:before="60" w:after="60"/>
              <w:ind w:left="57" w:right="57"/>
              <w:jc w:val="center"/>
              <w:cnfStyle w:val="100000000000" w:firstRow="1" w:lastRow="0" w:firstColumn="0" w:lastColumn="0" w:oddVBand="0" w:evenVBand="0" w:oddHBand="0" w:evenHBand="0" w:firstRowFirstColumn="0" w:firstRowLastColumn="0" w:lastRowFirstColumn="0" w:lastRowLastColumn="0"/>
              <w:rPr>
                <w:rFonts w:eastAsia="Garamond"/>
                <w:color w:val="000000"/>
                <w:lang w:eastAsia="en-AU"/>
              </w:rPr>
            </w:pPr>
            <w:r w:rsidRPr="00166DB1">
              <w:rPr>
                <w:rFonts w:eastAsia="Garamond"/>
                <w:color w:val="000000"/>
                <w:lang w:eastAsia="en-AU"/>
              </w:rPr>
              <w:t>Inner regional</w:t>
            </w:r>
          </w:p>
        </w:tc>
        <w:tc>
          <w:tcPr>
            <w:tcW w:w="721" w:type="pct"/>
            <w:shd w:val="clear" w:color="auto" w:fill="D9D9D9" w:themeFill="background1" w:themeFillShade="D9"/>
            <w:noWrap/>
            <w:hideMark/>
          </w:tcPr>
          <w:p w14:paraId="6DB9EBCF" w14:textId="77777777" w:rsidR="00166DB1" w:rsidRPr="00166DB1" w:rsidRDefault="00166DB1" w:rsidP="00166DB1">
            <w:pPr>
              <w:keepNext/>
              <w:keepLines/>
              <w:spacing w:before="60" w:after="60"/>
              <w:ind w:left="57" w:right="57"/>
              <w:jc w:val="center"/>
              <w:cnfStyle w:val="100000000000" w:firstRow="1" w:lastRow="0" w:firstColumn="0" w:lastColumn="0" w:oddVBand="0" w:evenVBand="0" w:oddHBand="0" w:evenHBand="0" w:firstRowFirstColumn="0" w:firstRowLastColumn="0" w:lastRowFirstColumn="0" w:lastRowLastColumn="0"/>
              <w:rPr>
                <w:rFonts w:eastAsia="Garamond"/>
                <w:color w:val="000000"/>
                <w:lang w:eastAsia="en-AU"/>
              </w:rPr>
            </w:pPr>
            <w:r w:rsidRPr="00166DB1">
              <w:rPr>
                <w:rFonts w:eastAsia="Garamond"/>
                <w:color w:val="000000"/>
                <w:lang w:eastAsia="en-AU"/>
              </w:rPr>
              <w:t>Outer regional</w:t>
            </w:r>
          </w:p>
        </w:tc>
        <w:tc>
          <w:tcPr>
            <w:tcW w:w="687" w:type="pct"/>
            <w:tcBorders>
              <w:bottom w:val="single" w:sz="4" w:space="0" w:color="4B4B4B"/>
            </w:tcBorders>
            <w:shd w:val="clear" w:color="auto" w:fill="D9D9D9" w:themeFill="background1" w:themeFillShade="D9"/>
            <w:noWrap/>
            <w:hideMark/>
          </w:tcPr>
          <w:p w14:paraId="10984695" w14:textId="77777777" w:rsidR="00166DB1" w:rsidRPr="00166DB1" w:rsidRDefault="00166DB1" w:rsidP="00166DB1">
            <w:pPr>
              <w:keepNext/>
              <w:keepLines/>
              <w:spacing w:before="60" w:after="60"/>
              <w:ind w:left="57" w:right="57"/>
              <w:jc w:val="center"/>
              <w:cnfStyle w:val="100000000000" w:firstRow="1" w:lastRow="0" w:firstColumn="0" w:lastColumn="0" w:oddVBand="0" w:evenVBand="0" w:oddHBand="0" w:evenHBand="0" w:firstRowFirstColumn="0" w:firstRowLastColumn="0" w:lastRowFirstColumn="0" w:lastRowLastColumn="0"/>
              <w:rPr>
                <w:rFonts w:eastAsia="Garamond"/>
                <w:color w:val="000000"/>
                <w:lang w:eastAsia="en-AU"/>
              </w:rPr>
            </w:pPr>
            <w:r w:rsidRPr="00166DB1">
              <w:rPr>
                <w:rFonts w:eastAsia="Garamond"/>
                <w:color w:val="000000"/>
                <w:lang w:eastAsia="en-AU"/>
              </w:rPr>
              <w:t>Remote</w:t>
            </w:r>
          </w:p>
        </w:tc>
        <w:tc>
          <w:tcPr>
            <w:tcW w:w="1006" w:type="pct"/>
            <w:tcBorders>
              <w:bottom w:val="single" w:sz="4" w:space="0" w:color="4B4B4B"/>
            </w:tcBorders>
            <w:shd w:val="clear" w:color="auto" w:fill="D9D9D9" w:themeFill="background1" w:themeFillShade="D9"/>
          </w:tcPr>
          <w:p w14:paraId="3CD888A3" w14:textId="77777777" w:rsidR="00166DB1" w:rsidRPr="00166DB1" w:rsidRDefault="00166DB1" w:rsidP="00166DB1">
            <w:pPr>
              <w:keepNext/>
              <w:keepLines/>
              <w:spacing w:before="60" w:after="60"/>
              <w:ind w:left="57" w:right="57"/>
              <w:jc w:val="center"/>
              <w:cnfStyle w:val="100000000000" w:firstRow="1" w:lastRow="0" w:firstColumn="0" w:lastColumn="0" w:oddVBand="0" w:evenVBand="0" w:oddHBand="0" w:evenHBand="0" w:firstRowFirstColumn="0" w:firstRowLastColumn="0" w:lastRowFirstColumn="0" w:lastRowLastColumn="0"/>
              <w:rPr>
                <w:rFonts w:eastAsia="Garamond"/>
                <w:color w:val="000000"/>
                <w:lang w:eastAsia="en-AU"/>
              </w:rPr>
            </w:pPr>
            <w:r w:rsidRPr="00166DB1">
              <w:rPr>
                <w:rFonts w:eastAsia="Garamond"/>
                <w:color w:val="000000"/>
                <w:lang w:eastAsia="en-AU"/>
              </w:rPr>
              <w:t>Very remote</w:t>
            </w:r>
          </w:p>
        </w:tc>
        <w:tc>
          <w:tcPr>
            <w:tcW w:w="872" w:type="pct"/>
            <w:tcBorders>
              <w:bottom w:val="single" w:sz="4" w:space="0" w:color="4B4B4B"/>
            </w:tcBorders>
            <w:shd w:val="clear" w:color="auto" w:fill="D9D9D9" w:themeFill="background1" w:themeFillShade="D9"/>
            <w:noWrap/>
            <w:hideMark/>
          </w:tcPr>
          <w:p w14:paraId="59FEAC21" w14:textId="77777777" w:rsidR="00166DB1" w:rsidRPr="00166DB1" w:rsidRDefault="00166DB1" w:rsidP="00166DB1">
            <w:pPr>
              <w:keepNext/>
              <w:keepLines/>
              <w:spacing w:before="60" w:after="60"/>
              <w:ind w:left="57" w:right="57"/>
              <w:jc w:val="center"/>
              <w:cnfStyle w:val="100000000000" w:firstRow="1" w:lastRow="0" w:firstColumn="0" w:lastColumn="0" w:oddVBand="0" w:evenVBand="0" w:oddHBand="0" w:evenHBand="0" w:firstRowFirstColumn="0" w:firstRowLastColumn="0" w:lastRowFirstColumn="0" w:lastRowLastColumn="0"/>
              <w:rPr>
                <w:rFonts w:eastAsia="Garamond"/>
                <w:color w:val="000000"/>
                <w:lang w:eastAsia="en-AU"/>
              </w:rPr>
            </w:pPr>
            <w:r w:rsidRPr="00166DB1">
              <w:rPr>
                <w:rFonts w:eastAsia="Garamond"/>
                <w:color w:val="000000"/>
                <w:lang w:eastAsia="en-AU"/>
              </w:rPr>
              <w:t>Difference: very remote to major city</w:t>
            </w:r>
          </w:p>
        </w:tc>
      </w:tr>
      <w:tr w:rsidR="00166DB1" w:rsidRPr="00166DB1" w14:paraId="47A3E6FE" w14:textId="77777777" w:rsidTr="00292F80">
        <w:trPr>
          <w:trHeight w:val="285"/>
        </w:trPr>
        <w:tc>
          <w:tcPr>
            <w:cnfStyle w:val="001000000000" w:firstRow="0" w:lastRow="0" w:firstColumn="1" w:lastColumn="0" w:oddVBand="0" w:evenVBand="0" w:oddHBand="0" w:evenHBand="0" w:firstRowFirstColumn="0" w:firstRowLastColumn="0" w:lastRowFirstColumn="0" w:lastRowLastColumn="0"/>
            <w:tcW w:w="409" w:type="pct"/>
            <w:tcBorders>
              <w:top w:val="double" w:sz="4" w:space="0" w:color="4B4B4B"/>
            </w:tcBorders>
            <w:shd w:val="clear" w:color="auto" w:fill="F2F2F2" w:themeFill="background1" w:themeFillShade="F2"/>
            <w:noWrap/>
            <w:hideMark/>
          </w:tcPr>
          <w:p w14:paraId="1AC13322" w14:textId="77777777" w:rsidR="00166DB1" w:rsidRPr="00166DB1" w:rsidRDefault="00166DB1" w:rsidP="00166DB1">
            <w:pPr>
              <w:keepNext/>
              <w:keepLines/>
              <w:spacing w:before="60" w:after="60" w:line="240" w:lineRule="atLeast"/>
              <w:ind w:left="57" w:right="57"/>
              <w:rPr>
                <w:rFonts w:eastAsia="Garamond"/>
                <w:color w:val="000000"/>
                <w:lang w:eastAsia="en-AU"/>
              </w:rPr>
            </w:pPr>
            <w:r w:rsidRPr="00166DB1">
              <w:rPr>
                <w:rFonts w:eastAsia="Garamond"/>
                <w:color w:val="000000"/>
                <w:lang w:eastAsia="en-AU"/>
              </w:rPr>
              <w:t>2013</w:t>
            </w:r>
          </w:p>
        </w:tc>
        <w:tc>
          <w:tcPr>
            <w:tcW w:w="601" w:type="pct"/>
            <w:tcBorders>
              <w:top w:val="double" w:sz="4" w:space="0" w:color="4B4B4B"/>
            </w:tcBorders>
            <w:shd w:val="clear" w:color="auto" w:fill="F2F2F2" w:themeFill="background1" w:themeFillShade="F2"/>
            <w:noWrap/>
          </w:tcPr>
          <w:p w14:paraId="00D35EF8"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53.8</w:t>
            </w:r>
          </w:p>
        </w:tc>
        <w:tc>
          <w:tcPr>
            <w:tcW w:w="704" w:type="pct"/>
            <w:tcBorders>
              <w:top w:val="double" w:sz="4" w:space="0" w:color="4B4B4B"/>
            </w:tcBorders>
            <w:shd w:val="clear" w:color="auto" w:fill="F2F2F2" w:themeFill="background1" w:themeFillShade="F2"/>
            <w:noWrap/>
          </w:tcPr>
          <w:p w14:paraId="47EF0BBD"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51.9</w:t>
            </w:r>
          </w:p>
        </w:tc>
        <w:tc>
          <w:tcPr>
            <w:tcW w:w="721" w:type="pct"/>
            <w:tcBorders>
              <w:top w:val="double" w:sz="4" w:space="0" w:color="4B4B4B"/>
            </w:tcBorders>
            <w:shd w:val="clear" w:color="auto" w:fill="F2F2F2" w:themeFill="background1" w:themeFillShade="F2"/>
            <w:noWrap/>
          </w:tcPr>
          <w:p w14:paraId="38A21B9E"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51.2</w:t>
            </w:r>
          </w:p>
        </w:tc>
        <w:tc>
          <w:tcPr>
            <w:tcW w:w="687" w:type="pct"/>
            <w:tcBorders>
              <w:top w:val="double" w:sz="4" w:space="0" w:color="4B4B4B"/>
            </w:tcBorders>
            <w:shd w:val="clear" w:color="auto" w:fill="F2F2F2" w:themeFill="background1" w:themeFillShade="F2"/>
            <w:noWrap/>
          </w:tcPr>
          <w:p w14:paraId="3E0A460E"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42.8</w:t>
            </w:r>
          </w:p>
        </w:tc>
        <w:tc>
          <w:tcPr>
            <w:tcW w:w="1006" w:type="pct"/>
            <w:tcBorders>
              <w:top w:val="double" w:sz="4" w:space="0" w:color="4B4B4B"/>
            </w:tcBorders>
            <w:shd w:val="clear" w:color="auto" w:fill="F2F2F2" w:themeFill="background1" w:themeFillShade="F2"/>
          </w:tcPr>
          <w:p w14:paraId="2B2E4FC5"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26.6</w:t>
            </w:r>
          </w:p>
        </w:tc>
        <w:tc>
          <w:tcPr>
            <w:tcW w:w="872" w:type="pct"/>
            <w:tcBorders>
              <w:top w:val="double" w:sz="4" w:space="0" w:color="4B4B4B"/>
            </w:tcBorders>
            <w:shd w:val="clear" w:color="auto" w:fill="F2F2F2" w:themeFill="background1" w:themeFillShade="F2"/>
            <w:noWrap/>
          </w:tcPr>
          <w:p w14:paraId="2AB6F363"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27.2</w:t>
            </w:r>
          </w:p>
        </w:tc>
      </w:tr>
      <w:tr w:rsidR="00166DB1" w:rsidRPr="00166DB1" w14:paraId="103FEA74" w14:textId="77777777" w:rsidTr="00292F80">
        <w:trPr>
          <w:trHeight w:val="285"/>
        </w:trPr>
        <w:tc>
          <w:tcPr>
            <w:cnfStyle w:val="001000000000" w:firstRow="0" w:lastRow="0" w:firstColumn="1" w:lastColumn="0" w:oddVBand="0" w:evenVBand="0" w:oddHBand="0" w:evenHBand="0" w:firstRowFirstColumn="0" w:firstRowLastColumn="0" w:lastRowFirstColumn="0" w:lastRowLastColumn="0"/>
            <w:tcW w:w="409" w:type="pct"/>
            <w:shd w:val="clear" w:color="auto" w:fill="F2F2F2" w:themeFill="background1" w:themeFillShade="F2"/>
            <w:noWrap/>
            <w:hideMark/>
          </w:tcPr>
          <w:p w14:paraId="75E189CB" w14:textId="77777777" w:rsidR="00166DB1" w:rsidRPr="00166DB1" w:rsidRDefault="00166DB1" w:rsidP="00166DB1">
            <w:pPr>
              <w:keepNext/>
              <w:keepLines/>
              <w:spacing w:before="60" w:after="60" w:line="240" w:lineRule="atLeast"/>
              <w:ind w:left="57" w:right="57"/>
              <w:rPr>
                <w:rFonts w:eastAsia="Garamond"/>
                <w:color w:val="000000"/>
                <w:lang w:eastAsia="en-AU"/>
              </w:rPr>
            </w:pPr>
            <w:r w:rsidRPr="00166DB1">
              <w:rPr>
                <w:rFonts w:eastAsia="Garamond"/>
                <w:color w:val="000000"/>
                <w:lang w:eastAsia="en-AU"/>
              </w:rPr>
              <w:t>2014</w:t>
            </w:r>
          </w:p>
        </w:tc>
        <w:tc>
          <w:tcPr>
            <w:tcW w:w="601" w:type="pct"/>
            <w:tcBorders>
              <w:bottom w:val="single" w:sz="4" w:space="0" w:color="4B4B4B"/>
            </w:tcBorders>
            <w:shd w:val="clear" w:color="auto" w:fill="F2F2F2" w:themeFill="background1" w:themeFillShade="F2"/>
            <w:noWrap/>
          </w:tcPr>
          <w:p w14:paraId="687023AF"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54.0</w:t>
            </w:r>
          </w:p>
        </w:tc>
        <w:tc>
          <w:tcPr>
            <w:tcW w:w="704" w:type="pct"/>
            <w:tcBorders>
              <w:bottom w:val="single" w:sz="4" w:space="0" w:color="4B4B4B"/>
            </w:tcBorders>
            <w:shd w:val="clear" w:color="auto" w:fill="F2F2F2" w:themeFill="background1" w:themeFillShade="F2"/>
            <w:noWrap/>
          </w:tcPr>
          <w:p w14:paraId="3115E2FE"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51.4</w:t>
            </w:r>
          </w:p>
        </w:tc>
        <w:tc>
          <w:tcPr>
            <w:tcW w:w="721" w:type="pct"/>
            <w:tcBorders>
              <w:bottom w:val="single" w:sz="4" w:space="0" w:color="4B4B4B"/>
            </w:tcBorders>
            <w:shd w:val="clear" w:color="auto" w:fill="F2F2F2" w:themeFill="background1" w:themeFillShade="F2"/>
            <w:noWrap/>
          </w:tcPr>
          <w:p w14:paraId="2FB1EBC3"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50.2</w:t>
            </w:r>
          </w:p>
        </w:tc>
        <w:tc>
          <w:tcPr>
            <w:tcW w:w="687" w:type="pct"/>
            <w:tcBorders>
              <w:bottom w:val="single" w:sz="4" w:space="0" w:color="4B4B4B"/>
            </w:tcBorders>
            <w:shd w:val="clear" w:color="auto" w:fill="F2F2F2" w:themeFill="background1" w:themeFillShade="F2"/>
            <w:noWrap/>
          </w:tcPr>
          <w:p w14:paraId="57AE683D"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41.8</w:t>
            </w:r>
          </w:p>
        </w:tc>
        <w:tc>
          <w:tcPr>
            <w:tcW w:w="1006" w:type="pct"/>
            <w:shd w:val="clear" w:color="auto" w:fill="F2F2F2" w:themeFill="background1" w:themeFillShade="F2"/>
          </w:tcPr>
          <w:p w14:paraId="58E1C22D"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25.0</w:t>
            </w:r>
          </w:p>
        </w:tc>
        <w:tc>
          <w:tcPr>
            <w:tcW w:w="872" w:type="pct"/>
            <w:shd w:val="clear" w:color="auto" w:fill="F2F2F2" w:themeFill="background1" w:themeFillShade="F2"/>
            <w:noWrap/>
          </w:tcPr>
          <w:p w14:paraId="67E32644"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29.0</w:t>
            </w:r>
          </w:p>
        </w:tc>
      </w:tr>
      <w:tr w:rsidR="00166DB1" w:rsidRPr="00166DB1" w14:paraId="67959CE4" w14:textId="77777777" w:rsidTr="00292F80">
        <w:trPr>
          <w:trHeight w:val="285"/>
        </w:trPr>
        <w:tc>
          <w:tcPr>
            <w:cnfStyle w:val="001000000000" w:firstRow="0" w:lastRow="0" w:firstColumn="1" w:lastColumn="0" w:oddVBand="0" w:evenVBand="0" w:oddHBand="0" w:evenHBand="0" w:firstRowFirstColumn="0" w:firstRowLastColumn="0" w:lastRowFirstColumn="0" w:lastRowLastColumn="0"/>
            <w:tcW w:w="409" w:type="pct"/>
            <w:shd w:val="clear" w:color="auto" w:fill="F2F2F2" w:themeFill="background1" w:themeFillShade="F2"/>
            <w:noWrap/>
          </w:tcPr>
          <w:p w14:paraId="7F121F41" w14:textId="77777777" w:rsidR="00166DB1" w:rsidRPr="00166DB1" w:rsidRDefault="00166DB1" w:rsidP="00166DB1">
            <w:pPr>
              <w:keepNext/>
              <w:keepLines/>
              <w:spacing w:before="60" w:after="60" w:line="240" w:lineRule="atLeast"/>
              <w:ind w:left="57" w:right="57"/>
              <w:rPr>
                <w:rFonts w:eastAsia="Garamond"/>
                <w:color w:val="000000"/>
                <w:lang w:eastAsia="en-AU"/>
              </w:rPr>
            </w:pPr>
            <w:r w:rsidRPr="00166DB1">
              <w:rPr>
                <w:rFonts w:eastAsia="Garamond"/>
                <w:color w:val="000000"/>
                <w:lang w:eastAsia="en-AU"/>
              </w:rPr>
              <w:t>2015</w:t>
            </w:r>
          </w:p>
        </w:tc>
        <w:tc>
          <w:tcPr>
            <w:tcW w:w="601" w:type="pct"/>
            <w:tcBorders>
              <w:bottom w:val="single" w:sz="4" w:space="0" w:color="4B4B4B"/>
            </w:tcBorders>
            <w:shd w:val="clear" w:color="auto" w:fill="F2F2F2" w:themeFill="background1" w:themeFillShade="F2"/>
            <w:noWrap/>
          </w:tcPr>
          <w:p w14:paraId="75460CE0"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54.5</w:t>
            </w:r>
          </w:p>
        </w:tc>
        <w:tc>
          <w:tcPr>
            <w:tcW w:w="704" w:type="pct"/>
            <w:tcBorders>
              <w:bottom w:val="single" w:sz="4" w:space="0" w:color="4B4B4B"/>
            </w:tcBorders>
            <w:shd w:val="clear" w:color="auto" w:fill="F2F2F2" w:themeFill="background1" w:themeFillShade="F2"/>
            <w:noWrap/>
          </w:tcPr>
          <w:p w14:paraId="1B68EEC7"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52.2</w:t>
            </w:r>
          </w:p>
        </w:tc>
        <w:tc>
          <w:tcPr>
            <w:tcW w:w="721" w:type="pct"/>
            <w:tcBorders>
              <w:bottom w:val="single" w:sz="4" w:space="0" w:color="4B4B4B"/>
            </w:tcBorders>
            <w:shd w:val="clear" w:color="auto" w:fill="F2F2F2" w:themeFill="background1" w:themeFillShade="F2"/>
            <w:noWrap/>
          </w:tcPr>
          <w:p w14:paraId="239D1672"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50.4</w:t>
            </w:r>
          </w:p>
        </w:tc>
        <w:tc>
          <w:tcPr>
            <w:tcW w:w="687" w:type="pct"/>
            <w:tcBorders>
              <w:bottom w:val="single" w:sz="4" w:space="0" w:color="4B4B4B"/>
            </w:tcBorders>
            <w:shd w:val="clear" w:color="auto" w:fill="F2F2F2" w:themeFill="background1" w:themeFillShade="F2"/>
            <w:noWrap/>
          </w:tcPr>
          <w:p w14:paraId="5C72D832"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40.3</w:t>
            </w:r>
          </w:p>
        </w:tc>
        <w:tc>
          <w:tcPr>
            <w:tcW w:w="1006" w:type="pct"/>
            <w:tcBorders>
              <w:bottom w:val="single" w:sz="4" w:space="0" w:color="4B4B4B"/>
            </w:tcBorders>
            <w:shd w:val="clear" w:color="auto" w:fill="F2F2F2" w:themeFill="background1" w:themeFillShade="F2"/>
          </w:tcPr>
          <w:p w14:paraId="3CDCECA0"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27.5</w:t>
            </w:r>
          </w:p>
        </w:tc>
        <w:tc>
          <w:tcPr>
            <w:tcW w:w="872" w:type="pct"/>
            <w:shd w:val="clear" w:color="auto" w:fill="F2F2F2" w:themeFill="background1" w:themeFillShade="F2"/>
            <w:noWrap/>
          </w:tcPr>
          <w:p w14:paraId="026E96A3"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27.0</w:t>
            </w:r>
          </w:p>
        </w:tc>
      </w:tr>
      <w:tr w:rsidR="00166DB1" w:rsidRPr="00166DB1" w14:paraId="3CBECE03" w14:textId="77777777" w:rsidTr="00292F80">
        <w:trPr>
          <w:trHeight w:val="285"/>
        </w:trPr>
        <w:tc>
          <w:tcPr>
            <w:cnfStyle w:val="001000000000" w:firstRow="0" w:lastRow="0" w:firstColumn="1" w:lastColumn="0" w:oddVBand="0" w:evenVBand="0" w:oddHBand="0" w:evenHBand="0" w:firstRowFirstColumn="0" w:firstRowLastColumn="0" w:lastRowFirstColumn="0" w:lastRowLastColumn="0"/>
            <w:tcW w:w="409" w:type="pct"/>
            <w:shd w:val="clear" w:color="auto" w:fill="F2F2F2" w:themeFill="background1" w:themeFillShade="F2"/>
            <w:noWrap/>
            <w:hideMark/>
          </w:tcPr>
          <w:p w14:paraId="71B0C113" w14:textId="77777777" w:rsidR="00166DB1" w:rsidRPr="00166DB1" w:rsidRDefault="00166DB1" w:rsidP="00166DB1">
            <w:pPr>
              <w:keepNext/>
              <w:keepLines/>
              <w:spacing w:before="60" w:after="60" w:line="240" w:lineRule="atLeast"/>
              <w:ind w:left="57" w:right="57"/>
              <w:rPr>
                <w:rFonts w:eastAsia="Garamond"/>
                <w:color w:val="000000"/>
                <w:lang w:eastAsia="en-AU"/>
              </w:rPr>
            </w:pPr>
            <w:r w:rsidRPr="00166DB1">
              <w:rPr>
                <w:rFonts w:eastAsia="Garamond"/>
                <w:color w:val="000000"/>
                <w:lang w:eastAsia="en-AU"/>
              </w:rPr>
              <w:t>Avg</w:t>
            </w:r>
          </w:p>
        </w:tc>
        <w:tc>
          <w:tcPr>
            <w:tcW w:w="601" w:type="pct"/>
            <w:shd w:val="clear" w:color="auto" w:fill="F2F2F2" w:themeFill="background1" w:themeFillShade="F2"/>
            <w:noWrap/>
            <w:hideMark/>
          </w:tcPr>
          <w:p w14:paraId="24EBFC7A"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p>
        </w:tc>
        <w:tc>
          <w:tcPr>
            <w:tcW w:w="704" w:type="pct"/>
            <w:shd w:val="clear" w:color="auto" w:fill="F2F2F2" w:themeFill="background1" w:themeFillShade="F2"/>
            <w:noWrap/>
            <w:hideMark/>
          </w:tcPr>
          <w:p w14:paraId="0C41907E"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p>
        </w:tc>
        <w:tc>
          <w:tcPr>
            <w:tcW w:w="721" w:type="pct"/>
            <w:shd w:val="clear" w:color="auto" w:fill="F2F2F2" w:themeFill="background1" w:themeFillShade="F2"/>
            <w:noWrap/>
            <w:hideMark/>
          </w:tcPr>
          <w:p w14:paraId="4A50DFC7"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p>
        </w:tc>
        <w:tc>
          <w:tcPr>
            <w:tcW w:w="687" w:type="pct"/>
            <w:shd w:val="clear" w:color="auto" w:fill="F2F2F2" w:themeFill="background1" w:themeFillShade="F2"/>
            <w:noWrap/>
            <w:hideMark/>
          </w:tcPr>
          <w:p w14:paraId="1BA5C35D"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p>
        </w:tc>
        <w:tc>
          <w:tcPr>
            <w:tcW w:w="1006" w:type="pct"/>
            <w:shd w:val="clear" w:color="auto" w:fill="F2F2F2" w:themeFill="background1" w:themeFillShade="F2"/>
            <w:vAlign w:val="center"/>
          </w:tcPr>
          <w:p w14:paraId="41449A1B"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p>
        </w:tc>
        <w:tc>
          <w:tcPr>
            <w:tcW w:w="872" w:type="pct"/>
            <w:shd w:val="clear" w:color="auto" w:fill="F2F2F2" w:themeFill="background1" w:themeFillShade="F2"/>
            <w:noWrap/>
          </w:tcPr>
          <w:p w14:paraId="7FD8D70B" w14:textId="77777777" w:rsidR="00166DB1" w:rsidRPr="00166DB1" w:rsidRDefault="00166DB1" w:rsidP="00166DB1">
            <w:pPr>
              <w:keepNext/>
              <w:keepLines/>
              <w:spacing w:before="60" w:after="60" w:line="240" w:lineRule="atLeast"/>
              <w:ind w:left="57" w:right="57"/>
              <w:jc w:val="center"/>
              <w:cnfStyle w:val="000000000000" w:firstRow="0" w:lastRow="0" w:firstColumn="0" w:lastColumn="0" w:oddVBand="0" w:evenVBand="0" w:oddHBand="0" w:evenHBand="0" w:firstRowFirstColumn="0" w:firstRowLastColumn="0" w:lastRowFirstColumn="0" w:lastRowLastColumn="0"/>
              <w:rPr>
                <w:rFonts w:ascii="Garamond" w:eastAsia="Garamond" w:hAnsi="Garamond"/>
                <w:color w:val="000000"/>
                <w:lang w:eastAsia="en-AU"/>
              </w:rPr>
            </w:pPr>
            <w:r w:rsidRPr="00166DB1">
              <w:rPr>
                <w:rFonts w:ascii="Garamond" w:eastAsia="Garamond" w:hAnsi="Garamond"/>
                <w:color w:val="000000"/>
                <w:lang w:eastAsia="en-AU"/>
              </w:rPr>
              <w:t>27.7</w:t>
            </w:r>
          </w:p>
        </w:tc>
      </w:tr>
    </w:tbl>
    <w:p w14:paraId="7EF21D3B" w14:textId="77777777" w:rsidR="00166DB1" w:rsidRPr="00166DB1" w:rsidRDefault="00166DB1" w:rsidP="00166DB1">
      <w:pPr>
        <w:keepNext/>
        <w:keepLines/>
        <w:tabs>
          <w:tab w:val="left" w:pos="227"/>
        </w:tabs>
        <w:spacing w:before="85" w:after="170" w:line="158" w:lineRule="atLeast"/>
        <w:contextualSpacing/>
        <w:rPr>
          <w:rFonts w:ascii="Garamond" w:eastAsia="Garamond" w:hAnsi="Garamond"/>
          <w:i/>
          <w:color w:val="000000"/>
          <w:sz w:val="14"/>
          <w:vertAlign w:val="superscript"/>
        </w:rPr>
      </w:pPr>
      <w:r w:rsidRPr="00166DB1">
        <w:rPr>
          <w:rFonts w:ascii="Garamond" w:eastAsia="Garamond" w:hAnsi="Garamond"/>
          <w:i/>
          <w:color w:val="000000"/>
          <w:sz w:val="14"/>
        </w:rPr>
        <w:t xml:space="preserve">Source: AHPRA </w:t>
      </w:r>
      <w:sdt>
        <w:sdtPr>
          <w:rPr>
            <w:rFonts w:ascii="Garamond" w:eastAsia="Garamond" w:hAnsi="Garamond"/>
            <w:i/>
            <w:color w:val="000000"/>
            <w:sz w:val="14"/>
          </w:rPr>
          <w:id w:val="-1117992399"/>
          <w:citation/>
        </w:sdtPr>
        <w:sdtEndPr/>
        <w:sdtContent>
          <w:r w:rsidRPr="00166DB1">
            <w:rPr>
              <w:rFonts w:ascii="Garamond" w:eastAsia="Garamond" w:hAnsi="Garamond"/>
              <w:i/>
              <w:color w:val="000000"/>
              <w:sz w:val="14"/>
            </w:rPr>
            <w:fldChar w:fldCharType="begin"/>
          </w:r>
          <w:r w:rsidRPr="00166DB1">
            <w:rPr>
              <w:rFonts w:ascii="Garamond" w:eastAsia="Garamond" w:hAnsi="Garamond"/>
              <w:i/>
              <w:color w:val="000000"/>
              <w:sz w:val="14"/>
            </w:rPr>
            <w:instrText xml:space="preserve"> CITATION Aus15 \l 3081 </w:instrText>
          </w:r>
          <w:r w:rsidRPr="00166DB1">
            <w:rPr>
              <w:rFonts w:ascii="Garamond" w:eastAsia="Garamond" w:hAnsi="Garamond"/>
              <w:i/>
              <w:color w:val="000000"/>
              <w:sz w:val="14"/>
            </w:rPr>
            <w:fldChar w:fldCharType="separate"/>
          </w:r>
          <w:r w:rsidRPr="00166DB1">
            <w:rPr>
              <w:rFonts w:ascii="Garamond" w:eastAsia="Garamond" w:hAnsi="Garamond"/>
              <w:noProof/>
              <w:color w:val="000000"/>
              <w:sz w:val="14"/>
            </w:rPr>
            <w:t>[4]</w:t>
          </w:r>
          <w:r w:rsidRPr="00166DB1">
            <w:rPr>
              <w:rFonts w:ascii="Garamond" w:eastAsia="Garamond" w:hAnsi="Garamond"/>
              <w:i/>
              <w:color w:val="000000"/>
              <w:sz w:val="14"/>
            </w:rPr>
            <w:fldChar w:fldCharType="end"/>
          </w:r>
        </w:sdtContent>
      </w:sdt>
    </w:p>
    <w:p w14:paraId="29585FF7" w14:textId="77777777" w:rsidR="00166DB1" w:rsidRPr="00166DB1" w:rsidRDefault="00166DB1" w:rsidP="00063226">
      <w:pPr>
        <w:pStyle w:val="KeyFinding"/>
        <w:shd w:val="clear" w:color="auto" w:fill="F2F2F2" w:themeFill="background1" w:themeFillShade="F2"/>
      </w:pPr>
      <w:bookmarkStart w:id="48" w:name="_Ref490665284"/>
      <w:r w:rsidRPr="00166DB1">
        <w:t>There was an overall increase of 5.8% in the number of pharmacists from 19,188 in 2013 to 20,297 in 2015.</w:t>
      </w:r>
      <w:bookmarkEnd w:id="48"/>
      <w:r w:rsidRPr="00166DB1">
        <w:t xml:space="preserve"> Similarly, there was an overall increase of 4.7% in the number of community pharmacists from 13,640 in 2013 to 14,276 in 2015.</w:t>
      </w:r>
    </w:p>
    <w:p w14:paraId="3E664033" w14:textId="77777777" w:rsidR="00166DB1" w:rsidRPr="00166DB1" w:rsidRDefault="00166DB1" w:rsidP="00166DB1">
      <w:pPr>
        <w:spacing w:before="85" w:after="85"/>
        <w:rPr>
          <w:rFonts w:ascii="Garamond" w:eastAsia="Garamond" w:hAnsi="Garamond"/>
          <w:color w:val="000000"/>
        </w:rPr>
      </w:pPr>
    </w:p>
    <w:p w14:paraId="73B9CA94" w14:textId="77777777" w:rsidR="00166DB1" w:rsidRPr="00166DB1" w:rsidRDefault="00166DB1" w:rsidP="00063226">
      <w:pPr>
        <w:pStyle w:val="KeyFinding"/>
        <w:shd w:val="clear" w:color="auto" w:fill="F2F2F2" w:themeFill="background1" w:themeFillShade="F2"/>
      </w:pPr>
      <w:bookmarkStart w:id="49" w:name="_Ref490665326"/>
      <w:r w:rsidRPr="00166DB1">
        <w:t xml:space="preserve">The distribution of pharmacist FTE rates (per 100,000 population) was skewed towards metropolitan areas. The latest available data showed the following community pharmacist FTE per 100,000 people in 2015: major cities – 54.5; inner regional – 52.2; outer regional – 50.4; remote </w:t>
      </w:r>
      <w:r w:rsidRPr="00166DB1">
        <w:softHyphen/>
        <w:t xml:space="preserve"> 40.3; and very remote – 27.5.</w:t>
      </w:r>
      <w:bookmarkEnd w:id="49"/>
      <w:r w:rsidRPr="00166DB1">
        <w:t xml:space="preserve"> </w:t>
      </w:r>
    </w:p>
    <w:p w14:paraId="399D78BE" w14:textId="77777777" w:rsidR="00166DB1" w:rsidRPr="00166DB1" w:rsidRDefault="00166DB1" w:rsidP="00166DB1">
      <w:pPr>
        <w:spacing w:before="85" w:after="85"/>
        <w:rPr>
          <w:rFonts w:ascii="Garamond" w:eastAsia="Garamond" w:hAnsi="Garamond"/>
          <w:color w:val="000000"/>
        </w:rPr>
      </w:pPr>
    </w:p>
    <w:p w14:paraId="692DD6EE" w14:textId="77777777" w:rsidR="00166DB1" w:rsidRPr="00166DB1" w:rsidRDefault="00166DB1" w:rsidP="0029291C">
      <w:pPr>
        <w:pStyle w:val="KeyFinding"/>
        <w:keepLines/>
        <w:shd w:val="clear" w:color="auto" w:fill="F2F2F2" w:themeFill="background1" w:themeFillShade="F2"/>
      </w:pPr>
      <w:bookmarkStart w:id="50" w:name="_Ref490665289"/>
      <w:r w:rsidRPr="00166DB1">
        <w:t>Based on the ongoing inequity of the pharmacist workforce distribution, it was concluded there is a continuing need for mechanisms to promote recruitment and retention of pharmacists in non-metropolitan areas, across all pharmacist types.</w:t>
      </w:r>
      <w:bookmarkEnd w:id="50"/>
    </w:p>
    <w:p w14:paraId="1E9B545C" w14:textId="77777777" w:rsidR="00166DB1" w:rsidRPr="00166DB1" w:rsidRDefault="00166DB1" w:rsidP="00B24642">
      <w:pPr>
        <w:pStyle w:val="Heading2"/>
      </w:pPr>
      <w:bookmarkStart w:id="51" w:name="_Toc523322055"/>
      <w:r w:rsidRPr="00166DB1">
        <w:t>Program design: Appropriateness</w:t>
      </w:r>
      <w:bookmarkEnd w:id="51"/>
    </w:p>
    <w:p w14:paraId="4800167A"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second element of the appropriateness assessment examined the nature of evidence supporting design features of the Rural Workforce Package. This analysis was primarily based on findings from a literature scan. Where there were gaps in information from the peer-reviewed literature our assessment was supplemented by examination of workforce data and consideration of stakeholder opinions.</w:t>
      </w:r>
    </w:p>
    <w:p w14:paraId="466B23FB" w14:textId="77777777" w:rsidR="00166DB1" w:rsidRPr="00166DB1" w:rsidRDefault="00166DB1" w:rsidP="00B24642">
      <w:pPr>
        <w:pStyle w:val="Heading3"/>
        <w:rPr>
          <w:rFonts w:eastAsia="Times New Roman"/>
        </w:rPr>
      </w:pPr>
      <w:bookmarkStart w:id="52" w:name="_Toc523322056"/>
      <w:r w:rsidRPr="00166DB1">
        <w:rPr>
          <w:rFonts w:eastAsia="Times New Roman"/>
        </w:rPr>
        <w:t>Recruitment component programs</w:t>
      </w:r>
      <w:bookmarkEnd w:id="52"/>
    </w:p>
    <w:p w14:paraId="17502FF9" w14:textId="77777777" w:rsidR="00166DB1" w:rsidRPr="00166DB1" w:rsidRDefault="00166DB1" w:rsidP="008A6360">
      <w:pPr>
        <w:pStyle w:val="Heading4"/>
      </w:pPr>
      <w:r w:rsidRPr="00166DB1">
        <w:t>Rural Pharmacy Scholarship Scheme</w:t>
      </w:r>
    </w:p>
    <w:p w14:paraId="7A4D2A7C"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Scholarship Scheme’s objective aim to support students from rural and remote areas to study a pharmacy course at university was strongly supported by peer-reviewed literature, as rural origin is a strong predictor of future rural practice. </w:t>
      </w:r>
    </w:p>
    <w:p w14:paraId="7D63DEBD"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Program design elements including the lack of a return-of-service (RSO) period and the scholarship value are in line with other similar programs. However, other scholarship schemes use remoteness classification indexes to determine rural origin that are based on geographic isolation, not service coverage such as PhARIA.</w:t>
      </w:r>
    </w:p>
    <w:p w14:paraId="7B64F710" w14:textId="77777777" w:rsidR="00166DB1" w:rsidRPr="00166DB1" w:rsidRDefault="00166DB1" w:rsidP="008A6360">
      <w:pPr>
        <w:pStyle w:val="Heading4"/>
      </w:pPr>
      <w:r w:rsidRPr="00166DB1">
        <w:t>Rural Pharmacy Scholarship Mentor Scheme</w:t>
      </w:r>
    </w:p>
    <w:p w14:paraId="6B670B22"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Students’ need for mentoring was supported by peer-reviewed literature. However, studies mostly concerned medical students. Mentoring for Aboriginal and Torres Strait Islander students was shown to be effective in supporting students to complete their studies. Other similar scholarship or placement programs include mentoring arrangements. However, stakeholders considered the honorarium </w:t>
      </w:r>
      <w:r w:rsidRPr="00166DB1">
        <w:rPr>
          <w:rFonts w:ascii="Garamond" w:eastAsia="Garamond" w:hAnsi="Garamond"/>
          <w:color w:val="000000"/>
        </w:rPr>
        <w:lastRenderedPageBreak/>
        <w:t>payment value require review to better compensate the actual time spent on mentoring activities.</w:t>
      </w:r>
    </w:p>
    <w:p w14:paraId="6B230DF6" w14:textId="77777777" w:rsidR="00166DB1" w:rsidRPr="00166DB1" w:rsidRDefault="00166DB1" w:rsidP="008A6360">
      <w:pPr>
        <w:pStyle w:val="Heading4"/>
      </w:pPr>
      <w:r w:rsidRPr="00166DB1">
        <w:t>Rural Intern Training Allowance</w:t>
      </w:r>
    </w:p>
    <w:p w14:paraId="3ADB84E3"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There was strong evidence from peer-reviewed literature to support the role of rural exposure in encouraging future rural practice. Literature also identified access to continuing professional development (CPD) as a key challenge faced by rural workforce. However, there was limited information on best practices to attract and support rural interns. </w:t>
      </w:r>
    </w:p>
    <w:p w14:paraId="1285CF4F" w14:textId="77777777" w:rsidR="00166DB1" w:rsidRPr="00166DB1" w:rsidRDefault="00166DB1" w:rsidP="008A6360">
      <w:pPr>
        <w:pStyle w:val="Heading4"/>
      </w:pPr>
      <w:r w:rsidRPr="00166DB1">
        <w:t>Rural Pharmacy Student Placement Allowance</w:t>
      </w:r>
    </w:p>
    <w:p w14:paraId="326ED12F"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promotion of rural placements as a means to increase students’ exposure to and interest in rural practice is strongly supported by peer-reviewed literature. However, studies mostly focused on nursing and allied health students. The financial burden experienced by students is a significant barrier to completing a rural placement and is addressed by this program.</w:t>
      </w:r>
    </w:p>
    <w:p w14:paraId="605BB67D" w14:textId="77777777" w:rsidR="00166DB1" w:rsidRPr="00166DB1" w:rsidRDefault="00166DB1" w:rsidP="00063226">
      <w:pPr>
        <w:pStyle w:val="KeyFinding"/>
        <w:shd w:val="clear" w:color="auto" w:fill="F2F2F2" w:themeFill="background1" w:themeFillShade="F2"/>
      </w:pPr>
      <w:bookmarkStart w:id="53" w:name="_Ref490665340"/>
      <w:r w:rsidRPr="00166DB1">
        <w:t>Recruitment component programs are supported by moderate to strong evidence, as students with a rural origin or who have had exposure to rural practice are more likely to take up positions in rural areas. However, most literature focused on other health workforces and did not specifically support the appropriateness of delivery mechanisms (i.e. scholarships, placements) in encouraging rural practice.</w:t>
      </w:r>
      <w:bookmarkEnd w:id="53"/>
      <w:r w:rsidRPr="00166DB1">
        <w:t xml:space="preserve"> </w:t>
      </w:r>
    </w:p>
    <w:p w14:paraId="3974BF03" w14:textId="77777777" w:rsidR="00166DB1" w:rsidRPr="00166DB1" w:rsidRDefault="00166DB1" w:rsidP="00B24642">
      <w:pPr>
        <w:pStyle w:val="Heading3"/>
        <w:rPr>
          <w:rFonts w:eastAsia="Times New Roman"/>
        </w:rPr>
      </w:pPr>
      <w:bookmarkStart w:id="54" w:name="_Toc523322057"/>
      <w:r w:rsidRPr="00166DB1">
        <w:rPr>
          <w:rFonts w:eastAsia="Times New Roman"/>
        </w:rPr>
        <w:t>Retention component programs</w:t>
      </w:r>
      <w:bookmarkEnd w:id="54"/>
    </w:p>
    <w:p w14:paraId="4ED0BB9E" w14:textId="77777777" w:rsidR="00166DB1" w:rsidRPr="00166DB1" w:rsidRDefault="00166DB1" w:rsidP="008A6360">
      <w:pPr>
        <w:pStyle w:val="Heading4"/>
      </w:pPr>
      <w:r w:rsidRPr="00166DB1">
        <w:t>Continuing Professional Education Allowance</w:t>
      </w:r>
    </w:p>
    <w:p w14:paraId="38BA7AF5"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Access to continuing professional education (CPE) is an acknowledged barrier for rural and remote workforces, as shown in studies of medical professionals. The Australian Government recognises the barrier for other health professions through support programs.</w:t>
      </w:r>
    </w:p>
    <w:p w14:paraId="650BEBAF" w14:textId="77777777" w:rsidR="00166DB1" w:rsidRPr="00166DB1" w:rsidRDefault="00166DB1" w:rsidP="008A6360">
      <w:pPr>
        <w:pStyle w:val="Heading4"/>
      </w:pPr>
      <w:r w:rsidRPr="00166DB1">
        <w:t>Emergency Locum Service</w:t>
      </w:r>
    </w:p>
    <w:p w14:paraId="155D7AE2"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Peer reviewed studies of allied health and oral health professionals identified access to locums was vital to supporting the rural workforce and may contribute to retaining professionals in rural areas. Pharmacists consulted with also found the Emergency Locum Service to be vital during times of emergency. However, pharmacists reiterated the difficulties in securing locums to cover absences in non-emergency situations such as for CPE events. </w:t>
      </w:r>
    </w:p>
    <w:p w14:paraId="3E3FEF91" w14:textId="77777777" w:rsidR="00166DB1" w:rsidRPr="00166DB1" w:rsidRDefault="00166DB1" w:rsidP="008A6360">
      <w:pPr>
        <w:pStyle w:val="Heading4"/>
      </w:pPr>
      <w:r w:rsidRPr="00166DB1">
        <w:t>Intern Incentive Allowance for Rural Pharmacies and Extension Program</w:t>
      </w:r>
    </w:p>
    <w:p w14:paraId="35D661BF"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evidence from the literature and Health Workforce Data analysis indicates a significant link between undertaking an internship in a rural location and future rural practice for health professionals, including pharmacists.</w:t>
      </w:r>
    </w:p>
    <w:p w14:paraId="7C70AE94"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There is only anecdotal evidence to suggest that financial support for pharmacies is an appropriate method to support recruitment of interns / new graduates in non-metropolitan areas. Further evidence is required to support the anecdotal claims.</w:t>
      </w:r>
    </w:p>
    <w:p w14:paraId="09E66DF0" w14:textId="77777777" w:rsidR="00166DB1" w:rsidRPr="00166DB1" w:rsidRDefault="00166DB1" w:rsidP="00063226">
      <w:pPr>
        <w:pStyle w:val="KeyFinding"/>
        <w:shd w:val="clear" w:color="auto" w:fill="F2F2F2" w:themeFill="background1" w:themeFillShade="F2"/>
      </w:pPr>
      <w:bookmarkStart w:id="55" w:name="_Ref490665345"/>
      <w:r w:rsidRPr="00166DB1">
        <w:t>Retention component programs are supported by moderate evidence. While the programs address key barriers experienced by pharmacists (i.e. access to interns, locums and CPE), there was limited evidence to support the mechanisms by which support was delivered (i.e. financial assistance to employ an intern).</w:t>
      </w:r>
      <w:bookmarkEnd w:id="55"/>
      <w:r w:rsidRPr="00166DB1">
        <w:t xml:space="preserve"> </w:t>
      </w:r>
    </w:p>
    <w:p w14:paraId="68144190" w14:textId="77777777" w:rsidR="00166DB1" w:rsidRPr="00166DB1" w:rsidRDefault="00166DB1" w:rsidP="00B24642">
      <w:pPr>
        <w:pStyle w:val="Heading3"/>
        <w:rPr>
          <w:rFonts w:eastAsia="Times New Roman"/>
        </w:rPr>
      </w:pPr>
      <w:bookmarkStart w:id="56" w:name="_Toc523322058"/>
      <w:r w:rsidRPr="00166DB1">
        <w:rPr>
          <w:rFonts w:eastAsia="Times New Roman"/>
        </w:rPr>
        <w:t>Other workforce support component programs</w:t>
      </w:r>
      <w:bookmarkEnd w:id="56"/>
    </w:p>
    <w:p w14:paraId="6C24260C" w14:textId="77777777" w:rsidR="00166DB1" w:rsidRPr="00166DB1" w:rsidRDefault="00166DB1" w:rsidP="008A6360">
      <w:pPr>
        <w:pStyle w:val="Heading4"/>
      </w:pPr>
      <w:r w:rsidRPr="00166DB1">
        <w:t>Rural Pharmacy Liaison Officer Program</w:t>
      </w:r>
    </w:p>
    <w:p w14:paraId="41D49A69"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RPLO program aims to respond to the support, training and advocacy needs of rural pharmacists, students and the wider community. The program has a strong role in supporting clinical placements of pharmacists coordinated through University Departments of Rural Health (UDRH). No peer-reviewed literature exists to support the appropriateness of the program as it applies to pharmacy students or the </w:t>
      </w:r>
      <w:r w:rsidRPr="00166DB1">
        <w:rPr>
          <w:rFonts w:ascii="Garamond" w:eastAsia="Garamond" w:hAnsi="Garamond"/>
          <w:color w:val="000000"/>
        </w:rPr>
        <w:lastRenderedPageBreak/>
        <w:t>nature of clinical placement support. However, the Australian Government recognises the need for additional support to rural health professionals through the development of other UDRH-run programs including the Mental Health Academics project.</w:t>
      </w:r>
    </w:p>
    <w:p w14:paraId="14349852" w14:textId="77777777" w:rsidR="00166DB1" w:rsidRPr="00166DB1" w:rsidRDefault="00166DB1" w:rsidP="008A6360">
      <w:pPr>
        <w:pStyle w:val="Heading4"/>
      </w:pPr>
      <w:r w:rsidRPr="00166DB1">
        <w:t>Administrative Support to Pharmacy Schools</w:t>
      </w:r>
    </w:p>
    <w:p w14:paraId="40C44407"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No literature was identified to support the provision of financial assistance to pharmacy schools to arrange rural placements. However, the efficacy of rural placements in influencing a student’s future rural practice is strongly supported by peer-reviewed literature.</w:t>
      </w:r>
    </w:p>
    <w:p w14:paraId="447289E6" w14:textId="77777777" w:rsidR="00166DB1" w:rsidRPr="00166DB1" w:rsidRDefault="00166DB1" w:rsidP="00063226">
      <w:pPr>
        <w:pStyle w:val="KeyFinding"/>
        <w:shd w:val="clear" w:color="auto" w:fill="F2F2F2" w:themeFill="background1" w:themeFillShade="F2"/>
      </w:pPr>
      <w:bookmarkStart w:id="57" w:name="_Ref490665354"/>
      <w:r w:rsidRPr="00166DB1">
        <w:t>Due to the broad aims underpinning programs providing other support to the pharmacy workforce, the appropriateness of their design is difficult to assess. No literature exists to support the design of either program. However, both programs providing other supports facilitate rural student placements, which have strong support in the literature.</w:t>
      </w:r>
      <w:bookmarkEnd w:id="57"/>
      <w:r w:rsidRPr="00166DB1">
        <w:t xml:space="preserve"> </w:t>
      </w:r>
    </w:p>
    <w:p w14:paraId="79210FB9" w14:textId="77777777" w:rsidR="00166DB1" w:rsidRPr="00166DB1" w:rsidRDefault="00166DB1" w:rsidP="00292F80">
      <w:pPr>
        <w:pStyle w:val="SectionTitle"/>
      </w:pPr>
      <w:r w:rsidRPr="00166DB1">
        <w:t>Aboriginal and Torres Strait Islander Workforce Package: Appropriateness</w:t>
      </w:r>
    </w:p>
    <w:p w14:paraId="04651DE1" w14:textId="77777777" w:rsidR="00166DB1" w:rsidRPr="00166DB1" w:rsidRDefault="00166DB1" w:rsidP="00B24642">
      <w:pPr>
        <w:pStyle w:val="Heading2"/>
      </w:pPr>
      <w:bookmarkStart w:id="58" w:name="_Toc523322059"/>
      <w:r w:rsidRPr="00166DB1">
        <w:t>Access to Medicines: Underlying Need of Aboriginal and Torres Strait Islander People</w:t>
      </w:r>
      <w:bookmarkEnd w:id="58"/>
    </w:p>
    <w:p w14:paraId="3637E2FB"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PBS data supports the need for programs to address ongoing disadvantage experienced by Aboriginal and Torres Strait Islander people. The </w:t>
      </w:r>
      <w:r w:rsidRPr="00166DB1">
        <w:rPr>
          <w:rFonts w:ascii="Garamond" w:eastAsia="Garamond" w:hAnsi="Garamond"/>
          <w:i/>
          <w:color w:val="000000"/>
        </w:rPr>
        <w:t xml:space="preserve">Aboriginal and </w:t>
      </w:r>
      <w:r w:rsidRPr="00166DB1">
        <w:rPr>
          <w:rFonts w:ascii="Garamond" w:eastAsia="Garamond" w:hAnsi="Garamond"/>
          <w:i/>
          <w:color w:val="000000"/>
        </w:rPr>
        <w:t>Torres Strait Islander Health Performance Framework 2014 Report</w:t>
      </w:r>
      <w:r w:rsidRPr="00166DB1">
        <w:rPr>
          <w:rFonts w:ascii="Garamond" w:eastAsia="Garamond" w:hAnsi="Garamond"/>
          <w:color w:val="000000"/>
        </w:rPr>
        <w:t xml:space="preserve"> identified total PBS expenditure on pharmaceuticals per Aboriginal and Torres Strait Islander person was around 44% of the amount spent per non-Indigenous person in 2010-2011. [4] The report also contends the gap between government expenditure on PBS medicines for Aboriginal and Torres Strait Islander people and non-Indigenous Australians increases with increasing remoteness (with the exclusion of very remote areas where Section 100 arrangements are in place). </w:t>
      </w:r>
    </w:p>
    <w:p w14:paraId="190B9166" w14:textId="77777777" w:rsidR="00166DB1" w:rsidRPr="00166DB1" w:rsidRDefault="00166DB1" w:rsidP="00063226">
      <w:pPr>
        <w:pStyle w:val="KeyFinding"/>
        <w:shd w:val="clear" w:color="auto" w:fill="F2F2F2" w:themeFill="background1" w:themeFillShade="F2"/>
      </w:pPr>
      <w:bookmarkStart w:id="59" w:name="_Ref490665362"/>
      <w:r w:rsidRPr="00166DB1">
        <w:t>PBS expenditure data showed that Aboriginal and Torres Strait Islander people have an ongoing need to increase their access to subsidised medicines.</w:t>
      </w:r>
      <w:bookmarkEnd w:id="59"/>
      <w:r w:rsidRPr="00166DB1">
        <w:t xml:space="preserve"> </w:t>
      </w:r>
    </w:p>
    <w:p w14:paraId="6BD5C434" w14:textId="77777777" w:rsidR="00166DB1" w:rsidRPr="00166DB1" w:rsidRDefault="00166DB1" w:rsidP="00B24642">
      <w:pPr>
        <w:pStyle w:val="Heading2"/>
      </w:pPr>
      <w:bookmarkStart w:id="60" w:name="_Toc523322060"/>
      <w:r w:rsidRPr="00166DB1">
        <w:t>Program design: Appropriateness</w:t>
      </w:r>
      <w:bookmarkEnd w:id="60"/>
    </w:p>
    <w:p w14:paraId="02D4EA0B" w14:textId="77777777" w:rsidR="00166DB1" w:rsidRPr="00166DB1" w:rsidRDefault="00166DB1" w:rsidP="00B24642">
      <w:pPr>
        <w:pStyle w:val="Heading3"/>
      </w:pPr>
      <w:bookmarkStart w:id="61" w:name="_Toc523322061"/>
      <w:r w:rsidRPr="00166DB1">
        <w:t>Aboriginal and Torres Strait Islander Pharmacy Assistant Traineeship Scheme</w:t>
      </w:r>
      <w:bookmarkEnd w:id="61"/>
    </w:p>
    <w:p w14:paraId="3D2351E2"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While no peer-reviewed literature was identified to support the aims of the Aboriginal and Torres Strait Islander Pharmacy Assistant Traineeship Scheme, consultation with peak body stakeholders supported the program’s aim. It is unclear whether community consultation was undertaken when developing the program and, as such, may not be fully responsive to the needs of Aboriginal and Torres Strait Islander communities.</w:t>
      </w:r>
    </w:p>
    <w:p w14:paraId="0F091330" w14:textId="77777777" w:rsidR="00166DB1" w:rsidRPr="00166DB1" w:rsidRDefault="00166DB1" w:rsidP="008A6360">
      <w:pPr>
        <w:pStyle w:val="Heading4"/>
      </w:pPr>
      <w:r w:rsidRPr="00166DB1">
        <w:t>Aboriginal and Torres Strait Islander Pharmacy Scholarship Scheme</w:t>
      </w:r>
    </w:p>
    <w:p w14:paraId="6A31D8E0"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Evidence supporting the Aboriginal and Torres Strait Islander Pharmacy Scholarship Scheme is limited. Peak body stakeholder consultation supported the program. It is unclear whether community consultation occurred to inform the aims of the program.</w:t>
      </w:r>
    </w:p>
    <w:p w14:paraId="1559EB4F" w14:textId="77777777" w:rsidR="00166DB1" w:rsidRPr="00166DB1" w:rsidRDefault="00166DB1" w:rsidP="0029291C">
      <w:pPr>
        <w:pStyle w:val="KeyFinding"/>
        <w:keepLines/>
        <w:shd w:val="clear" w:color="auto" w:fill="F2F2F2" w:themeFill="background1" w:themeFillShade="F2"/>
      </w:pPr>
      <w:bookmarkStart w:id="62" w:name="_Ref490665369"/>
      <w:r w:rsidRPr="00166DB1">
        <w:lastRenderedPageBreak/>
        <w:t>There is limited peer-reviewed literature to support the design of programs to enhance availability of culturally appropriate pharmacy services. The programs have in-principle support from peak body stakeholders. However, it is unclear whether community consultation was undertaken to inform program design and ensure they respond to the needs of Aboriginal and Torres Strait Islander communities.</w:t>
      </w:r>
      <w:bookmarkEnd w:id="62"/>
      <w:r w:rsidRPr="00166DB1">
        <w:t xml:space="preserve"> </w:t>
      </w:r>
    </w:p>
    <w:p w14:paraId="545C1B3F" w14:textId="77777777" w:rsidR="00D62D23" w:rsidRDefault="00D62D23" w:rsidP="00063226">
      <w:pPr>
        <w:pStyle w:val="PartHeading"/>
        <w:shd w:val="clear" w:color="auto" w:fill="F2F2F2" w:themeFill="background1" w:themeFillShade="F2"/>
        <w:spacing w:after="600"/>
        <w:rPr>
          <w:lang w:val="en-US"/>
        </w:rPr>
        <w:sectPr w:rsidR="00D62D23" w:rsidSect="00D62D23">
          <w:headerReference w:type="default" r:id="rId32"/>
          <w:pgSz w:w="16839" w:h="11907" w:orient="landscape" w:code="9"/>
          <w:pgMar w:top="2268" w:right="1304" w:bottom="850" w:left="737" w:header="567" w:footer="284" w:gutter="0"/>
          <w:cols w:num="2" w:space="709"/>
          <w:titlePg/>
          <w:docGrid w:linePitch="360"/>
        </w:sectPr>
      </w:pPr>
    </w:p>
    <w:p w14:paraId="1BFBFDE1" w14:textId="2C83B8FA" w:rsidR="00D65552" w:rsidRPr="00D65552" w:rsidRDefault="00D65552" w:rsidP="00B24642">
      <w:pPr>
        <w:pStyle w:val="Heading1"/>
        <w:rPr>
          <w:lang w:val="en-US"/>
        </w:rPr>
      </w:pPr>
      <w:bookmarkStart w:id="63" w:name="_Toc523322062"/>
      <w:r w:rsidRPr="00D65552">
        <w:rPr>
          <w:lang w:val="en-US"/>
        </w:rPr>
        <w:lastRenderedPageBreak/>
        <w:t>Effectiveness</w:t>
      </w:r>
      <w:bookmarkEnd w:id="63"/>
    </w:p>
    <w:p w14:paraId="38F87993" w14:textId="2719987F"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An examination of a program’s </w:t>
      </w:r>
      <w:r w:rsidRPr="00166DB1">
        <w:rPr>
          <w:rFonts w:ascii="Garamond" w:eastAsia="Garamond" w:hAnsi="Garamond"/>
          <w:i/>
          <w:color w:val="000000"/>
        </w:rPr>
        <w:t>effectiveness</w:t>
      </w:r>
      <w:r w:rsidRPr="00166DB1">
        <w:rPr>
          <w:rFonts w:ascii="Garamond" w:eastAsia="Garamond" w:hAnsi="Garamond"/>
          <w:color w:val="000000"/>
        </w:rPr>
        <w:t xml:space="preserve"> seeks to ascertain:</w:t>
      </w:r>
    </w:p>
    <w:p w14:paraId="2F5CCB74" w14:textId="77777777" w:rsidR="00166DB1" w:rsidRPr="00166DB1" w:rsidRDefault="00166DB1" w:rsidP="00166DB1">
      <w:pPr>
        <w:spacing w:before="85" w:after="85"/>
        <w:ind w:left="284" w:right="284"/>
        <w:rPr>
          <w:rFonts w:ascii="Times New Roman" w:eastAsia="Garamond" w:hAnsi="Times New Roman"/>
          <w:i/>
          <w:iCs/>
          <w:color w:val="000000"/>
          <w:sz w:val="20"/>
          <w:lang w:val="en-US"/>
        </w:rPr>
      </w:pPr>
      <w:r w:rsidRPr="00166DB1">
        <w:rPr>
          <w:rFonts w:ascii="Times New Roman" w:eastAsia="Garamond" w:hAnsi="Times New Roman"/>
          <w:i/>
          <w:iCs/>
          <w:color w:val="000000"/>
          <w:sz w:val="20"/>
        </w:rPr>
        <w:t>whether program outcomes have achieved stated objectives</w:t>
      </w:r>
      <w:sdt>
        <w:sdtPr>
          <w:rPr>
            <w:rFonts w:ascii="Times New Roman" w:eastAsia="Garamond" w:hAnsi="Times New Roman"/>
            <w:i/>
            <w:iCs/>
            <w:color w:val="000000"/>
            <w:sz w:val="20"/>
          </w:rPr>
          <w:id w:val="-1563397865"/>
          <w:citation/>
        </w:sdtPr>
        <w:sdtEndPr/>
        <w:sdtContent>
          <w:r w:rsidRPr="00166DB1">
            <w:rPr>
              <w:rFonts w:ascii="Times New Roman" w:eastAsia="Garamond" w:hAnsi="Times New Roman"/>
              <w:i/>
              <w:iCs/>
              <w:color w:val="000000"/>
              <w:sz w:val="20"/>
            </w:rPr>
            <w:fldChar w:fldCharType="begin"/>
          </w:r>
          <w:r w:rsidRPr="00166DB1">
            <w:rPr>
              <w:rFonts w:ascii="Times New Roman" w:eastAsia="Garamond" w:hAnsi="Times New Roman"/>
              <w:i/>
              <w:iCs/>
              <w:color w:val="000000"/>
              <w:sz w:val="20"/>
            </w:rPr>
            <w:instrText xml:space="preserve"> CITATION Tun10 \l 3081 </w:instrText>
          </w:r>
          <w:r w:rsidRPr="00166DB1">
            <w:rPr>
              <w:rFonts w:ascii="Times New Roman" w:eastAsia="Garamond" w:hAnsi="Times New Roman"/>
              <w:i/>
              <w:iCs/>
              <w:color w:val="000000"/>
              <w:sz w:val="20"/>
            </w:rPr>
            <w:fldChar w:fldCharType="separate"/>
          </w:r>
          <w:r w:rsidRPr="00166DB1">
            <w:rPr>
              <w:rFonts w:ascii="Times New Roman" w:eastAsia="Garamond" w:hAnsi="Times New Roman"/>
              <w:i/>
              <w:iCs/>
              <w:noProof/>
              <w:color w:val="000000"/>
              <w:sz w:val="20"/>
            </w:rPr>
            <w:t xml:space="preserve"> [1]</w:t>
          </w:r>
          <w:r w:rsidRPr="00166DB1">
            <w:rPr>
              <w:rFonts w:ascii="Times New Roman" w:eastAsia="Garamond" w:hAnsi="Times New Roman"/>
              <w:i/>
              <w:iCs/>
              <w:color w:val="000000"/>
              <w:sz w:val="20"/>
            </w:rPr>
            <w:fldChar w:fldCharType="end"/>
          </w:r>
        </w:sdtContent>
      </w:sdt>
      <w:r w:rsidRPr="00166DB1">
        <w:rPr>
          <w:rFonts w:ascii="Times New Roman" w:eastAsia="Garamond" w:hAnsi="Times New Roman"/>
          <w:i/>
          <w:iCs/>
          <w:color w:val="000000"/>
          <w:sz w:val="20"/>
          <w:lang w:val="en-US"/>
        </w:rPr>
        <w:t>.</w:t>
      </w:r>
    </w:p>
    <w:p w14:paraId="15F5ECD2" w14:textId="77777777" w:rsidR="00166DB1" w:rsidRPr="00166DB1" w:rsidRDefault="00166DB1" w:rsidP="00166DB1">
      <w:pPr>
        <w:spacing w:before="85" w:after="85"/>
        <w:rPr>
          <w:rFonts w:ascii="Garamond" w:eastAsia="Garamond" w:hAnsi="Garamond"/>
          <w:color w:val="000000"/>
          <w:lang w:val="en-US"/>
        </w:rPr>
      </w:pPr>
      <w:r w:rsidRPr="00166DB1">
        <w:rPr>
          <w:rFonts w:ascii="Garamond" w:eastAsia="Garamond" w:hAnsi="Garamond"/>
          <w:color w:val="000000"/>
          <w:lang w:val="en-US"/>
        </w:rPr>
        <w:t>To assess effectiveness for this evaluation we examined:</w:t>
      </w:r>
    </w:p>
    <w:p w14:paraId="168AF94D" w14:textId="77777777" w:rsidR="00166DB1" w:rsidRPr="00C53DB8" w:rsidRDefault="00166DB1" w:rsidP="009F66FB">
      <w:pPr>
        <w:pStyle w:val="ListParagraph"/>
        <w:numPr>
          <w:ilvl w:val="0"/>
          <w:numId w:val="18"/>
        </w:numPr>
        <w:tabs>
          <w:tab w:val="num" w:pos="284"/>
        </w:tabs>
        <w:spacing w:before="20" w:after="20"/>
        <w:ind w:left="284" w:hanging="284"/>
        <w:rPr>
          <w:rFonts w:ascii="Garamond" w:eastAsia="Times New Roman" w:hAnsi="Garamond"/>
          <w:color w:val="000000"/>
          <w:lang w:val="en-US"/>
        </w:rPr>
      </w:pPr>
      <w:r w:rsidRPr="00C53DB8">
        <w:rPr>
          <w:rFonts w:ascii="Garamond" w:eastAsia="Times New Roman" w:hAnsi="Garamond"/>
          <w:color w:val="000000"/>
          <w:lang w:val="en-US"/>
        </w:rPr>
        <w:t>For the Rural Workforce Package (see Section A below):</w:t>
      </w:r>
    </w:p>
    <w:p w14:paraId="6C8ABD9C" w14:textId="77777777" w:rsidR="00166DB1" w:rsidRPr="0029291C" w:rsidRDefault="00166DB1" w:rsidP="009F66FB">
      <w:pPr>
        <w:pStyle w:val="ListParagraph"/>
        <w:numPr>
          <w:ilvl w:val="0"/>
          <w:numId w:val="33"/>
        </w:numPr>
        <w:tabs>
          <w:tab w:val="num" w:pos="284"/>
          <w:tab w:val="num" w:pos="397"/>
        </w:tabs>
        <w:spacing w:before="20" w:after="20"/>
        <w:rPr>
          <w:rFonts w:ascii="Garamond" w:eastAsia="Times New Roman" w:hAnsi="Garamond"/>
          <w:color w:val="000000"/>
          <w:lang w:val="en-US"/>
        </w:rPr>
      </w:pPr>
      <w:bookmarkStart w:id="64" w:name="_Hlk490568462"/>
      <w:r w:rsidRPr="0029291C">
        <w:rPr>
          <w:rFonts w:ascii="Garamond" w:eastAsia="Times New Roman" w:hAnsi="Garamond"/>
          <w:color w:val="000000"/>
          <w:lang w:val="en-US"/>
        </w:rPr>
        <w:t xml:space="preserve">impact of the package on reducing the underlying need to strengthen the pharmacist workforce outside metropolitan areas, and </w:t>
      </w:r>
    </w:p>
    <w:bookmarkEnd w:id="64"/>
    <w:p w14:paraId="2199042F" w14:textId="77777777" w:rsidR="00166DB1" w:rsidRPr="0029291C" w:rsidRDefault="00166DB1" w:rsidP="009F66FB">
      <w:pPr>
        <w:pStyle w:val="ListParagraph"/>
        <w:numPr>
          <w:ilvl w:val="0"/>
          <w:numId w:val="33"/>
        </w:numPr>
        <w:tabs>
          <w:tab w:val="num" w:pos="284"/>
          <w:tab w:val="num" w:pos="397"/>
        </w:tabs>
        <w:spacing w:before="20" w:after="20"/>
        <w:rPr>
          <w:rFonts w:ascii="Garamond" w:eastAsia="Times New Roman" w:hAnsi="Garamond"/>
          <w:color w:val="000000"/>
          <w:lang w:val="en-US"/>
        </w:rPr>
      </w:pPr>
      <w:r w:rsidRPr="0029291C">
        <w:rPr>
          <w:rFonts w:ascii="Garamond" w:eastAsia="Times New Roman" w:hAnsi="Garamond"/>
          <w:color w:val="000000"/>
          <w:lang w:val="en-US"/>
        </w:rPr>
        <w:t>impact of the package on individual students and pharmacists.</w:t>
      </w:r>
    </w:p>
    <w:p w14:paraId="064231F4" w14:textId="77777777" w:rsidR="00166DB1" w:rsidRPr="00C53DB8" w:rsidRDefault="00166DB1" w:rsidP="009F66FB">
      <w:pPr>
        <w:pStyle w:val="ListParagraph"/>
        <w:numPr>
          <w:ilvl w:val="0"/>
          <w:numId w:val="18"/>
        </w:numPr>
        <w:tabs>
          <w:tab w:val="num" w:pos="284"/>
        </w:tabs>
        <w:spacing w:before="20" w:after="20"/>
        <w:ind w:left="284" w:hanging="284"/>
        <w:rPr>
          <w:rFonts w:ascii="Garamond" w:eastAsia="Times New Roman" w:hAnsi="Garamond"/>
          <w:color w:val="000000"/>
          <w:lang w:val="en-US"/>
        </w:rPr>
      </w:pPr>
      <w:r w:rsidRPr="00C53DB8">
        <w:rPr>
          <w:rFonts w:ascii="Garamond" w:eastAsia="Times New Roman" w:hAnsi="Garamond"/>
          <w:color w:val="000000"/>
          <w:lang w:val="en-US"/>
        </w:rPr>
        <w:t>For the Aboriginal and Torres Strait Islander Workforce Package (see Section B below):</w:t>
      </w:r>
    </w:p>
    <w:p w14:paraId="34831DEE" w14:textId="77777777" w:rsidR="00166DB1" w:rsidRPr="00166DB1" w:rsidRDefault="00166DB1" w:rsidP="009F66FB">
      <w:pPr>
        <w:pStyle w:val="ListParagraph"/>
        <w:numPr>
          <w:ilvl w:val="0"/>
          <w:numId w:val="33"/>
        </w:numPr>
        <w:tabs>
          <w:tab w:val="num" w:pos="284"/>
          <w:tab w:val="num" w:pos="397"/>
        </w:tabs>
        <w:spacing w:before="20" w:after="20"/>
        <w:rPr>
          <w:rFonts w:ascii="Garamond" w:eastAsia="Times New Roman" w:hAnsi="Garamond"/>
          <w:color w:val="000000"/>
          <w:lang w:val="en-US"/>
        </w:rPr>
      </w:pPr>
      <w:r w:rsidRPr="00166DB1">
        <w:rPr>
          <w:rFonts w:ascii="Garamond" w:eastAsia="Times New Roman" w:hAnsi="Garamond"/>
          <w:color w:val="000000"/>
          <w:lang w:val="en-US"/>
        </w:rPr>
        <w:t>impact of the package on reducing the underlying need for Aboriginal and Torres Strait Islander people to access medicines.</w:t>
      </w:r>
    </w:p>
    <w:p w14:paraId="25200775" w14:textId="77777777" w:rsidR="00166DB1" w:rsidRPr="00166DB1" w:rsidRDefault="00166DB1" w:rsidP="0029291C">
      <w:pPr>
        <w:pStyle w:val="ESHeading2"/>
        <w:spacing w:before="240"/>
        <w:rPr>
          <w:lang w:val="en-US"/>
        </w:rPr>
      </w:pPr>
      <w:r w:rsidRPr="00166DB1">
        <w:rPr>
          <w:lang w:val="en-US"/>
        </w:rPr>
        <w:t>KEY FINDINGS ON EFFECTIVENESS</w:t>
      </w:r>
    </w:p>
    <w:p w14:paraId="58CADEBB" w14:textId="77777777" w:rsidR="00166DB1" w:rsidRPr="00166DB1" w:rsidRDefault="00166DB1" w:rsidP="00166DB1">
      <w:pPr>
        <w:spacing w:before="85" w:after="85"/>
        <w:rPr>
          <w:rFonts w:ascii="Garamond" w:eastAsia="Garamond" w:hAnsi="Garamond"/>
          <w:color w:val="000000"/>
          <w:lang w:val="en-US"/>
        </w:rPr>
      </w:pPr>
      <w:r w:rsidRPr="00166DB1">
        <w:rPr>
          <w:rFonts w:ascii="Garamond" w:eastAsia="Garamond" w:hAnsi="Garamond"/>
          <w:color w:val="000000"/>
          <w:lang w:val="en-US"/>
        </w:rPr>
        <w:t>The key findings of the evaluation on effectiveness are summarised in the following table.</w:t>
      </w:r>
    </w:p>
    <w:tbl>
      <w:tblPr>
        <w:tblStyle w:val="KeyFindings"/>
        <w:tblW w:w="5000" w:type="pct"/>
        <w:shd w:val="clear" w:color="auto" w:fill="F2F2F2" w:themeFill="background1" w:themeFillShade="F2"/>
        <w:tblLayout w:type="fixed"/>
        <w:tblLook w:val="04A0" w:firstRow="1" w:lastRow="0" w:firstColumn="1" w:lastColumn="0" w:noHBand="0" w:noVBand="1"/>
        <w:tblCaption w:val="Summary of Key Findings"/>
        <w:tblDescription w:val="Table summarising Key Findings 12 to 21"/>
      </w:tblPr>
      <w:tblGrid>
        <w:gridCol w:w="1843"/>
        <w:gridCol w:w="5201"/>
      </w:tblGrid>
      <w:tr w:rsidR="00133610" w:rsidRPr="00166DB1" w14:paraId="2B68364A" w14:textId="77777777" w:rsidTr="00133610">
        <w:trPr>
          <w:cnfStyle w:val="100000000000" w:firstRow="1" w:lastRow="0" w:firstColumn="0" w:lastColumn="0" w:oddVBand="0" w:evenVBand="0" w:oddHBand="0" w:evenHBand="0" w:firstRowFirstColumn="0" w:firstRowLastColumn="0" w:lastRowFirstColumn="0" w:lastRowLastColumn="0"/>
          <w:cantSplit/>
          <w:tblHeader/>
        </w:trPr>
        <w:tc>
          <w:tcPr>
            <w:tcW w:w="1843" w:type="dxa"/>
            <w:shd w:val="clear" w:color="auto" w:fill="F2F2F2" w:themeFill="background1" w:themeFillShade="F2"/>
            <w:vAlign w:val="center"/>
          </w:tcPr>
          <w:p w14:paraId="32BB0211" w14:textId="25277B7B" w:rsidR="00133610" w:rsidRPr="00166DB1" w:rsidRDefault="00133610" w:rsidP="002D261F">
            <w:pPr>
              <w:pStyle w:val="KeyFindingsTableHeading"/>
            </w:pPr>
          </w:p>
        </w:tc>
        <w:tc>
          <w:tcPr>
            <w:tcW w:w="5201" w:type="dxa"/>
            <w:shd w:val="clear" w:color="auto" w:fill="F2F2F2" w:themeFill="background1" w:themeFillShade="F2"/>
            <w:vAlign w:val="center"/>
          </w:tcPr>
          <w:p w14:paraId="79CF93DB" w14:textId="76B8E1CA" w:rsidR="00133610" w:rsidRPr="00166DB1" w:rsidRDefault="00133610" w:rsidP="002D261F">
            <w:pPr>
              <w:pStyle w:val="KeyFindingsTableHeading"/>
            </w:pPr>
            <w:r w:rsidRPr="00166DB1">
              <w:t>Summary of key findings</w:t>
            </w:r>
          </w:p>
        </w:tc>
      </w:tr>
      <w:tr w:rsidR="00166DB1" w:rsidRPr="00166DB1" w14:paraId="77FE2C7F" w14:textId="77777777" w:rsidTr="00133610">
        <w:trPr>
          <w:cantSplit/>
        </w:trPr>
        <w:tc>
          <w:tcPr>
            <w:tcW w:w="1843" w:type="dxa"/>
            <w:shd w:val="clear" w:color="auto" w:fill="F2F2F2" w:themeFill="background1" w:themeFillShade="F2"/>
            <w:vAlign w:val="center"/>
          </w:tcPr>
          <w:p w14:paraId="57F786EE" w14:textId="2411892E" w:rsidR="00166DB1" w:rsidRPr="00166DB1" w:rsidRDefault="00166DB1" w:rsidP="002D261F">
            <w:pPr>
              <w:pStyle w:val="KeyFindingsTableLeftColumn"/>
            </w:pPr>
            <w:r w:rsidRPr="00166DB1">
              <w:fldChar w:fldCharType="begin"/>
            </w:r>
            <w:r w:rsidRPr="00166DB1">
              <w:instrText xml:space="preserve"> REF _Ref490676913 \r \h </w:instrText>
            </w:r>
            <w:r w:rsidR="002D261F">
              <w:instrText xml:space="preserve"> \* MERGEFORMAT </w:instrText>
            </w:r>
            <w:r w:rsidRPr="00166DB1">
              <w:fldChar w:fldCharType="separate"/>
            </w:r>
            <w:r w:rsidRPr="00166DB1">
              <w:t>Key Finding 12:</w:t>
            </w:r>
            <w:r w:rsidRPr="00166DB1">
              <w:fldChar w:fldCharType="end"/>
            </w:r>
          </w:p>
        </w:tc>
        <w:tc>
          <w:tcPr>
            <w:tcW w:w="5201" w:type="dxa"/>
            <w:shd w:val="clear" w:color="auto" w:fill="F2F2F2" w:themeFill="background1" w:themeFillShade="F2"/>
            <w:vAlign w:val="center"/>
          </w:tcPr>
          <w:p w14:paraId="4E002E54" w14:textId="77777777" w:rsidR="00166DB1" w:rsidRPr="00166DB1" w:rsidRDefault="00166DB1" w:rsidP="002D261F">
            <w:pPr>
              <w:pStyle w:val="KeyFindingsTableCopy"/>
            </w:pPr>
            <w:r w:rsidRPr="00166DB1">
              <w:fldChar w:fldCharType="begin"/>
            </w:r>
            <w:r w:rsidRPr="00166DB1">
              <w:instrText xml:space="preserve"> REF _Ref490676913 \h  \* MERGEFORMAT </w:instrText>
            </w:r>
            <w:r w:rsidRPr="00166DB1">
              <w:fldChar w:fldCharType="separate"/>
            </w:r>
            <w:r w:rsidRPr="00166DB1">
              <w:t>Around an extra 270 FTE of community pharmacists would be required for regional and remote areas to achieve parity with major cities.</w:t>
            </w:r>
            <w:r w:rsidRPr="00166DB1">
              <w:fldChar w:fldCharType="end"/>
            </w:r>
          </w:p>
        </w:tc>
      </w:tr>
      <w:tr w:rsidR="00166DB1" w:rsidRPr="00166DB1" w14:paraId="2B8DC415" w14:textId="77777777" w:rsidTr="00133610">
        <w:trPr>
          <w:cantSplit/>
        </w:trPr>
        <w:tc>
          <w:tcPr>
            <w:tcW w:w="1843" w:type="dxa"/>
            <w:shd w:val="clear" w:color="auto" w:fill="F2F2F2" w:themeFill="background1" w:themeFillShade="F2"/>
            <w:vAlign w:val="center"/>
          </w:tcPr>
          <w:p w14:paraId="6CFDF820" w14:textId="4FC876E3" w:rsidR="00166DB1" w:rsidRPr="00166DB1" w:rsidRDefault="00166DB1" w:rsidP="002D261F">
            <w:pPr>
              <w:pStyle w:val="KeyFindingsTableLeftColumn"/>
            </w:pPr>
            <w:r w:rsidRPr="00166DB1">
              <w:fldChar w:fldCharType="begin"/>
            </w:r>
            <w:r w:rsidRPr="00166DB1">
              <w:instrText xml:space="preserve"> REF _Ref490676918 \r \h </w:instrText>
            </w:r>
            <w:r w:rsidR="002D261F">
              <w:instrText xml:space="preserve"> \* MERGEFORMAT </w:instrText>
            </w:r>
            <w:r w:rsidRPr="00166DB1">
              <w:fldChar w:fldCharType="separate"/>
            </w:r>
            <w:r w:rsidRPr="00166DB1">
              <w:t>Key Finding 13:</w:t>
            </w:r>
            <w:r w:rsidRPr="00166DB1">
              <w:fldChar w:fldCharType="end"/>
            </w:r>
          </w:p>
        </w:tc>
        <w:tc>
          <w:tcPr>
            <w:tcW w:w="5201" w:type="dxa"/>
            <w:shd w:val="clear" w:color="auto" w:fill="F2F2F2" w:themeFill="background1" w:themeFillShade="F2"/>
            <w:vAlign w:val="center"/>
          </w:tcPr>
          <w:p w14:paraId="6624C45B" w14:textId="5885BFC0" w:rsidR="00166DB1" w:rsidRPr="00166DB1" w:rsidRDefault="00166DB1" w:rsidP="002D261F">
            <w:pPr>
              <w:pStyle w:val="KeyFindingsTableCopy"/>
            </w:pPr>
            <w:r w:rsidRPr="00166DB1">
              <w:fldChar w:fldCharType="begin"/>
            </w:r>
            <w:r w:rsidRPr="00166DB1">
              <w:instrText xml:space="preserve"> REF _Ref490676918 \h </w:instrText>
            </w:r>
            <w:r w:rsidR="002D261F">
              <w:instrText xml:space="preserve"> \* MERGEFORMAT </w:instrText>
            </w:r>
            <w:r w:rsidRPr="00166DB1">
              <w:fldChar w:fldCharType="separate"/>
            </w:r>
            <w:r w:rsidRPr="00166DB1">
              <w:t>The workforce recruitment and retention components of the Rural Workforce Package involve approximately 21% of the community pharmacist market annually, or around 800 pharmacists.</w:t>
            </w:r>
            <w:r w:rsidRPr="00166DB1">
              <w:fldChar w:fldCharType="end"/>
            </w:r>
          </w:p>
        </w:tc>
      </w:tr>
      <w:tr w:rsidR="00166DB1" w:rsidRPr="00166DB1" w14:paraId="44079413" w14:textId="77777777" w:rsidTr="00133610">
        <w:trPr>
          <w:cantSplit/>
        </w:trPr>
        <w:tc>
          <w:tcPr>
            <w:tcW w:w="1843" w:type="dxa"/>
            <w:shd w:val="clear" w:color="auto" w:fill="F2F2F2" w:themeFill="background1" w:themeFillShade="F2"/>
            <w:vAlign w:val="center"/>
          </w:tcPr>
          <w:p w14:paraId="78A8181E" w14:textId="1E1A0810" w:rsidR="00166DB1" w:rsidRPr="00166DB1" w:rsidRDefault="00166DB1" w:rsidP="002D261F">
            <w:pPr>
              <w:pStyle w:val="KeyFindingsTableLeftColumn"/>
            </w:pPr>
            <w:r w:rsidRPr="00166DB1">
              <w:fldChar w:fldCharType="begin"/>
            </w:r>
            <w:r w:rsidRPr="00166DB1">
              <w:instrText xml:space="preserve"> REF _Ref490676923 \r \h </w:instrText>
            </w:r>
            <w:r w:rsidR="002D261F">
              <w:instrText xml:space="preserve"> \* MERGEFORMAT </w:instrText>
            </w:r>
            <w:r w:rsidRPr="00166DB1">
              <w:fldChar w:fldCharType="separate"/>
            </w:r>
            <w:r w:rsidRPr="00166DB1">
              <w:t>Key Finding 14:</w:t>
            </w:r>
            <w:r w:rsidRPr="00166DB1">
              <w:fldChar w:fldCharType="end"/>
            </w:r>
          </w:p>
        </w:tc>
        <w:tc>
          <w:tcPr>
            <w:tcW w:w="5201" w:type="dxa"/>
            <w:shd w:val="clear" w:color="auto" w:fill="F2F2F2" w:themeFill="background1" w:themeFillShade="F2"/>
            <w:vAlign w:val="center"/>
          </w:tcPr>
          <w:p w14:paraId="63B22378" w14:textId="67B40316" w:rsidR="00166DB1" w:rsidRPr="00166DB1" w:rsidRDefault="00166DB1" w:rsidP="002D261F">
            <w:pPr>
              <w:pStyle w:val="KeyFindingsTableCopy"/>
            </w:pPr>
            <w:r w:rsidRPr="00166DB1">
              <w:fldChar w:fldCharType="begin"/>
            </w:r>
            <w:r w:rsidRPr="00166DB1">
              <w:instrText xml:space="preserve"> REF _Ref490676923 \h </w:instrText>
            </w:r>
            <w:r w:rsidR="002D261F">
              <w:instrText xml:space="preserve"> \* MERGEFORMAT </w:instrText>
            </w:r>
            <w:r w:rsidRPr="00166DB1">
              <w:fldChar w:fldCharType="separate"/>
            </w:r>
            <w:r w:rsidRPr="00166DB1">
              <w:t>The evaluation concluded that the Rural Workforce Package components under the 5CPA were largely ineffective in strengthening the rural workforce at a macro level, evidenced by the static (inner and outer regional areas) and negative (remote areas) community pharmacist FTE rates per 100,000 people between 2013 and 2015.</w:t>
            </w:r>
            <w:r w:rsidRPr="00166DB1">
              <w:fldChar w:fldCharType="end"/>
            </w:r>
          </w:p>
        </w:tc>
      </w:tr>
      <w:tr w:rsidR="00166DB1" w:rsidRPr="00166DB1" w14:paraId="53EEA686" w14:textId="77777777" w:rsidTr="00133610">
        <w:trPr>
          <w:cantSplit/>
        </w:trPr>
        <w:tc>
          <w:tcPr>
            <w:tcW w:w="1843" w:type="dxa"/>
            <w:shd w:val="clear" w:color="auto" w:fill="F2F2F2" w:themeFill="background1" w:themeFillShade="F2"/>
            <w:vAlign w:val="center"/>
          </w:tcPr>
          <w:p w14:paraId="71C882CD" w14:textId="7FE74272" w:rsidR="00166DB1" w:rsidRPr="00166DB1" w:rsidRDefault="00166DB1" w:rsidP="002D261F">
            <w:pPr>
              <w:pStyle w:val="KeyFindingsTableLeftColumn"/>
            </w:pPr>
            <w:r w:rsidRPr="00166DB1">
              <w:fldChar w:fldCharType="begin"/>
            </w:r>
            <w:r w:rsidRPr="00166DB1">
              <w:instrText xml:space="preserve"> REF _Ref490676929 \r \h </w:instrText>
            </w:r>
            <w:r w:rsidR="002D261F">
              <w:instrText xml:space="preserve"> \* MERGEFORMAT </w:instrText>
            </w:r>
            <w:r w:rsidRPr="00166DB1">
              <w:fldChar w:fldCharType="separate"/>
            </w:r>
            <w:r w:rsidRPr="00166DB1">
              <w:t>Key Finding 15:</w:t>
            </w:r>
            <w:r w:rsidRPr="00166DB1">
              <w:fldChar w:fldCharType="end"/>
            </w:r>
          </w:p>
        </w:tc>
        <w:tc>
          <w:tcPr>
            <w:tcW w:w="5201" w:type="dxa"/>
            <w:shd w:val="clear" w:color="auto" w:fill="F2F2F2" w:themeFill="background1" w:themeFillShade="F2"/>
            <w:vAlign w:val="center"/>
          </w:tcPr>
          <w:p w14:paraId="344EF3E0" w14:textId="65ED1F59" w:rsidR="00166DB1" w:rsidRPr="00166DB1" w:rsidRDefault="00166DB1" w:rsidP="002D261F">
            <w:pPr>
              <w:pStyle w:val="KeyFindingsTableCopy"/>
            </w:pPr>
            <w:r w:rsidRPr="00166DB1">
              <w:fldChar w:fldCharType="begin"/>
            </w:r>
            <w:r w:rsidRPr="00166DB1">
              <w:instrText xml:space="preserve"> REF _Ref490676929 \h </w:instrText>
            </w:r>
            <w:r w:rsidR="002D261F">
              <w:instrText xml:space="preserve"> \* MERGEFORMAT </w:instrText>
            </w:r>
            <w:r w:rsidRPr="00166DB1">
              <w:fldChar w:fldCharType="separate"/>
            </w:r>
            <w:r w:rsidRPr="00166DB1">
              <w:t>Workforce recruitment programs generally achieved their derived aims of supporting students and interns to undertake education, placements and training that increased their exposure to rural pharmacy practice. Some programs (i.e. the Scholarship Scheme) were found to have a tangible impact on the number of prospective new rural pharmacists. Some programs may increase intention to practise in a rural area but there is no clear evidence that the program actually increases recruitment.</w:t>
            </w:r>
            <w:r w:rsidRPr="00166DB1">
              <w:fldChar w:fldCharType="end"/>
            </w:r>
          </w:p>
        </w:tc>
      </w:tr>
      <w:tr w:rsidR="00166DB1" w:rsidRPr="00166DB1" w14:paraId="69E5CF0A" w14:textId="77777777" w:rsidTr="00133610">
        <w:trPr>
          <w:cantSplit/>
        </w:trPr>
        <w:tc>
          <w:tcPr>
            <w:tcW w:w="1843" w:type="dxa"/>
            <w:shd w:val="clear" w:color="auto" w:fill="F2F2F2" w:themeFill="background1" w:themeFillShade="F2"/>
            <w:vAlign w:val="center"/>
          </w:tcPr>
          <w:p w14:paraId="05774DD5" w14:textId="54D896FC" w:rsidR="00166DB1" w:rsidRPr="00166DB1" w:rsidRDefault="00166DB1" w:rsidP="002D261F">
            <w:pPr>
              <w:pStyle w:val="KeyFindingsTableLeftColumn"/>
            </w:pPr>
            <w:r w:rsidRPr="00166DB1">
              <w:fldChar w:fldCharType="begin"/>
            </w:r>
            <w:r w:rsidRPr="00166DB1">
              <w:instrText xml:space="preserve"> REF _Ref490676934 \r \h </w:instrText>
            </w:r>
            <w:r w:rsidR="002D261F">
              <w:instrText xml:space="preserve"> \* MERGEFORMAT </w:instrText>
            </w:r>
            <w:r w:rsidRPr="00166DB1">
              <w:fldChar w:fldCharType="separate"/>
            </w:r>
            <w:r w:rsidRPr="00166DB1">
              <w:t>Key Finding 16:</w:t>
            </w:r>
            <w:r w:rsidRPr="00166DB1">
              <w:fldChar w:fldCharType="end"/>
            </w:r>
          </w:p>
        </w:tc>
        <w:tc>
          <w:tcPr>
            <w:tcW w:w="5201" w:type="dxa"/>
            <w:shd w:val="clear" w:color="auto" w:fill="F2F2F2" w:themeFill="background1" w:themeFillShade="F2"/>
            <w:vAlign w:val="center"/>
          </w:tcPr>
          <w:p w14:paraId="4CF18E1D" w14:textId="142532D7" w:rsidR="00166DB1" w:rsidRPr="00166DB1" w:rsidRDefault="00166DB1" w:rsidP="002D261F">
            <w:pPr>
              <w:pStyle w:val="KeyFindingsTableCopy"/>
            </w:pPr>
            <w:r w:rsidRPr="00166DB1">
              <w:fldChar w:fldCharType="begin"/>
            </w:r>
            <w:r w:rsidRPr="00166DB1">
              <w:instrText xml:space="preserve"> REF _Ref490676934 \h </w:instrText>
            </w:r>
            <w:r w:rsidR="002D261F">
              <w:instrText xml:space="preserve"> \* MERGEFORMAT </w:instrText>
            </w:r>
            <w:r w:rsidRPr="00166DB1">
              <w:fldChar w:fldCharType="separate"/>
            </w:r>
            <w:r w:rsidRPr="00166DB1">
              <w:t xml:space="preserve">Retention component programs achieved their </w:t>
            </w:r>
            <w:r w:rsidRPr="00166DB1">
              <w:rPr>
                <w:i/>
              </w:rPr>
              <w:t>derived aims</w:t>
            </w:r>
            <w:r w:rsidRPr="00166DB1">
              <w:t xml:space="preserve"> of reducing financial barriers to rural practice such as access to CPE, locums and interns. All programs were highly valued by the pharmacists who accessed them. However, the extent to which these programs prevented pharmacists leaving rural practice was not measurable and could not be isolated from other drivers of greater retention.</w:t>
            </w:r>
            <w:r w:rsidRPr="00166DB1">
              <w:fldChar w:fldCharType="end"/>
            </w:r>
          </w:p>
        </w:tc>
      </w:tr>
    </w:tbl>
    <w:p w14:paraId="7419C04E" w14:textId="77777777" w:rsidR="00D62D23" w:rsidRDefault="00D62D23" w:rsidP="00166DB1">
      <w:pPr>
        <w:spacing w:before="60" w:after="60"/>
        <w:ind w:left="142" w:right="142"/>
        <w:rPr>
          <w:rFonts w:ascii="Franklin Gothic Book" w:eastAsia="Garamond" w:hAnsi="Franklin Gothic Book"/>
          <w:color w:val="000000"/>
        </w:rPr>
        <w:sectPr w:rsidR="00D62D23" w:rsidSect="00D62D23">
          <w:pgSz w:w="16839" w:h="11907" w:orient="landscape" w:code="9"/>
          <w:pgMar w:top="2268" w:right="1304" w:bottom="850" w:left="737" w:header="567" w:footer="284" w:gutter="0"/>
          <w:cols w:num="2" w:space="709"/>
          <w:titlePg/>
          <w:docGrid w:linePitch="360"/>
        </w:sectPr>
      </w:pPr>
    </w:p>
    <w:tbl>
      <w:tblPr>
        <w:tblStyle w:val="KeyFindings"/>
        <w:tblW w:w="5000" w:type="pct"/>
        <w:shd w:val="clear" w:color="auto" w:fill="F2F2F2" w:themeFill="background1" w:themeFillShade="F2"/>
        <w:tblLayout w:type="fixed"/>
        <w:tblLook w:val="04A0" w:firstRow="1" w:lastRow="0" w:firstColumn="1" w:lastColumn="0" w:noHBand="0" w:noVBand="1"/>
        <w:tblCaption w:val="KEY FINDINGS ON EFFECTIVENESS"/>
        <w:tblDescription w:val="KEY FINDINGS ON EFFECTIVENESS Table summarising Key Findings 17 to 21"/>
      </w:tblPr>
      <w:tblGrid>
        <w:gridCol w:w="1876"/>
        <w:gridCol w:w="5168"/>
      </w:tblGrid>
      <w:tr w:rsidR="005D2DA1" w:rsidRPr="00166DB1" w14:paraId="292C8196" w14:textId="77777777" w:rsidTr="0083126D">
        <w:trPr>
          <w:cnfStyle w:val="100000000000" w:firstRow="1" w:lastRow="0" w:firstColumn="0" w:lastColumn="0" w:oddVBand="0" w:evenVBand="0" w:oddHBand="0" w:evenHBand="0" w:firstRowFirstColumn="0" w:firstRowLastColumn="0" w:lastRowFirstColumn="0" w:lastRowLastColumn="0"/>
          <w:cantSplit/>
          <w:tblHeader/>
        </w:trPr>
        <w:tc>
          <w:tcPr>
            <w:tcW w:w="1876" w:type="dxa"/>
            <w:shd w:val="clear" w:color="auto" w:fill="F2F2F2" w:themeFill="background1" w:themeFillShade="F2"/>
            <w:vAlign w:val="center"/>
          </w:tcPr>
          <w:p w14:paraId="798C6B96" w14:textId="77777777" w:rsidR="005D2DA1" w:rsidRPr="00C53DB8" w:rsidRDefault="005D2DA1" w:rsidP="005D2DA1">
            <w:pPr>
              <w:pStyle w:val="KeyFindingsTableHeading"/>
            </w:pPr>
          </w:p>
        </w:tc>
        <w:tc>
          <w:tcPr>
            <w:tcW w:w="5168" w:type="dxa"/>
            <w:shd w:val="clear" w:color="auto" w:fill="F2F2F2" w:themeFill="background1" w:themeFillShade="F2"/>
            <w:vAlign w:val="center"/>
          </w:tcPr>
          <w:p w14:paraId="1B085188" w14:textId="62D41442" w:rsidR="005D2DA1" w:rsidRPr="00C53DB8" w:rsidRDefault="005D2DA1" w:rsidP="005D2DA1">
            <w:pPr>
              <w:pStyle w:val="KeyFindingsTableHeading"/>
            </w:pPr>
            <w:r w:rsidRPr="00166DB1">
              <w:t>Summary of key findings</w:t>
            </w:r>
          </w:p>
        </w:tc>
      </w:tr>
      <w:tr w:rsidR="00166DB1" w:rsidRPr="00166DB1" w14:paraId="38DD0786" w14:textId="77777777" w:rsidTr="0083126D">
        <w:trPr>
          <w:cantSplit/>
        </w:trPr>
        <w:tc>
          <w:tcPr>
            <w:tcW w:w="1876" w:type="dxa"/>
            <w:shd w:val="clear" w:color="auto" w:fill="F2F2F2" w:themeFill="background1" w:themeFillShade="F2"/>
            <w:vAlign w:val="center"/>
          </w:tcPr>
          <w:p w14:paraId="3044B10A" w14:textId="721C2E28" w:rsidR="00166DB1" w:rsidRPr="00C53DB8" w:rsidRDefault="00166DB1" w:rsidP="00C53DB8">
            <w:pPr>
              <w:pStyle w:val="KeyFindingsTableLeftColumn"/>
            </w:pPr>
            <w:r w:rsidRPr="00C53DB8">
              <w:fldChar w:fldCharType="begin"/>
            </w:r>
            <w:r w:rsidRPr="00C53DB8">
              <w:instrText xml:space="preserve"> REF _Ref490676959 \r \h </w:instrText>
            </w:r>
            <w:r w:rsidR="002D261F" w:rsidRPr="00C53DB8">
              <w:instrText xml:space="preserve"> \* MERGEFORMAT </w:instrText>
            </w:r>
            <w:r w:rsidRPr="00C53DB8">
              <w:fldChar w:fldCharType="separate"/>
            </w:r>
            <w:r w:rsidRPr="00C53DB8">
              <w:t>Key Finding 17:</w:t>
            </w:r>
            <w:r w:rsidRPr="00C53DB8">
              <w:fldChar w:fldCharType="end"/>
            </w:r>
          </w:p>
        </w:tc>
        <w:tc>
          <w:tcPr>
            <w:tcW w:w="5168" w:type="dxa"/>
            <w:shd w:val="clear" w:color="auto" w:fill="F2F2F2" w:themeFill="background1" w:themeFillShade="F2"/>
            <w:vAlign w:val="center"/>
          </w:tcPr>
          <w:p w14:paraId="56489084" w14:textId="3E239C62" w:rsidR="00166DB1" w:rsidRPr="00C53DB8" w:rsidRDefault="00166DB1" w:rsidP="00C53DB8">
            <w:pPr>
              <w:pStyle w:val="KeyFindingsTableCopy"/>
            </w:pPr>
            <w:r w:rsidRPr="00C53DB8">
              <w:fldChar w:fldCharType="begin"/>
            </w:r>
            <w:r w:rsidRPr="00C53DB8">
              <w:instrText xml:space="preserve"> REF _Ref490676959 \h </w:instrText>
            </w:r>
            <w:r w:rsidR="002D261F" w:rsidRPr="00C53DB8">
              <w:instrText xml:space="preserve"> \* MERGEFORMAT </w:instrText>
            </w:r>
            <w:r w:rsidRPr="00C53DB8">
              <w:fldChar w:fldCharType="separate"/>
            </w:r>
            <w:r w:rsidRPr="00C53DB8">
              <w:t>Other support component programs generally achieved their derived aims. However, these aims remain broad and self-fulfilling. A majority of stakeholders involved in the delivery of the programs stated that the support programs were vital to supporting recruitment activities.</w:t>
            </w:r>
            <w:r w:rsidRPr="00C53DB8">
              <w:fldChar w:fldCharType="end"/>
            </w:r>
          </w:p>
        </w:tc>
      </w:tr>
      <w:tr w:rsidR="00166DB1" w:rsidRPr="00166DB1" w14:paraId="1A28675F" w14:textId="77777777" w:rsidTr="0083126D">
        <w:trPr>
          <w:cantSplit/>
        </w:trPr>
        <w:tc>
          <w:tcPr>
            <w:tcW w:w="1876" w:type="dxa"/>
            <w:shd w:val="clear" w:color="auto" w:fill="F2F2F2" w:themeFill="background1" w:themeFillShade="F2"/>
            <w:vAlign w:val="center"/>
          </w:tcPr>
          <w:p w14:paraId="127664EB" w14:textId="77332C25" w:rsidR="00166DB1" w:rsidRPr="00166DB1" w:rsidRDefault="00166DB1" w:rsidP="002D261F">
            <w:pPr>
              <w:pStyle w:val="KeyFindingsTableLeftColumn"/>
            </w:pPr>
            <w:r w:rsidRPr="00166DB1">
              <w:fldChar w:fldCharType="begin"/>
            </w:r>
            <w:r w:rsidRPr="00166DB1">
              <w:instrText xml:space="preserve"> REF _Ref490676965 \r \h </w:instrText>
            </w:r>
            <w:r w:rsidR="002D261F">
              <w:instrText xml:space="preserve"> \* MERGEFORMAT </w:instrText>
            </w:r>
            <w:r w:rsidRPr="00166DB1">
              <w:fldChar w:fldCharType="separate"/>
            </w:r>
            <w:r w:rsidRPr="00166DB1">
              <w:t>Key Finding 18:</w:t>
            </w:r>
            <w:r w:rsidRPr="00166DB1">
              <w:fldChar w:fldCharType="end"/>
            </w:r>
          </w:p>
        </w:tc>
        <w:tc>
          <w:tcPr>
            <w:tcW w:w="5168" w:type="dxa"/>
            <w:shd w:val="clear" w:color="auto" w:fill="F2F2F2" w:themeFill="background1" w:themeFillShade="F2"/>
            <w:vAlign w:val="center"/>
          </w:tcPr>
          <w:p w14:paraId="630A388D" w14:textId="013191C3" w:rsidR="00166DB1" w:rsidRPr="00166DB1" w:rsidRDefault="00166DB1" w:rsidP="002D261F">
            <w:pPr>
              <w:pStyle w:val="KeyFindingsTableCopy"/>
            </w:pPr>
            <w:r w:rsidRPr="00166DB1">
              <w:fldChar w:fldCharType="begin"/>
            </w:r>
            <w:r w:rsidRPr="00166DB1">
              <w:instrText xml:space="preserve"> REF _Ref490676965 \h </w:instrText>
            </w:r>
            <w:r w:rsidR="002D261F">
              <w:instrText xml:space="preserve"> \* MERGEFORMAT </w:instrText>
            </w:r>
            <w:r w:rsidRPr="00166DB1">
              <w:fldChar w:fldCharType="separate"/>
            </w:r>
            <w:r w:rsidRPr="00166DB1">
              <w:t>Despite the overall growth in the number of Aboriginal and Torres Strait Islander pharmacists, the FTE rate per 100,000 Aboriginal and Torres Strait Islander population remained low, supporting a position that there is an ongoing need to have recruitment programs for Aboriginal and Torres Islander pharmacy workforce.</w:t>
            </w:r>
            <w:r w:rsidRPr="00166DB1">
              <w:fldChar w:fldCharType="end"/>
            </w:r>
          </w:p>
        </w:tc>
      </w:tr>
      <w:tr w:rsidR="00166DB1" w:rsidRPr="00166DB1" w14:paraId="0DD441DE" w14:textId="77777777" w:rsidTr="0083126D">
        <w:trPr>
          <w:cantSplit/>
        </w:trPr>
        <w:tc>
          <w:tcPr>
            <w:tcW w:w="1876" w:type="dxa"/>
            <w:shd w:val="clear" w:color="auto" w:fill="F2F2F2" w:themeFill="background1" w:themeFillShade="F2"/>
            <w:vAlign w:val="center"/>
          </w:tcPr>
          <w:p w14:paraId="1B125B71" w14:textId="65B1A54D" w:rsidR="00166DB1" w:rsidRPr="00166DB1" w:rsidRDefault="00166DB1" w:rsidP="002D261F">
            <w:pPr>
              <w:pStyle w:val="KeyFindingsTableLeftColumn"/>
            </w:pPr>
            <w:r w:rsidRPr="00166DB1">
              <w:fldChar w:fldCharType="begin"/>
            </w:r>
            <w:r w:rsidRPr="00166DB1">
              <w:instrText xml:space="preserve"> REF _Ref490676970 \r \h </w:instrText>
            </w:r>
            <w:r w:rsidR="002D261F">
              <w:instrText xml:space="preserve"> \* MERGEFORMAT </w:instrText>
            </w:r>
            <w:r w:rsidRPr="00166DB1">
              <w:fldChar w:fldCharType="separate"/>
            </w:r>
            <w:r w:rsidRPr="00166DB1">
              <w:t>Key Finding 19:</w:t>
            </w:r>
            <w:r w:rsidRPr="00166DB1">
              <w:fldChar w:fldCharType="end"/>
            </w:r>
          </w:p>
        </w:tc>
        <w:tc>
          <w:tcPr>
            <w:tcW w:w="5168" w:type="dxa"/>
            <w:shd w:val="clear" w:color="auto" w:fill="F2F2F2" w:themeFill="background1" w:themeFillShade="F2"/>
            <w:vAlign w:val="center"/>
          </w:tcPr>
          <w:p w14:paraId="2A4AACCF" w14:textId="6B1F7568" w:rsidR="00166DB1" w:rsidRPr="00166DB1" w:rsidRDefault="00166DB1" w:rsidP="002D261F">
            <w:pPr>
              <w:pStyle w:val="KeyFindingsTableCopy"/>
            </w:pPr>
            <w:r w:rsidRPr="00166DB1">
              <w:fldChar w:fldCharType="begin"/>
            </w:r>
            <w:r w:rsidRPr="00166DB1">
              <w:instrText xml:space="preserve"> REF _Ref490676970 \h </w:instrText>
            </w:r>
            <w:r w:rsidR="002D261F">
              <w:instrText xml:space="preserve"> \* MERGEFORMAT </w:instrText>
            </w:r>
            <w:r w:rsidRPr="00166DB1">
              <w:fldChar w:fldCharType="separate"/>
            </w:r>
            <w:r w:rsidRPr="00166DB1">
              <w:t>Distribution of the Aboriginal and Torres Strait Islander pharmacy workforce is skewed towards major cities and remote areas.</w:t>
            </w:r>
            <w:r w:rsidRPr="00166DB1">
              <w:fldChar w:fldCharType="end"/>
            </w:r>
          </w:p>
        </w:tc>
      </w:tr>
      <w:tr w:rsidR="00166DB1" w:rsidRPr="00166DB1" w14:paraId="2F878EAB" w14:textId="77777777" w:rsidTr="0083126D">
        <w:trPr>
          <w:cantSplit/>
        </w:trPr>
        <w:tc>
          <w:tcPr>
            <w:tcW w:w="1876" w:type="dxa"/>
            <w:shd w:val="clear" w:color="auto" w:fill="F2F2F2" w:themeFill="background1" w:themeFillShade="F2"/>
            <w:vAlign w:val="center"/>
          </w:tcPr>
          <w:p w14:paraId="22EF8BC3" w14:textId="30E7F471" w:rsidR="00166DB1" w:rsidRPr="00166DB1" w:rsidRDefault="00166DB1" w:rsidP="002D261F">
            <w:pPr>
              <w:pStyle w:val="KeyFindingsTableLeftColumn"/>
            </w:pPr>
            <w:r w:rsidRPr="00166DB1">
              <w:fldChar w:fldCharType="begin"/>
            </w:r>
            <w:r w:rsidRPr="00166DB1">
              <w:instrText xml:space="preserve"> REF _Ref490676974 \r \h </w:instrText>
            </w:r>
            <w:r w:rsidR="002D261F">
              <w:instrText xml:space="preserve"> \* MERGEFORMAT </w:instrText>
            </w:r>
            <w:r w:rsidRPr="00166DB1">
              <w:fldChar w:fldCharType="separate"/>
            </w:r>
            <w:r w:rsidRPr="00166DB1">
              <w:t>Key Finding 20:</w:t>
            </w:r>
            <w:r w:rsidRPr="00166DB1">
              <w:fldChar w:fldCharType="end"/>
            </w:r>
          </w:p>
        </w:tc>
        <w:tc>
          <w:tcPr>
            <w:tcW w:w="5168" w:type="dxa"/>
            <w:shd w:val="clear" w:color="auto" w:fill="F2F2F2" w:themeFill="background1" w:themeFillShade="F2"/>
            <w:vAlign w:val="center"/>
          </w:tcPr>
          <w:p w14:paraId="5AD16E76" w14:textId="4D996EFD" w:rsidR="00166DB1" w:rsidRPr="00166DB1" w:rsidRDefault="00166DB1" w:rsidP="002D261F">
            <w:pPr>
              <w:pStyle w:val="KeyFindingsTableCopy"/>
            </w:pPr>
            <w:r w:rsidRPr="00166DB1">
              <w:fldChar w:fldCharType="begin"/>
            </w:r>
            <w:r w:rsidRPr="00166DB1">
              <w:instrText xml:space="preserve"> REF _Ref490676974 \h </w:instrText>
            </w:r>
            <w:r w:rsidR="002D261F">
              <w:instrText xml:space="preserve"> \* MERGEFORMAT </w:instrText>
            </w:r>
            <w:r w:rsidRPr="00166DB1">
              <w:fldChar w:fldCharType="separate"/>
            </w:r>
            <w:r w:rsidRPr="00166DB1">
              <w:t>Programs under the component addressing the availability of culturally appropriate services for Aboriginal and Torres Strait Islander people contributed to their aim of increasing the Aboriginal and Torres Strait Islander pharmacy workforce. However, it is unclear whether an increase in Aboriginal and Torres Strait Islander representation in pharmacy workforce will effectively enhance the availability of culturally appropriate services for Aboriginal and Torres Strait Islander communities.</w:t>
            </w:r>
            <w:r w:rsidRPr="00166DB1">
              <w:fldChar w:fldCharType="end"/>
            </w:r>
          </w:p>
        </w:tc>
      </w:tr>
      <w:tr w:rsidR="00166DB1" w:rsidRPr="00166DB1" w14:paraId="487DD879" w14:textId="77777777" w:rsidTr="0083126D">
        <w:trPr>
          <w:cantSplit/>
        </w:trPr>
        <w:tc>
          <w:tcPr>
            <w:tcW w:w="1876" w:type="dxa"/>
            <w:shd w:val="clear" w:color="auto" w:fill="F2F2F2" w:themeFill="background1" w:themeFillShade="F2"/>
            <w:vAlign w:val="center"/>
          </w:tcPr>
          <w:p w14:paraId="7E78FBE0" w14:textId="1243B4E2" w:rsidR="00166DB1" w:rsidRPr="00166DB1" w:rsidRDefault="00166DB1" w:rsidP="002D261F">
            <w:pPr>
              <w:pStyle w:val="KeyFindingsTableLeftColumn"/>
            </w:pPr>
            <w:r w:rsidRPr="00166DB1">
              <w:fldChar w:fldCharType="begin"/>
            </w:r>
            <w:r w:rsidRPr="00166DB1">
              <w:instrText xml:space="preserve"> REF _Ref490676981 \r \h </w:instrText>
            </w:r>
            <w:r w:rsidR="002D261F">
              <w:instrText xml:space="preserve"> \* MERGEFORMAT </w:instrText>
            </w:r>
            <w:r w:rsidRPr="00166DB1">
              <w:fldChar w:fldCharType="separate"/>
            </w:r>
            <w:r w:rsidRPr="00166DB1">
              <w:t>Key Finding 21:</w:t>
            </w:r>
            <w:r w:rsidRPr="00166DB1">
              <w:fldChar w:fldCharType="end"/>
            </w:r>
          </w:p>
        </w:tc>
        <w:tc>
          <w:tcPr>
            <w:tcW w:w="5168" w:type="dxa"/>
            <w:shd w:val="clear" w:color="auto" w:fill="F2F2F2" w:themeFill="background1" w:themeFillShade="F2"/>
            <w:vAlign w:val="center"/>
          </w:tcPr>
          <w:p w14:paraId="0263C4B4" w14:textId="4A7EF4D4" w:rsidR="00166DB1" w:rsidRPr="00166DB1" w:rsidRDefault="00166DB1" w:rsidP="002D261F">
            <w:pPr>
              <w:pStyle w:val="KeyFindingsTableCopy"/>
            </w:pPr>
            <w:r w:rsidRPr="00166DB1">
              <w:fldChar w:fldCharType="begin"/>
            </w:r>
            <w:r w:rsidRPr="00166DB1">
              <w:instrText xml:space="preserve"> REF _Ref490676981 \h </w:instrText>
            </w:r>
            <w:r w:rsidR="002D261F">
              <w:instrText xml:space="preserve"> \* MERGEFORMAT </w:instrText>
            </w:r>
            <w:r w:rsidRPr="00166DB1">
              <w:fldChar w:fldCharType="separate"/>
            </w:r>
            <w:r w:rsidRPr="00166DB1">
              <w:t>Wholesale changes to the Pharmacy Programs should be approached with caution. Although we found that the programs did not have any observable impact on strengthening the rural and remote pharmacy workforce levels, based on the available 2013–2015 data, there are other factors that must be considered in forming decisions about the future of the programs: the impacts of the current programs and their value to current and prospective recipients. An increase in the value of the grants could increase the incentives to take up the grants and promote larger shifts in the workforce into rural and remote areas.</w:t>
            </w:r>
            <w:r w:rsidRPr="00166DB1">
              <w:fldChar w:fldCharType="end"/>
            </w:r>
          </w:p>
        </w:tc>
      </w:tr>
    </w:tbl>
    <w:p w14:paraId="1EE684CF" w14:textId="77777777" w:rsidR="00166DB1" w:rsidRPr="00166DB1" w:rsidRDefault="00166DB1" w:rsidP="0029291C">
      <w:pPr>
        <w:pStyle w:val="ESHeading2"/>
        <w:spacing w:before="240"/>
        <w:rPr>
          <w:lang w:val="en-US"/>
        </w:rPr>
      </w:pPr>
      <w:r w:rsidRPr="00166DB1">
        <w:rPr>
          <w:lang w:val="en-US"/>
        </w:rPr>
        <w:t>Effectiveness analysis</w:t>
      </w:r>
    </w:p>
    <w:p w14:paraId="0C81C46E" w14:textId="77777777" w:rsidR="00166DB1" w:rsidRPr="00166DB1" w:rsidRDefault="00166DB1" w:rsidP="009B60C3">
      <w:pPr>
        <w:pStyle w:val="SectionTitle"/>
        <w:rPr>
          <w:lang w:val="en-US"/>
        </w:rPr>
      </w:pPr>
      <w:r w:rsidRPr="00166DB1">
        <w:rPr>
          <w:lang w:val="en-US"/>
        </w:rPr>
        <w:t>Rural Pharmacy workforce package effectiveness</w:t>
      </w:r>
    </w:p>
    <w:p w14:paraId="69597185" w14:textId="3758E378" w:rsidR="00166DB1" w:rsidRPr="00B24642" w:rsidRDefault="00166DB1" w:rsidP="00B24642">
      <w:pPr>
        <w:pStyle w:val="Heading2"/>
      </w:pPr>
      <w:bookmarkStart w:id="65" w:name="_Toc523322063"/>
      <w:r w:rsidRPr="00B24642">
        <w:t>Estimated Shortfall in Community Pharmacists Relative to Program Impacts</w:t>
      </w:r>
      <w:bookmarkEnd w:id="65"/>
    </w:p>
    <w:p w14:paraId="2764F90C"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It was beyond the scope of this evaluation to determine what an appropriate FTE rate of pharmacists per head of population is, or whether the current pharmacist FTE rates in major cities or other locations represent an under- or over-supply. However, we have developed a magnitude estimate of the extent of underlying need, assuming the current FTE ratio in major cities represents a reasonable benchmark. The workings are shown at Attachment C. We estimated that around an extra 1,080 FTE of pharmacists would be required for regional and remote areas to achieve </w:t>
      </w:r>
      <w:r w:rsidRPr="00166DB1">
        <w:rPr>
          <w:rFonts w:ascii="Garamond" w:eastAsia="Garamond" w:hAnsi="Garamond"/>
          <w:color w:val="000000"/>
        </w:rPr>
        <w:lastRenderedPageBreak/>
        <w:t>parity with major cities. Of these, we estimated that approximately 270 FTE would need to be community pharmacists.</w:t>
      </w:r>
    </w:p>
    <w:p w14:paraId="67B31341" w14:textId="77777777" w:rsidR="00166DB1" w:rsidRPr="00166DB1" w:rsidRDefault="00166DB1" w:rsidP="00063226">
      <w:pPr>
        <w:pStyle w:val="KeyFinding"/>
        <w:shd w:val="clear" w:color="auto" w:fill="F2F2F2" w:themeFill="background1" w:themeFillShade="F2"/>
      </w:pPr>
      <w:bookmarkStart w:id="66" w:name="_Ref490676913"/>
      <w:r w:rsidRPr="00166DB1">
        <w:t>Around an extra 270 FTE of community pharmacists would be required for regional and remote areas to achieve parity with major cities.</w:t>
      </w:r>
      <w:bookmarkEnd w:id="66"/>
    </w:p>
    <w:p w14:paraId="5BF692E8" w14:textId="77777777" w:rsidR="00166DB1" w:rsidRPr="00166DB1" w:rsidRDefault="00166DB1" w:rsidP="00B24642">
      <w:pPr>
        <w:pStyle w:val="Heading2"/>
      </w:pPr>
      <w:bookmarkStart w:id="67" w:name="_Toc523322064"/>
      <w:r w:rsidRPr="00166DB1">
        <w:t>Assessing impact: Program effects relative to underlying need</w:t>
      </w:r>
      <w:bookmarkEnd w:id="67"/>
    </w:p>
    <w:p w14:paraId="1D6EB682"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To assess the impact of the Rural Workforce Package relative to underlying need for additional pharmacists outside the major cities, we examined their market reach. </w:t>
      </w:r>
    </w:p>
    <w:p w14:paraId="3B5C661B"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Our estimates calculated the workforce recruitment program components of the Package could contribute around 250 extra pharmacists per annum (see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_Ref488142409 \h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 xml:space="preserve">Table </w:t>
      </w:r>
      <w:r w:rsidRPr="00166DB1">
        <w:rPr>
          <w:rFonts w:ascii="Garamond" w:eastAsia="Garamond" w:hAnsi="Garamond"/>
          <w:noProof/>
          <w:color w:val="000000"/>
        </w:rPr>
        <w:t>5</w:t>
      </w:r>
      <w:r w:rsidRPr="00166DB1">
        <w:rPr>
          <w:rFonts w:ascii="Garamond" w:eastAsia="Garamond" w:hAnsi="Garamond"/>
          <w:color w:val="000000"/>
        </w:rPr>
        <w:t>.</w:t>
      </w:r>
      <w:r w:rsidRPr="00166DB1">
        <w:rPr>
          <w:rFonts w:ascii="Garamond" w:eastAsia="Garamond" w:hAnsi="Garamond"/>
          <w:noProof/>
          <w:color w:val="000000"/>
        </w:rPr>
        <w:t>1</w:t>
      </w:r>
      <w:r w:rsidRPr="00166DB1">
        <w:rPr>
          <w:rFonts w:ascii="Garamond" w:eastAsia="Garamond" w:hAnsi="Garamond"/>
          <w:color w:val="000000"/>
        </w:rPr>
        <w:fldChar w:fldCharType="end"/>
      </w:r>
      <w:r w:rsidRPr="00166DB1">
        <w:rPr>
          <w:rFonts w:ascii="Garamond" w:eastAsia="Garamond" w:hAnsi="Garamond"/>
          <w:color w:val="000000"/>
        </w:rPr>
        <w:t xml:space="preserve">). </w:t>
      </w:r>
    </w:p>
    <w:p w14:paraId="62C5DB38" w14:textId="77777777" w:rsidR="00166DB1" w:rsidRPr="00166DB1" w:rsidRDefault="00166DB1" w:rsidP="00483C21">
      <w:pPr>
        <w:pStyle w:val="Caption"/>
      </w:pPr>
      <w:bookmarkStart w:id="68" w:name="_Ref493580608"/>
      <w:bookmarkStart w:id="69" w:name="_Ref488142409"/>
      <w:r w:rsidRPr="00166DB1">
        <w:t xml:space="preserve">Table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5</w:t>
      </w:r>
      <w:r w:rsidRPr="00166DB1">
        <w:rPr>
          <w:noProof/>
        </w:rPr>
        <w:fldChar w:fldCharType="end"/>
      </w:r>
      <w:r w:rsidRPr="00166DB1">
        <w:t>.</w:t>
      </w:r>
      <w:r w:rsidRPr="00166DB1">
        <w:rPr>
          <w:noProof/>
        </w:rPr>
        <w:fldChar w:fldCharType="begin"/>
      </w:r>
      <w:r w:rsidRPr="00166DB1">
        <w:rPr>
          <w:noProof/>
        </w:rPr>
        <w:instrText xml:space="preserve"> SEQ Table \* ARABIC \s 1 </w:instrText>
      </w:r>
      <w:r w:rsidRPr="00166DB1">
        <w:rPr>
          <w:noProof/>
        </w:rPr>
        <w:fldChar w:fldCharType="separate"/>
      </w:r>
      <w:r w:rsidRPr="00166DB1">
        <w:rPr>
          <w:noProof/>
        </w:rPr>
        <w:t>1</w:t>
      </w:r>
      <w:r w:rsidRPr="00166DB1">
        <w:rPr>
          <w:noProof/>
        </w:rPr>
        <w:fldChar w:fldCharType="end"/>
      </w:r>
      <w:bookmarkEnd w:id="68"/>
      <w:bookmarkEnd w:id="69"/>
      <w:r w:rsidRPr="00166DB1">
        <w:t xml:space="preserve">: Average recruitment program volume and estimated contribution to non-metropolitan new graduates, 2013–14 and 2014–15 </w:t>
      </w:r>
    </w:p>
    <w:tbl>
      <w:tblPr>
        <w:tblStyle w:val="HMATable"/>
        <w:tblW w:w="4959" w:type="pct"/>
        <w:shd w:val="clear" w:color="auto" w:fill="F2F2F2" w:themeFill="background1" w:themeFillShade="F2"/>
        <w:tblLayout w:type="fixed"/>
        <w:tblLook w:val="04A0" w:firstRow="1" w:lastRow="0" w:firstColumn="1" w:lastColumn="0" w:noHBand="0" w:noVBand="1"/>
        <w:tblCaption w:val="Table 5.1: Average recruitment program volume and estimated contribution to non-metropolitan new graduates, 2013-14 and 2014-15"/>
        <w:tblDescription w:val="Table 5.1: Average recruitment program volume and estimated contribution to non-metropolitan new graduates, 2013-14 and 2014-15. Table compares Rural Workforce Package, workforce recruitment program components compared to Column A: Average annual no. of new program recipients compared to Column B: Return rate assumptions compared ot Column C (A*B) Estimated new graduates p.a. attributable to program impacts.&#10;"/>
      </w:tblPr>
      <w:tblGrid>
        <w:gridCol w:w="1828"/>
        <w:gridCol w:w="1578"/>
        <w:gridCol w:w="1519"/>
        <w:gridCol w:w="2051"/>
      </w:tblGrid>
      <w:tr w:rsidR="00166DB1" w:rsidRPr="00166DB1" w14:paraId="0B6BEC0A" w14:textId="77777777" w:rsidTr="00904A68">
        <w:trPr>
          <w:cnfStyle w:val="100000000000" w:firstRow="1" w:lastRow="0" w:firstColumn="0" w:lastColumn="0" w:oddVBand="0" w:evenVBand="0" w:oddHBand="0" w:evenHBand="0" w:firstRowFirstColumn="0" w:firstRowLastColumn="0" w:lastRowFirstColumn="0" w:lastRowLastColumn="0"/>
          <w:trHeight w:val="1262"/>
          <w:tblHeader/>
        </w:trPr>
        <w:tc>
          <w:tcPr>
            <w:cnfStyle w:val="001000000100" w:firstRow="0" w:lastRow="0" w:firstColumn="1" w:lastColumn="0" w:oddVBand="0" w:evenVBand="0" w:oddHBand="0" w:evenHBand="0" w:firstRowFirstColumn="1" w:firstRowLastColumn="0" w:lastRowFirstColumn="0" w:lastRowLastColumn="0"/>
            <w:tcW w:w="1310" w:type="pct"/>
            <w:shd w:val="clear" w:color="auto" w:fill="D9D9D9" w:themeFill="background1" w:themeFillShade="D9"/>
            <w:noWrap/>
            <w:hideMark/>
          </w:tcPr>
          <w:p w14:paraId="5B77E323" w14:textId="77777777" w:rsidR="00166DB1" w:rsidRPr="00166DB1" w:rsidRDefault="00166DB1" w:rsidP="00CF2305">
            <w:pPr>
              <w:pStyle w:val="TableColumnHeading"/>
            </w:pPr>
            <w:r w:rsidRPr="00166DB1">
              <w:t>Rural Workforce Package, workforce recruitment program components</w:t>
            </w:r>
          </w:p>
        </w:tc>
        <w:tc>
          <w:tcPr>
            <w:tcW w:w="1131" w:type="pct"/>
            <w:shd w:val="clear" w:color="auto" w:fill="D9D9D9" w:themeFill="background1" w:themeFillShade="D9"/>
            <w:noWrap/>
            <w:hideMark/>
          </w:tcPr>
          <w:p w14:paraId="21518FDB" w14:textId="77777777" w:rsidR="00166DB1" w:rsidRPr="00166DB1" w:rsidRDefault="00166DB1" w:rsidP="00CF2305">
            <w:pPr>
              <w:pStyle w:val="TableColumnHeading"/>
              <w:cnfStyle w:val="100000000000" w:firstRow="1" w:lastRow="0" w:firstColumn="0" w:lastColumn="0" w:oddVBand="0" w:evenVBand="0" w:oddHBand="0" w:evenHBand="0" w:firstRowFirstColumn="0" w:firstRowLastColumn="0" w:lastRowFirstColumn="0" w:lastRowLastColumn="0"/>
            </w:pPr>
            <w:r w:rsidRPr="00166DB1">
              <w:t xml:space="preserve">Column A: </w:t>
            </w:r>
          </w:p>
          <w:p w14:paraId="51088BBD" w14:textId="77777777" w:rsidR="00166DB1" w:rsidRPr="00166DB1" w:rsidRDefault="00166DB1" w:rsidP="00CF2305">
            <w:pPr>
              <w:pStyle w:val="TableColumnHeading"/>
              <w:cnfStyle w:val="100000000000" w:firstRow="1" w:lastRow="0" w:firstColumn="0" w:lastColumn="0" w:oddVBand="0" w:evenVBand="0" w:oddHBand="0" w:evenHBand="0" w:firstRowFirstColumn="0" w:firstRowLastColumn="0" w:lastRowFirstColumn="0" w:lastRowLastColumn="0"/>
            </w:pPr>
          </w:p>
          <w:p w14:paraId="4FE5C0EE" w14:textId="77777777" w:rsidR="00166DB1" w:rsidRPr="00166DB1" w:rsidRDefault="00166DB1" w:rsidP="00CF2305">
            <w:pPr>
              <w:pStyle w:val="TableColumnHeading"/>
              <w:cnfStyle w:val="100000000000" w:firstRow="1" w:lastRow="0" w:firstColumn="0" w:lastColumn="0" w:oddVBand="0" w:evenVBand="0" w:oddHBand="0" w:evenHBand="0" w:firstRowFirstColumn="0" w:firstRowLastColumn="0" w:lastRowFirstColumn="0" w:lastRowLastColumn="0"/>
            </w:pPr>
            <w:r w:rsidRPr="00166DB1">
              <w:t>Average annual no.</w:t>
            </w:r>
          </w:p>
          <w:p w14:paraId="3C273A2F" w14:textId="77777777" w:rsidR="00166DB1" w:rsidRPr="00166DB1" w:rsidRDefault="00166DB1" w:rsidP="00CF2305">
            <w:pPr>
              <w:pStyle w:val="TableColumnHeading"/>
              <w:cnfStyle w:val="100000000000" w:firstRow="1" w:lastRow="0" w:firstColumn="0" w:lastColumn="0" w:oddVBand="0" w:evenVBand="0" w:oddHBand="0" w:evenHBand="0" w:firstRowFirstColumn="0" w:firstRowLastColumn="0" w:lastRowFirstColumn="0" w:lastRowLastColumn="0"/>
            </w:pPr>
            <w:r w:rsidRPr="00166DB1">
              <w:t xml:space="preserve">of new program recipients </w:t>
            </w:r>
          </w:p>
        </w:tc>
        <w:tc>
          <w:tcPr>
            <w:tcW w:w="1089" w:type="pct"/>
            <w:shd w:val="clear" w:color="auto" w:fill="D9D9D9" w:themeFill="background1" w:themeFillShade="D9"/>
            <w:noWrap/>
            <w:hideMark/>
          </w:tcPr>
          <w:p w14:paraId="47F0011A" w14:textId="77777777" w:rsidR="00166DB1" w:rsidRPr="00166DB1" w:rsidRDefault="00166DB1" w:rsidP="00CF2305">
            <w:pPr>
              <w:pStyle w:val="TableColumnHeading"/>
              <w:cnfStyle w:val="100000000000" w:firstRow="1" w:lastRow="0" w:firstColumn="0" w:lastColumn="0" w:oddVBand="0" w:evenVBand="0" w:oddHBand="0" w:evenHBand="0" w:firstRowFirstColumn="0" w:firstRowLastColumn="0" w:lastRowFirstColumn="0" w:lastRowLastColumn="0"/>
            </w:pPr>
            <w:r w:rsidRPr="00166DB1">
              <w:t xml:space="preserve">Column B: </w:t>
            </w:r>
          </w:p>
          <w:p w14:paraId="5D672F17" w14:textId="77777777" w:rsidR="00166DB1" w:rsidRPr="00166DB1" w:rsidRDefault="00166DB1" w:rsidP="00CF2305">
            <w:pPr>
              <w:pStyle w:val="TableColumnHeading"/>
              <w:cnfStyle w:val="100000000000" w:firstRow="1" w:lastRow="0" w:firstColumn="0" w:lastColumn="0" w:oddVBand="0" w:evenVBand="0" w:oddHBand="0" w:evenHBand="0" w:firstRowFirstColumn="0" w:firstRowLastColumn="0" w:lastRowFirstColumn="0" w:lastRowLastColumn="0"/>
            </w:pPr>
          </w:p>
          <w:p w14:paraId="5A866DBB" w14:textId="77777777" w:rsidR="00166DB1" w:rsidRPr="00166DB1" w:rsidRDefault="00166DB1" w:rsidP="00CF2305">
            <w:pPr>
              <w:pStyle w:val="TableColumnHeading"/>
              <w:cnfStyle w:val="100000000000" w:firstRow="1" w:lastRow="0" w:firstColumn="0" w:lastColumn="0" w:oddVBand="0" w:evenVBand="0" w:oddHBand="0" w:evenHBand="0" w:firstRowFirstColumn="0" w:firstRowLastColumn="0" w:lastRowFirstColumn="0" w:lastRowLastColumn="0"/>
            </w:pPr>
            <w:r w:rsidRPr="00166DB1">
              <w:t>Return rate</w:t>
            </w:r>
          </w:p>
          <w:p w14:paraId="722C79BE" w14:textId="77777777" w:rsidR="00166DB1" w:rsidRPr="00166DB1" w:rsidRDefault="00166DB1" w:rsidP="00CF2305">
            <w:pPr>
              <w:pStyle w:val="TableColumnHeading"/>
              <w:cnfStyle w:val="100000000000" w:firstRow="1" w:lastRow="0" w:firstColumn="0" w:lastColumn="0" w:oddVBand="0" w:evenVBand="0" w:oddHBand="0" w:evenHBand="0" w:firstRowFirstColumn="0" w:firstRowLastColumn="0" w:lastRowFirstColumn="0" w:lastRowLastColumn="0"/>
            </w:pPr>
            <w:r w:rsidRPr="00166DB1">
              <w:t>assumptions</w:t>
            </w:r>
          </w:p>
        </w:tc>
        <w:tc>
          <w:tcPr>
            <w:tcW w:w="1470" w:type="pct"/>
            <w:shd w:val="clear" w:color="auto" w:fill="D9D9D9" w:themeFill="background1" w:themeFillShade="D9"/>
            <w:noWrap/>
            <w:hideMark/>
          </w:tcPr>
          <w:p w14:paraId="2F4773EC" w14:textId="77777777" w:rsidR="00166DB1" w:rsidRPr="00166DB1" w:rsidRDefault="00166DB1" w:rsidP="00CF2305">
            <w:pPr>
              <w:pStyle w:val="TableColumnHeading"/>
              <w:cnfStyle w:val="100000000000" w:firstRow="1" w:lastRow="0" w:firstColumn="0" w:lastColumn="0" w:oddVBand="0" w:evenVBand="0" w:oddHBand="0" w:evenHBand="0" w:firstRowFirstColumn="0" w:firstRowLastColumn="0" w:lastRowFirstColumn="0" w:lastRowLastColumn="0"/>
            </w:pPr>
            <w:r w:rsidRPr="00166DB1">
              <w:t xml:space="preserve">Column C (A*B) </w:t>
            </w:r>
          </w:p>
          <w:p w14:paraId="6336EEFD" w14:textId="77777777" w:rsidR="00166DB1" w:rsidRPr="00166DB1" w:rsidRDefault="00166DB1" w:rsidP="00CF2305">
            <w:pPr>
              <w:pStyle w:val="TableColumnHeading"/>
              <w:cnfStyle w:val="100000000000" w:firstRow="1" w:lastRow="0" w:firstColumn="0" w:lastColumn="0" w:oddVBand="0" w:evenVBand="0" w:oddHBand="0" w:evenHBand="0" w:firstRowFirstColumn="0" w:firstRowLastColumn="0" w:lastRowFirstColumn="0" w:lastRowLastColumn="0"/>
            </w:pPr>
          </w:p>
          <w:p w14:paraId="4D7B39F9" w14:textId="77777777" w:rsidR="00166DB1" w:rsidRPr="00166DB1" w:rsidRDefault="00166DB1" w:rsidP="00CF2305">
            <w:pPr>
              <w:pStyle w:val="TableColumnHeading"/>
              <w:cnfStyle w:val="100000000000" w:firstRow="1" w:lastRow="0" w:firstColumn="0" w:lastColumn="0" w:oddVBand="0" w:evenVBand="0" w:oddHBand="0" w:evenHBand="0" w:firstRowFirstColumn="0" w:firstRowLastColumn="0" w:lastRowFirstColumn="0" w:lastRowLastColumn="0"/>
            </w:pPr>
            <w:r w:rsidRPr="00166DB1">
              <w:t xml:space="preserve">Estimated new graduates p.a. attributable to program impacts </w:t>
            </w:r>
          </w:p>
        </w:tc>
      </w:tr>
      <w:tr w:rsidR="00166DB1" w:rsidRPr="00166DB1" w14:paraId="3D0D30ED" w14:textId="77777777" w:rsidTr="00904A68">
        <w:trPr>
          <w:trHeight w:val="20"/>
        </w:trPr>
        <w:tc>
          <w:tcPr>
            <w:cnfStyle w:val="001000000000" w:firstRow="0" w:lastRow="0" w:firstColumn="1" w:lastColumn="0" w:oddVBand="0" w:evenVBand="0" w:oddHBand="0" w:evenHBand="0" w:firstRowFirstColumn="0" w:firstRowLastColumn="0" w:lastRowFirstColumn="0" w:lastRowLastColumn="0"/>
            <w:tcW w:w="1310" w:type="pct"/>
            <w:shd w:val="clear" w:color="auto" w:fill="F2F2F2" w:themeFill="background1" w:themeFillShade="F2"/>
            <w:noWrap/>
            <w:hideMark/>
          </w:tcPr>
          <w:p w14:paraId="464AE24C" w14:textId="77777777" w:rsidR="00166DB1" w:rsidRPr="00166DB1" w:rsidRDefault="00166DB1" w:rsidP="00CF2305">
            <w:pPr>
              <w:pStyle w:val="TableCopy"/>
            </w:pPr>
            <w:r w:rsidRPr="00166DB1">
              <w:t xml:space="preserve">Rural Pharmacy Scholarship Program </w:t>
            </w:r>
          </w:p>
        </w:tc>
        <w:tc>
          <w:tcPr>
            <w:tcW w:w="1131" w:type="pct"/>
            <w:shd w:val="clear" w:color="auto" w:fill="F2F2F2" w:themeFill="background1" w:themeFillShade="F2"/>
            <w:noWrap/>
            <w:hideMark/>
          </w:tcPr>
          <w:p w14:paraId="41D84CF5"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pPr>
            <w:r w:rsidRPr="00166DB1">
              <w:t>42*</w:t>
            </w:r>
          </w:p>
        </w:tc>
        <w:tc>
          <w:tcPr>
            <w:tcW w:w="1089" w:type="pct"/>
            <w:shd w:val="clear" w:color="auto" w:fill="F2F2F2" w:themeFill="background1" w:themeFillShade="F2"/>
            <w:noWrap/>
            <w:hideMark/>
          </w:tcPr>
          <w:p w14:paraId="220D3A8F"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pPr>
            <w:r w:rsidRPr="00166DB1">
              <w:t>50% return rate</w:t>
            </w:r>
          </w:p>
          <w:p w14:paraId="708C3479"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pPr>
            <w:r w:rsidRPr="00166DB1">
              <w:t>(based on evaluation survey responses)</w:t>
            </w:r>
          </w:p>
        </w:tc>
        <w:tc>
          <w:tcPr>
            <w:tcW w:w="1470" w:type="pct"/>
            <w:shd w:val="clear" w:color="auto" w:fill="F2F2F2" w:themeFill="background1" w:themeFillShade="F2"/>
            <w:noWrap/>
            <w:hideMark/>
          </w:tcPr>
          <w:p w14:paraId="4DC5EC75"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pPr>
            <w:r w:rsidRPr="00166DB1">
              <w:t>21</w:t>
            </w:r>
          </w:p>
        </w:tc>
      </w:tr>
      <w:tr w:rsidR="00166DB1" w:rsidRPr="00166DB1" w14:paraId="6A94A524" w14:textId="77777777" w:rsidTr="00904A68">
        <w:trPr>
          <w:trHeight w:val="20"/>
        </w:trPr>
        <w:tc>
          <w:tcPr>
            <w:cnfStyle w:val="001000000000" w:firstRow="0" w:lastRow="0" w:firstColumn="1" w:lastColumn="0" w:oddVBand="0" w:evenVBand="0" w:oddHBand="0" w:evenHBand="0" w:firstRowFirstColumn="0" w:firstRowLastColumn="0" w:lastRowFirstColumn="0" w:lastRowLastColumn="0"/>
            <w:tcW w:w="1310" w:type="pct"/>
            <w:shd w:val="clear" w:color="auto" w:fill="F2F2F2" w:themeFill="background1" w:themeFillShade="F2"/>
            <w:noWrap/>
            <w:hideMark/>
          </w:tcPr>
          <w:p w14:paraId="3E1AC791" w14:textId="77777777" w:rsidR="00166DB1" w:rsidRPr="00166DB1" w:rsidRDefault="00166DB1" w:rsidP="00CF2305">
            <w:pPr>
              <w:pStyle w:val="TableCopy"/>
            </w:pPr>
            <w:r w:rsidRPr="00166DB1">
              <w:t xml:space="preserve">Rural Pharmacy Student Placement Allowance </w:t>
            </w:r>
          </w:p>
        </w:tc>
        <w:tc>
          <w:tcPr>
            <w:tcW w:w="1131" w:type="pct"/>
            <w:shd w:val="clear" w:color="auto" w:fill="F2F2F2" w:themeFill="background1" w:themeFillShade="F2"/>
            <w:noWrap/>
            <w:hideMark/>
          </w:tcPr>
          <w:p w14:paraId="2466ECDB"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pPr>
            <w:r w:rsidRPr="00166DB1">
              <w:t>381</w:t>
            </w:r>
          </w:p>
        </w:tc>
        <w:tc>
          <w:tcPr>
            <w:tcW w:w="1089" w:type="pct"/>
            <w:shd w:val="clear" w:color="auto" w:fill="F2F2F2" w:themeFill="background1" w:themeFillShade="F2"/>
            <w:noWrap/>
            <w:hideMark/>
          </w:tcPr>
          <w:p w14:paraId="1B99459C"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pPr>
            <w:r w:rsidRPr="00166DB1">
              <w:t>20% return rate</w:t>
            </w:r>
          </w:p>
          <w:p w14:paraId="6210200D" w14:textId="7D53C84D"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pPr>
            <w:r w:rsidRPr="00166DB1">
              <w:t>(based on consultation findings)</w:t>
            </w:r>
          </w:p>
        </w:tc>
        <w:tc>
          <w:tcPr>
            <w:tcW w:w="1470" w:type="pct"/>
            <w:shd w:val="clear" w:color="auto" w:fill="F2F2F2" w:themeFill="background1" w:themeFillShade="F2"/>
            <w:noWrap/>
            <w:hideMark/>
          </w:tcPr>
          <w:p w14:paraId="1FAA7D46"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pPr>
            <w:r w:rsidRPr="00166DB1">
              <w:t>76</w:t>
            </w:r>
          </w:p>
        </w:tc>
      </w:tr>
      <w:tr w:rsidR="00166DB1" w:rsidRPr="00166DB1" w14:paraId="45132712" w14:textId="77777777" w:rsidTr="00904A68">
        <w:trPr>
          <w:trHeight w:val="20"/>
        </w:trPr>
        <w:tc>
          <w:tcPr>
            <w:cnfStyle w:val="001000000000" w:firstRow="0" w:lastRow="0" w:firstColumn="1" w:lastColumn="0" w:oddVBand="0" w:evenVBand="0" w:oddHBand="0" w:evenHBand="0" w:firstRowFirstColumn="0" w:firstRowLastColumn="0" w:lastRowFirstColumn="0" w:lastRowLastColumn="0"/>
            <w:tcW w:w="1310" w:type="pct"/>
            <w:shd w:val="clear" w:color="auto" w:fill="F2F2F2" w:themeFill="background1" w:themeFillShade="F2"/>
            <w:noWrap/>
            <w:hideMark/>
          </w:tcPr>
          <w:p w14:paraId="6390578D" w14:textId="77777777" w:rsidR="00166DB1" w:rsidRPr="00166DB1" w:rsidRDefault="00166DB1" w:rsidP="00CF2305">
            <w:pPr>
              <w:pStyle w:val="TableCopy"/>
            </w:pPr>
            <w:r w:rsidRPr="00166DB1">
              <w:t xml:space="preserve">Rural Intern Training Allowance </w:t>
            </w:r>
          </w:p>
        </w:tc>
        <w:tc>
          <w:tcPr>
            <w:tcW w:w="1131" w:type="pct"/>
            <w:shd w:val="clear" w:color="auto" w:fill="F2F2F2" w:themeFill="background1" w:themeFillShade="F2"/>
            <w:noWrap/>
            <w:hideMark/>
          </w:tcPr>
          <w:p w14:paraId="337BB7A1"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pPr>
            <w:r w:rsidRPr="00166DB1">
              <w:t>185</w:t>
            </w:r>
          </w:p>
        </w:tc>
        <w:tc>
          <w:tcPr>
            <w:tcW w:w="1089" w:type="pct"/>
            <w:shd w:val="clear" w:color="auto" w:fill="F2F2F2" w:themeFill="background1" w:themeFillShade="F2"/>
            <w:noWrap/>
            <w:hideMark/>
          </w:tcPr>
          <w:p w14:paraId="2C407B8C"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pPr>
            <w:r w:rsidRPr="00166DB1">
              <w:t>92% return rate</w:t>
            </w:r>
          </w:p>
          <w:p w14:paraId="40D07E74" w14:textId="115B7993"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pPr>
            <w:r w:rsidRPr="00166DB1">
              <w:t>(based on NHWDS)</w:t>
            </w:r>
          </w:p>
        </w:tc>
        <w:tc>
          <w:tcPr>
            <w:tcW w:w="1470" w:type="pct"/>
            <w:shd w:val="clear" w:color="auto" w:fill="F2F2F2" w:themeFill="background1" w:themeFillShade="F2"/>
            <w:noWrap/>
            <w:hideMark/>
          </w:tcPr>
          <w:p w14:paraId="199004C1"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pPr>
            <w:r w:rsidRPr="00166DB1">
              <w:t>170</w:t>
            </w:r>
          </w:p>
        </w:tc>
      </w:tr>
      <w:tr w:rsidR="00166DB1" w:rsidRPr="00166DB1" w14:paraId="01E5EF7A" w14:textId="77777777" w:rsidTr="00904A68">
        <w:trPr>
          <w:trHeight w:val="20"/>
        </w:trPr>
        <w:tc>
          <w:tcPr>
            <w:cnfStyle w:val="001000000000" w:firstRow="0" w:lastRow="0" w:firstColumn="1" w:lastColumn="0" w:oddVBand="0" w:evenVBand="0" w:oddHBand="0" w:evenHBand="0" w:firstRowFirstColumn="0" w:firstRowLastColumn="0" w:lastRowFirstColumn="0" w:lastRowLastColumn="0"/>
            <w:tcW w:w="1310" w:type="pct"/>
            <w:shd w:val="clear" w:color="auto" w:fill="F2F2F2" w:themeFill="background1" w:themeFillShade="F2"/>
            <w:noWrap/>
            <w:hideMark/>
          </w:tcPr>
          <w:p w14:paraId="0ACEB7E8" w14:textId="77777777" w:rsidR="00166DB1" w:rsidRPr="00166DB1" w:rsidRDefault="00166DB1" w:rsidP="00CF2305">
            <w:pPr>
              <w:pStyle w:val="TableCopy"/>
            </w:pPr>
            <w:r w:rsidRPr="00166DB1">
              <w:t xml:space="preserve">Total </w:t>
            </w:r>
          </w:p>
        </w:tc>
        <w:tc>
          <w:tcPr>
            <w:tcW w:w="1131" w:type="pct"/>
            <w:shd w:val="clear" w:color="auto" w:fill="F2F2F2" w:themeFill="background1" w:themeFillShade="F2"/>
            <w:noWrap/>
            <w:hideMark/>
          </w:tcPr>
          <w:p w14:paraId="3771F501"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pPr>
            <w:r w:rsidRPr="00166DB1">
              <w:t>607</w:t>
            </w:r>
          </w:p>
        </w:tc>
        <w:tc>
          <w:tcPr>
            <w:tcW w:w="1089" w:type="pct"/>
            <w:shd w:val="clear" w:color="auto" w:fill="F2F2F2" w:themeFill="background1" w:themeFillShade="F2"/>
            <w:noWrap/>
            <w:hideMark/>
          </w:tcPr>
          <w:p w14:paraId="29D10A45"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pPr>
          </w:p>
        </w:tc>
        <w:tc>
          <w:tcPr>
            <w:tcW w:w="1470" w:type="pct"/>
            <w:shd w:val="clear" w:color="auto" w:fill="F2F2F2" w:themeFill="background1" w:themeFillShade="F2"/>
            <w:noWrap/>
            <w:hideMark/>
          </w:tcPr>
          <w:p w14:paraId="5383C9EA"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pPr>
            <w:r w:rsidRPr="00166DB1">
              <w:t>267^</w:t>
            </w:r>
          </w:p>
        </w:tc>
      </w:tr>
    </w:tbl>
    <w:p w14:paraId="6D20CA26" w14:textId="77777777" w:rsidR="00166DB1" w:rsidRPr="00166DB1" w:rsidRDefault="00166DB1" w:rsidP="0029291C">
      <w:pPr>
        <w:pStyle w:val="TableNotes"/>
      </w:pPr>
      <w:r w:rsidRPr="00166DB1">
        <w:t>Source: Recruitment program data, NHWDS 2013–2015.</w:t>
      </w:r>
    </w:p>
    <w:p w14:paraId="1DF801CE" w14:textId="77777777" w:rsidR="00166DB1" w:rsidRPr="00166DB1" w:rsidRDefault="00166DB1" w:rsidP="0029291C">
      <w:pPr>
        <w:pStyle w:val="TableNotes"/>
      </w:pPr>
      <w:r w:rsidRPr="00166DB1">
        <w:t>* based on average scholarship intake per cohort year.</w:t>
      </w:r>
    </w:p>
    <w:p w14:paraId="4E69F8E7" w14:textId="77777777" w:rsidR="00166DB1" w:rsidRPr="00166DB1" w:rsidRDefault="00166DB1" w:rsidP="0029291C">
      <w:pPr>
        <w:pStyle w:val="TableNotes"/>
      </w:pPr>
      <w:r w:rsidRPr="00166DB1">
        <w:t xml:space="preserve">^The total estimated number of new graduate attributable to program impacts may overestimate the actual number as one new graduate may have benefitted from more than one program. </w:t>
      </w:r>
    </w:p>
    <w:p w14:paraId="527E912E"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recruitment impacts of the Package must be considered in conjunction with its retention program impacts. We estimated that, at best, these programs would involve around 500 (14%) of the 3,700 community pharmacist FTE operating outside major cities (see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_Ref488056623 \h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 xml:space="preserve">Table </w:t>
      </w:r>
      <w:r w:rsidRPr="00166DB1">
        <w:rPr>
          <w:rFonts w:ascii="Garamond" w:eastAsia="Garamond" w:hAnsi="Garamond"/>
          <w:noProof/>
          <w:color w:val="000000"/>
        </w:rPr>
        <w:t>5</w:t>
      </w:r>
      <w:r w:rsidRPr="00166DB1">
        <w:rPr>
          <w:rFonts w:ascii="Garamond" w:eastAsia="Garamond" w:hAnsi="Garamond"/>
          <w:color w:val="000000"/>
        </w:rPr>
        <w:t>.</w:t>
      </w:r>
      <w:r w:rsidRPr="00166DB1">
        <w:rPr>
          <w:rFonts w:ascii="Garamond" w:eastAsia="Garamond" w:hAnsi="Garamond"/>
          <w:noProof/>
          <w:color w:val="000000"/>
        </w:rPr>
        <w:t>2</w:t>
      </w:r>
      <w:r w:rsidRPr="00166DB1">
        <w:rPr>
          <w:rFonts w:ascii="Garamond" w:eastAsia="Garamond" w:hAnsi="Garamond"/>
          <w:color w:val="000000"/>
        </w:rPr>
        <w:fldChar w:fldCharType="end"/>
      </w:r>
      <w:r w:rsidRPr="00166DB1">
        <w:rPr>
          <w:rFonts w:ascii="Garamond" w:eastAsia="Garamond" w:hAnsi="Garamond"/>
          <w:color w:val="000000"/>
        </w:rPr>
        <w:t xml:space="preserve">). </w:t>
      </w:r>
    </w:p>
    <w:p w14:paraId="5C9474B1" w14:textId="7AA31F5E" w:rsidR="00166DB1" w:rsidRPr="00166DB1" w:rsidRDefault="00166DB1" w:rsidP="00483C21">
      <w:pPr>
        <w:pStyle w:val="Caption"/>
      </w:pPr>
      <w:bookmarkStart w:id="70" w:name="_Ref493580619"/>
      <w:bookmarkStart w:id="71" w:name="_Ref488056623"/>
      <w:r w:rsidRPr="00166DB1">
        <w:t xml:space="preserve">Table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5</w:t>
      </w:r>
      <w:r w:rsidRPr="00166DB1">
        <w:rPr>
          <w:noProof/>
        </w:rPr>
        <w:fldChar w:fldCharType="end"/>
      </w:r>
      <w:r w:rsidRPr="00166DB1">
        <w:t>.</w:t>
      </w:r>
      <w:r w:rsidRPr="00166DB1">
        <w:rPr>
          <w:noProof/>
        </w:rPr>
        <w:fldChar w:fldCharType="begin"/>
      </w:r>
      <w:r w:rsidRPr="00166DB1">
        <w:rPr>
          <w:noProof/>
        </w:rPr>
        <w:instrText xml:space="preserve"> SEQ Table \* ARABIC \s 1 </w:instrText>
      </w:r>
      <w:r w:rsidRPr="00166DB1">
        <w:rPr>
          <w:noProof/>
        </w:rPr>
        <w:fldChar w:fldCharType="separate"/>
      </w:r>
      <w:r w:rsidRPr="00166DB1">
        <w:rPr>
          <w:noProof/>
        </w:rPr>
        <w:t>2</w:t>
      </w:r>
      <w:r w:rsidRPr="00166DB1">
        <w:rPr>
          <w:noProof/>
        </w:rPr>
        <w:fldChar w:fldCharType="end"/>
      </w:r>
      <w:bookmarkEnd w:id="70"/>
      <w:bookmarkEnd w:id="71"/>
      <w:r w:rsidRPr="00166DB1">
        <w:t>: Average retention program volume as percentage of average number of non-metropolitan community pharmacists, 2014</w:t>
      </w:r>
      <w:r w:rsidR="0029291C">
        <w:t>–</w:t>
      </w:r>
      <w:r w:rsidRPr="00166DB1">
        <w:t xml:space="preserve">2015 </w:t>
      </w:r>
    </w:p>
    <w:tbl>
      <w:tblPr>
        <w:tblStyle w:val="HMATable"/>
        <w:tblW w:w="5000" w:type="pct"/>
        <w:shd w:val="clear" w:color="auto" w:fill="F2F2F2" w:themeFill="background1" w:themeFillShade="F2"/>
        <w:tblLook w:val="04A0" w:firstRow="1" w:lastRow="0" w:firstColumn="1" w:lastColumn="0" w:noHBand="0" w:noVBand="1"/>
        <w:tblCaption w:val="Table 5.2: Average retention program volume as percentage of average number of non-metropolitan community pharmacists, 2014-2015"/>
        <w:tblDescription w:val="Table 5.2: Average retention program volume as percentage of average number of non-metropolitan community pharmacists, 2014-2015"/>
      </w:tblPr>
      <w:tblGrid>
        <w:gridCol w:w="3001"/>
        <w:gridCol w:w="1629"/>
        <w:gridCol w:w="2404"/>
      </w:tblGrid>
      <w:tr w:rsidR="00166DB1" w:rsidRPr="00166DB1" w14:paraId="058C7AD5" w14:textId="77777777" w:rsidTr="0036771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927" w:type="pct"/>
            <w:shd w:val="clear" w:color="auto" w:fill="D9D9D9" w:themeFill="background1" w:themeFillShade="D9"/>
            <w:noWrap/>
            <w:vAlign w:val="center"/>
            <w:hideMark/>
          </w:tcPr>
          <w:p w14:paraId="464D821E" w14:textId="77777777" w:rsidR="00166DB1" w:rsidRPr="00166DB1" w:rsidRDefault="00166DB1" w:rsidP="00CF2305">
            <w:pPr>
              <w:pStyle w:val="TableColumnHeading"/>
            </w:pPr>
            <w:r w:rsidRPr="00166DB1">
              <w:t>Rural Workforce Package, workforce retention components</w:t>
            </w:r>
          </w:p>
        </w:tc>
        <w:tc>
          <w:tcPr>
            <w:tcW w:w="1540" w:type="pct"/>
            <w:shd w:val="clear" w:color="auto" w:fill="D9D9D9" w:themeFill="background1" w:themeFillShade="D9"/>
            <w:noWrap/>
            <w:vAlign w:val="center"/>
            <w:hideMark/>
          </w:tcPr>
          <w:p w14:paraId="26858E3E" w14:textId="77777777" w:rsidR="00166DB1" w:rsidRPr="00166DB1" w:rsidRDefault="00166DB1" w:rsidP="00CF2305">
            <w:pPr>
              <w:pStyle w:val="TableColumnHeading"/>
              <w:cnfStyle w:val="100000000000" w:firstRow="1" w:lastRow="0" w:firstColumn="0" w:lastColumn="0" w:oddVBand="0" w:evenVBand="0" w:oddHBand="0" w:evenHBand="0" w:firstRowFirstColumn="0" w:firstRowLastColumn="0" w:lastRowFirstColumn="0" w:lastRowLastColumn="0"/>
            </w:pPr>
            <w:r w:rsidRPr="00166DB1">
              <w:t xml:space="preserve">Avg annual volume, 2014–2015 </w:t>
            </w:r>
          </w:p>
        </w:tc>
        <w:tc>
          <w:tcPr>
            <w:tcW w:w="1533" w:type="pct"/>
            <w:shd w:val="clear" w:color="auto" w:fill="D9D9D9" w:themeFill="background1" w:themeFillShade="D9"/>
            <w:noWrap/>
            <w:vAlign w:val="center"/>
            <w:hideMark/>
          </w:tcPr>
          <w:p w14:paraId="6CAEB617" w14:textId="77777777" w:rsidR="00166DB1" w:rsidRPr="00166DB1" w:rsidRDefault="00166DB1" w:rsidP="00CF2305">
            <w:pPr>
              <w:pStyle w:val="TableColumnHeading"/>
              <w:cnfStyle w:val="100000000000" w:firstRow="1" w:lastRow="0" w:firstColumn="0" w:lastColumn="0" w:oddVBand="0" w:evenVBand="0" w:oddHBand="0" w:evenHBand="0" w:firstRowFirstColumn="0" w:firstRowLastColumn="0" w:lastRowFirstColumn="0" w:lastRowLastColumn="0"/>
            </w:pPr>
            <w:r w:rsidRPr="00166DB1">
              <w:t xml:space="preserve">% of non-metropolitan community pharmacists </w:t>
            </w:r>
          </w:p>
        </w:tc>
      </w:tr>
      <w:tr w:rsidR="00166DB1" w:rsidRPr="00166DB1" w14:paraId="78B833A3" w14:textId="77777777" w:rsidTr="00CF2305">
        <w:trPr>
          <w:trHeight w:val="290"/>
        </w:trPr>
        <w:tc>
          <w:tcPr>
            <w:cnfStyle w:val="001000000000" w:firstRow="0" w:lastRow="0" w:firstColumn="1" w:lastColumn="0" w:oddVBand="0" w:evenVBand="0" w:oddHBand="0" w:evenHBand="0" w:firstRowFirstColumn="0" w:firstRowLastColumn="0" w:lastRowFirstColumn="0" w:lastRowLastColumn="0"/>
            <w:tcW w:w="1734" w:type="pct"/>
            <w:shd w:val="clear" w:color="auto" w:fill="F2F2F2" w:themeFill="background1" w:themeFillShade="F2"/>
            <w:noWrap/>
            <w:hideMark/>
          </w:tcPr>
          <w:p w14:paraId="7950F533" w14:textId="77777777" w:rsidR="00166DB1" w:rsidRPr="00166DB1" w:rsidRDefault="00166DB1" w:rsidP="00CF2305">
            <w:pPr>
              <w:pStyle w:val="TableCopy"/>
              <w:rPr>
                <w:lang w:eastAsia="en-AU"/>
              </w:rPr>
            </w:pPr>
            <w:r w:rsidRPr="00166DB1">
              <w:rPr>
                <w:lang w:eastAsia="en-AU"/>
              </w:rPr>
              <w:t xml:space="preserve">Continuing Professional Education Allowance </w:t>
            </w:r>
          </w:p>
        </w:tc>
        <w:tc>
          <w:tcPr>
            <w:tcW w:w="1356" w:type="pct"/>
            <w:shd w:val="clear" w:color="auto" w:fill="F2F2F2" w:themeFill="background1" w:themeFillShade="F2"/>
            <w:noWrap/>
            <w:hideMark/>
          </w:tcPr>
          <w:p w14:paraId="31DB8BBB"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385</w:t>
            </w:r>
          </w:p>
        </w:tc>
        <w:tc>
          <w:tcPr>
            <w:tcW w:w="1909" w:type="pct"/>
            <w:shd w:val="clear" w:color="auto" w:fill="F2F2F2" w:themeFill="background1" w:themeFillShade="F2"/>
            <w:noWrap/>
            <w:hideMark/>
          </w:tcPr>
          <w:p w14:paraId="4E8C557B"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10%</w:t>
            </w:r>
          </w:p>
        </w:tc>
      </w:tr>
      <w:tr w:rsidR="00166DB1" w:rsidRPr="00166DB1" w14:paraId="383B1BCD" w14:textId="77777777" w:rsidTr="00CF2305">
        <w:trPr>
          <w:trHeight w:val="290"/>
        </w:trPr>
        <w:tc>
          <w:tcPr>
            <w:cnfStyle w:val="001000000000" w:firstRow="0" w:lastRow="0" w:firstColumn="1" w:lastColumn="0" w:oddVBand="0" w:evenVBand="0" w:oddHBand="0" w:evenHBand="0" w:firstRowFirstColumn="0" w:firstRowLastColumn="0" w:lastRowFirstColumn="0" w:lastRowLastColumn="0"/>
            <w:tcW w:w="1927" w:type="pct"/>
            <w:shd w:val="clear" w:color="auto" w:fill="F2F2F2" w:themeFill="background1" w:themeFillShade="F2"/>
            <w:noWrap/>
            <w:hideMark/>
          </w:tcPr>
          <w:p w14:paraId="4DA1D9E4" w14:textId="77777777" w:rsidR="00166DB1" w:rsidRPr="00166DB1" w:rsidRDefault="00166DB1" w:rsidP="00CF2305">
            <w:pPr>
              <w:pStyle w:val="TableCopy"/>
              <w:rPr>
                <w:lang w:eastAsia="en-AU"/>
              </w:rPr>
            </w:pPr>
            <w:r w:rsidRPr="00166DB1">
              <w:rPr>
                <w:lang w:eastAsia="en-AU"/>
              </w:rPr>
              <w:t xml:space="preserve">Intern Incentive Allowance for Rural Pharmacies </w:t>
            </w:r>
          </w:p>
        </w:tc>
        <w:tc>
          <w:tcPr>
            <w:tcW w:w="1540" w:type="pct"/>
            <w:shd w:val="clear" w:color="auto" w:fill="F2F2F2" w:themeFill="background1" w:themeFillShade="F2"/>
            <w:noWrap/>
            <w:hideMark/>
          </w:tcPr>
          <w:p w14:paraId="5530EC66"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74</w:t>
            </w:r>
          </w:p>
        </w:tc>
        <w:tc>
          <w:tcPr>
            <w:tcW w:w="1533" w:type="pct"/>
            <w:shd w:val="clear" w:color="auto" w:fill="F2F2F2" w:themeFill="background1" w:themeFillShade="F2"/>
            <w:noWrap/>
            <w:hideMark/>
          </w:tcPr>
          <w:p w14:paraId="50E9E676"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2%</w:t>
            </w:r>
          </w:p>
        </w:tc>
      </w:tr>
      <w:tr w:rsidR="00166DB1" w:rsidRPr="00166DB1" w14:paraId="3A8DE08F" w14:textId="77777777" w:rsidTr="00CF2305">
        <w:trPr>
          <w:trHeight w:val="290"/>
        </w:trPr>
        <w:tc>
          <w:tcPr>
            <w:cnfStyle w:val="001000000000" w:firstRow="0" w:lastRow="0" w:firstColumn="1" w:lastColumn="0" w:oddVBand="0" w:evenVBand="0" w:oddHBand="0" w:evenHBand="0" w:firstRowFirstColumn="0" w:firstRowLastColumn="0" w:lastRowFirstColumn="0" w:lastRowLastColumn="0"/>
            <w:tcW w:w="1927" w:type="pct"/>
            <w:shd w:val="clear" w:color="auto" w:fill="F2F2F2" w:themeFill="background1" w:themeFillShade="F2"/>
            <w:noWrap/>
            <w:hideMark/>
          </w:tcPr>
          <w:p w14:paraId="4EA666A2" w14:textId="77777777" w:rsidR="00166DB1" w:rsidRPr="00166DB1" w:rsidRDefault="00166DB1" w:rsidP="00CF2305">
            <w:pPr>
              <w:pStyle w:val="TableCopy"/>
              <w:rPr>
                <w:lang w:eastAsia="en-AU"/>
              </w:rPr>
            </w:pPr>
            <w:r w:rsidRPr="00166DB1">
              <w:rPr>
                <w:lang w:eastAsia="en-AU"/>
              </w:rPr>
              <w:t>Emergency Locum Service</w:t>
            </w:r>
          </w:p>
        </w:tc>
        <w:tc>
          <w:tcPr>
            <w:tcW w:w="1540" w:type="pct"/>
            <w:shd w:val="clear" w:color="auto" w:fill="F2F2F2" w:themeFill="background1" w:themeFillShade="F2"/>
            <w:noWrap/>
            <w:hideMark/>
          </w:tcPr>
          <w:p w14:paraId="60BC228D"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56</w:t>
            </w:r>
          </w:p>
        </w:tc>
        <w:tc>
          <w:tcPr>
            <w:tcW w:w="1533" w:type="pct"/>
            <w:shd w:val="clear" w:color="auto" w:fill="F2F2F2" w:themeFill="background1" w:themeFillShade="F2"/>
            <w:noWrap/>
            <w:hideMark/>
          </w:tcPr>
          <w:p w14:paraId="2C8662ED"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1%</w:t>
            </w:r>
          </w:p>
        </w:tc>
      </w:tr>
      <w:tr w:rsidR="00166DB1" w:rsidRPr="00166DB1" w14:paraId="6EF9AE60" w14:textId="77777777" w:rsidTr="00CF2305">
        <w:trPr>
          <w:trHeight w:val="290"/>
        </w:trPr>
        <w:tc>
          <w:tcPr>
            <w:cnfStyle w:val="001000000000" w:firstRow="0" w:lastRow="0" w:firstColumn="1" w:lastColumn="0" w:oddVBand="0" w:evenVBand="0" w:oddHBand="0" w:evenHBand="0" w:firstRowFirstColumn="0" w:firstRowLastColumn="0" w:lastRowFirstColumn="0" w:lastRowLastColumn="0"/>
            <w:tcW w:w="1927" w:type="pct"/>
            <w:tcBorders>
              <w:bottom w:val="double" w:sz="4" w:space="0" w:color="4B4B4B"/>
            </w:tcBorders>
            <w:shd w:val="clear" w:color="auto" w:fill="F2F2F2" w:themeFill="background1" w:themeFillShade="F2"/>
            <w:noWrap/>
            <w:hideMark/>
          </w:tcPr>
          <w:p w14:paraId="6FECAC35" w14:textId="77777777" w:rsidR="00166DB1" w:rsidRPr="00166DB1" w:rsidRDefault="00166DB1" w:rsidP="00CF2305">
            <w:pPr>
              <w:pStyle w:val="TableCopy"/>
              <w:rPr>
                <w:lang w:eastAsia="en-AU"/>
              </w:rPr>
            </w:pPr>
            <w:r w:rsidRPr="00166DB1">
              <w:rPr>
                <w:lang w:eastAsia="en-AU"/>
              </w:rPr>
              <w:t>Intern Incentive Allowance –Extension Program</w:t>
            </w:r>
          </w:p>
        </w:tc>
        <w:tc>
          <w:tcPr>
            <w:tcW w:w="1540" w:type="pct"/>
            <w:tcBorders>
              <w:bottom w:val="double" w:sz="4" w:space="0" w:color="4B4B4B"/>
            </w:tcBorders>
            <w:shd w:val="clear" w:color="auto" w:fill="F2F2F2" w:themeFill="background1" w:themeFillShade="F2"/>
            <w:noWrap/>
            <w:hideMark/>
          </w:tcPr>
          <w:p w14:paraId="65975A6C"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9</w:t>
            </w:r>
          </w:p>
        </w:tc>
        <w:tc>
          <w:tcPr>
            <w:tcW w:w="1533" w:type="pct"/>
            <w:tcBorders>
              <w:bottom w:val="double" w:sz="4" w:space="0" w:color="4B4B4B"/>
            </w:tcBorders>
            <w:shd w:val="clear" w:color="auto" w:fill="F2F2F2" w:themeFill="background1" w:themeFillShade="F2"/>
            <w:noWrap/>
            <w:hideMark/>
          </w:tcPr>
          <w:p w14:paraId="7A74D419"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0%</w:t>
            </w:r>
          </w:p>
        </w:tc>
      </w:tr>
      <w:tr w:rsidR="00166DB1" w:rsidRPr="00166DB1" w14:paraId="526DAE1B" w14:textId="77777777" w:rsidTr="00CF2305">
        <w:trPr>
          <w:trHeight w:val="290"/>
        </w:trPr>
        <w:tc>
          <w:tcPr>
            <w:cnfStyle w:val="001000000000" w:firstRow="0" w:lastRow="0" w:firstColumn="1" w:lastColumn="0" w:oddVBand="0" w:evenVBand="0" w:oddHBand="0" w:evenHBand="0" w:firstRowFirstColumn="0" w:firstRowLastColumn="0" w:lastRowFirstColumn="0" w:lastRowLastColumn="0"/>
            <w:tcW w:w="1927" w:type="pct"/>
            <w:tcBorders>
              <w:bottom w:val="double" w:sz="4" w:space="0" w:color="4B4B4B"/>
            </w:tcBorders>
            <w:shd w:val="clear" w:color="auto" w:fill="F2F2F2" w:themeFill="background1" w:themeFillShade="F2"/>
            <w:noWrap/>
          </w:tcPr>
          <w:p w14:paraId="7BA39D45" w14:textId="77777777" w:rsidR="00166DB1" w:rsidRPr="00166DB1" w:rsidRDefault="00166DB1" w:rsidP="00CF2305">
            <w:pPr>
              <w:pStyle w:val="TableCopy"/>
              <w:rPr>
                <w:lang w:eastAsia="en-AU"/>
              </w:rPr>
            </w:pPr>
            <w:r w:rsidRPr="00166DB1">
              <w:rPr>
                <w:lang w:eastAsia="en-AU"/>
              </w:rPr>
              <w:t>Workforce retention programs – estimated total</w:t>
            </w:r>
          </w:p>
        </w:tc>
        <w:tc>
          <w:tcPr>
            <w:tcW w:w="1540" w:type="pct"/>
            <w:tcBorders>
              <w:bottom w:val="double" w:sz="4" w:space="0" w:color="4B4B4B"/>
            </w:tcBorders>
            <w:shd w:val="clear" w:color="auto" w:fill="F2F2F2" w:themeFill="background1" w:themeFillShade="F2"/>
            <w:noWrap/>
          </w:tcPr>
          <w:p w14:paraId="4ED55EC5"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524*</w:t>
            </w:r>
          </w:p>
        </w:tc>
        <w:tc>
          <w:tcPr>
            <w:tcW w:w="1533" w:type="pct"/>
            <w:tcBorders>
              <w:bottom w:val="double" w:sz="4" w:space="0" w:color="4B4B4B"/>
            </w:tcBorders>
            <w:shd w:val="clear" w:color="auto" w:fill="F2F2F2" w:themeFill="background1" w:themeFillShade="F2"/>
            <w:noWrap/>
          </w:tcPr>
          <w:p w14:paraId="6AA18B66"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14%</w:t>
            </w:r>
          </w:p>
        </w:tc>
      </w:tr>
      <w:tr w:rsidR="00166DB1" w:rsidRPr="00166DB1" w14:paraId="6781BEE0" w14:textId="77777777" w:rsidTr="00CF2305">
        <w:trPr>
          <w:trHeight w:val="290"/>
        </w:trPr>
        <w:tc>
          <w:tcPr>
            <w:cnfStyle w:val="001000000000" w:firstRow="0" w:lastRow="0" w:firstColumn="1" w:lastColumn="0" w:oddVBand="0" w:evenVBand="0" w:oddHBand="0" w:evenHBand="0" w:firstRowFirstColumn="0" w:firstRowLastColumn="0" w:lastRowFirstColumn="0" w:lastRowLastColumn="0"/>
            <w:tcW w:w="1927" w:type="pct"/>
            <w:tcBorders>
              <w:top w:val="double" w:sz="4" w:space="0" w:color="4B4B4B"/>
            </w:tcBorders>
            <w:shd w:val="clear" w:color="auto" w:fill="F2F2F2" w:themeFill="background1" w:themeFillShade="F2"/>
            <w:noWrap/>
          </w:tcPr>
          <w:p w14:paraId="54BD2AC8" w14:textId="77777777" w:rsidR="00166DB1" w:rsidRPr="00166DB1" w:rsidRDefault="00166DB1" w:rsidP="00CF2305">
            <w:pPr>
              <w:pStyle w:val="TableCopy"/>
              <w:rPr>
                <w:lang w:eastAsia="en-AU"/>
              </w:rPr>
            </w:pPr>
            <w:r w:rsidRPr="00166DB1">
              <w:rPr>
                <w:lang w:eastAsia="en-AU"/>
              </w:rPr>
              <w:t xml:space="preserve">Pharmacist FTE outside major cities </w:t>
            </w:r>
          </w:p>
        </w:tc>
        <w:tc>
          <w:tcPr>
            <w:tcW w:w="1540" w:type="pct"/>
            <w:tcBorders>
              <w:top w:val="double" w:sz="4" w:space="0" w:color="4B4B4B"/>
            </w:tcBorders>
            <w:shd w:val="clear" w:color="auto" w:fill="F2F2F2" w:themeFill="background1" w:themeFillShade="F2"/>
            <w:noWrap/>
          </w:tcPr>
          <w:p w14:paraId="781F26D9"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3,772^</w:t>
            </w:r>
          </w:p>
        </w:tc>
        <w:tc>
          <w:tcPr>
            <w:tcW w:w="1533" w:type="pct"/>
            <w:tcBorders>
              <w:top w:val="double" w:sz="4" w:space="0" w:color="4B4B4B"/>
            </w:tcBorders>
            <w:shd w:val="clear" w:color="auto" w:fill="F2F2F2" w:themeFill="background1" w:themeFillShade="F2"/>
            <w:noWrap/>
          </w:tcPr>
          <w:p w14:paraId="5E225E1F" w14:textId="77777777" w:rsidR="00166DB1" w:rsidRPr="00166DB1" w:rsidRDefault="00166DB1" w:rsidP="00CF2305">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100%</w:t>
            </w:r>
          </w:p>
        </w:tc>
      </w:tr>
    </w:tbl>
    <w:p w14:paraId="77847BA0" w14:textId="77777777" w:rsidR="00166DB1" w:rsidRPr="00166DB1" w:rsidRDefault="00166DB1" w:rsidP="0029291C">
      <w:pPr>
        <w:pStyle w:val="TableNotes"/>
      </w:pPr>
      <w:r w:rsidRPr="00166DB1">
        <w:t>^ NHWDS 2013–2015</w:t>
      </w:r>
    </w:p>
    <w:p w14:paraId="3087AAAD" w14:textId="77777777" w:rsidR="00166DB1" w:rsidRPr="00166DB1" w:rsidRDefault="00166DB1" w:rsidP="0029291C">
      <w:pPr>
        <w:pStyle w:val="TableNotes"/>
      </w:pPr>
      <w:r w:rsidRPr="00166DB1">
        <w:t xml:space="preserve">*The estimated total volume of workforce retention program recipients may overestimate actual volume as one pharmacist may have benefitted from more than one program. </w:t>
      </w:r>
    </w:p>
    <w:p w14:paraId="5FAB8AEF"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lastRenderedPageBreak/>
        <w:t>Based on the market reach analysis we estimated that the recruitment and retention programs would involve around 750-800 pharmacists or new pharmacy recruits per annum</w:t>
      </w:r>
      <w:r w:rsidRPr="00166DB1">
        <w:rPr>
          <w:rFonts w:ascii="Garamond" w:eastAsia="Garamond" w:hAnsi="Garamond"/>
          <w:color w:val="000000"/>
          <w:vertAlign w:val="superscript"/>
        </w:rPr>
        <w:footnoteReference w:id="4"/>
      </w:r>
      <w:r w:rsidRPr="00166DB1">
        <w:rPr>
          <w:rFonts w:ascii="Garamond" w:eastAsia="Garamond" w:hAnsi="Garamond"/>
          <w:color w:val="000000"/>
        </w:rPr>
        <w:t>, or around 21% of the community pharmacist market outside major cities.</w:t>
      </w:r>
    </w:p>
    <w:p w14:paraId="52FDD5BB" w14:textId="77777777" w:rsidR="00166DB1" w:rsidRPr="00166DB1" w:rsidRDefault="00166DB1" w:rsidP="00063226">
      <w:pPr>
        <w:pStyle w:val="KeyFinding"/>
        <w:shd w:val="clear" w:color="auto" w:fill="F2F2F2" w:themeFill="background1" w:themeFillShade="F2"/>
      </w:pPr>
      <w:bookmarkStart w:id="72" w:name="_Ref490676918"/>
      <w:r w:rsidRPr="00166DB1">
        <w:t>The workforce recruitment and retention components of the Rural Workforce Package involve approximately 21% of the community pharmacist market annually, or around 800 pharmacists.</w:t>
      </w:r>
      <w:bookmarkEnd w:id="72"/>
    </w:p>
    <w:p w14:paraId="6EFD37C7"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reach of the Rural Workforce Package recruitment and retention program components is relatively low compared to the current workforce in rural and remote areas (approximately 4,800 total pharmacist FTE, or 3,700 community pharmacists FTE). Based on this disparity, we concluded that the Rural Workforce Package had no major impact at a macro level on reducing the inequitable pharmacist workforce distribution described in the assessment of appropriateness (see Chapter 4). The limited workforce trend data described in Chapter 4 supports this conclusion: the pharmacist FTE per 100,000 people between 2013 and 2015 were largely static (in the case of inner regional and outer regional areas) or went backwards (in the case of remote areas).</w:t>
      </w:r>
    </w:p>
    <w:p w14:paraId="0351CD20" w14:textId="77777777" w:rsidR="00166DB1" w:rsidRPr="00166DB1" w:rsidRDefault="00166DB1" w:rsidP="00063226">
      <w:pPr>
        <w:pStyle w:val="KeyFinding"/>
        <w:shd w:val="clear" w:color="auto" w:fill="F2F2F2" w:themeFill="background1" w:themeFillShade="F2"/>
      </w:pPr>
      <w:bookmarkStart w:id="73" w:name="_Ref490676923"/>
      <w:r w:rsidRPr="00166DB1">
        <w:t>The evaluation concluded that the Rural Workforce Package components under the 5CPA were largely ineffective in strengthening the rural workforce at a macro level, evidenced by the static (inner and outer regional areas) and negative (remote areas) community pharmacist FTE rates per 100,000 people between 2013 and 2015.</w:t>
      </w:r>
      <w:bookmarkEnd w:id="73"/>
    </w:p>
    <w:p w14:paraId="7436F39A"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Although the evidence suggests there are problems over effectiveness at a macro level, the evaluation found evidence of effectiveness at a micro level – the impacts of the programs on individual students and pharmacists. Micro level effectiveness is discussed below.</w:t>
      </w:r>
    </w:p>
    <w:p w14:paraId="7B2C56E0" w14:textId="77777777" w:rsidR="00166DB1" w:rsidRPr="00166DB1" w:rsidRDefault="00166DB1" w:rsidP="00B24642">
      <w:pPr>
        <w:pStyle w:val="Heading2"/>
      </w:pPr>
      <w:bookmarkStart w:id="74" w:name="_Toc523322065"/>
      <w:r w:rsidRPr="00166DB1">
        <w:t>rural workforce package: impacts on recipients</w:t>
      </w:r>
      <w:bookmarkEnd w:id="74"/>
    </w:p>
    <w:p w14:paraId="6F0DD0EC"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findings about the effectiveness impact of the Rural Workforce Package component on recipients are based on survey responses of Pharmacy Workforce Program grant recipients, and observations from peak bodies and program user consultations. Further details are available in Volume 2, </w:t>
      </w:r>
      <w:r w:rsidRPr="00166DB1">
        <w:rPr>
          <w:rFonts w:ascii="Garamond" w:eastAsia="Garamond" w:hAnsi="Garamond"/>
          <w:i/>
          <w:color w:val="000000"/>
        </w:rPr>
        <w:t>Detailed Analysis of Workforce Programs</w:t>
      </w:r>
      <w:r w:rsidRPr="00166DB1">
        <w:rPr>
          <w:rFonts w:ascii="Garamond" w:eastAsia="Garamond" w:hAnsi="Garamond"/>
          <w:color w:val="000000"/>
        </w:rPr>
        <w:t xml:space="preserve">.  </w:t>
      </w:r>
    </w:p>
    <w:p w14:paraId="0014F030"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Rural Workforce impacts on recipients are examined in three categories: recruitment, retention and other workforce support.</w:t>
      </w:r>
    </w:p>
    <w:p w14:paraId="3E4F1E0E" w14:textId="77777777" w:rsidR="00166DB1" w:rsidRPr="00166DB1" w:rsidRDefault="00166DB1" w:rsidP="00B24642">
      <w:pPr>
        <w:pStyle w:val="Heading3"/>
      </w:pPr>
      <w:bookmarkStart w:id="75" w:name="_Toc523322066"/>
      <w:r w:rsidRPr="00166DB1">
        <w:t>Workforce recruitment programs</w:t>
      </w:r>
      <w:bookmarkEnd w:id="75"/>
    </w:p>
    <w:p w14:paraId="7C40D6E6"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Workforce recruitment programs aim to support the recruitment of new pharmacists into the rural workforce through programs targeting students and interns who will potentially practise in rural and remote areas. This section discusses the extent to which the programs in this category achieved this broad aim and their program-specific </w:t>
      </w:r>
      <w:r w:rsidRPr="00166DB1">
        <w:rPr>
          <w:rFonts w:ascii="Garamond" w:eastAsia="Garamond" w:hAnsi="Garamond"/>
          <w:i/>
          <w:color w:val="000000"/>
        </w:rPr>
        <w:t>derived aims</w:t>
      </w:r>
      <w:r w:rsidRPr="00166DB1">
        <w:rPr>
          <w:rFonts w:ascii="Garamond" w:eastAsia="Garamond" w:hAnsi="Garamond"/>
          <w:color w:val="000000"/>
        </w:rPr>
        <w:t xml:space="preserve">. This section concludes with an overall assessment of effectiveness at the category level. </w:t>
      </w:r>
    </w:p>
    <w:p w14:paraId="5E813EE6" w14:textId="77777777" w:rsidR="00166DB1" w:rsidRPr="0029291C" w:rsidRDefault="00166DB1" w:rsidP="008A6360">
      <w:pPr>
        <w:pStyle w:val="Heading4"/>
      </w:pPr>
      <w:r w:rsidRPr="0029291C">
        <w:t>Rural Pharmacy Scholarship Scheme</w:t>
      </w:r>
    </w:p>
    <w:p w14:paraId="1F56D573" w14:textId="77777777" w:rsidR="00166DB1" w:rsidRPr="00166DB1" w:rsidRDefault="00166DB1" w:rsidP="00166DB1">
      <w:pPr>
        <w:keepNext/>
        <w:keepLines/>
        <w:spacing w:before="85" w:after="85"/>
        <w:rPr>
          <w:rFonts w:ascii="Garamond" w:eastAsia="Garamond" w:hAnsi="Garamond"/>
          <w:color w:val="000000"/>
        </w:rPr>
      </w:pPr>
      <w:r w:rsidRPr="00166DB1">
        <w:rPr>
          <w:rFonts w:ascii="Garamond" w:eastAsia="Garamond" w:hAnsi="Garamond"/>
          <w:color w:val="000000"/>
        </w:rPr>
        <w:t xml:space="preserve">The Scholarship Scheme as it is currently administered achieves its aim to enable students from PhARIA 2–6 areas to attend university. Evaluation surveys found the financial support provided under the Scheme is a deciding factor for many of the respondent students who said they could not otherwise afford to attend university. </w:t>
      </w:r>
    </w:p>
    <w:p w14:paraId="614752B9"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However, the PhARIA geographic criteria excludes students from regional areas classified as PhARIA 1. </w:t>
      </w:r>
    </w:p>
    <w:p w14:paraId="083D7B05"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Despite scholarship recipients having previous intentions to practise in a rural area prior to studying pharmacy, the evaluation survey shows only around half of </w:t>
      </w:r>
      <w:r w:rsidRPr="00166DB1">
        <w:rPr>
          <w:rFonts w:ascii="Garamond" w:eastAsia="Garamond" w:hAnsi="Garamond"/>
          <w:color w:val="000000"/>
        </w:rPr>
        <w:lastRenderedPageBreak/>
        <w:t xml:space="preserve">scholarship recipients go on to practise in rural and remote areas after becoming qualified. </w:t>
      </w:r>
    </w:p>
    <w:p w14:paraId="39A5334D" w14:textId="77777777" w:rsidR="00166DB1" w:rsidRPr="00166DB1" w:rsidRDefault="00166DB1" w:rsidP="008A6360">
      <w:pPr>
        <w:pStyle w:val="Heading4"/>
      </w:pPr>
      <w:r w:rsidRPr="00166DB1">
        <w:t>Rural Pharmacy Scholarship Mentor Scheme</w:t>
      </w:r>
    </w:p>
    <w:p w14:paraId="11ADEB90"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Mentor Scheme achieves its aim to encourage scholarship recipients to undertake studies in pharmacy and was highly valued by participating scholarship recipients. However, it is unclear whether mentoring has an impact on scholars’ intention to return to a rural area once qualified. Most mentors collect the honorarium payment and believe it is adequate compensation for their effort. </w:t>
      </w:r>
    </w:p>
    <w:p w14:paraId="5832BDF1" w14:textId="77777777" w:rsidR="00166DB1" w:rsidRPr="00166DB1" w:rsidRDefault="00166DB1" w:rsidP="008A6360">
      <w:pPr>
        <w:pStyle w:val="Heading4"/>
      </w:pPr>
      <w:r w:rsidRPr="00166DB1">
        <w:t>Rural Intern Training Allowance</w:t>
      </w:r>
    </w:p>
    <w:p w14:paraId="2DAD9D18"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Both the surveys and consultations affirmed the Rural Intern Training Allowance achieves its aim to reduce the additional costs incurred to undertake compulsory workshops and examinations.</w:t>
      </w:r>
    </w:p>
    <w:p w14:paraId="787073B0" w14:textId="77777777" w:rsidR="00166DB1" w:rsidRPr="00166DB1" w:rsidRDefault="00166DB1" w:rsidP="008A6360">
      <w:pPr>
        <w:pStyle w:val="Heading4"/>
      </w:pPr>
      <w:r w:rsidRPr="00166DB1">
        <w:t>Rural Pharmacy Student Placement Allowance</w:t>
      </w:r>
    </w:p>
    <w:p w14:paraId="0D131C34"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program achieved its aim of covering travel and accommodation costs associated with rural placements. Students who received the allowance, as well as university placement officers, stated students generally would not complete a rural placement without access to the allowance.</w:t>
      </w:r>
    </w:p>
    <w:p w14:paraId="312DB4B5"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number of students who received a placement allowance decreased over the 5CPA, despite increases in the number of students enrolled in pharmacy courses. The proportion of students who receive an allowance has remained low across the 5CPA when compared to the total number of enrolled students. </w:t>
      </w:r>
    </w:p>
    <w:p w14:paraId="417A57F9" w14:textId="77777777" w:rsidR="00166DB1" w:rsidRPr="00166DB1" w:rsidRDefault="00166DB1" w:rsidP="002E1F1A">
      <w:pPr>
        <w:pStyle w:val="KeyFinding"/>
        <w:keepLines/>
        <w:shd w:val="clear" w:color="auto" w:fill="F2F2F2" w:themeFill="background1" w:themeFillShade="F2"/>
      </w:pPr>
      <w:bookmarkStart w:id="76" w:name="_Ref490676929"/>
      <w:r w:rsidRPr="00166DB1">
        <w:t>Workforce recruitment programs generally achieved their derived aims of supporting students and interns to undertake education, placements and training that increased their exposure to rural pharmacy practice. Some programs (i.e. the Scholarship Scheme) were found to have a tangible impact on the number of prospective new rural pharmacists. Some programs may increase intention to practise in a rural area but there is no clear evidence that the program actually increases recruitment.</w:t>
      </w:r>
      <w:bookmarkEnd w:id="76"/>
      <w:r w:rsidRPr="00166DB1">
        <w:t xml:space="preserve"> </w:t>
      </w:r>
    </w:p>
    <w:p w14:paraId="0D8DCB98" w14:textId="77777777" w:rsidR="00166DB1" w:rsidRPr="00166DB1" w:rsidRDefault="00166DB1" w:rsidP="00B24642">
      <w:pPr>
        <w:pStyle w:val="Heading3"/>
      </w:pPr>
      <w:bookmarkStart w:id="77" w:name="_Toc523322067"/>
      <w:r w:rsidRPr="00166DB1">
        <w:t>Workforce retention programs</w:t>
      </w:r>
      <w:bookmarkEnd w:id="77"/>
    </w:p>
    <w:p w14:paraId="13C83B6C"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Programs in this category aim to support retention of existing rural pharmacists in PhARIA 2–6 areas by addressing disadvantages faced by pharmacists relative to pharmacists working in PhARIA 1. This section discusses the extent to which these programs achieved this broad aim and program-specific </w:t>
      </w:r>
      <w:r w:rsidRPr="00166DB1">
        <w:rPr>
          <w:rFonts w:ascii="Garamond" w:eastAsia="Garamond" w:hAnsi="Garamond"/>
          <w:i/>
          <w:color w:val="000000"/>
        </w:rPr>
        <w:t>derived aims</w:t>
      </w:r>
      <w:r w:rsidRPr="00166DB1">
        <w:rPr>
          <w:rFonts w:ascii="Garamond" w:eastAsia="Garamond" w:hAnsi="Garamond"/>
          <w:color w:val="000000"/>
        </w:rPr>
        <w:t xml:space="preserve">. </w:t>
      </w:r>
    </w:p>
    <w:p w14:paraId="039C505E" w14:textId="77777777" w:rsidR="00166DB1" w:rsidRPr="00166DB1" w:rsidRDefault="00166DB1" w:rsidP="008A6360">
      <w:pPr>
        <w:pStyle w:val="Heading4"/>
      </w:pPr>
      <w:r w:rsidRPr="00166DB1">
        <w:t>Continuing Professional Education Allowance</w:t>
      </w:r>
    </w:p>
    <w:p w14:paraId="1EC3C71F"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Based on the usage data of the CPE Allowance from 2012 to 2015, we concluded that the program meets its aim of reducing additional costs incurred by pharmacists practising in rural and remote communities to undertake CPE activities. However, the distribution of the allowance funds may not be equitable across the jurisdictions or reflect need based on remoteness (using the PhARIA scale). </w:t>
      </w:r>
    </w:p>
    <w:p w14:paraId="57BAA0BD"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Conversely, the CPE Allowance has not led to an increase in delivery of face-to-face CPE activities in rural and remote areas, evidenced by the educator use of CPE Allowance funds.</w:t>
      </w:r>
    </w:p>
    <w:p w14:paraId="2DB56082" w14:textId="77777777" w:rsidR="00166DB1" w:rsidRPr="00166DB1" w:rsidRDefault="00166DB1" w:rsidP="008A6360">
      <w:pPr>
        <w:pStyle w:val="Heading4"/>
      </w:pPr>
      <w:r w:rsidRPr="00166DB1">
        <w:t>Emergency Locum Service</w:t>
      </w:r>
    </w:p>
    <w:p w14:paraId="224419A5"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Emergency Locum Service is a highly-valued program among non-metropolitan pharmacists, as reflected by the increase in demand over the last five years. The Service was considered vital by recipient pharmacists in reducing temporary closures of pharmacies. </w:t>
      </w:r>
    </w:p>
    <w:p w14:paraId="29988E2F"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lastRenderedPageBreak/>
        <w:t>Demand is highest in PhARIA 3 and above locations, with PhARIA 6 pharmacists requiring the greatest length of locum days. This indicates that the Service is achieving its aim of supporting rural and remote communities to retain access to community pharmacy services.</w:t>
      </w:r>
    </w:p>
    <w:p w14:paraId="5C93603D" w14:textId="77777777" w:rsidR="00166DB1" w:rsidRPr="00166DB1" w:rsidRDefault="00166DB1" w:rsidP="008A6360">
      <w:pPr>
        <w:pStyle w:val="Heading4"/>
      </w:pPr>
      <w:r w:rsidRPr="00166DB1">
        <w:t>Intern Incentive Allowance for Rural Pharmacies and Extension Program</w:t>
      </w:r>
    </w:p>
    <w:p w14:paraId="1CDFE2B9"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Intern Incentive Allowance for Rural Pharmacies and the associated Extension Program were found to partially meet their aim to enable rural and remote pharmacies to engage pharmacy interns and new graduates. Some pharmacies may not be able to employ an intern or new graduate without these programs. However, other factors influence the number of interns and new graduates seeking placement or employment in non-metropolitan pharmacies. For example, some potential interns do not want to travel to more remote locations, even though a contribution to costs is available. There are also non-financial barriers on the pharmacy side; many comments were made by pharmacists about interns being a time-consuming staff resource. </w:t>
      </w:r>
    </w:p>
    <w:p w14:paraId="54098F86" w14:textId="77777777" w:rsidR="00166DB1" w:rsidRPr="00166DB1" w:rsidRDefault="00166DB1" w:rsidP="00063226">
      <w:pPr>
        <w:pStyle w:val="KeyFinding"/>
        <w:shd w:val="clear" w:color="auto" w:fill="F2F2F2" w:themeFill="background1" w:themeFillShade="F2"/>
      </w:pPr>
      <w:bookmarkStart w:id="78" w:name="_Ref490676934"/>
      <w:r w:rsidRPr="00166DB1">
        <w:t xml:space="preserve">Retention component programs achieved their </w:t>
      </w:r>
      <w:r w:rsidRPr="00166DB1">
        <w:rPr>
          <w:i/>
        </w:rPr>
        <w:t>derived aims</w:t>
      </w:r>
      <w:r w:rsidRPr="00166DB1">
        <w:t xml:space="preserve"> of reducing financial barriers to rural practice such as access to CPE, locums and interns. All programs were highly valued by the pharmacists who accessed them. However, the extent to which these programs prevented pharmacists leaving rural practice was not measurable and could not be isolated from other drivers of greater retention.</w:t>
      </w:r>
      <w:bookmarkEnd w:id="78"/>
      <w:r w:rsidRPr="00166DB1">
        <w:t xml:space="preserve"> </w:t>
      </w:r>
    </w:p>
    <w:p w14:paraId="0DD3E9FD" w14:textId="77777777" w:rsidR="00166DB1" w:rsidRPr="00166DB1" w:rsidRDefault="00166DB1" w:rsidP="00B24642">
      <w:pPr>
        <w:pStyle w:val="Heading3"/>
      </w:pPr>
      <w:bookmarkStart w:id="79" w:name="_Toc523322068"/>
      <w:r w:rsidRPr="00166DB1">
        <w:t>Other workforce support programs</w:t>
      </w:r>
      <w:bookmarkEnd w:id="79"/>
    </w:p>
    <w:p w14:paraId="15C44E61"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Other workforce support programs underpin the broader rural pharmacy workforce including students, pharmacy schools and practising pharmacists, delivered via funding available to 12 University Departments of Rural Health (UDRHs) and Pharmacy Schools. This section discusses the extent to which the programs in this category achieved this broad aim and program-specific </w:t>
      </w:r>
      <w:r w:rsidRPr="00166DB1">
        <w:rPr>
          <w:rFonts w:ascii="Garamond" w:eastAsia="Garamond" w:hAnsi="Garamond"/>
          <w:i/>
          <w:color w:val="000000"/>
        </w:rPr>
        <w:t>derived aims</w:t>
      </w:r>
      <w:r w:rsidRPr="00166DB1">
        <w:rPr>
          <w:rFonts w:ascii="Garamond" w:eastAsia="Garamond" w:hAnsi="Garamond"/>
          <w:color w:val="000000"/>
        </w:rPr>
        <w:t xml:space="preserve">. </w:t>
      </w:r>
    </w:p>
    <w:p w14:paraId="26FF8CF2" w14:textId="77777777" w:rsidR="00166DB1" w:rsidRPr="00166DB1" w:rsidRDefault="00166DB1" w:rsidP="008A6360">
      <w:pPr>
        <w:pStyle w:val="Heading4"/>
      </w:pPr>
      <w:r w:rsidRPr="00166DB1">
        <w:t>Rural Pharmacy Liaison Officer Program</w:t>
      </w:r>
    </w:p>
    <w:p w14:paraId="34CEF21D"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RPLO program is highly regarded by peak body stakeholders (other than The Guild), rural pharmacists operating within the catchment of UDRHs, and pharmacy students who had exposure to UDRHs. RPLOs were found to achieve each of the aims of their role, particularly in their role of supporting rural placements coordinated through the UDRHs.</w:t>
      </w:r>
    </w:p>
    <w:p w14:paraId="022AFFFB"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However, the RPLO program is restricted by the current scope of the role and the administrative arrangements of the program, including inability to secure long term contracts, and the inability of the funds to be applied to research work.</w:t>
      </w:r>
    </w:p>
    <w:p w14:paraId="46AAF190" w14:textId="77777777" w:rsidR="00166DB1" w:rsidRPr="00166DB1" w:rsidRDefault="00166DB1" w:rsidP="008A6360">
      <w:pPr>
        <w:pStyle w:val="Heading4"/>
      </w:pPr>
      <w:r w:rsidRPr="00166DB1">
        <w:t>Administrative Support to Pharmacy Schools</w:t>
      </w:r>
    </w:p>
    <w:p w14:paraId="2701EFB1"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Administration Support to Pharmacy Schools program was considered vital by university placement coordinators to compensate for the additional workload associated with arranging rural placements. However, the program has not led to an increase in the number of rural placements provided by universities over the life of the 5CPA. It is unclear whether the program prevented decreases in placements. Further investigation is required to determine whether the program has met its aims of increasing the number of placement coordinators employed by universities, and increasing awareness of other recruitment programs.</w:t>
      </w:r>
    </w:p>
    <w:p w14:paraId="105523A2" w14:textId="77777777" w:rsidR="00166DB1" w:rsidRPr="00166DB1" w:rsidRDefault="00166DB1" w:rsidP="00063226">
      <w:pPr>
        <w:pStyle w:val="KeyFinding"/>
        <w:shd w:val="clear" w:color="auto" w:fill="F2F2F2" w:themeFill="background1" w:themeFillShade="F2"/>
      </w:pPr>
      <w:bookmarkStart w:id="80" w:name="_Ref490676959"/>
      <w:r w:rsidRPr="00166DB1">
        <w:t xml:space="preserve">Other support component programs generally achieved their </w:t>
      </w:r>
      <w:r w:rsidRPr="00166DB1">
        <w:rPr>
          <w:i/>
        </w:rPr>
        <w:t>derived aims</w:t>
      </w:r>
      <w:r w:rsidRPr="00166DB1">
        <w:t>. However, these aims remain broad and self-fulfilling. A majority of stakeholders involved in the delivery of the programs stated that the support programs were vital to supporting recruitment activities.</w:t>
      </w:r>
      <w:bookmarkEnd w:id="80"/>
      <w:r w:rsidRPr="00166DB1">
        <w:t xml:space="preserve"> </w:t>
      </w:r>
    </w:p>
    <w:p w14:paraId="2D44B886" w14:textId="77777777" w:rsidR="00166DB1" w:rsidRPr="00166DB1" w:rsidRDefault="00166DB1" w:rsidP="002E1F1A">
      <w:pPr>
        <w:pStyle w:val="SectionTitle"/>
        <w:keepNext/>
        <w:rPr>
          <w:lang w:val="en-US"/>
        </w:rPr>
      </w:pPr>
      <w:r w:rsidRPr="00166DB1">
        <w:rPr>
          <w:lang w:val="en-US"/>
        </w:rPr>
        <w:lastRenderedPageBreak/>
        <w:t>Aboriginal and Torres Strait Islander workforce package effectiveness</w:t>
      </w:r>
    </w:p>
    <w:p w14:paraId="4067A8C6" w14:textId="77777777" w:rsidR="00166DB1" w:rsidRPr="00166DB1" w:rsidRDefault="00166DB1" w:rsidP="00B24642">
      <w:pPr>
        <w:pStyle w:val="Heading2"/>
      </w:pPr>
      <w:bookmarkStart w:id="81" w:name="_Toc523322069"/>
      <w:r w:rsidRPr="00166DB1">
        <w:t>Effectiveness in addressing underlying need</w:t>
      </w:r>
      <w:bookmarkEnd w:id="81"/>
    </w:p>
    <w:p w14:paraId="63C28154"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As discussed previously, a number of measures exist to support enhanced access to culturally appropriate pharmacy services for Aboriginal and Torres Strait Islander people. Each of these initiatives, as well as the in-scope workforce programs, seek to address different aspects of the medicines supply chain. For example, QUMAX and Section 100 arrangements aim to improve access to and quality use of PBS medicines, particularly in remote areas. The objective of the Closing The Gap (CTG) PBS Co-Payment Measure is to reduce the cost of PBS medicines for eligible Aboriginal and Torres Strait Islander people, thereby removing financial barriers to accessing pharmacy services. </w:t>
      </w:r>
    </w:p>
    <w:p w14:paraId="37E865B5"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Another way in which culturally enhanced access to medicines can be facilitated is to have Aboriginal and Torres Strait Islander pharmacists and pharmacy assistants working in community pharmacies. This will increase access to culturally appropriate advice on quality use of medicines. In addition, some Aboriginal and Torres Strait Islander people can find it culturally confronting to access their medicines outside an Aboriginal Medical Service (AMS); the ability to receive dispensing and advice from Aboriginal and Torres Strait Islander pharmacy staff may overcome this perception.</w:t>
      </w:r>
    </w:p>
    <w:p w14:paraId="6992A3B3"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In 2015, there was an increase of 12 Aboriginal and Torres Strait Islander pharmacists compared to 2013, a 21% increase from a base of 55, bringing the total to 67 pharmacists. This represented an average rate of 9.3 FTE pharmacists per 100,000 Aboriginal and Torres Strait Islander population. This is still significantly below the 2015 major city benchmark rate of 76 FTE per 100,000 people. To reach this benchmark, a further 450 Aboriginal and Torres Strait Islander pharmacist FTE is required (an approximate seven-fold increase on 2015 FTE figures). </w:t>
      </w:r>
    </w:p>
    <w:p w14:paraId="399EE6CA"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In 2015, the FTE rate of Aboriginal and Torres Strait Islander pharmacists per 100,000 Aboriginal and Torres Strait Islander people was highest in major cities (17), and lowest in outer regional areas (3.8). No Aboriginal and Torres Strait Islander pharmacists were working in very remote locations as shown in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_Ref487801947 \h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 xml:space="preserve">Figure </w:t>
      </w:r>
      <w:r w:rsidRPr="00166DB1">
        <w:rPr>
          <w:rFonts w:ascii="Garamond" w:eastAsia="Garamond" w:hAnsi="Garamond"/>
          <w:noProof/>
          <w:color w:val="000000"/>
        </w:rPr>
        <w:t>5</w:t>
      </w:r>
      <w:r w:rsidRPr="00166DB1">
        <w:rPr>
          <w:rFonts w:ascii="Garamond" w:eastAsia="Garamond" w:hAnsi="Garamond"/>
          <w:color w:val="000000"/>
        </w:rPr>
        <w:t>.</w:t>
      </w:r>
      <w:r w:rsidRPr="00166DB1">
        <w:rPr>
          <w:rFonts w:ascii="Garamond" w:eastAsia="Garamond" w:hAnsi="Garamond"/>
          <w:noProof/>
          <w:color w:val="000000"/>
        </w:rPr>
        <w:t>1</w:t>
      </w:r>
      <w:r w:rsidRPr="00166DB1">
        <w:rPr>
          <w:rFonts w:ascii="Garamond" w:eastAsia="Garamond" w:hAnsi="Garamond"/>
          <w:color w:val="000000"/>
        </w:rPr>
        <w:fldChar w:fldCharType="end"/>
      </w:r>
      <w:r w:rsidRPr="00166DB1">
        <w:rPr>
          <w:rFonts w:ascii="Garamond" w:eastAsia="Garamond" w:hAnsi="Garamond"/>
          <w:color w:val="000000"/>
        </w:rPr>
        <w:t xml:space="preserve">. </w:t>
      </w:r>
    </w:p>
    <w:p w14:paraId="2008A847" w14:textId="77777777" w:rsidR="00166DB1" w:rsidRPr="00166DB1" w:rsidRDefault="00166DB1" w:rsidP="00483C21">
      <w:pPr>
        <w:pStyle w:val="Caption"/>
      </w:pPr>
      <w:bookmarkStart w:id="82" w:name="_Ref487801947"/>
      <w:r w:rsidRPr="00166DB1">
        <w:t xml:space="preserve">Figure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5</w:t>
      </w:r>
      <w:r w:rsidRPr="00166DB1">
        <w:rPr>
          <w:noProof/>
        </w:rPr>
        <w:fldChar w:fldCharType="end"/>
      </w:r>
      <w:r w:rsidRPr="00166DB1">
        <w:t>.</w:t>
      </w:r>
      <w:r w:rsidRPr="00166DB1">
        <w:rPr>
          <w:noProof/>
        </w:rPr>
        <w:fldChar w:fldCharType="begin"/>
      </w:r>
      <w:r w:rsidRPr="00166DB1">
        <w:rPr>
          <w:noProof/>
        </w:rPr>
        <w:instrText xml:space="preserve"> SEQ Figure \* ARABIC \s 1 </w:instrText>
      </w:r>
      <w:r w:rsidRPr="00166DB1">
        <w:rPr>
          <w:noProof/>
        </w:rPr>
        <w:fldChar w:fldCharType="separate"/>
      </w:r>
      <w:r w:rsidRPr="00166DB1">
        <w:rPr>
          <w:noProof/>
        </w:rPr>
        <w:t>1</w:t>
      </w:r>
      <w:r w:rsidRPr="00166DB1">
        <w:rPr>
          <w:noProof/>
        </w:rPr>
        <w:fldChar w:fldCharType="end"/>
      </w:r>
      <w:bookmarkEnd w:id="82"/>
      <w:r w:rsidRPr="00166DB1">
        <w:t>: FTE rate per 100,000 non-Indigenous people compared to Aboriginal and Torres Strait Islander pharmacists, by remoteness category, 2015</w:t>
      </w:r>
    </w:p>
    <w:p w14:paraId="072C7DEB" w14:textId="77777777" w:rsidR="00166DB1" w:rsidRPr="00166DB1" w:rsidRDefault="00166DB1" w:rsidP="00166DB1">
      <w:pPr>
        <w:spacing w:after="120" w:line="240" w:lineRule="auto"/>
        <w:rPr>
          <w:rFonts w:ascii="Garamond" w:eastAsia="Garamond" w:hAnsi="Garamond"/>
          <w:sz w:val="20"/>
        </w:rPr>
      </w:pPr>
      <w:r w:rsidRPr="00166DB1">
        <w:rPr>
          <w:rFonts w:ascii="Garamond" w:eastAsia="Garamond" w:hAnsi="Garamond"/>
          <w:noProof/>
          <w:sz w:val="20"/>
          <w:lang w:eastAsia="en-AU"/>
        </w:rPr>
        <w:drawing>
          <wp:inline distT="0" distB="0" distL="0" distR="0" wp14:anchorId="5A967FD8" wp14:editId="687EC926">
            <wp:extent cx="4472940" cy="2919730"/>
            <wp:effectExtent l="0" t="0" r="3810" b="13970"/>
            <wp:docPr id="81" name="Chart 81" descr="Figure 5.1 Bar graph showing FTE rate per 100,000 non-Indigenous people compared to Aboriginal and Torres Strait Islander pharmacists, by remoteness category, 2015">
              <a:extLst xmlns:a="http://schemas.openxmlformats.org/drawingml/2006/main">
                <a:ext uri="{FF2B5EF4-FFF2-40B4-BE49-F238E27FC236}">
                  <a16:creationId xmlns:a16="http://schemas.microsoft.com/office/drawing/2014/main" id="{61EE7E9A-D0F0-444C-90A3-ADFDCC3FA5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0E756D8" w14:textId="77777777" w:rsidR="00166DB1" w:rsidRPr="00166DB1" w:rsidRDefault="00166DB1" w:rsidP="00787AA0">
      <w:pPr>
        <w:pStyle w:val="TableNotes"/>
      </w:pPr>
      <w:r w:rsidRPr="00166DB1">
        <w:t>Source: AHPRA</w:t>
      </w:r>
      <w:sdt>
        <w:sdtPr>
          <w:id w:val="318698562"/>
          <w:citation/>
        </w:sdtPr>
        <w:sdtEndPr/>
        <w:sdtContent>
          <w:r w:rsidRPr="00166DB1">
            <w:fldChar w:fldCharType="begin"/>
          </w:r>
          <w:r w:rsidRPr="00166DB1">
            <w:instrText xml:space="preserve"> CITATION Aus15 \l 3081 </w:instrText>
          </w:r>
          <w:r w:rsidRPr="00166DB1">
            <w:fldChar w:fldCharType="separate"/>
          </w:r>
          <w:r w:rsidRPr="00166DB1">
            <w:rPr>
              <w:noProof/>
            </w:rPr>
            <w:t xml:space="preserve"> [4]</w:t>
          </w:r>
          <w:r w:rsidRPr="00166DB1">
            <w:fldChar w:fldCharType="end"/>
          </w:r>
        </w:sdtContent>
      </w:sdt>
      <w:r w:rsidRPr="00166DB1">
        <w:t>, ABS</w:t>
      </w:r>
      <w:sdt>
        <w:sdtPr>
          <w:id w:val="-1216042645"/>
          <w:citation/>
        </w:sdtPr>
        <w:sdtEndPr/>
        <w:sdtContent>
          <w:r w:rsidRPr="00166DB1">
            <w:fldChar w:fldCharType="begin"/>
          </w:r>
          <w:r w:rsidRPr="00166DB1">
            <w:instrText xml:space="preserve"> CITATION Aus112 \l 3081 </w:instrText>
          </w:r>
          <w:r w:rsidRPr="00166DB1">
            <w:fldChar w:fldCharType="separate"/>
          </w:r>
          <w:r w:rsidRPr="00166DB1">
            <w:rPr>
              <w:noProof/>
            </w:rPr>
            <w:t xml:space="preserve"> [5]</w:t>
          </w:r>
          <w:r w:rsidRPr="00166DB1">
            <w:fldChar w:fldCharType="end"/>
          </w:r>
        </w:sdtContent>
      </w:sdt>
    </w:p>
    <w:p w14:paraId="55FB7854" w14:textId="77777777" w:rsidR="00166DB1" w:rsidRPr="00166DB1" w:rsidRDefault="00166DB1" w:rsidP="00787AA0">
      <w:pPr>
        <w:pStyle w:val="TableNotes"/>
      </w:pPr>
      <w:r w:rsidRPr="00166DB1">
        <w:t>N.B: FTE rates for Aboriginal and Torres Strait Islander pharmacy workforce were calculated using clinical FTE and total Aboriginal and Torres Strait Islander population from 2011 ABS census data for each remoteness category. The FTE rate for non-Indigenous pharmacists was calculated using clinical FTE and ABS data for the total Australian population. This method better reflects the capacity of the Aboriginal and Torres Strait Islander pharmacy workforce to service the needs of Aboriginal and Torres Strait Islander communities.</w:t>
      </w:r>
    </w:p>
    <w:p w14:paraId="2B4422E1" w14:textId="77777777" w:rsidR="00166DB1" w:rsidRPr="00166DB1" w:rsidRDefault="00166DB1" w:rsidP="00063226">
      <w:pPr>
        <w:pStyle w:val="KeyFinding"/>
        <w:shd w:val="clear" w:color="auto" w:fill="F2F2F2" w:themeFill="background1" w:themeFillShade="F2"/>
      </w:pPr>
      <w:bookmarkStart w:id="83" w:name="_Ref489868820"/>
      <w:bookmarkStart w:id="84" w:name="_Ref490676965"/>
      <w:r w:rsidRPr="00166DB1">
        <w:t>Despite the overall growth in the number of Aboriginal and Torres Strait Islander pharmacists, the FTE rate per 100,000 Aboriginal and Torres Strait Islander population remained lo</w:t>
      </w:r>
      <w:bookmarkEnd w:id="83"/>
      <w:r w:rsidRPr="00166DB1">
        <w:t>w, supporting a position that there is an ongoing need to have recruitment programs for Aboriginal and Torres Islander pharmacy workforce.</w:t>
      </w:r>
      <w:bookmarkEnd w:id="84"/>
    </w:p>
    <w:p w14:paraId="6FFAEEF2" w14:textId="77777777" w:rsidR="00166DB1" w:rsidRPr="00166DB1" w:rsidRDefault="00166DB1" w:rsidP="00166DB1">
      <w:pPr>
        <w:spacing w:before="85" w:after="85"/>
        <w:rPr>
          <w:rFonts w:ascii="Garamond" w:eastAsia="Garamond" w:hAnsi="Garamond"/>
          <w:color w:val="000000"/>
        </w:rPr>
      </w:pPr>
    </w:p>
    <w:p w14:paraId="08ADB89F" w14:textId="77777777" w:rsidR="00166DB1" w:rsidRPr="00166DB1" w:rsidRDefault="00166DB1" w:rsidP="00063226">
      <w:pPr>
        <w:pStyle w:val="KeyFinding"/>
        <w:shd w:val="clear" w:color="auto" w:fill="F2F2F2" w:themeFill="background1" w:themeFillShade="F2"/>
      </w:pPr>
      <w:bookmarkStart w:id="85" w:name="_Ref489868839"/>
      <w:bookmarkStart w:id="86" w:name="_Ref490676970"/>
      <w:r w:rsidRPr="00166DB1">
        <w:t>Distribution of the Aboriginal and Torres Strait Islander pharmacy workforce is skewed towards major cities</w:t>
      </w:r>
      <w:bookmarkEnd w:id="85"/>
      <w:r w:rsidRPr="00166DB1">
        <w:t xml:space="preserve"> and remote areas.</w:t>
      </w:r>
      <w:bookmarkEnd w:id="86"/>
    </w:p>
    <w:p w14:paraId="0B90653C" w14:textId="77777777" w:rsidR="00166DB1" w:rsidRPr="00166DB1" w:rsidRDefault="00166DB1" w:rsidP="00B24642">
      <w:pPr>
        <w:pStyle w:val="Heading2"/>
      </w:pPr>
      <w:bookmarkStart w:id="87" w:name="_Toc523322070"/>
      <w:r w:rsidRPr="00166DB1">
        <w:t>Evaluation limitations: pharmacy Assistants</w:t>
      </w:r>
      <w:bookmarkEnd w:id="87"/>
    </w:p>
    <w:p w14:paraId="3D886E7D"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Pharmacy assistants are not required to register with the Pharmacy Board. As a consequence, there is no current data available from the Pharmacy Board on trends in the number of pharmacy assistants. This meant the evaluation was unable to assess the impacts of the Aboriginal and Torres Strait Islander Pharmacy Assistant Traineeship Scheme in addressing underlying needs for Aboriginal and Torres Strait Islander pharmacy assistants.  </w:t>
      </w:r>
    </w:p>
    <w:p w14:paraId="36037406" w14:textId="77777777" w:rsidR="00166DB1" w:rsidRPr="00166DB1" w:rsidRDefault="00166DB1" w:rsidP="00B24642">
      <w:pPr>
        <w:pStyle w:val="Heading2"/>
      </w:pPr>
      <w:bookmarkStart w:id="88" w:name="_Toc523322071"/>
      <w:r w:rsidRPr="00166DB1">
        <w:t>Enhancing availability of culturally appropriate services component programs</w:t>
      </w:r>
      <w:bookmarkEnd w:id="88"/>
    </w:p>
    <w:p w14:paraId="3D86D003"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Programs under the Aboriginal and Torres Strait Islander Package seek to enhance availability of culturally appropriate pharmacy services by increasing the number of Aboriginal and Torres Strait Islander people within the pharmacy workforce. This section discusses the extent to which component programs achieved this broad aim and program-specific </w:t>
      </w:r>
      <w:r w:rsidRPr="00166DB1">
        <w:rPr>
          <w:rFonts w:ascii="Garamond" w:eastAsia="Garamond" w:hAnsi="Garamond"/>
          <w:i/>
          <w:color w:val="000000"/>
        </w:rPr>
        <w:t>derived aims</w:t>
      </w:r>
      <w:r w:rsidRPr="00166DB1">
        <w:rPr>
          <w:rFonts w:ascii="Garamond" w:eastAsia="Garamond" w:hAnsi="Garamond"/>
          <w:color w:val="000000"/>
        </w:rPr>
        <w:t xml:space="preserve">. </w:t>
      </w:r>
    </w:p>
    <w:p w14:paraId="77E6E804" w14:textId="77777777" w:rsidR="00166DB1" w:rsidRPr="00166DB1" w:rsidRDefault="00166DB1" w:rsidP="00B24642">
      <w:pPr>
        <w:pStyle w:val="Heading3"/>
      </w:pPr>
      <w:bookmarkStart w:id="89" w:name="_Toc523322072"/>
      <w:r w:rsidRPr="00166DB1">
        <w:t>Aboriginal and Torres Strait Islander Pharmacy Assistant Traineeship Scheme</w:t>
      </w:r>
      <w:bookmarkEnd w:id="89"/>
    </w:p>
    <w:p w14:paraId="705FD4FD"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Available data was not sufficiently detailed to determine whether the Aboriginal and Torres Strait Islander Pharmacy Assistant Traineeship Scheme led to an increase in the number of Aboriginal and Torres Strait Islander pharmacy assistants over the </w:t>
      </w:r>
      <w:r w:rsidRPr="00166DB1">
        <w:rPr>
          <w:rFonts w:ascii="Garamond" w:eastAsia="Garamond" w:hAnsi="Garamond"/>
          <w:color w:val="000000"/>
        </w:rPr>
        <w:t>life of the 5CPA – data was only available on the number of grant recipients, not how many of those recipients continued in an assistant role. However, program participants agreed the Scheme was effective in encouraging Aboriginal and Torres Strait Islander people to commence a career as a pharmacy assistant.</w:t>
      </w:r>
    </w:p>
    <w:p w14:paraId="277AF1B6" w14:textId="77777777" w:rsidR="00166DB1" w:rsidRPr="00166DB1" w:rsidRDefault="00166DB1" w:rsidP="008A6360">
      <w:pPr>
        <w:pStyle w:val="Heading4"/>
      </w:pPr>
      <w:r w:rsidRPr="00166DB1">
        <w:t>Aboriginal and Torres Strait Islander Pharmacy Scholarship Scheme</w:t>
      </w:r>
    </w:p>
    <w:p w14:paraId="32979A13"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Aboriginal and Torres Strait Islander Pharmacy Scholarship Scheme recipients may account for a significant proportion of the increase in Aboriginal and Torres Strait Islander pharmacists. However, it is unclear if increasing workforce is the most appropriate means of increasing access to culturally appropriate pharmacy services for Aboriginal and Torres Strait Islander people.</w:t>
      </w:r>
    </w:p>
    <w:p w14:paraId="7CFEA543" w14:textId="77777777" w:rsidR="00166DB1" w:rsidRPr="00166DB1" w:rsidRDefault="00166DB1" w:rsidP="00063226">
      <w:pPr>
        <w:pStyle w:val="KeyFinding"/>
        <w:shd w:val="clear" w:color="auto" w:fill="F2F2F2" w:themeFill="background1" w:themeFillShade="F2"/>
      </w:pPr>
      <w:bookmarkStart w:id="90" w:name="_Ref490676974"/>
      <w:r w:rsidRPr="00166DB1">
        <w:t>Programs under the component addressing the availability of culturally appropriate services for Aboriginal and Torres Strait Islander people contributed to their aim of increasing the Aboriginal and Torres Strait Islander pharmacy workforce. However, it is unclear whether an increase in Aboriginal and Torres Strait Islander representation in pharmacy workforce will effectively enhance the availability of culturally appropriate services for Aboriginal and Torres Strait Islander communities.</w:t>
      </w:r>
      <w:bookmarkEnd w:id="90"/>
      <w:r w:rsidRPr="00166DB1">
        <w:t xml:space="preserve"> </w:t>
      </w:r>
    </w:p>
    <w:p w14:paraId="5016FDCA" w14:textId="77777777" w:rsidR="00166DB1" w:rsidRPr="00166DB1" w:rsidRDefault="00166DB1" w:rsidP="00B24642">
      <w:pPr>
        <w:pStyle w:val="Heading2"/>
      </w:pPr>
      <w:bookmarkStart w:id="91" w:name="_Toc523322073"/>
      <w:r w:rsidRPr="00166DB1">
        <w:t>Overall conclusion on effectiveness</w:t>
      </w:r>
      <w:bookmarkEnd w:id="91"/>
    </w:p>
    <w:p w14:paraId="1D13115E"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Our analysis of the program effectiveness has sought to distinguish different aspects of this evaluation criteria. While we found that the program Packages had been ineffective in reducing the underlying need for a strengthened workforce, this was not the case at a micro level – the impact on individual students and community pharmacists was effective.</w:t>
      </w:r>
    </w:p>
    <w:p w14:paraId="7F8DF499"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In Section 5.3 it was noted there are around 600 new recipients of direct support annually via recruitment support programs and 500 recipients annually of direct support via workforce retention grants. The evaluation survey responses and consultation feedback suggest that an overwhelming majority of these recipients </w:t>
      </w:r>
      <w:r w:rsidRPr="00166DB1">
        <w:rPr>
          <w:rFonts w:ascii="Garamond" w:eastAsia="Garamond" w:hAnsi="Garamond"/>
          <w:color w:val="000000"/>
        </w:rPr>
        <w:lastRenderedPageBreak/>
        <w:t xml:space="preserve">valued the grant monies received and acknowledged that it informed their decisions about career planning. </w:t>
      </w:r>
    </w:p>
    <w:p w14:paraId="03ED8D4B"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actual recruitment and retention levels clearly attributable to the Pharmacy Workforce are much harder to quantify – in some cases this would be extremely difficult to measure, for example, the Emergency Locum Scheme. Evaluation survey responses suggest that measuring recruitment and retention that is directly attributable to a program is highly variable according to the specific program; indicative rates range from 20% of recruitment due to the program (Rural Pharmacy Student Placement Allowance) up to 50% (Rural Pharmacy Scholarship Program). </w:t>
      </w:r>
    </w:p>
    <w:p w14:paraId="4B522587"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Based on these observations, we suggest that wholesale changes to the Pharmacy Programs should be approached with caution. Although we found that the programs did not have any observable impact on strengthening the rural and remote pharmacy workforce levels, based on the available 2013–2105 data, there are other factors that must be considered in forming decisions about the future of the programs, such as:</w:t>
      </w:r>
    </w:p>
    <w:p w14:paraId="2976771F" w14:textId="77777777" w:rsidR="00166DB1" w:rsidRPr="00787AA0" w:rsidRDefault="00166DB1" w:rsidP="009F66FB">
      <w:pPr>
        <w:pStyle w:val="ListParagraph"/>
        <w:numPr>
          <w:ilvl w:val="0"/>
          <w:numId w:val="18"/>
        </w:numPr>
        <w:tabs>
          <w:tab w:val="num" w:pos="426"/>
        </w:tabs>
        <w:spacing w:before="20" w:after="20"/>
        <w:rPr>
          <w:rFonts w:ascii="Garamond" w:eastAsia="Times New Roman" w:hAnsi="Garamond"/>
          <w:color w:val="000000"/>
        </w:rPr>
      </w:pPr>
      <w:r w:rsidRPr="00787AA0">
        <w:rPr>
          <w:rFonts w:ascii="Garamond" w:eastAsia="Times New Roman" w:hAnsi="Garamond"/>
          <w:color w:val="000000"/>
        </w:rPr>
        <w:t>the effect of these programs may be offsetting underlying incentives for the workforce to prefer working in major cities, which may have stabilised the shift of resources to major cities, and</w:t>
      </w:r>
    </w:p>
    <w:p w14:paraId="40C4BA40" w14:textId="77777777" w:rsidR="00166DB1" w:rsidRPr="00787AA0" w:rsidRDefault="00166DB1" w:rsidP="009F66FB">
      <w:pPr>
        <w:pStyle w:val="ListParagraph"/>
        <w:numPr>
          <w:ilvl w:val="0"/>
          <w:numId w:val="18"/>
        </w:numPr>
        <w:tabs>
          <w:tab w:val="num" w:pos="426"/>
        </w:tabs>
        <w:spacing w:before="20" w:after="20"/>
        <w:rPr>
          <w:rFonts w:ascii="Garamond" w:eastAsia="Times New Roman" w:hAnsi="Garamond"/>
          <w:color w:val="000000"/>
        </w:rPr>
      </w:pPr>
      <w:r w:rsidRPr="00787AA0">
        <w:rPr>
          <w:rFonts w:ascii="Garamond" w:eastAsia="Times New Roman" w:hAnsi="Garamond"/>
          <w:color w:val="000000"/>
        </w:rPr>
        <w:t>it is possible that the allocation of additional resources to the Packages, via an increased value of grants for many of the programs, could increase the incentive of individuals to take up the grants and promote larger shifts in the workforce into rural and remote areas.</w:t>
      </w:r>
    </w:p>
    <w:p w14:paraId="562A08DC" w14:textId="77777777" w:rsidR="00166DB1" w:rsidRPr="00166DB1" w:rsidRDefault="00166DB1" w:rsidP="002E1F1A">
      <w:pPr>
        <w:pStyle w:val="KeyFinding"/>
        <w:keepLines/>
        <w:shd w:val="clear" w:color="auto" w:fill="F2F2F2" w:themeFill="background1" w:themeFillShade="F2"/>
      </w:pPr>
      <w:bookmarkStart w:id="92" w:name="_Ref490676981"/>
      <w:r w:rsidRPr="00063226">
        <w:rPr>
          <w:shd w:val="clear" w:color="auto" w:fill="F2F2F2" w:themeFill="background1" w:themeFillShade="F2"/>
        </w:rPr>
        <w:t>Wholesale changes to the Pharmacy Programs should be approached with caution. Although we found that the programs did not have any observable impact on strengthening the rural and remote pharmacy workforce levels, based on the available 2013–2015 data, there are other factors that must be considered in forming decisions about the future of the programs: the impacts of the current programs and their value to current and</w:t>
      </w:r>
      <w:r w:rsidRPr="00166DB1">
        <w:t xml:space="preserve"> prospective recipients. An increase in the value of the grants could increase the incentives to take up the grants and promote larger shifts in the workforce into rural and remote areas.</w:t>
      </w:r>
      <w:bookmarkEnd w:id="92"/>
    </w:p>
    <w:p w14:paraId="715C0A0A" w14:textId="77777777" w:rsidR="00D62D23" w:rsidRDefault="00D62D23" w:rsidP="00063226">
      <w:pPr>
        <w:keepNext/>
        <w:keepLines/>
        <w:shd w:val="clear" w:color="auto" w:fill="F2F2F2" w:themeFill="background1" w:themeFillShade="F2"/>
        <w:spacing w:before="85" w:after="85"/>
        <w:rPr>
          <w:rFonts w:ascii="Garamond" w:eastAsia="Garamond" w:hAnsi="Garamond"/>
          <w:color w:val="000000"/>
        </w:rPr>
        <w:sectPr w:rsidR="00D62D23" w:rsidSect="0029291C">
          <w:headerReference w:type="default" r:id="rId34"/>
          <w:headerReference w:type="first" r:id="rId35"/>
          <w:pgSz w:w="16839" w:h="11907" w:orient="landscape" w:code="9"/>
          <w:pgMar w:top="1843" w:right="1304" w:bottom="850" w:left="737" w:header="567" w:footer="284" w:gutter="0"/>
          <w:cols w:num="2" w:space="709"/>
          <w:docGrid w:linePitch="360"/>
        </w:sectPr>
      </w:pPr>
    </w:p>
    <w:p w14:paraId="22845110" w14:textId="04C68CF0" w:rsidR="00281DD2" w:rsidRPr="00281DD2" w:rsidRDefault="00281DD2" w:rsidP="00B24642">
      <w:pPr>
        <w:pStyle w:val="Heading1"/>
        <w:rPr>
          <w:lang w:val="en-US"/>
        </w:rPr>
      </w:pPr>
      <w:bookmarkStart w:id="93" w:name="_Toc523322074"/>
      <w:r w:rsidRPr="00281DD2">
        <w:rPr>
          <w:lang w:val="en-US"/>
        </w:rPr>
        <w:lastRenderedPageBreak/>
        <w:t>Efficiency</w:t>
      </w:r>
      <w:bookmarkEnd w:id="93"/>
    </w:p>
    <w:p w14:paraId="749FDCF6" w14:textId="68766EC4"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An examination of a program’s </w:t>
      </w:r>
      <w:r w:rsidRPr="00166DB1">
        <w:rPr>
          <w:rFonts w:ascii="Garamond" w:eastAsia="Garamond" w:hAnsi="Garamond"/>
          <w:i/>
          <w:color w:val="000000"/>
        </w:rPr>
        <w:t>efficiency</w:t>
      </w:r>
      <w:r w:rsidRPr="00166DB1">
        <w:rPr>
          <w:rFonts w:ascii="Garamond" w:eastAsia="Garamond" w:hAnsi="Garamond"/>
          <w:color w:val="000000"/>
        </w:rPr>
        <w:t xml:space="preserve"> seeks to ascertain:</w:t>
      </w:r>
    </w:p>
    <w:p w14:paraId="33ECB50A" w14:textId="77777777" w:rsidR="00166DB1" w:rsidRPr="00166DB1" w:rsidRDefault="00166DB1" w:rsidP="00166DB1">
      <w:pPr>
        <w:spacing w:before="85" w:after="85"/>
        <w:ind w:left="284" w:right="284"/>
        <w:rPr>
          <w:rFonts w:ascii="Times New Roman" w:eastAsia="Garamond" w:hAnsi="Times New Roman"/>
          <w:i/>
          <w:iCs/>
          <w:color w:val="000000"/>
          <w:sz w:val="20"/>
          <w:lang w:val="en-US"/>
        </w:rPr>
      </w:pPr>
      <w:r w:rsidRPr="00166DB1">
        <w:rPr>
          <w:rFonts w:ascii="Times New Roman" w:eastAsia="Garamond" w:hAnsi="Times New Roman"/>
          <w:i/>
          <w:iCs/>
          <w:color w:val="000000"/>
          <w:sz w:val="20"/>
        </w:rPr>
        <w:t>whether there are better ways of achieving these objectives</w:t>
      </w:r>
      <w:sdt>
        <w:sdtPr>
          <w:rPr>
            <w:rFonts w:ascii="Times New Roman" w:eastAsia="Garamond" w:hAnsi="Times New Roman"/>
            <w:i/>
            <w:iCs/>
            <w:color w:val="000000"/>
            <w:sz w:val="20"/>
          </w:rPr>
          <w:id w:val="-1376152418"/>
          <w:citation/>
        </w:sdtPr>
        <w:sdtEndPr/>
        <w:sdtContent>
          <w:r w:rsidRPr="00166DB1">
            <w:rPr>
              <w:rFonts w:ascii="Times New Roman" w:eastAsia="Garamond" w:hAnsi="Times New Roman"/>
              <w:i/>
              <w:iCs/>
              <w:color w:val="000000"/>
              <w:sz w:val="20"/>
            </w:rPr>
            <w:fldChar w:fldCharType="begin"/>
          </w:r>
          <w:r w:rsidRPr="00166DB1">
            <w:rPr>
              <w:rFonts w:ascii="Times New Roman" w:eastAsia="Garamond" w:hAnsi="Times New Roman"/>
              <w:i/>
              <w:iCs/>
              <w:color w:val="000000"/>
              <w:sz w:val="20"/>
            </w:rPr>
            <w:instrText xml:space="preserve"> CITATION Tun10 \l 3081 </w:instrText>
          </w:r>
          <w:r w:rsidRPr="00166DB1">
            <w:rPr>
              <w:rFonts w:ascii="Times New Roman" w:eastAsia="Garamond" w:hAnsi="Times New Roman"/>
              <w:i/>
              <w:iCs/>
              <w:color w:val="000000"/>
              <w:sz w:val="20"/>
            </w:rPr>
            <w:fldChar w:fldCharType="separate"/>
          </w:r>
          <w:r w:rsidRPr="00166DB1">
            <w:rPr>
              <w:rFonts w:ascii="Times New Roman" w:eastAsia="Garamond" w:hAnsi="Times New Roman"/>
              <w:i/>
              <w:iCs/>
              <w:noProof/>
              <w:color w:val="000000"/>
              <w:sz w:val="20"/>
            </w:rPr>
            <w:t xml:space="preserve"> [1]</w:t>
          </w:r>
          <w:r w:rsidRPr="00166DB1">
            <w:rPr>
              <w:rFonts w:ascii="Times New Roman" w:eastAsia="Garamond" w:hAnsi="Times New Roman"/>
              <w:i/>
              <w:iCs/>
              <w:color w:val="000000"/>
              <w:sz w:val="20"/>
            </w:rPr>
            <w:fldChar w:fldCharType="end"/>
          </w:r>
        </w:sdtContent>
      </w:sdt>
      <w:r w:rsidRPr="00166DB1">
        <w:rPr>
          <w:rFonts w:ascii="Times New Roman" w:eastAsia="Garamond" w:hAnsi="Times New Roman"/>
          <w:i/>
          <w:iCs/>
          <w:color w:val="000000"/>
          <w:sz w:val="20"/>
        </w:rPr>
        <w:t>, including consideration of expenditure and cost per output, project governance arrangements, and implementation processes</w:t>
      </w:r>
      <w:r w:rsidRPr="00166DB1">
        <w:rPr>
          <w:rFonts w:ascii="Times New Roman" w:eastAsia="Garamond" w:hAnsi="Times New Roman"/>
          <w:i/>
          <w:iCs/>
          <w:color w:val="000000"/>
          <w:sz w:val="20"/>
          <w:lang w:val="en-US"/>
        </w:rPr>
        <w:t>.</w:t>
      </w:r>
      <w:sdt>
        <w:sdtPr>
          <w:rPr>
            <w:rFonts w:ascii="Times New Roman" w:eastAsia="Garamond" w:hAnsi="Times New Roman"/>
            <w:i/>
            <w:iCs/>
            <w:color w:val="000000"/>
            <w:sz w:val="20"/>
            <w:lang w:val="en-US"/>
          </w:rPr>
          <w:id w:val="-359121386"/>
          <w:citation/>
        </w:sdtPr>
        <w:sdtEndPr/>
        <w:sdtContent>
          <w:r w:rsidRPr="00166DB1">
            <w:rPr>
              <w:rFonts w:ascii="Times New Roman" w:eastAsia="Garamond" w:hAnsi="Times New Roman"/>
              <w:i/>
              <w:iCs/>
              <w:color w:val="000000"/>
              <w:sz w:val="20"/>
              <w:lang w:val="en-US"/>
            </w:rPr>
            <w:fldChar w:fldCharType="begin"/>
          </w:r>
          <w:r w:rsidRPr="00166DB1">
            <w:rPr>
              <w:rFonts w:ascii="Times New Roman" w:eastAsia="Garamond" w:hAnsi="Times New Roman"/>
              <w:i/>
              <w:iCs/>
              <w:color w:val="000000"/>
              <w:sz w:val="20"/>
            </w:rPr>
            <w:instrText xml:space="preserve">CITATION Hea \l 3081 </w:instrText>
          </w:r>
          <w:r w:rsidRPr="00166DB1">
            <w:rPr>
              <w:rFonts w:ascii="Times New Roman" w:eastAsia="Garamond" w:hAnsi="Times New Roman"/>
              <w:i/>
              <w:iCs/>
              <w:color w:val="000000"/>
              <w:sz w:val="20"/>
              <w:lang w:val="en-US"/>
            </w:rPr>
            <w:fldChar w:fldCharType="separate"/>
          </w:r>
          <w:r w:rsidRPr="00166DB1">
            <w:rPr>
              <w:rFonts w:ascii="Times New Roman" w:eastAsia="Garamond" w:hAnsi="Times New Roman"/>
              <w:i/>
              <w:iCs/>
              <w:noProof/>
              <w:color w:val="000000"/>
              <w:sz w:val="20"/>
            </w:rPr>
            <w:t xml:space="preserve"> [2]</w:t>
          </w:r>
          <w:r w:rsidRPr="00166DB1">
            <w:rPr>
              <w:rFonts w:ascii="Times New Roman" w:eastAsia="Garamond" w:hAnsi="Times New Roman"/>
              <w:i/>
              <w:iCs/>
              <w:color w:val="000000"/>
              <w:sz w:val="20"/>
              <w:lang w:val="en-US"/>
            </w:rPr>
            <w:fldChar w:fldCharType="end"/>
          </w:r>
        </w:sdtContent>
      </w:sdt>
    </w:p>
    <w:p w14:paraId="1AEA1B39" w14:textId="77777777" w:rsidR="00166DB1" w:rsidRPr="00166DB1" w:rsidRDefault="00166DB1" w:rsidP="00166DB1">
      <w:pPr>
        <w:spacing w:before="85" w:after="85"/>
        <w:rPr>
          <w:rFonts w:ascii="Garamond" w:eastAsia="Garamond" w:hAnsi="Garamond"/>
          <w:color w:val="000000"/>
          <w:lang w:val="en-US"/>
        </w:rPr>
      </w:pPr>
      <w:r w:rsidRPr="00166DB1">
        <w:rPr>
          <w:rFonts w:ascii="Garamond" w:eastAsia="Garamond" w:hAnsi="Garamond"/>
          <w:color w:val="000000"/>
          <w:lang w:val="en-US"/>
        </w:rPr>
        <w:t>To assess efficiency for this evaluation we examined:</w:t>
      </w:r>
    </w:p>
    <w:p w14:paraId="22232456" w14:textId="77777777" w:rsidR="00166DB1" w:rsidRPr="00CF2305" w:rsidRDefault="00166DB1" w:rsidP="009F66FB">
      <w:pPr>
        <w:pStyle w:val="ListParagraph"/>
        <w:numPr>
          <w:ilvl w:val="0"/>
          <w:numId w:val="18"/>
        </w:numPr>
        <w:tabs>
          <w:tab w:val="num" w:pos="284"/>
        </w:tabs>
        <w:spacing w:before="20" w:after="20"/>
        <w:ind w:left="284" w:hanging="218"/>
        <w:rPr>
          <w:rFonts w:ascii="Garamond" w:eastAsia="Times New Roman" w:hAnsi="Garamond"/>
          <w:color w:val="000000"/>
          <w:lang w:val="en-US"/>
        </w:rPr>
      </w:pPr>
      <w:r w:rsidRPr="00CF2305">
        <w:rPr>
          <w:rFonts w:ascii="Garamond" w:eastAsia="Times New Roman" w:hAnsi="Garamond"/>
          <w:color w:val="000000"/>
          <w:lang w:val="en-US"/>
        </w:rPr>
        <w:t>the mix and balance of program expenditure targeting retention, recruitment, other support or enhancing access to culturally appropriate services</w:t>
      </w:r>
    </w:p>
    <w:p w14:paraId="3935CDC9" w14:textId="77777777" w:rsidR="00166DB1" w:rsidRPr="00CF2305" w:rsidRDefault="00166DB1" w:rsidP="009F66FB">
      <w:pPr>
        <w:pStyle w:val="ListParagraph"/>
        <w:numPr>
          <w:ilvl w:val="0"/>
          <w:numId w:val="18"/>
        </w:numPr>
        <w:tabs>
          <w:tab w:val="num" w:pos="284"/>
        </w:tabs>
        <w:spacing w:before="20" w:after="20"/>
        <w:ind w:left="284" w:hanging="218"/>
        <w:rPr>
          <w:rFonts w:ascii="Garamond" w:eastAsia="Times New Roman" w:hAnsi="Garamond"/>
          <w:color w:val="000000"/>
          <w:lang w:val="en-US"/>
        </w:rPr>
      </w:pPr>
      <w:r w:rsidRPr="00CF2305">
        <w:rPr>
          <w:rFonts w:ascii="Garamond" w:eastAsia="Times New Roman" w:hAnsi="Garamond"/>
          <w:color w:val="000000"/>
          <w:lang w:val="en-US"/>
        </w:rPr>
        <w:t>the acceptability of estimated overhead costs for administering the programs, and</w:t>
      </w:r>
    </w:p>
    <w:p w14:paraId="602469FD" w14:textId="77777777" w:rsidR="00166DB1" w:rsidRPr="00CF2305" w:rsidRDefault="00166DB1" w:rsidP="009F66FB">
      <w:pPr>
        <w:pStyle w:val="ListParagraph"/>
        <w:numPr>
          <w:ilvl w:val="0"/>
          <w:numId w:val="18"/>
        </w:numPr>
        <w:tabs>
          <w:tab w:val="num" w:pos="284"/>
        </w:tabs>
        <w:spacing w:before="20" w:after="20"/>
        <w:ind w:left="284" w:hanging="218"/>
        <w:rPr>
          <w:rFonts w:ascii="Garamond" w:eastAsia="Times New Roman" w:hAnsi="Garamond"/>
          <w:color w:val="000000"/>
          <w:lang w:val="en-US"/>
        </w:rPr>
      </w:pPr>
      <w:r w:rsidRPr="00CF2305">
        <w:rPr>
          <w:rFonts w:ascii="Garamond" w:eastAsia="Times New Roman" w:hAnsi="Garamond"/>
          <w:color w:val="000000"/>
          <w:lang w:val="en-US"/>
        </w:rPr>
        <w:t xml:space="preserve">each program’s value for money as perceived by community pharmacists in surveys. </w:t>
      </w:r>
    </w:p>
    <w:p w14:paraId="7003042C" w14:textId="77777777" w:rsidR="00166DB1" w:rsidRPr="00166DB1" w:rsidRDefault="00166DB1" w:rsidP="00787AA0">
      <w:pPr>
        <w:pStyle w:val="ESHeading2"/>
        <w:spacing w:before="240"/>
        <w:rPr>
          <w:lang w:val="en-US"/>
        </w:rPr>
      </w:pPr>
      <w:r w:rsidRPr="00166DB1">
        <w:rPr>
          <w:lang w:val="en-US"/>
        </w:rPr>
        <w:t>KEY FINDINGS ON Efficiency</w:t>
      </w:r>
    </w:p>
    <w:p w14:paraId="3EC3F017" w14:textId="77777777" w:rsidR="00166DB1" w:rsidRPr="00166DB1" w:rsidRDefault="00166DB1" w:rsidP="00166DB1">
      <w:pPr>
        <w:spacing w:before="85" w:after="85"/>
        <w:rPr>
          <w:rFonts w:ascii="Garamond" w:eastAsia="Garamond" w:hAnsi="Garamond"/>
          <w:color w:val="000000"/>
          <w:lang w:val="en-US"/>
        </w:rPr>
      </w:pPr>
      <w:r w:rsidRPr="00166DB1">
        <w:rPr>
          <w:rFonts w:ascii="Garamond" w:eastAsia="Garamond" w:hAnsi="Garamond"/>
          <w:color w:val="000000"/>
          <w:lang w:val="en-US"/>
        </w:rPr>
        <w:t>The key findings of the evaluation on effectiveness are summarised in the following table.</w:t>
      </w:r>
    </w:p>
    <w:tbl>
      <w:tblPr>
        <w:tblStyle w:val="KeyFindings"/>
        <w:tblW w:w="5000" w:type="pct"/>
        <w:shd w:val="clear" w:color="auto" w:fill="F2F2F2" w:themeFill="background1" w:themeFillShade="F2"/>
        <w:tblLayout w:type="fixed"/>
        <w:tblLook w:val="04A0" w:firstRow="1" w:lastRow="0" w:firstColumn="1" w:lastColumn="0" w:noHBand="0" w:noVBand="1"/>
        <w:tblCaption w:val="Summary of Key Findings"/>
        <w:tblDescription w:val="Table summarising Key Findings 22 to 28"/>
      </w:tblPr>
      <w:tblGrid>
        <w:gridCol w:w="1843"/>
        <w:gridCol w:w="5201"/>
      </w:tblGrid>
      <w:tr w:rsidR="00133610" w:rsidRPr="00166DB1" w14:paraId="596C7190" w14:textId="77777777" w:rsidTr="00133610">
        <w:trPr>
          <w:cnfStyle w:val="100000000000" w:firstRow="1" w:lastRow="0" w:firstColumn="0" w:lastColumn="0" w:oddVBand="0" w:evenVBand="0" w:oddHBand="0" w:evenHBand="0" w:firstRowFirstColumn="0" w:firstRowLastColumn="0" w:lastRowFirstColumn="0" w:lastRowLastColumn="0"/>
          <w:cantSplit/>
          <w:tblHeader/>
        </w:trPr>
        <w:tc>
          <w:tcPr>
            <w:tcW w:w="1843" w:type="dxa"/>
            <w:shd w:val="clear" w:color="auto" w:fill="F2F2F2" w:themeFill="background1" w:themeFillShade="F2"/>
            <w:vAlign w:val="center"/>
          </w:tcPr>
          <w:p w14:paraId="09D76661" w14:textId="4B639C05" w:rsidR="00133610" w:rsidRPr="00166DB1" w:rsidRDefault="00133610" w:rsidP="00323BD8">
            <w:pPr>
              <w:pStyle w:val="KeyFindingsTableHeading"/>
            </w:pPr>
          </w:p>
        </w:tc>
        <w:tc>
          <w:tcPr>
            <w:tcW w:w="5201" w:type="dxa"/>
            <w:shd w:val="clear" w:color="auto" w:fill="F2F2F2" w:themeFill="background1" w:themeFillShade="F2"/>
            <w:vAlign w:val="center"/>
          </w:tcPr>
          <w:p w14:paraId="7DDE6F9A" w14:textId="476548A7" w:rsidR="00133610" w:rsidRPr="00166DB1" w:rsidRDefault="00133610" w:rsidP="00323BD8">
            <w:pPr>
              <w:pStyle w:val="KeyFindingsTableHeading"/>
            </w:pPr>
            <w:r w:rsidRPr="00166DB1">
              <w:t>Summary of key findings</w:t>
            </w:r>
          </w:p>
        </w:tc>
      </w:tr>
      <w:tr w:rsidR="00166DB1" w:rsidRPr="00166DB1" w14:paraId="392F4F4F" w14:textId="77777777" w:rsidTr="00133610">
        <w:trPr>
          <w:cantSplit/>
        </w:trPr>
        <w:tc>
          <w:tcPr>
            <w:tcW w:w="1843" w:type="dxa"/>
            <w:shd w:val="clear" w:color="auto" w:fill="F2F2F2" w:themeFill="background1" w:themeFillShade="F2"/>
            <w:vAlign w:val="center"/>
          </w:tcPr>
          <w:p w14:paraId="304D7CA7" w14:textId="08579236" w:rsidR="00166DB1" w:rsidRPr="00166DB1" w:rsidRDefault="00166DB1" w:rsidP="00323BD8">
            <w:pPr>
              <w:pStyle w:val="KeyFindingsTableLeftColumn"/>
            </w:pPr>
            <w:r w:rsidRPr="00166DB1">
              <w:fldChar w:fldCharType="begin"/>
            </w:r>
            <w:r w:rsidRPr="00166DB1">
              <w:instrText xml:space="preserve"> REF _Ref492992955 \r \h </w:instrText>
            </w:r>
            <w:r w:rsidR="00323BD8">
              <w:instrText xml:space="preserve"> \* MERGEFORMAT </w:instrText>
            </w:r>
            <w:r w:rsidRPr="00166DB1">
              <w:fldChar w:fldCharType="separate"/>
            </w:r>
            <w:r w:rsidRPr="00166DB1">
              <w:t>Key Finding 22:</w:t>
            </w:r>
            <w:r w:rsidRPr="00166DB1">
              <w:fldChar w:fldCharType="end"/>
            </w:r>
          </w:p>
        </w:tc>
        <w:tc>
          <w:tcPr>
            <w:tcW w:w="5201" w:type="dxa"/>
            <w:shd w:val="clear" w:color="auto" w:fill="F2F2F2" w:themeFill="background1" w:themeFillShade="F2"/>
            <w:vAlign w:val="center"/>
          </w:tcPr>
          <w:p w14:paraId="27B3D641" w14:textId="2290CB5B" w:rsidR="00166DB1" w:rsidRPr="00166DB1" w:rsidRDefault="00166DB1" w:rsidP="00323BD8">
            <w:pPr>
              <w:pStyle w:val="KeyFindingsTableCopy"/>
            </w:pPr>
            <w:r w:rsidRPr="00166DB1">
              <w:fldChar w:fldCharType="begin"/>
            </w:r>
            <w:r w:rsidRPr="00166DB1">
              <w:instrText xml:space="preserve"> REF _Ref492992955 \h </w:instrText>
            </w:r>
            <w:r w:rsidR="00323BD8">
              <w:instrText xml:space="preserve"> \* MERGEFORMAT </w:instrText>
            </w:r>
            <w:r w:rsidRPr="00166DB1">
              <w:fldChar w:fldCharType="separate"/>
            </w:r>
            <w:r w:rsidRPr="00166DB1">
              <w:t>The review of Pharmacy Workforce Programs found they are not maximising their impact or reach and may not be reacting to the changing needs of rural community pharmacists. The impact, reach and currency of the Pharmacy Workforce Programs could be improved by more proactive program governance.</w:t>
            </w:r>
            <w:r w:rsidRPr="00166DB1">
              <w:fldChar w:fldCharType="end"/>
            </w:r>
          </w:p>
        </w:tc>
      </w:tr>
      <w:tr w:rsidR="00166DB1" w:rsidRPr="00166DB1" w14:paraId="3F06D63D" w14:textId="77777777" w:rsidTr="00133610">
        <w:trPr>
          <w:cantSplit/>
        </w:trPr>
        <w:tc>
          <w:tcPr>
            <w:tcW w:w="1843" w:type="dxa"/>
            <w:shd w:val="clear" w:color="auto" w:fill="F2F2F2" w:themeFill="background1" w:themeFillShade="F2"/>
            <w:vAlign w:val="center"/>
          </w:tcPr>
          <w:p w14:paraId="67025F6A" w14:textId="27D61C34" w:rsidR="00166DB1" w:rsidRPr="00166DB1" w:rsidRDefault="00166DB1" w:rsidP="00323BD8">
            <w:pPr>
              <w:pStyle w:val="KeyFindingsTableLeftColumn"/>
            </w:pPr>
            <w:r w:rsidRPr="00166DB1">
              <w:fldChar w:fldCharType="begin"/>
            </w:r>
            <w:r w:rsidRPr="00166DB1">
              <w:instrText xml:space="preserve"> REF _Ref490677216 \r \h </w:instrText>
            </w:r>
            <w:r w:rsidR="00323BD8">
              <w:instrText xml:space="preserve"> \* MERGEFORMAT </w:instrText>
            </w:r>
            <w:r w:rsidRPr="00166DB1">
              <w:fldChar w:fldCharType="separate"/>
            </w:r>
            <w:r w:rsidRPr="00166DB1">
              <w:t>Key Finding 23:</w:t>
            </w:r>
            <w:r w:rsidRPr="00166DB1">
              <w:fldChar w:fldCharType="end"/>
            </w:r>
          </w:p>
        </w:tc>
        <w:tc>
          <w:tcPr>
            <w:tcW w:w="5201" w:type="dxa"/>
            <w:shd w:val="clear" w:color="auto" w:fill="F2F2F2" w:themeFill="background1" w:themeFillShade="F2"/>
            <w:vAlign w:val="center"/>
          </w:tcPr>
          <w:p w14:paraId="61135DEA" w14:textId="5C04CEEE" w:rsidR="00166DB1" w:rsidRPr="00166DB1" w:rsidRDefault="00166DB1" w:rsidP="00323BD8">
            <w:pPr>
              <w:pStyle w:val="KeyFindingsTableCopy"/>
            </w:pPr>
            <w:r w:rsidRPr="00166DB1">
              <w:fldChar w:fldCharType="begin"/>
            </w:r>
            <w:r w:rsidRPr="00166DB1">
              <w:instrText xml:space="preserve"> REF _Ref490677216 \h </w:instrText>
            </w:r>
            <w:r w:rsidR="00323BD8">
              <w:instrText xml:space="preserve"> \* MERGEFORMAT </w:instrText>
            </w:r>
            <w:r w:rsidRPr="00166DB1">
              <w:fldChar w:fldCharType="separate"/>
            </w:r>
            <w:r w:rsidRPr="00166DB1">
              <w:t>The majority of program funding was directed to recruitment programs (38.1% of total Pharmacy Workforce Programs’ expenditure), followed by retention programs (28.1% of expenditure), other workforce support programs (28.9% of expenditure) and programs to enhance availability of culturally appropriate services (4.9% of expenditure).</w:t>
            </w:r>
            <w:r w:rsidRPr="00166DB1">
              <w:fldChar w:fldCharType="end"/>
            </w:r>
          </w:p>
        </w:tc>
      </w:tr>
      <w:tr w:rsidR="00166DB1" w:rsidRPr="00166DB1" w14:paraId="1F7F13E9" w14:textId="77777777" w:rsidTr="00133610">
        <w:trPr>
          <w:cantSplit/>
        </w:trPr>
        <w:tc>
          <w:tcPr>
            <w:tcW w:w="1843" w:type="dxa"/>
            <w:shd w:val="clear" w:color="auto" w:fill="F2F2F2" w:themeFill="background1" w:themeFillShade="F2"/>
            <w:vAlign w:val="center"/>
          </w:tcPr>
          <w:p w14:paraId="0455C226" w14:textId="3F836AB6" w:rsidR="00166DB1" w:rsidRPr="00166DB1" w:rsidRDefault="00166DB1" w:rsidP="00323BD8">
            <w:pPr>
              <w:pStyle w:val="KeyFindingsTableLeftColumn"/>
            </w:pPr>
            <w:r w:rsidRPr="00166DB1">
              <w:fldChar w:fldCharType="begin"/>
            </w:r>
            <w:r w:rsidRPr="00166DB1">
              <w:instrText xml:space="preserve"> REF _Ref490677221 \r \h </w:instrText>
            </w:r>
            <w:r w:rsidR="00323BD8">
              <w:instrText xml:space="preserve"> \* MERGEFORMAT </w:instrText>
            </w:r>
            <w:r w:rsidRPr="00166DB1">
              <w:fldChar w:fldCharType="separate"/>
            </w:r>
            <w:r w:rsidRPr="00166DB1">
              <w:t>Key Finding 24:</w:t>
            </w:r>
            <w:r w:rsidRPr="00166DB1">
              <w:fldChar w:fldCharType="end"/>
            </w:r>
          </w:p>
        </w:tc>
        <w:tc>
          <w:tcPr>
            <w:tcW w:w="5201" w:type="dxa"/>
            <w:shd w:val="clear" w:color="auto" w:fill="F2F2F2" w:themeFill="background1" w:themeFillShade="F2"/>
            <w:vAlign w:val="center"/>
          </w:tcPr>
          <w:p w14:paraId="6905D311" w14:textId="2FA19153" w:rsidR="00166DB1" w:rsidRPr="00166DB1" w:rsidRDefault="00166DB1" w:rsidP="00323BD8">
            <w:pPr>
              <w:pStyle w:val="KeyFindingsTableCopy"/>
            </w:pPr>
            <w:r w:rsidRPr="00166DB1">
              <w:fldChar w:fldCharType="begin"/>
            </w:r>
            <w:r w:rsidRPr="00166DB1">
              <w:instrText xml:space="preserve"> REF _Ref490677221 \h </w:instrText>
            </w:r>
            <w:r w:rsidR="00323BD8">
              <w:instrText xml:space="preserve"> \* MERGEFORMAT </w:instrText>
            </w:r>
            <w:r w:rsidRPr="00166DB1">
              <w:fldChar w:fldCharType="separate"/>
            </w:r>
            <w:r w:rsidRPr="00166DB1">
              <w:t>In contrast to general practice and dentistry, there are no programs that incentivise existing pharmacists in major cities to relocate to rural and remote areas, or overseas trained pharmacists to work in non-metropolitan areas. Consideration could be given to introducing such programs to enhance recruitment rates to non-metropolitan areas.</w:t>
            </w:r>
            <w:r w:rsidRPr="00166DB1">
              <w:fldChar w:fldCharType="end"/>
            </w:r>
          </w:p>
        </w:tc>
      </w:tr>
      <w:tr w:rsidR="00166DB1" w:rsidRPr="00166DB1" w14:paraId="4F8C6F55" w14:textId="77777777" w:rsidTr="00133610">
        <w:trPr>
          <w:cantSplit/>
        </w:trPr>
        <w:tc>
          <w:tcPr>
            <w:tcW w:w="1843" w:type="dxa"/>
            <w:shd w:val="clear" w:color="auto" w:fill="F2F2F2" w:themeFill="background1" w:themeFillShade="F2"/>
            <w:vAlign w:val="center"/>
          </w:tcPr>
          <w:p w14:paraId="692B983A" w14:textId="6450E262" w:rsidR="00166DB1" w:rsidRPr="00166DB1" w:rsidRDefault="00166DB1" w:rsidP="00323BD8">
            <w:pPr>
              <w:pStyle w:val="KeyFindingsTableLeftColumn"/>
            </w:pPr>
            <w:r w:rsidRPr="00166DB1">
              <w:fldChar w:fldCharType="begin"/>
            </w:r>
            <w:r w:rsidRPr="00166DB1">
              <w:instrText xml:space="preserve"> REF _Ref489869158 \r \h </w:instrText>
            </w:r>
            <w:r w:rsidR="00323BD8">
              <w:instrText xml:space="preserve"> \* MERGEFORMAT </w:instrText>
            </w:r>
            <w:r w:rsidRPr="00166DB1">
              <w:fldChar w:fldCharType="separate"/>
            </w:r>
            <w:r w:rsidRPr="00166DB1">
              <w:t>Key Finding 25:</w:t>
            </w:r>
            <w:r w:rsidRPr="00166DB1">
              <w:fldChar w:fldCharType="end"/>
            </w:r>
          </w:p>
        </w:tc>
        <w:tc>
          <w:tcPr>
            <w:tcW w:w="5201" w:type="dxa"/>
            <w:shd w:val="clear" w:color="auto" w:fill="F2F2F2" w:themeFill="background1" w:themeFillShade="F2"/>
            <w:vAlign w:val="center"/>
          </w:tcPr>
          <w:p w14:paraId="487BC6F5" w14:textId="0E09C383" w:rsidR="00166DB1" w:rsidRPr="00166DB1" w:rsidRDefault="00166DB1" w:rsidP="00323BD8">
            <w:pPr>
              <w:pStyle w:val="KeyFindingsTableCopy"/>
            </w:pPr>
            <w:r w:rsidRPr="00166DB1">
              <w:fldChar w:fldCharType="begin"/>
            </w:r>
            <w:r w:rsidRPr="00166DB1">
              <w:instrText xml:space="preserve"> REF _Ref489869158 \h </w:instrText>
            </w:r>
            <w:r w:rsidR="00323BD8">
              <w:instrText xml:space="preserve"> \* MERGEFORMAT </w:instrText>
            </w:r>
            <w:r w:rsidRPr="00166DB1">
              <w:fldChar w:fldCharType="separate"/>
            </w:r>
            <w:r w:rsidRPr="00166DB1">
              <w:t>The funding for enhanced culturally appropriate services targeting Aboriginal and Torres Straits students and trainees was focussed solely on recruitment programs. This was reflected in the recruitment of new graduates to rural and remote areas, but there were no retention programs for this workforce category.</w:t>
            </w:r>
            <w:r w:rsidRPr="00166DB1">
              <w:fldChar w:fldCharType="end"/>
            </w:r>
          </w:p>
        </w:tc>
      </w:tr>
    </w:tbl>
    <w:p w14:paraId="5B27214F" w14:textId="77777777" w:rsidR="00072DFC" w:rsidRDefault="00072DFC" w:rsidP="00166DB1">
      <w:pPr>
        <w:spacing w:before="60" w:after="60"/>
        <w:ind w:left="142" w:right="142"/>
        <w:rPr>
          <w:rFonts w:ascii="Franklin Gothic Book" w:eastAsia="Garamond" w:hAnsi="Franklin Gothic Book"/>
          <w:color w:val="000000"/>
        </w:rPr>
        <w:sectPr w:rsidR="00072DFC" w:rsidSect="00072DFC">
          <w:headerReference w:type="default" r:id="rId36"/>
          <w:headerReference w:type="first" r:id="rId37"/>
          <w:pgSz w:w="16839" w:h="11907" w:orient="landscape" w:code="9"/>
          <w:pgMar w:top="2268" w:right="1304" w:bottom="850" w:left="737" w:header="567" w:footer="284" w:gutter="0"/>
          <w:cols w:num="2" w:space="709"/>
          <w:titlePg/>
          <w:docGrid w:linePitch="360"/>
        </w:sectPr>
      </w:pPr>
    </w:p>
    <w:tbl>
      <w:tblPr>
        <w:tblStyle w:val="KeyFindings"/>
        <w:tblW w:w="5000" w:type="pct"/>
        <w:shd w:val="clear" w:color="auto" w:fill="F2F2F2" w:themeFill="background1" w:themeFillShade="F2"/>
        <w:tblLayout w:type="fixed"/>
        <w:tblLook w:val="04A0" w:firstRow="1" w:lastRow="0" w:firstColumn="1" w:lastColumn="0" w:noHBand="0" w:noVBand="1"/>
        <w:tblCaption w:val="SUMMARY OF KEY FINDINGS"/>
        <w:tblDescription w:val="SUMMARY OF KEY FINDINGS Table summarising Key Findings 26 to 28"/>
      </w:tblPr>
      <w:tblGrid>
        <w:gridCol w:w="1876"/>
        <w:gridCol w:w="5168"/>
      </w:tblGrid>
      <w:tr w:rsidR="00CE71F8" w:rsidRPr="00166DB1" w14:paraId="21066163" w14:textId="77777777" w:rsidTr="00E804BF">
        <w:trPr>
          <w:cnfStyle w:val="100000000000" w:firstRow="1" w:lastRow="0" w:firstColumn="0" w:lastColumn="0" w:oddVBand="0" w:evenVBand="0" w:oddHBand="0" w:evenHBand="0" w:firstRowFirstColumn="0" w:firstRowLastColumn="0" w:lastRowFirstColumn="0" w:lastRowLastColumn="0"/>
          <w:cantSplit/>
          <w:tblHeader/>
        </w:trPr>
        <w:tc>
          <w:tcPr>
            <w:tcW w:w="1876" w:type="dxa"/>
            <w:shd w:val="clear" w:color="auto" w:fill="F2F2F2" w:themeFill="background1" w:themeFillShade="F2"/>
            <w:vAlign w:val="center"/>
          </w:tcPr>
          <w:p w14:paraId="286071B6" w14:textId="77777777" w:rsidR="00CE71F8" w:rsidRPr="00166DB1" w:rsidRDefault="00CE71F8" w:rsidP="00323BD8">
            <w:pPr>
              <w:pStyle w:val="KeyFindingsTableLeftColumn"/>
            </w:pPr>
          </w:p>
        </w:tc>
        <w:tc>
          <w:tcPr>
            <w:tcW w:w="5168" w:type="dxa"/>
            <w:shd w:val="clear" w:color="auto" w:fill="F2F2F2" w:themeFill="background1" w:themeFillShade="F2"/>
            <w:vAlign w:val="center"/>
          </w:tcPr>
          <w:p w14:paraId="16F71C53" w14:textId="31D09070" w:rsidR="00CE71F8" w:rsidRPr="00166DB1" w:rsidRDefault="00CE71F8" w:rsidP="00CE71F8">
            <w:pPr>
              <w:pStyle w:val="KeyFindingsTableHeading"/>
            </w:pPr>
            <w:r w:rsidRPr="00166DB1">
              <w:t>Summary of key findings</w:t>
            </w:r>
          </w:p>
        </w:tc>
      </w:tr>
      <w:tr w:rsidR="00166DB1" w:rsidRPr="00166DB1" w14:paraId="28579BD9" w14:textId="77777777" w:rsidTr="00063226">
        <w:trPr>
          <w:cantSplit/>
        </w:trPr>
        <w:tc>
          <w:tcPr>
            <w:tcW w:w="1876" w:type="dxa"/>
            <w:shd w:val="clear" w:color="auto" w:fill="F2F2F2" w:themeFill="background1" w:themeFillShade="F2"/>
            <w:vAlign w:val="center"/>
          </w:tcPr>
          <w:p w14:paraId="5997F0E9" w14:textId="279E405F" w:rsidR="00166DB1" w:rsidRPr="00166DB1" w:rsidRDefault="00166DB1" w:rsidP="00323BD8">
            <w:pPr>
              <w:pStyle w:val="KeyFindingsTableLeftColumn"/>
            </w:pPr>
            <w:r w:rsidRPr="00166DB1">
              <w:fldChar w:fldCharType="begin"/>
            </w:r>
            <w:r w:rsidRPr="00166DB1">
              <w:instrText xml:space="preserve"> REF _Ref489869175 \r \h </w:instrText>
            </w:r>
            <w:r w:rsidR="00323BD8">
              <w:instrText xml:space="preserve"> \* MERGEFORMAT </w:instrText>
            </w:r>
            <w:r w:rsidRPr="00166DB1">
              <w:fldChar w:fldCharType="separate"/>
            </w:r>
            <w:r w:rsidRPr="00166DB1">
              <w:t>Key Finding 26:</w:t>
            </w:r>
            <w:r w:rsidRPr="00166DB1">
              <w:fldChar w:fldCharType="end"/>
            </w:r>
          </w:p>
        </w:tc>
        <w:tc>
          <w:tcPr>
            <w:tcW w:w="5168" w:type="dxa"/>
            <w:shd w:val="clear" w:color="auto" w:fill="F2F2F2" w:themeFill="background1" w:themeFillShade="F2"/>
            <w:vAlign w:val="center"/>
          </w:tcPr>
          <w:p w14:paraId="3501FD1A" w14:textId="7D1856CC" w:rsidR="00166DB1" w:rsidRPr="00166DB1" w:rsidRDefault="00166DB1" w:rsidP="00323BD8">
            <w:pPr>
              <w:pStyle w:val="KeyFindingsTableCopy"/>
            </w:pPr>
            <w:r w:rsidRPr="00166DB1">
              <w:fldChar w:fldCharType="begin"/>
            </w:r>
            <w:r w:rsidRPr="00166DB1">
              <w:instrText xml:space="preserve"> REF _Ref489869175 \h </w:instrText>
            </w:r>
            <w:r w:rsidR="00323BD8">
              <w:instrText xml:space="preserve"> \* MERGEFORMAT </w:instrText>
            </w:r>
            <w:r w:rsidRPr="00166DB1">
              <w:fldChar w:fldCharType="separate"/>
            </w:r>
            <w:r w:rsidRPr="00166DB1">
              <w:t>There was insufficient data on programs aimed at increasing access to culturally appropriate pharmacy services to determine their impact on the rural and remote workforce. However, the Aboriginal and Torres Strait Islander Scholarship Scheme appeared to have contributed to modest growth in the Aboriginal and Torres Strait Islander pharmacist workforce.</w:t>
            </w:r>
            <w:r w:rsidRPr="00166DB1">
              <w:fldChar w:fldCharType="end"/>
            </w:r>
          </w:p>
        </w:tc>
      </w:tr>
      <w:tr w:rsidR="00166DB1" w:rsidRPr="00166DB1" w14:paraId="180B8B5F" w14:textId="77777777" w:rsidTr="00063226">
        <w:trPr>
          <w:cantSplit/>
        </w:trPr>
        <w:tc>
          <w:tcPr>
            <w:tcW w:w="1876" w:type="dxa"/>
            <w:shd w:val="clear" w:color="auto" w:fill="F2F2F2" w:themeFill="background1" w:themeFillShade="F2"/>
            <w:vAlign w:val="center"/>
          </w:tcPr>
          <w:p w14:paraId="44029FA9" w14:textId="29C6CB98" w:rsidR="00166DB1" w:rsidRPr="00166DB1" w:rsidRDefault="00166DB1" w:rsidP="00323BD8">
            <w:pPr>
              <w:pStyle w:val="KeyFindingsTableLeftColumn"/>
              <w:rPr>
                <w:rFonts w:eastAsia="Garamond"/>
              </w:rPr>
            </w:pPr>
            <w:r w:rsidRPr="00166DB1">
              <w:rPr>
                <w:rFonts w:eastAsia="Garamond"/>
              </w:rPr>
              <w:fldChar w:fldCharType="begin"/>
            </w:r>
            <w:r w:rsidRPr="00166DB1">
              <w:rPr>
                <w:rFonts w:eastAsia="Garamond"/>
              </w:rPr>
              <w:instrText xml:space="preserve"> REF _Ref490677235 \r \h </w:instrText>
            </w:r>
            <w:r w:rsidR="00323BD8">
              <w:rPr>
                <w:rFonts w:eastAsia="Garamond"/>
              </w:rPr>
              <w:instrText xml:space="preserve"> \* MERGEFORMAT </w:instrText>
            </w:r>
            <w:r w:rsidRPr="00166DB1">
              <w:rPr>
                <w:rFonts w:eastAsia="Garamond"/>
              </w:rPr>
            </w:r>
            <w:r w:rsidRPr="00166DB1">
              <w:rPr>
                <w:rFonts w:eastAsia="Garamond"/>
              </w:rPr>
              <w:fldChar w:fldCharType="separate"/>
            </w:r>
            <w:r w:rsidRPr="00166DB1">
              <w:rPr>
                <w:rFonts w:eastAsia="Garamond"/>
              </w:rPr>
              <w:t>Key Finding 27:</w:t>
            </w:r>
            <w:r w:rsidRPr="00166DB1">
              <w:rPr>
                <w:rFonts w:eastAsia="Garamond"/>
              </w:rPr>
              <w:fldChar w:fldCharType="end"/>
            </w:r>
          </w:p>
        </w:tc>
        <w:tc>
          <w:tcPr>
            <w:tcW w:w="5168" w:type="dxa"/>
            <w:shd w:val="clear" w:color="auto" w:fill="F2F2F2" w:themeFill="background1" w:themeFillShade="F2"/>
            <w:vAlign w:val="center"/>
          </w:tcPr>
          <w:p w14:paraId="33B3E957" w14:textId="4A7D46E2" w:rsidR="00166DB1" w:rsidRPr="00166DB1" w:rsidRDefault="00166DB1" w:rsidP="00323BD8">
            <w:pPr>
              <w:pStyle w:val="KeyFindingsTableCopy"/>
            </w:pPr>
            <w:r w:rsidRPr="00166DB1">
              <w:fldChar w:fldCharType="begin"/>
            </w:r>
            <w:r w:rsidRPr="00166DB1">
              <w:instrText xml:space="preserve"> REF _Ref490677235 \h </w:instrText>
            </w:r>
            <w:r w:rsidR="00323BD8">
              <w:instrText xml:space="preserve"> \* MERGEFORMAT </w:instrText>
            </w:r>
            <w:r w:rsidRPr="00166DB1">
              <w:fldChar w:fldCharType="separate"/>
            </w:r>
            <w:r w:rsidRPr="00166DB1">
              <w:t>The estimated cost of administering both Pharmacy Workforce package components was within an acceptable range (under 30% of total program cost).</w:t>
            </w:r>
            <w:r w:rsidRPr="00166DB1">
              <w:fldChar w:fldCharType="end"/>
            </w:r>
          </w:p>
        </w:tc>
      </w:tr>
      <w:tr w:rsidR="00166DB1" w:rsidRPr="00166DB1" w14:paraId="1F962DBD" w14:textId="77777777" w:rsidTr="00063226">
        <w:trPr>
          <w:cantSplit/>
        </w:trPr>
        <w:tc>
          <w:tcPr>
            <w:tcW w:w="1876" w:type="dxa"/>
            <w:shd w:val="clear" w:color="auto" w:fill="F2F2F2" w:themeFill="background1" w:themeFillShade="F2"/>
            <w:vAlign w:val="center"/>
          </w:tcPr>
          <w:p w14:paraId="0DEE6A0C" w14:textId="43151C93" w:rsidR="00166DB1" w:rsidRPr="00166DB1" w:rsidRDefault="00166DB1" w:rsidP="00323BD8">
            <w:pPr>
              <w:pStyle w:val="KeyFindingsTableLeftColumn"/>
              <w:rPr>
                <w:rFonts w:eastAsia="Garamond"/>
              </w:rPr>
            </w:pPr>
            <w:r w:rsidRPr="00166DB1">
              <w:rPr>
                <w:rFonts w:eastAsia="Garamond"/>
              </w:rPr>
              <w:fldChar w:fldCharType="begin"/>
            </w:r>
            <w:r w:rsidRPr="00166DB1">
              <w:rPr>
                <w:rFonts w:eastAsia="Garamond"/>
              </w:rPr>
              <w:instrText xml:space="preserve"> REF _Ref490677246 \r \h </w:instrText>
            </w:r>
            <w:r w:rsidR="00323BD8">
              <w:rPr>
                <w:rFonts w:eastAsia="Garamond"/>
              </w:rPr>
              <w:instrText xml:space="preserve"> \* MERGEFORMAT </w:instrText>
            </w:r>
            <w:r w:rsidRPr="00166DB1">
              <w:rPr>
                <w:rFonts w:eastAsia="Garamond"/>
              </w:rPr>
            </w:r>
            <w:r w:rsidRPr="00166DB1">
              <w:rPr>
                <w:rFonts w:eastAsia="Garamond"/>
              </w:rPr>
              <w:fldChar w:fldCharType="separate"/>
            </w:r>
            <w:r w:rsidRPr="00166DB1">
              <w:rPr>
                <w:rFonts w:eastAsia="Garamond"/>
              </w:rPr>
              <w:t>Key Finding 28:</w:t>
            </w:r>
            <w:r w:rsidRPr="00166DB1">
              <w:rPr>
                <w:rFonts w:eastAsia="Garamond"/>
              </w:rPr>
              <w:fldChar w:fldCharType="end"/>
            </w:r>
          </w:p>
        </w:tc>
        <w:tc>
          <w:tcPr>
            <w:tcW w:w="5168" w:type="dxa"/>
            <w:shd w:val="clear" w:color="auto" w:fill="F2F2F2" w:themeFill="background1" w:themeFillShade="F2"/>
            <w:vAlign w:val="center"/>
          </w:tcPr>
          <w:p w14:paraId="0E66FA1F" w14:textId="1BF61064" w:rsidR="00166DB1" w:rsidRPr="00166DB1" w:rsidRDefault="00166DB1" w:rsidP="00323BD8">
            <w:pPr>
              <w:pStyle w:val="KeyFindingsTableCopy"/>
            </w:pPr>
            <w:r w:rsidRPr="00166DB1">
              <w:fldChar w:fldCharType="begin"/>
            </w:r>
            <w:r w:rsidRPr="00166DB1">
              <w:instrText xml:space="preserve"> REF _Ref490677246 \h </w:instrText>
            </w:r>
            <w:r w:rsidR="00323BD8">
              <w:instrText xml:space="preserve"> \* MERGEFORMAT </w:instrText>
            </w:r>
            <w:r w:rsidRPr="00166DB1">
              <w:fldChar w:fldCharType="separate"/>
            </w:r>
            <w:r w:rsidRPr="00166DB1">
              <w:t>Pharmacists considered the most effective programs relative to cost were the Intern Incentive Allowance for Rural Pharmacies, the CPE Allowance and the RPLO Program.</w:t>
            </w:r>
            <w:r w:rsidRPr="00166DB1">
              <w:fldChar w:fldCharType="end"/>
            </w:r>
          </w:p>
        </w:tc>
      </w:tr>
    </w:tbl>
    <w:p w14:paraId="5F656128" w14:textId="77777777" w:rsidR="00166DB1" w:rsidRPr="00166DB1" w:rsidRDefault="00166DB1" w:rsidP="00787AA0">
      <w:pPr>
        <w:pStyle w:val="ESHeading2"/>
        <w:spacing w:before="240"/>
        <w:rPr>
          <w:lang w:val="en-US"/>
        </w:rPr>
      </w:pPr>
      <w:r w:rsidRPr="00166DB1">
        <w:rPr>
          <w:lang w:val="en-US"/>
        </w:rPr>
        <w:t>Efficiency analysis</w:t>
      </w:r>
    </w:p>
    <w:p w14:paraId="4F4D2FE5" w14:textId="77777777" w:rsidR="00166DB1" w:rsidRPr="00B24642" w:rsidRDefault="00166DB1" w:rsidP="00B24642">
      <w:pPr>
        <w:pStyle w:val="Heading2"/>
      </w:pPr>
      <w:bookmarkStart w:id="94" w:name="_Toc523322075"/>
      <w:bookmarkStart w:id="95" w:name="_Toc490574939"/>
      <w:r w:rsidRPr="00B24642">
        <w:t>Program governance</w:t>
      </w:r>
      <w:bookmarkEnd w:id="94"/>
    </w:p>
    <w:p w14:paraId="5F334167"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Issues with program management, operation and reporting identified during the review point to areas in which program governance could be improved. We did not find strong evidence that the Pharmacy Workforce Programs were closely monitored to ensure the programs consistently meet their objectives, maximised their reach and continue to innovate and adapt to workforce issues. On the contrary, HMA had to retrospectively calculate annual activity and expenditure estimates by summing data in quarterly returns. </w:t>
      </w:r>
    </w:p>
    <w:p w14:paraId="4C60E4C2"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As discussed in Section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_Ref492987606 \n \h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2.2</w:t>
      </w:r>
      <w:r w:rsidRPr="00166DB1">
        <w:rPr>
          <w:rFonts w:ascii="Garamond" w:eastAsia="Garamond" w:hAnsi="Garamond"/>
          <w:color w:val="000000"/>
        </w:rPr>
        <w:fldChar w:fldCharType="end"/>
      </w:r>
      <w:r w:rsidRPr="00166DB1">
        <w:rPr>
          <w:rFonts w:ascii="Garamond" w:eastAsia="Garamond" w:hAnsi="Garamond"/>
          <w:color w:val="000000"/>
        </w:rPr>
        <w:t xml:space="preserve">, the programs lack measurable objectives which diminished the Department’s ability to monitor their effectiveness against specific targets. </w:t>
      </w:r>
    </w:p>
    <w:p w14:paraId="3C34C63C"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Furthermore, the program under-spend identified in Section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_Ref492988637 \n \h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2.4</w:t>
      </w:r>
      <w:r w:rsidRPr="00166DB1">
        <w:rPr>
          <w:rFonts w:ascii="Garamond" w:eastAsia="Garamond" w:hAnsi="Garamond"/>
          <w:color w:val="000000"/>
        </w:rPr>
        <w:fldChar w:fldCharType="end"/>
      </w:r>
      <w:r w:rsidRPr="00166DB1">
        <w:rPr>
          <w:rFonts w:ascii="Garamond" w:eastAsia="Garamond" w:hAnsi="Garamond"/>
          <w:color w:val="000000"/>
        </w:rPr>
        <w:t xml:space="preserve"> indicates available resources were not being utilised to maximise program outputs. Identifying under-spending is made more difficult as expenditure appears to be reported by individual program, rather than tallied for the package as a whole. </w:t>
      </w:r>
    </w:p>
    <w:p w14:paraId="4FA5CAE1"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Take-up volumes for particular programs appeared to be low (e.g. the Aboriginal and Torres Strait Islander Pharmacy Assistant Traineeship Scheme). However, no proactive management of program marketing was identified in the review. Consultation with pharmacy students, interns and community pharmacists identified a lack of awareness of particular programs suggesting patchy promotion activities. </w:t>
      </w:r>
    </w:p>
    <w:p w14:paraId="266506D6"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Finally, the evaluation found that the goals and functions of the programs have not evolved to any great degree since their inception in the 3CPA. However, the subsequent 17 years have seen significant changes in the way community pharmacists operate in rural and remote areas such as the introduction of QUMAX. In addition, incentives to develop the non-metropolitan workforce in the medicine, nursing and other allied health professions have evolved over this same period.</w:t>
      </w:r>
    </w:p>
    <w:p w14:paraId="0CC40534" w14:textId="77777777" w:rsidR="00166DB1" w:rsidRPr="00166DB1" w:rsidRDefault="00166DB1" w:rsidP="00063226">
      <w:pPr>
        <w:pStyle w:val="KeyFinding"/>
        <w:shd w:val="clear" w:color="auto" w:fill="F2F2F2" w:themeFill="background1" w:themeFillShade="F2"/>
      </w:pPr>
      <w:bookmarkStart w:id="96" w:name="_Ref492992955"/>
      <w:r w:rsidRPr="00166DB1">
        <w:t>The review of Pharmacy Workforce Programs found they are not maximising their impact or reach and may not be reacting to the changing needs of rural community pharmacists. The impact, reach and currency of the Pharmacy Workforce Programs could be improved by more proactive program governance.</w:t>
      </w:r>
      <w:bookmarkEnd w:id="96"/>
      <w:r w:rsidRPr="00166DB1">
        <w:t xml:space="preserve"> </w:t>
      </w:r>
    </w:p>
    <w:p w14:paraId="57085DFA" w14:textId="77777777" w:rsidR="00166DB1" w:rsidRPr="00166DB1" w:rsidRDefault="00166DB1" w:rsidP="00B24642">
      <w:pPr>
        <w:pStyle w:val="Heading2"/>
      </w:pPr>
      <w:bookmarkStart w:id="97" w:name="_Toc523322076"/>
      <w:r w:rsidRPr="00166DB1">
        <w:t>Mix of program types</w:t>
      </w:r>
      <w:bookmarkEnd w:id="95"/>
      <w:bookmarkEnd w:id="97"/>
    </w:p>
    <w:p w14:paraId="770A2199"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For this evaluation, the Pharmacy Workforce Programs were categorised by their objective (recruitment, retention, other support or access to culturally appropriate services). In addition, a second classification based on the workforce support activity type was undertaken as follows: professional and lifestyle exposure of students to a rural and remote community experience; a scholarship or traineeship; and travel / accommodation costs to ease the burden of distance generated from working in rural and remote areas. </w:t>
      </w:r>
    </w:p>
    <w:p w14:paraId="5AB7EC5B"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lastRenderedPageBreak/>
        <w:t xml:space="preserve">The relationship of programs between these two classification systems is presented in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_Ref488145761 \h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 xml:space="preserve">Table </w:t>
      </w:r>
      <w:r w:rsidRPr="00166DB1">
        <w:rPr>
          <w:rFonts w:ascii="Garamond" w:eastAsia="Garamond" w:hAnsi="Garamond"/>
          <w:noProof/>
          <w:color w:val="000000"/>
        </w:rPr>
        <w:t>6</w:t>
      </w:r>
      <w:r w:rsidRPr="00166DB1">
        <w:rPr>
          <w:rFonts w:ascii="Garamond" w:eastAsia="Garamond" w:hAnsi="Garamond"/>
          <w:color w:val="000000"/>
        </w:rPr>
        <w:t>.</w:t>
      </w:r>
      <w:r w:rsidRPr="00166DB1">
        <w:rPr>
          <w:rFonts w:ascii="Garamond" w:eastAsia="Garamond" w:hAnsi="Garamond"/>
          <w:noProof/>
          <w:color w:val="000000"/>
        </w:rPr>
        <w:t>1</w:t>
      </w:r>
      <w:r w:rsidRPr="00166DB1">
        <w:rPr>
          <w:rFonts w:ascii="Garamond" w:eastAsia="Garamond" w:hAnsi="Garamond"/>
          <w:color w:val="000000"/>
        </w:rPr>
        <w:fldChar w:fldCharType="end"/>
      </w:r>
      <w:r w:rsidRPr="00166DB1">
        <w:rPr>
          <w:rFonts w:ascii="Garamond" w:eastAsia="Garamond" w:hAnsi="Garamond"/>
          <w:color w:val="000000"/>
        </w:rPr>
        <w:t xml:space="preserve">. </w:t>
      </w:r>
    </w:p>
    <w:p w14:paraId="5CF34FF9"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This analysis shows that the recruitment programs focused across all activity types – professional and lifestyle exposure, scholarship and travel expenses – with a total annual investment of approximately </w:t>
      </w:r>
      <w:r w:rsidRPr="00166DB1">
        <w:rPr>
          <w:rFonts w:ascii="Times New Roman" w:eastAsia="Garamond" w:hAnsi="Times New Roman"/>
          <w:color w:val="000000"/>
        </w:rPr>
        <w:t>$1.8</w:t>
      </w:r>
      <w:r w:rsidRPr="00166DB1">
        <w:rPr>
          <w:rFonts w:ascii="Garamond" w:eastAsia="Garamond" w:hAnsi="Garamond"/>
          <w:color w:val="000000"/>
        </w:rPr>
        <w:t>m (or 38.1% of the total Pharmacy Workforce Programs’ expenditure).</w:t>
      </w:r>
    </w:p>
    <w:p w14:paraId="7D4FF964"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Retention programs covered two of the activities – professional and lifestyle exposure and travel expenses – with a total annual expenditure of approximately </w:t>
      </w:r>
      <w:r w:rsidRPr="00166DB1">
        <w:rPr>
          <w:rFonts w:ascii="Times New Roman" w:eastAsia="Garamond" w:hAnsi="Times New Roman"/>
          <w:color w:val="000000"/>
        </w:rPr>
        <w:t>$</w:t>
      </w:r>
      <w:r w:rsidRPr="00166DB1">
        <w:rPr>
          <w:rFonts w:ascii="Garamond" w:eastAsia="Garamond" w:hAnsi="Garamond"/>
          <w:color w:val="000000"/>
        </w:rPr>
        <w:t xml:space="preserve">1.3m (28.1%). </w:t>
      </w:r>
    </w:p>
    <w:p w14:paraId="001F6DCA"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‘other workforce support’ programs were professional and lifestyle-related programs, and focused predominately on recruitment (e.g. student placements) rather than retention of the existing workforce. These programs had a total annual expenditure of approximately </w:t>
      </w:r>
      <w:r w:rsidRPr="00166DB1">
        <w:rPr>
          <w:rFonts w:ascii="Times New Roman" w:eastAsia="Garamond" w:hAnsi="Times New Roman"/>
          <w:color w:val="000000"/>
        </w:rPr>
        <w:t>$</w:t>
      </w:r>
      <w:r w:rsidRPr="00166DB1">
        <w:rPr>
          <w:rFonts w:ascii="Garamond" w:eastAsia="Garamond" w:hAnsi="Garamond"/>
          <w:color w:val="000000"/>
        </w:rPr>
        <w:t xml:space="preserve">1.4m (28.9%). </w:t>
      </w:r>
    </w:p>
    <w:p w14:paraId="50C3869E" w14:textId="2DCAA022"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programs to enhance availability of culturally appropriate pharmacy services – targeting Aboriginal and Torres Strait Islander students – were all scholarship or </w:t>
      </w:r>
      <w:r w:rsidR="00D65552" w:rsidRPr="00166DB1">
        <w:rPr>
          <w:rFonts w:ascii="Garamond" w:eastAsia="Garamond" w:hAnsi="Garamond"/>
          <w:color w:val="000000"/>
        </w:rPr>
        <w:t>traineeship-based</w:t>
      </w:r>
      <w:r w:rsidRPr="00166DB1">
        <w:rPr>
          <w:rFonts w:ascii="Garamond" w:eastAsia="Garamond" w:hAnsi="Garamond"/>
          <w:color w:val="000000"/>
        </w:rPr>
        <w:t xml:space="preserve"> programs. Total annual expenditure was approximately </w:t>
      </w:r>
      <w:r w:rsidRPr="00166DB1">
        <w:rPr>
          <w:rFonts w:ascii="Times New Roman" w:eastAsia="Garamond" w:hAnsi="Times New Roman"/>
          <w:color w:val="000000"/>
        </w:rPr>
        <w:t>$</w:t>
      </w:r>
      <w:r w:rsidRPr="00166DB1">
        <w:rPr>
          <w:rFonts w:ascii="Garamond" w:eastAsia="Garamond" w:hAnsi="Garamond"/>
          <w:color w:val="000000"/>
        </w:rPr>
        <w:t xml:space="preserve">0.2m (4.9%). </w:t>
      </w:r>
    </w:p>
    <w:p w14:paraId="781049FE" w14:textId="77777777" w:rsidR="00166DB1" w:rsidRPr="00166DB1" w:rsidRDefault="00166DB1" w:rsidP="00546711">
      <w:pPr>
        <w:pStyle w:val="KeyFinding"/>
        <w:shd w:val="clear" w:color="auto" w:fill="F2F2F2" w:themeFill="background1" w:themeFillShade="F2"/>
      </w:pPr>
      <w:bookmarkStart w:id="98" w:name="_Ref490677216"/>
      <w:r w:rsidRPr="00166DB1">
        <w:t>The majority of program funding was directed to recruitment programs (38.1% of total Pharmacy Workforce Programs’ expenditure), followed by retention programs (28.1% of expenditure), other workforce support programs (28.9% of expenditure) and programs to enhance availability of culturally appropriate services (4.9% of expenditure).</w:t>
      </w:r>
      <w:bookmarkEnd w:id="98"/>
      <w:r w:rsidRPr="00166DB1">
        <w:t xml:space="preserve">  </w:t>
      </w:r>
    </w:p>
    <w:p w14:paraId="23F38166"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This analysis of expenditures by activity type highlights opportunities to find alternative ways of promoting the strengthening of the community pharmacy workforce. These are examined under the recruitment and retention activity categories below. </w:t>
      </w:r>
    </w:p>
    <w:p w14:paraId="4FB7DDBA" w14:textId="28A3BCF2" w:rsidR="00166DB1" w:rsidRPr="00166DB1" w:rsidRDefault="00166DB1" w:rsidP="00B24642">
      <w:pPr>
        <w:pStyle w:val="Heading3"/>
      </w:pPr>
      <w:bookmarkStart w:id="99" w:name="_Toc490574940"/>
      <w:bookmarkStart w:id="100" w:name="_Toc523322077"/>
      <w:r w:rsidRPr="00166DB1">
        <w:t>Recruitment and support programs</w:t>
      </w:r>
      <w:bookmarkEnd w:id="99"/>
      <w:bookmarkEnd w:id="100"/>
    </w:p>
    <w:p w14:paraId="5BC200D6"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Combining the expenditure on recruitment and other support programs (as both types of programs primarily target pharmacy students and interns) had an average expenditure of </w:t>
      </w:r>
      <w:r w:rsidRPr="00166DB1">
        <w:rPr>
          <w:rFonts w:ascii="Times New Roman" w:eastAsia="Garamond" w:hAnsi="Times New Roman"/>
          <w:color w:val="000000"/>
        </w:rPr>
        <w:t>$</w:t>
      </w:r>
      <w:r w:rsidRPr="00166DB1">
        <w:rPr>
          <w:rFonts w:ascii="Garamond" w:eastAsia="Garamond" w:hAnsi="Garamond"/>
          <w:color w:val="000000"/>
        </w:rPr>
        <w:t xml:space="preserve">3.2m or 67.0% of the Pharmacy Workforce Package funding. It is noteworthy that the individual programs focus on recruiting newly graduated pharmacists to work in rural and remote locations, unlike general practice (supported by the GP Rural Incentives Program that provides grants of up to </w:t>
      </w:r>
      <w:r w:rsidRPr="00166DB1">
        <w:rPr>
          <w:rFonts w:ascii="Times New Roman" w:eastAsia="Garamond" w:hAnsi="Times New Roman"/>
          <w:color w:val="000000"/>
        </w:rPr>
        <w:t>$</w:t>
      </w:r>
      <w:r w:rsidRPr="00166DB1">
        <w:rPr>
          <w:rFonts w:ascii="Garamond" w:eastAsia="Garamond" w:hAnsi="Garamond"/>
          <w:color w:val="000000"/>
        </w:rPr>
        <w:t>60,000). Until recently, regional relocation of dentists was supported by the Dental Relocation and Infrastructure Support Scheme.</w:t>
      </w:r>
    </w:p>
    <w:p w14:paraId="3CA6EA88" w14:textId="77777777" w:rsidR="00166DB1" w:rsidRPr="00166DB1" w:rsidRDefault="00166DB1" w:rsidP="00063226">
      <w:pPr>
        <w:pStyle w:val="KeyFinding"/>
        <w:shd w:val="clear" w:color="auto" w:fill="F2F2F2" w:themeFill="background1" w:themeFillShade="F2"/>
      </w:pPr>
      <w:bookmarkStart w:id="101" w:name="_Ref490677221"/>
      <w:r w:rsidRPr="00166DB1">
        <w:t>In contrast to general practice and dentistry, there are no programs that incentivise existing pharmacists in major cities to relocate to rural and remote areas, or overseas trained pharmacists to work in non-metropolitan areas. Consideration could be given to introducing such programs to enhance recruitment rates to non-metropolitan areas.</w:t>
      </w:r>
      <w:bookmarkEnd w:id="101"/>
    </w:p>
    <w:p w14:paraId="6A80469C" w14:textId="2C94547A" w:rsidR="00166DB1" w:rsidRPr="00166DB1" w:rsidRDefault="00166DB1" w:rsidP="00B24642">
      <w:pPr>
        <w:pStyle w:val="Heading3"/>
      </w:pPr>
      <w:bookmarkStart w:id="102" w:name="_Toc490574941"/>
      <w:bookmarkStart w:id="103" w:name="_Toc523322078"/>
      <w:r w:rsidRPr="00166DB1">
        <w:t>Retention programs</w:t>
      </w:r>
      <w:bookmarkEnd w:id="102"/>
      <w:bookmarkEnd w:id="103"/>
    </w:p>
    <w:p w14:paraId="5621BB64"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Retention programs account for approximately one-third of the Pharmacy Workforce Programs’ expenditure. The retention programs focus solely on financial support for known expense burdens, e.g. travel/accommodation costs for professional development or emergency locums, or funds to offset higher wages/living costs for interns. However, there are no ‘other support programs’ tailored to increasing retention rates, such as assistance with small business operations (e.g. accounting, new infrastructure), flexible legislation for single pharmacist areas, or professional networking opportunities. Nor are there any scholarship programs to support pharmacists to gain additional skills that may be required to effectively operate in a non-metropolitan pharmacy. </w:t>
      </w:r>
    </w:p>
    <w:p w14:paraId="671EDAAB" w14:textId="77777777" w:rsidR="00166DB1" w:rsidRPr="00166DB1" w:rsidRDefault="00166DB1" w:rsidP="00CF2305">
      <w:pPr>
        <w:keepLines/>
        <w:spacing w:before="85" w:after="85"/>
        <w:rPr>
          <w:rFonts w:ascii="Garamond" w:eastAsia="Garamond" w:hAnsi="Garamond"/>
          <w:color w:val="000000"/>
        </w:rPr>
      </w:pPr>
      <w:r w:rsidRPr="00166DB1">
        <w:rPr>
          <w:rFonts w:ascii="Garamond" w:eastAsia="Garamond" w:hAnsi="Garamond"/>
          <w:color w:val="000000"/>
        </w:rPr>
        <w:lastRenderedPageBreak/>
        <w:t>It must be noted that the RPLO program was designed to assist with networking and professional development opportunities. However, at 0.4 to 0.6 FTE, most RPLOs predominately focus on student placement needs. In addition, there are many rural and remote locations that are not affiliated with a UDRH that has an RPLO employed.</w:t>
      </w:r>
    </w:p>
    <w:p w14:paraId="25B7CF2E" w14:textId="77777777" w:rsidR="00166DB1" w:rsidRPr="00166DB1" w:rsidRDefault="00166DB1" w:rsidP="00166DB1">
      <w:pPr>
        <w:spacing w:before="85" w:after="85"/>
        <w:rPr>
          <w:rFonts w:ascii="Garamond" w:eastAsia="Garamond" w:hAnsi="Garamond"/>
          <w:color w:val="000000"/>
        </w:rPr>
      </w:pPr>
    </w:p>
    <w:p w14:paraId="1793D142" w14:textId="77777777" w:rsidR="00166DB1" w:rsidRPr="00166DB1" w:rsidRDefault="00166DB1" w:rsidP="00166DB1">
      <w:pPr>
        <w:spacing w:before="85" w:after="85"/>
        <w:rPr>
          <w:rFonts w:ascii="Garamond" w:eastAsia="Garamond" w:hAnsi="Garamond"/>
          <w:color w:val="000000"/>
        </w:rPr>
        <w:sectPr w:rsidR="00166DB1" w:rsidRPr="00166DB1" w:rsidSect="00072DFC">
          <w:headerReference w:type="default" r:id="rId38"/>
          <w:pgSz w:w="16839" w:h="11907" w:orient="landscape" w:code="9"/>
          <w:pgMar w:top="2268" w:right="1304" w:bottom="850" w:left="737" w:header="567" w:footer="284" w:gutter="0"/>
          <w:cols w:num="2" w:space="709"/>
          <w:docGrid w:linePitch="360"/>
        </w:sectPr>
      </w:pPr>
    </w:p>
    <w:p w14:paraId="1CCF97A3" w14:textId="77777777" w:rsidR="00166DB1" w:rsidRPr="00166DB1" w:rsidRDefault="00166DB1" w:rsidP="00483C21">
      <w:pPr>
        <w:pStyle w:val="Caption"/>
      </w:pPr>
      <w:bookmarkStart w:id="104" w:name="_Ref488145761"/>
      <w:r w:rsidRPr="00166DB1">
        <w:lastRenderedPageBreak/>
        <w:t xml:space="preserve">Table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6</w:t>
      </w:r>
      <w:r w:rsidRPr="00166DB1">
        <w:rPr>
          <w:noProof/>
        </w:rPr>
        <w:fldChar w:fldCharType="end"/>
      </w:r>
      <w:r w:rsidRPr="00166DB1">
        <w:t>.</w:t>
      </w:r>
      <w:r w:rsidRPr="00166DB1">
        <w:rPr>
          <w:noProof/>
        </w:rPr>
        <w:fldChar w:fldCharType="begin"/>
      </w:r>
      <w:r w:rsidRPr="00166DB1">
        <w:rPr>
          <w:noProof/>
        </w:rPr>
        <w:instrText xml:space="preserve"> SEQ Table \* ARABIC \s 1 </w:instrText>
      </w:r>
      <w:r w:rsidRPr="00166DB1">
        <w:rPr>
          <w:noProof/>
        </w:rPr>
        <w:fldChar w:fldCharType="separate"/>
      </w:r>
      <w:r w:rsidRPr="00166DB1">
        <w:rPr>
          <w:noProof/>
        </w:rPr>
        <w:t>1</w:t>
      </w:r>
      <w:r w:rsidRPr="00166DB1">
        <w:rPr>
          <w:noProof/>
        </w:rPr>
        <w:fldChar w:fldCharType="end"/>
      </w:r>
      <w:bookmarkEnd w:id="104"/>
      <w:r w:rsidRPr="00166DB1">
        <w:t>: Average expenditure of Pharmacy Workforce Program (2013–14 to 2014–15) by category type, $m (% total expenditure)</w:t>
      </w:r>
    </w:p>
    <w:tbl>
      <w:tblPr>
        <w:tblStyle w:val="HMATable"/>
        <w:tblW w:w="5000" w:type="pct"/>
        <w:tblLayout w:type="fixed"/>
        <w:tblLook w:val="04A0" w:firstRow="1" w:lastRow="0" w:firstColumn="1" w:lastColumn="0" w:noHBand="0" w:noVBand="1"/>
        <w:tblCaption w:val="Table 6.1: Average expenditure of Pharmacy Workforce Program (2013-14 to 2014-15) by category type, $m (% total expenditure)"/>
        <w:tblDescription w:val="Table 6.1: Average expenditure of Pharmacy Workforce Program (2013-14 to 2014-15) by category type, $m (% total expenditure)"/>
      </w:tblPr>
      <w:tblGrid>
        <w:gridCol w:w="1555"/>
        <w:gridCol w:w="3925"/>
        <w:gridCol w:w="3020"/>
        <w:gridCol w:w="2694"/>
        <w:gridCol w:w="2109"/>
        <w:gridCol w:w="1485"/>
      </w:tblGrid>
      <w:tr w:rsidR="00367717" w:rsidRPr="00166DB1" w14:paraId="6D617BDD" w14:textId="77777777" w:rsidTr="0036771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526" w:type="pct"/>
            <w:shd w:val="clear" w:color="auto" w:fill="D9D9D9" w:themeFill="background1" w:themeFillShade="D9"/>
            <w:noWrap/>
            <w:vAlign w:val="center"/>
          </w:tcPr>
          <w:p w14:paraId="03054333" w14:textId="37086C1F" w:rsidR="00367717" w:rsidRPr="00F44120" w:rsidRDefault="00367717" w:rsidP="00F44120">
            <w:pPr>
              <w:pStyle w:val="TableColumnHeading"/>
              <w:rPr>
                <w:b/>
              </w:rPr>
            </w:pPr>
          </w:p>
        </w:tc>
        <w:tc>
          <w:tcPr>
            <w:tcW w:w="1327" w:type="pct"/>
            <w:shd w:val="clear" w:color="auto" w:fill="D9D9D9" w:themeFill="background1" w:themeFillShade="D9"/>
            <w:vAlign w:val="center"/>
          </w:tcPr>
          <w:p w14:paraId="62F906B4" w14:textId="25888FE6" w:rsidR="00367717" w:rsidRPr="00F44120" w:rsidRDefault="00367717" w:rsidP="00F44120">
            <w:pPr>
              <w:pStyle w:val="TableColumnHeading"/>
              <w:cnfStyle w:val="100000000000" w:firstRow="1" w:lastRow="0" w:firstColumn="0" w:lastColumn="0" w:oddVBand="0" w:evenVBand="0" w:oddHBand="0" w:evenHBand="0" w:firstRowFirstColumn="0" w:firstRowLastColumn="0" w:lastRowFirstColumn="0" w:lastRowLastColumn="0"/>
              <w:rPr>
                <w:b/>
              </w:rPr>
            </w:pPr>
          </w:p>
        </w:tc>
        <w:tc>
          <w:tcPr>
            <w:tcW w:w="1021" w:type="pct"/>
            <w:tcBorders>
              <w:right w:val="nil"/>
            </w:tcBorders>
            <w:shd w:val="clear" w:color="auto" w:fill="D9D9D9" w:themeFill="background1" w:themeFillShade="D9"/>
            <w:noWrap/>
          </w:tcPr>
          <w:p w14:paraId="289462DF" w14:textId="77777777" w:rsidR="00367717" w:rsidRPr="00F44120" w:rsidRDefault="00367717" w:rsidP="00F44120">
            <w:pPr>
              <w:pStyle w:val="TableColumnHeading"/>
              <w:cnfStyle w:val="100000000000" w:firstRow="1" w:lastRow="0" w:firstColumn="0" w:lastColumn="0" w:oddVBand="0" w:evenVBand="0" w:oddHBand="0" w:evenHBand="0" w:firstRowFirstColumn="0" w:firstRowLastColumn="0" w:lastRowFirstColumn="0" w:lastRowLastColumn="0"/>
              <w:rPr>
                <w:b/>
              </w:rPr>
            </w:pPr>
            <w:r w:rsidRPr="00F44120">
              <w:rPr>
                <w:b/>
              </w:rPr>
              <w:t>Rationale for the Expenditure Type</w:t>
            </w:r>
          </w:p>
        </w:tc>
        <w:tc>
          <w:tcPr>
            <w:tcW w:w="911" w:type="pct"/>
            <w:tcBorders>
              <w:left w:val="nil"/>
              <w:right w:val="nil"/>
            </w:tcBorders>
            <w:shd w:val="clear" w:color="auto" w:fill="D9D9D9" w:themeFill="background1" w:themeFillShade="D9"/>
          </w:tcPr>
          <w:p w14:paraId="5FA1C1B4" w14:textId="77777777" w:rsidR="00367717" w:rsidRPr="00F44120" w:rsidRDefault="00367717" w:rsidP="00F44120">
            <w:pPr>
              <w:pStyle w:val="TableColumnHeading"/>
              <w:cnfStyle w:val="100000000000" w:firstRow="1" w:lastRow="0" w:firstColumn="0" w:lastColumn="0" w:oddVBand="0" w:evenVBand="0" w:oddHBand="0" w:evenHBand="0" w:firstRowFirstColumn="0" w:firstRowLastColumn="0" w:lastRowFirstColumn="0" w:lastRowLastColumn="0"/>
              <w:rPr>
                <w:b/>
              </w:rPr>
            </w:pPr>
          </w:p>
        </w:tc>
        <w:tc>
          <w:tcPr>
            <w:tcW w:w="713" w:type="pct"/>
            <w:tcBorders>
              <w:left w:val="nil"/>
            </w:tcBorders>
            <w:shd w:val="clear" w:color="auto" w:fill="D9D9D9" w:themeFill="background1" w:themeFillShade="D9"/>
          </w:tcPr>
          <w:p w14:paraId="068313F7" w14:textId="062A8747" w:rsidR="00367717" w:rsidRPr="00F44120" w:rsidRDefault="00367717" w:rsidP="00F44120">
            <w:pPr>
              <w:pStyle w:val="TableColumnHeading"/>
              <w:cnfStyle w:val="100000000000" w:firstRow="1" w:lastRow="0" w:firstColumn="0" w:lastColumn="0" w:oddVBand="0" w:evenVBand="0" w:oddHBand="0" w:evenHBand="0" w:firstRowFirstColumn="0" w:firstRowLastColumn="0" w:lastRowFirstColumn="0" w:lastRowLastColumn="0"/>
              <w:rPr>
                <w:b/>
              </w:rPr>
            </w:pPr>
          </w:p>
        </w:tc>
        <w:tc>
          <w:tcPr>
            <w:tcW w:w="502" w:type="pct"/>
            <w:shd w:val="clear" w:color="auto" w:fill="D9D9D9" w:themeFill="background1" w:themeFillShade="D9"/>
            <w:noWrap/>
          </w:tcPr>
          <w:p w14:paraId="6DA1A5C6" w14:textId="77777777" w:rsidR="00367717" w:rsidRPr="00166DB1" w:rsidRDefault="00367717" w:rsidP="00166DB1">
            <w:pPr>
              <w:keepNext/>
              <w:ind w:left="57" w:right="57"/>
              <w:cnfStyle w:val="100000000000" w:firstRow="1" w:lastRow="0" w:firstColumn="0" w:lastColumn="0" w:oddVBand="0" w:evenVBand="0" w:oddHBand="0" w:evenHBand="0" w:firstRowFirstColumn="0" w:firstRowLastColumn="0" w:lastRowFirstColumn="0" w:lastRowLastColumn="0"/>
              <w:rPr>
                <w:rFonts w:eastAsia="Garamond"/>
                <w:color w:val="000000"/>
              </w:rPr>
            </w:pPr>
          </w:p>
        </w:tc>
      </w:tr>
      <w:tr w:rsidR="002E1F1A" w:rsidRPr="00166DB1" w14:paraId="1847AA0C" w14:textId="77777777" w:rsidTr="0036771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526" w:type="pct"/>
            <w:shd w:val="clear" w:color="auto" w:fill="D9D9D9" w:themeFill="background1" w:themeFillShade="D9"/>
            <w:noWrap/>
          </w:tcPr>
          <w:p w14:paraId="7AFBB62B" w14:textId="77777777" w:rsidR="002E1F1A" w:rsidRPr="00166DB1" w:rsidRDefault="002E1F1A" w:rsidP="00166DB1">
            <w:pPr>
              <w:spacing w:line="240" w:lineRule="atLeast"/>
              <w:ind w:left="57" w:right="57"/>
              <w:jc w:val="center"/>
              <w:rPr>
                <w:rFonts w:eastAsia="Garamond"/>
                <w:b/>
                <w:color w:val="000000"/>
              </w:rPr>
            </w:pPr>
          </w:p>
        </w:tc>
        <w:tc>
          <w:tcPr>
            <w:tcW w:w="1327" w:type="pct"/>
            <w:shd w:val="clear" w:color="auto" w:fill="D9D9D9" w:themeFill="background1" w:themeFillShade="D9"/>
          </w:tcPr>
          <w:p w14:paraId="4FD9AC85" w14:textId="5588C508" w:rsidR="002E1F1A" w:rsidRPr="00166DB1" w:rsidRDefault="002E1F1A" w:rsidP="00166DB1">
            <w:pPr>
              <w:spacing w:line="240" w:lineRule="atLeast"/>
              <w:ind w:left="57" w:right="57"/>
              <w:jc w:val="center"/>
              <w:cnfStyle w:val="100000000000" w:firstRow="1" w:lastRow="0" w:firstColumn="0" w:lastColumn="0" w:oddVBand="0" w:evenVBand="0" w:oddHBand="0" w:evenHBand="0" w:firstRowFirstColumn="0" w:firstRowLastColumn="0" w:lastRowFirstColumn="0" w:lastRowLastColumn="0"/>
              <w:rPr>
                <w:rFonts w:eastAsia="Garamond"/>
                <w:color w:val="000000"/>
              </w:rPr>
            </w:pPr>
          </w:p>
        </w:tc>
        <w:tc>
          <w:tcPr>
            <w:tcW w:w="1021" w:type="pct"/>
            <w:shd w:val="clear" w:color="auto" w:fill="F2F2F2" w:themeFill="background1" w:themeFillShade="F2"/>
            <w:noWrap/>
            <w:hideMark/>
          </w:tcPr>
          <w:p w14:paraId="6CBC3F0F" w14:textId="77777777" w:rsidR="002E1F1A" w:rsidRPr="00FF3C41" w:rsidRDefault="002E1F1A" w:rsidP="00FF3C41">
            <w:pPr>
              <w:pStyle w:val="TableCopy"/>
              <w:cnfStyle w:val="100000000000" w:firstRow="1" w:lastRow="0" w:firstColumn="0" w:lastColumn="0" w:oddVBand="0" w:evenVBand="0" w:oddHBand="0" w:evenHBand="0" w:firstRowFirstColumn="0" w:firstRowLastColumn="0" w:lastRowFirstColumn="0" w:lastRowLastColumn="0"/>
              <w:rPr>
                <w:b/>
              </w:rPr>
            </w:pPr>
            <w:r w:rsidRPr="00FF3C41">
              <w:rPr>
                <w:b/>
              </w:rPr>
              <w:t>Exposure</w:t>
            </w:r>
          </w:p>
        </w:tc>
        <w:tc>
          <w:tcPr>
            <w:tcW w:w="911" w:type="pct"/>
            <w:shd w:val="clear" w:color="auto" w:fill="F2F2F2" w:themeFill="background1" w:themeFillShade="F2"/>
            <w:noWrap/>
            <w:hideMark/>
          </w:tcPr>
          <w:p w14:paraId="0CCC0D00" w14:textId="77777777" w:rsidR="002E1F1A" w:rsidRPr="00FF3C41" w:rsidRDefault="002E1F1A" w:rsidP="00FF3C41">
            <w:pPr>
              <w:pStyle w:val="TableCopy"/>
              <w:cnfStyle w:val="100000000000" w:firstRow="1" w:lastRow="0" w:firstColumn="0" w:lastColumn="0" w:oddVBand="0" w:evenVBand="0" w:oddHBand="0" w:evenHBand="0" w:firstRowFirstColumn="0" w:firstRowLastColumn="0" w:lastRowFirstColumn="0" w:lastRowLastColumn="0"/>
              <w:rPr>
                <w:b/>
              </w:rPr>
            </w:pPr>
            <w:r w:rsidRPr="00FF3C41">
              <w:rPr>
                <w:b/>
              </w:rPr>
              <w:t xml:space="preserve">Scholarship </w:t>
            </w:r>
          </w:p>
        </w:tc>
        <w:tc>
          <w:tcPr>
            <w:tcW w:w="713" w:type="pct"/>
            <w:shd w:val="clear" w:color="auto" w:fill="F2F2F2" w:themeFill="background1" w:themeFillShade="F2"/>
            <w:noWrap/>
            <w:hideMark/>
          </w:tcPr>
          <w:p w14:paraId="0B1B77DE" w14:textId="77777777" w:rsidR="002E1F1A" w:rsidRPr="00FF3C41" w:rsidRDefault="002E1F1A" w:rsidP="00FF3C41">
            <w:pPr>
              <w:pStyle w:val="TableCopy"/>
              <w:cnfStyle w:val="100000000000" w:firstRow="1" w:lastRow="0" w:firstColumn="0" w:lastColumn="0" w:oddVBand="0" w:evenVBand="0" w:oddHBand="0" w:evenHBand="0" w:firstRowFirstColumn="0" w:firstRowLastColumn="0" w:lastRowFirstColumn="0" w:lastRowLastColumn="0"/>
              <w:rPr>
                <w:b/>
              </w:rPr>
            </w:pPr>
            <w:r w:rsidRPr="00FF3C41">
              <w:rPr>
                <w:b/>
              </w:rPr>
              <w:t xml:space="preserve">Travel </w:t>
            </w:r>
          </w:p>
        </w:tc>
        <w:tc>
          <w:tcPr>
            <w:tcW w:w="502" w:type="pct"/>
            <w:shd w:val="clear" w:color="auto" w:fill="F2F2F2" w:themeFill="background1" w:themeFillShade="F2"/>
            <w:noWrap/>
            <w:hideMark/>
          </w:tcPr>
          <w:p w14:paraId="37D24256" w14:textId="077B45BE" w:rsidR="002E1F1A" w:rsidRPr="00FF3C41" w:rsidRDefault="002E1F1A" w:rsidP="00FF3C41">
            <w:pPr>
              <w:pStyle w:val="TableCopy"/>
              <w:cnfStyle w:val="100000000000" w:firstRow="1" w:lastRow="0" w:firstColumn="0" w:lastColumn="0" w:oddVBand="0" w:evenVBand="0" w:oddHBand="0" w:evenHBand="0" w:firstRowFirstColumn="0" w:firstRowLastColumn="0" w:lastRowFirstColumn="0" w:lastRowLastColumn="0"/>
              <w:rPr>
                <w:b/>
              </w:rPr>
            </w:pPr>
            <w:r w:rsidRPr="00FF3C41">
              <w:rPr>
                <w:b/>
              </w:rPr>
              <w:t>Total</w:t>
            </w:r>
          </w:p>
        </w:tc>
      </w:tr>
      <w:tr w:rsidR="002E1F1A" w:rsidRPr="00166DB1" w14:paraId="01663E4C" w14:textId="77777777" w:rsidTr="00367717">
        <w:trPr>
          <w:trHeight w:val="290"/>
        </w:trPr>
        <w:tc>
          <w:tcPr>
            <w:cnfStyle w:val="001000000000" w:firstRow="0" w:lastRow="0" w:firstColumn="1" w:lastColumn="0" w:oddVBand="0" w:evenVBand="0" w:oddHBand="0" w:evenHBand="0" w:firstRowFirstColumn="0" w:firstRowLastColumn="0" w:lastRowFirstColumn="0" w:lastRowLastColumn="0"/>
            <w:tcW w:w="526" w:type="pct"/>
            <w:shd w:val="clear" w:color="auto" w:fill="D9D9D9" w:themeFill="background1" w:themeFillShade="D9"/>
            <w:noWrap/>
            <w:vAlign w:val="center"/>
          </w:tcPr>
          <w:p w14:paraId="4BF6C8F9" w14:textId="2CA8B72B" w:rsidR="002E1F1A" w:rsidRPr="002E1F1A" w:rsidRDefault="002E1F1A" w:rsidP="002E1F1A">
            <w:pPr>
              <w:pStyle w:val="TableColumnHeading"/>
              <w:rPr>
                <w:b w:val="0"/>
              </w:rPr>
            </w:pPr>
            <w:r w:rsidRPr="00F44120">
              <w:t>Workforce Support Activity Type</w:t>
            </w:r>
          </w:p>
        </w:tc>
        <w:tc>
          <w:tcPr>
            <w:tcW w:w="1327" w:type="pct"/>
            <w:shd w:val="clear" w:color="auto" w:fill="D9D9D9" w:themeFill="background1" w:themeFillShade="D9"/>
            <w:vAlign w:val="center"/>
          </w:tcPr>
          <w:p w14:paraId="105348CF" w14:textId="5928C36B" w:rsidR="002E1F1A" w:rsidRPr="002E1F1A" w:rsidRDefault="002E1F1A" w:rsidP="002E1F1A">
            <w:pPr>
              <w:pStyle w:val="TableColumnHeading"/>
              <w:cnfStyle w:val="000000000000" w:firstRow="0" w:lastRow="0" w:firstColumn="0" w:lastColumn="0" w:oddVBand="0" w:evenVBand="0" w:oddHBand="0" w:evenHBand="0" w:firstRowFirstColumn="0" w:firstRowLastColumn="0" w:lastRowFirstColumn="0" w:lastRowLastColumn="0"/>
              <w:rPr>
                <w:b/>
              </w:rPr>
            </w:pPr>
            <w:r w:rsidRPr="00F44120">
              <w:rPr>
                <w:b/>
              </w:rPr>
              <w:t>Rationale</w:t>
            </w:r>
          </w:p>
        </w:tc>
        <w:tc>
          <w:tcPr>
            <w:tcW w:w="1021" w:type="pct"/>
            <w:shd w:val="clear" w:color="auto" w:fill="BFBFBF" w:themeFill="background1" w:themeFillShade="BF"/>
            <w:noWrap/>
          </w:tcPr>
          <w:p w14:paraId="661CD462" w14:textId="77777777" w:rsidR="002E1F1A" w:rsidRPr="00166DB1" w:rsidRDefault="002E1F1A" w:rsidP="00F44120">
            <w:pPr>
              <w:pStyle w:val="TableCopy"/>
              <w:cnfStyle w:val="000000000000" w:firstRow="0" w:lastRow="0" w:firstColumn="0" w:lastColumn="0" w:oddVBand="0" w:evenVBand="0" w:oddHBand="0" w:evenHBand="0" w:firstRowFirstColumn="0" w:firstRowLastColumn="0" w:lastRowFirstColumn="0" w:lastRowLastColumn="0"/>
            </w:pPr>
            <w:r w:rsidRPr="00166DB1">
              <w:t>Professional and lifestyle exposure of students to a rural and remote community experience, with time to support immersion into a community, identified in the literature as an effective way to attract employees</w:t>
            </w:r>
          </w:p>
        </w:tc>
        <w:tc>
          <w:tcPr>
            <w:tcW w:w="911" w:type="pct"/>
            <w:shd w:val="clear" w:color="auto" w:fill="BFBFBF" w:themeFill="background1" w:themeFillShade="BF"/>
            <w:noWrap/>
          </w:tcPr>
          <w:p w14:paraId="7B0CB3BA" w14:textId="77777777" w:rsidR="002E1F1A" w:rsidRPr="00166DB1" w:rsidRDefault="002E1F1A" w:rsidP="00F44120">
            <w:pPr>
              <w:pStyle w:val="TableCopy"/>
              <w:cnfStyle w:val="000000000000" w:firstRow="0" w:lastRow="0" w:firstColumn="0" w:lastColumn="0" w:oddVBand="0" w:evenVBand="0" w:oddHBand="0" w:evenHBand="0" w:firstRowFirstColumn="0" w:firstRowLastColumn="0" w:lastRowFirstColumn="0" w:lastRowLastColumn="0"/>
            </w:pPr>
            <w:r w:rsidRPr="00166DB1">
              <w:t>To enable financially disadvantaged rural or Aboriginal and Torres Strait Islander students to undertake pharmacy studies</w:t>
            </w:r>
          </w:p>
        </w:tc>
        <w:tc>
          <w:tcPr>
            <w:tcW w:w="713" w:type="pct"/>
            <w:shd w:val="clear" w:color="auto" w:fill="BFBFBF" w:themeFill="background1" w:themeFillShade="BF"/>
            <w:noWrap/>
          </w:tcPr>
          <w:p w14:paraId="3157D7A3" w14:textId="77777777" w:rsidR="002E1F1A" w:rsidRPr="00166DB1" w:rsidRDefault="002E1F1A" w:rsidP="00F44120">
            <w:pPr>
              <w:pStyle w:val="TableCopy"/>
              <w:cnfStyle w:val="000000000000" w:firstRow="0" w:lastRow="0" w:firstColumn="0" w:lastColumn="0" w:oddVBand="0" w:evenVBand="0" w:oddHBand="0" w:evenHBand="0" w:firstRowFirstColumn="0" w:firstRowLastColumn="0" w:lastRowFirstColumn="0" w:lastRowLastColumn="0"/>
            </w:pPr>
            <w:r w:rsidRPr="00166DB1">
              <w:t>To compensate for the increased travel costs associated with rural and remote locations</w:t>
            </w:r>
          </w:p>
        </w:tc>
        <w:tc>
          <w:tcPr>
            <w:tcW w:w="502" w:type="pct"/>
            <w:shd w:val="clear" w:color="auto" w:fill="F2F2F2" w:themeFill="background1" w:themeFillShade="F2"/>
            <w:noWrap/>
          </w:tcPr>
          <w:p w14:paraId="11F865CE" w14:textId="77777777" w:rsidR="002E1F1A" w:rsidRPr="00166DB1" w:rsidRDefault="002E1F1A" w:rsidP="00F44120">
            <w:pPr>
              <w:pStyle w:val="TableCopy"/>
              <w:cnfStyle w:val="000000000000" w:firstRow="0" w:lastRow="0" w:firstColumn="0" w:lastColumn="0" w:oddVBand="0" w:evenVBand="0" w:oddHBand="0" w:evenHBand="0" w:firstRowFirstColumn="0" w:firstRowLastColumn="0" w:lastRowFirstColumn="0" w:lastRowLastColumn="0"/>
              <w:rPr>
                <w:rFonts w:ascii="Franklin Gothic Book" w:hAnsi="Franklin Gothic Book"/>
                <w:b/>
              </w:rPr>
            </w:pPr>
            <w:r w:rsidRPr="00166DB1">
              <w:rPr>
                <w:rFonts w:ascii="Franklin Gothic Book" w:hAnsi="Franklin Gothic Book"/>
              </w:rPr>
              <w:t>Total Annual Expenditure ($m)</w:t>
            </w:r>
          </w:p>
        </w:tc>
      </w:tr>
      <w:tr w:rsidR="00166DB1" w:rsidRPr="00166DB1" w14:paraId="5534CCCC" w14:textId="77777777" w:rsidTr="00367717">
        <w:trPr>
          <w:trHeight w:val="290"/>
        </w:trPr>
        <w:tc>
          <w:tcPr>
            <w:cnfStyle w:val="001000000000" w:firstRow="0" w:lastRow="0" w:firstColumn="1" w:lastColumn="0" w:oddVBand="0" w:evenVBand="0" w:oddHBand="0" w:evenHBand="0" w:firstRowFirstColumn="0" w:firstRowLastColumn="0" w:lastRowFirstColumn="0" w:lastRowLastColumn="0"/>
            <w:tcW w:w="526" w:type="pct"/>
            <w:shd w:val="clear" w:color="auto" w:fill="D9D9D9" w:themeFill="background1" w:themeFillShade="D9"/>
            <w:noWrap/>
            <w:hideMark/>
          </w:tcPr>
          <w:p w14:paraId="4A708E66" w14:textId="77777777" w:rsidR="00166DB1" w:rsidRPr="00166DB1" w:rsidRDefault="00166DB1" w:rsidP="00F44120">
            <w:pPr>
              <w:pStyle w:val="TableCopy"/>
            </w:pPr>
            <w:r w:rsidRPr="00166DB1">
              <w:t>Recruit</w:t>
            </w:r>
          </w:p>
        </w:tc>
        <w:tc>
          <w:tcPr>
            <w:tcW w:w="1327" w:type="pct"/>
            <w:shd w:val="clear" w:color="auto" w:fill="BFBFBF" w:themeFill="background1" w:themeFillShade="BF"/>
          </w:tcPr>
          <w:p w14:paraId="5B13C003"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pPr>
            <w:r w:rsidRPr="00166DB1">
              <w:t>To attract new graduate pharmacists to work in rural and remote locations</w:t>
            </w:r>
          </w:p>
        </w:tc>
        <w:tc>
          <w:tcPr>
            <w:tcW w:w="1021" w:type="pct"/>
            <w:shd w:val="clear" w:color="auto" w:fill="F2F2F2" w:themeFill="background1" w:themeFillShade="F2"/>
            <w:noWrap/>
            <w:hideMark/>
          </w:tcPr>
          <w:p w14:paraId="1FBA1A0B"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pPr>
            <w:r w:rsidRPr="00166DB1">
              <w:rPr>
                <w:rFonts w:ascii="Times New Roman" w:hAnsi="Times New Roman"/>
              </w:rPr>
              <w:t>$</w:t>
            </w:r>
            <w:r w:rsidRPr="00166DB1">
              <w:t>0.67m (14.3%)</w:t>
            </w:r>
          </w:p>
          <w:p w14:paraId="4185E180"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Student Placement Allowance</w:t>
            </w:r>
          </w:p>
        </w:tc>
        <w:tc>
          <w:tcPr>
            <w:tcW w:w="911" w:type="pct"/>
            <w:shd w:val="clear" w:color="auto" w:fill="F2F2F2" w:themeFill="background1" w:themeFillShade="F2"/>
            <w:noWrap/>
            <w:hideMark/>
          </w:tcPr>
          <w:p w14:paraId="4828CC9B"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pPr>
            <w:r w:rsidRPr="00166DB1">
              <w:rPr>
                <w:rFonts w:ascii="Times New Roman" w:hAnsi="Times New Roman"/>
              </w:rPr>
              <w:t>$</w:t>
            </w:r>
            <w:r w:rsidRPr="00166DB1">
              <w:t xml:space="preserve">1.04m (22.1%) </w:t>
            </w:r>
          </w:p>
          <w:p w14:paraId="603E3FBB" w14:textId="77777777" w:rsidR="00166DB1" w:rsidRPr="009B60C3"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Rural Scholarship </w:t>
            </w:r>
          </w:p>
          <w:p w14:paraId="4F1FD893"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9B60C3">
              <w:t>Mentorship Scheme</w:t>
            </w:r>
          </w:p>
        </w:tc>
        <w:tc>
          <w:tcPr>
            <w:tcW w:w="713" w:type="pct"/>
            <w:shd w:val="clear" w:color="auto" w:fill="F2F2F2" w:themeFill="background1" w:themeFillShade="F2"/>
            <w:noWrap/>
            <w:hideMark/>
          </w:tcPr>
          <w:p w14:paraId="13C471F9"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pPr>
            <w:r w:rsidRPr="00166DB1">
              <w:rPr>
                <w:rFonts w:ascii="Times New Roman" w:hAnsi="Times New Roman"/>
              </w:rPr>
              <w:t>$</w:t>
            </w:r>
            <w:r w:rsidRPr="00166DB1">
              <w:t xml:space="preserve">0.08m (1.7%) </w:t>
            </w:r>
          </w:p>
          <w:p w14:paraId="72550684"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Rural Intern Incentive Allowance</w:t>
            </w:r>
          </w:p>
        </w:tc>
        <w:tc>
          <w:tcPr>
            <w:tcW w:w="502" w:type="pct"/>
            <w:shd w:val="clear" w:color="auto" w:fill="F2F2F2" w:themeFill="background1" w:themeFillShade="F2"/>
            <w:noWrap/>
            <w:hideMark/>
          </w:tcPr>
          <w:p w14:paraId="42E7E479"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rPr>
                <w:b/>
              </w:rPr>
            </w:pPr>
            <w:r w:rsidRPr="00166DB1">
              <w:rPr>
                <w:rFonts w:ascii="Times New Roman" w:hAnsi="Times New Roman"/>
                <w:b/>
              </w:rPr>
              <w:t>$</w:t>
            </w:r>
            <w:r w:rsidRPr="00166DB1">
              <w:rPr>
                <w:b/>
              </w:rPr>
              <w:t>1.79m (38.1%)</w:t>
            </w:r>
          </w:p>
        </w:tc>
      </w:tr>
      <w:tr w:rsidR="00166DB1" w:rsidRPr="00166DB1" w14:paraId="1E0BF50A" w14:textId="77777777" w:rsidTr="00367717">
        <w:trPr>
          <w:trHeight w:val="290"/>
        </w:trPr>
        <w:tc>
          <w:tcPr>
            <w:cnfStyle w:val="001000000000" w:firstRow="0" w:lastRow="0" w:firstColumn="1" w:lastColumn="0" w:oddVBand="0" w:evenVBand="0" w:oddHBand="0" w:evenHBand="0" w:firstRowFirstColumn="0" w:firstRowLastColumn="0" w:lastRowFirstColumn="0" w:lastRowLastColumn="0"/>
            <w:tcW w:w="526" w:type="pct"/>
            <w:shd w:val="clear" w:color="auto" w:fill="D9D9D9" w:themeFill="background1" w:themeFillShade="D9"/>
            <w:noWrap/>
            <w:hideMark/>
          </w:tcPr>
          <w:p w14:paraId="65A19BF4" w14:textId="77777777" w:rsidR="00166DB1" w:rsidRPr="00166DB1" w:rsidRDefault="00166DB1" w:rsidP="00F44120">
            <w:pPr>
              <w:pStyle w:val="TableCopy"/>
            </w:pPr>
            <w:r w:rsidRPr="00166DB1">
              <w:t xml:space="preserve">Retention </w:t>
            </w:r>
          </w:p>
        </w:tc>
        <w:tc>
          <w:tcPr>
            <w:tcW w:w="1327" w:type="pct"/>
            <w:shd w:val="clear" w:color="auto" w:fill="BFBFBF" w:themeFill="background1" w:themeFillShade="BF"/>
          </w:tcPr>
          <w:p w14:paraId="03E8C46C"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pPr>
            <w:r w:rsidRPr="00166DB1">
              <w:t xml:space="preserve">To support the existing workforce to continue working in rural and remote locations </w:t>
            </w:r>
          </w:p>
        </w:tc>
        <w:tc>
          <w:tcPr>
            <w:tcW w:w="1021" w:type="pct"/>
            <w:shd w:val="clear" w:color="auto" w:fill="F2F2F2" w:themeFill="background1" w:themeFillShade="F2"/>
            <w:noWrap/>
            <w:hideMark/>
          </w:tcPr>
          <w:p w14:paraId="13C4227A"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pPr>
            <w:r w:rsidRPr="00166DB1">
              <w:rPr>
                <w:rFonts w:ascii="Times New Roman" w:hAnsi="Times New Roman"/>
              </w:rPr>
              <w:t>$</w:t>
            </w:r>
            <w:r w:rsidRPr="00166DB1">
              <w:t>0.86 (18.3%)</w:t>
            </w:r>
          </w:p>
          <w:p w14:paraId="666B617C"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Intern Incentive Allowance for Rural Pharmacies</w:t>
            </w:r>
          </w:p>
          <w:p w14:paraId="4087B09B"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Intern Incentive Allowance for Rural Pharmacies – Extension program</w:t>
            </w:r>
          </w:p>
        </w:tc>
        <w:tc>
          <w:tcPr>
            <w:tcW w:w="911" w:type="pct"/>
            <w:shd w:val="clear" w:color="auto" w:fill="F2F2F2" w:themeFill="background1" w:themeFillShade="F2"/>
            <w:noWrap/>
            <w:hideMark/>
          </w:tcPr>
          <w:p w14:paraId="308F0CFE"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pPr>
            <w:r w:rsidRPr="00166DB1">
              <w:t>-</w:t>
            </w:r>
          </w:p>
        </w:tc>
        <w:tc>
          <w:tcPr>
            <w:tcW w:w="713" w:type="pct"/>
            <w:shd w:val="clear" w:color="auto" w:fill="F2F2F2" w:themeFill="background1" w:themeFillShade="F2"/>
            <w:noWrap/>
            <w:hideMark/>
          </w:tcPr>
          <w:p w14:paraId="7AF22836"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pPr>
            <w:r w:rsidRPr="00166DB1">
              <w:rPr>
                <w:rFonts w:ascii="Times New Roman" w:hAnsi="Times New Roman"/>
              </w:rPr>
              <w:t>$</w:t>
            </w:r>
            <w:r w:rsidRPr="00166DB1">
              <w:t>0.46m (9.8%)</w:t>
            </w:r>
          </w:p>
          <w:p w14:paraId="36FDABCF"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CPE Allowance</w:t>
            </w:r>
          </w:p>
          <w:p w14:paraId="3CB4F858"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Emergency Locum Service </w:t>
            </w:r>
          </w:p>
        </w:tc>
        <w:tc>
          <w:tcPr>
            <w:tcW w:w="502" w:type="pct"/>
            <w:shd w:val="clear" w:color="auto" w:fill="F2F2F2" w:themeFill="background1" w:themeFillShade="F2"/>
            <w:noWrap/>
            <w:hideMark/>
          </w:tcPr>
          <w:p w14:paraId="05A82123"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rPr>
                <w:b/>
              </w:rPr>
            </w:pPr>
            <w:r w:rsidRPr="00166DB1">
              <w:rPr>
                <w:rFonts w:ascii="Times New Roman" w:hAnsi="Times New Roman"/>
                <w:b/>
              </w:rPr>
              <w:t>$</w:t>
            </w:r>
            <w:r w:rsidRPr="00166DB1">
              <w:rPr>
                <w:b/>
              </w:rPr>
              <w:t xml:space="preserve">1.32m (28.1%) </w:t>
            </w:r>
          </w:p>
        </w:tc>
      </w:tr>
      <w:tr w:rsidR="00166DB1" w:rsidRPr="00166DB1" w14:paraId="71CA84AE" w14:textId="77777777" w:rsidTr="00367717">
        <w:trPr>
          <w:trHeight w:val="290"/>
        </w:trPr>
        <w:tc>
          <w:tcPr>
            <w:cnfStyle w:val="001000000000" w:firstRow="0" w:lastRow="0" w:firstColumn="1" w:lastColumn="0" w:oddVBand="0" w:evenVBand="0" w:oddHBand="0" w:evenHBand="0" w:firstRowFirstColumn="0" w:firstRowLastColumn="0" w:lastRowFirstColumn="0" w:lastRowLastColumn="0"/>
            <w:tcW w:w="526" w:type="pct"/>
            <w:shd w:val="clear" w:color="auto" w:fill="D9D9D9" w:themeFill="background1" w:themeFillShade="D9"/>
            <w:noWrap/>
            <w:hideMark/>
          </w:tcPr>
          <w:p w14:paraId="4BC43263" w14:textId="77777777" w:rsidR="00166DB1" w:rsidRPr="00166DB1" w:rsidRDefault="00166DB1" w:rsidP="00F44120">
            <w:pPr>
              <w:pStyle w:val="TableCopy"/>
            </w:pPr>
            <w:r w:rsidRPr="00166DB1">
              <w:t>Support</w:t>
            </w:r>
          </w:p>
        </w:tc>
        <w:tc>
          <w:tcPr>
            <w:tcW w:w="1327" w:type="pct"/>
            <w:shd w:val="clear" w:color="auto" w:fill="BFBFBF" w:themeFill="background1" w:themeFillShade="BF"/>
          </w:tcPr>
          <w:p w14:paraId="40CDCAD2"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pPr>
            <w:r w:rsidRPr="00166DB1">
              <w:t xml:space="preserve">To provide indirect support for student placements </w:t>
            </w:r>
          </w:p>
        </w:tc>
        <w:tc>
          <w:tcPr>
            <w:tcW w:w="1021" w:type="pct"/>
            <w:shd w:val="clear" w:color="auto" w:fill="F2F2F2" w:themeFill="background1" w:themeFillShade="F2"/>
            <w:noWrap/>
            <w:hideMark/>
          </w:tcPr>
          <w:p w14:paraId="31EA9F60"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pPr>
            <w:r w:rsidRPr="00166DB1">
              <w:rPr>
                <w:rFonts w:ascii="Times New Roman" w:hAnsi="Times New Roman"/>
              </w:rPr>
              <w:t>$</w:t>
            </w:r>
            <w:r w:rsidRPr="00166DB1">
              <w:t>1.36m (28.9%)</w:t>
            </w:r>
          </w:p>
          <w:p w14:paraId="10F0EB7D"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RPLO</w:t>
            </w:r>
          </w:p>
          <w:p w14:paraId="0586C413"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Administration Support to Pharmacy Schools</w:t>
            </w:r>
          </w:p>
        </w:tc>
        <w:tc>
          <w:tcPr>
            <w:tcW w:w="911" w:type="pct"/>
            <w:shd w:val="clear" w:color="auto" w:fill="F2F2F2" w:themeFill="background1" w:themeFillShade="F2"/>
            <w:noWrap/>
            <w:hideMark/>
          </w:tcPr>
          <w:p w14:paraId="1E1CC015"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pPr>
            <w:r w:rsidRPr="00166DB1">
              <w:t>-</w:t>
            </w:r>
          </w:p>
        </w:tc>
        <w:tc>
          <w:tcPr>
            <w:tcW w:w="713" w:type="pct"/>
            <w:shd w:val="clear" w:color="auto" w:fill="F2F2F2" w:themeFill="background1" w:themeFillShade="F2"/>
            <w:noWrap/>
            <w:hideMark/>
          </w:tcPr>
          <w:p w14:paraId="50019B6D"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pPr>
            <w:r w:rsidRPr="00166DB1">
              <w:t>-</w:t>
            </w:r>
          </w:p>
        </w:tc>
        <w:tc>
          <w:tcPr>
            <w:tcW w:w="502" w:type="pct"/>
            <w:shd w:val="clear" w:color="auto" w:fill="F2F2F2" w:themeFill="background1" w:themeFillShade="F2"/>
            <w:noWrap/>
            <w:hideMark/>
          </w:tcPr>
          <w:p w14:paraId="68B48E78"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rPr>
                <w:b/>
              </w:rPr>
            </w:pPr>
            <w:r w:rsidRPr="00166DB1">
              <w:rPr>
                <w:rFonts w:ascii="Times New Roman" w:hAnsi="Times New Roman"/>
                <w:b/>
              </w:rPr>
              <w:t>$</w:t>
            </w:r>
            <w:r w:rsidRPr="00166DB1">
              <w:rPr>
                <w:b/>
              </w:rPr>
              <w:t xml:space="preserve">1.36m (28.9%) </w:t>
            </w:r>
          </w:p>
        </w:tc>
      </w:tr>
      <w:tr w:rsidR="00166DB1" w:rsidRPr="00166DB1" w14:paraId="41CD14D6" w14:textId="77777777" w:rsidTr="00133610">
        <w:trPr>
          <w:trHeight w:val="290"/>
        </w:trPr>
        <w:tc>
          <w:tcPr>
            <w:cnfStyle w:val="001000000000" w:firstRow="0" w:lastRow="0" w:firstColumn="1" w:lastColumn="0" w:oddVBand="0" w:evenVBand="0" w:oddHBand="0" w:evenHBand="0" w:firstRowFirstColumn="0" w:firstRowLastColumn="0" w:lastRowFirstColumn="0" w:lastRowLastColumn="0"/>
            <w:tcW w:w="526" w:type="pct"/>
            <w:tcBorders>
              <w:bottom w:val="single" w:sz="4" w:space="0" w:color="auto"/>
            </w:tcBorders>
            <w:shd w:val="clear" w:color="auto" w:fill="D9D9D9" w:themeFill="background1" w:themeFillShade="D9"/>
            <w:noWrap/>
            <w:hideMark/>
          </w:tcPr>
          <w:p w14:paraId="0151076B" w14:textId="77777777" w:rsidR="00166DB1" w:rsidRPr="00166DB1" w:rsidRDefault="00166DB1" w:rsidP="00F44120">
            <w:pPr>
              <w:pStyle w:val="TableCopy"/>
            </w:pPr>
            <w:r w:rsidRPr="00166DB1">
              <w:t>Access to culturally appropriate services</w:t>
            </w:r>
          </w:p>
        </w:tc>
        <w:tc>
          <w:tcPr>
            <w:tcW w:w="1327" w:type="pct"/>
            <w:tcBorders>
              <w:bottom w:val="single" w:sz="4" w:space="0" w:color="auto"/>
            </w:tcBorders>
            <w:shd w:val="clear" w:color="auto" w:fill="BFBFBF" w:themeFill="background1" w:themeFillShade="BF"/>
          </w:tcPr>
          <w:p w14:paraId="1C963F42"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pPr>
            <w:r w:rsidRPr="00166DB1">
              <w:t xml:space="preserve">To increase access to culturally appropriate pharmacy services for Aboriginal and Torres Strait Islander customers </w:t>
            </w:r>
          </w:p>
        </w:tc>
        <w:tc>
          <w:tcPr>
            <w:tcW w:w="1021" w:type="pct"/>
            <w:shd w:val="clear" w:color="auto" w:fill="F2F2F2" w:themeFill="background1" w:themeFillShade="F2"/>
            <w:noWrap/>
            <w:hideMark/>
          </w:tcPr>
          <w:p w14:paraId="4B0580F9"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pPr>
            <w:r w:rsidRPr="00166DB1">
              <w:t>-</w:t>
            </w:r>
          </w:p>
        </w:tc>
        <w:tc>
          <w:tcPr>
            <w:tcW w:w="911" w:type="pct"/>
            <w:shd w:val="clear" w:color="auto" w:fill="F2F2F2" w:themeFill="background1" w:themeFillShade="F2"/>
            <w:noWrap/>
            <w:hideMark/>
          </w:tcPr>
          <w:p w14:paraId="2D31A610"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pPr>
            <w:r w:rsidRPr="00166DB1">
              <w:rPr>
                <w:rFonts w:ascii="Times New Roman" w:hAnsi="Times New Roman"/>
              </w:rPr>
              <w:t>$</w:t>
            </w:r>
            <w:r w:rsidRPr="00166DB1">
              <w:t xml:space="preserve">0.23m (4.9%) </w:t>
            </w:r>
          </w:p>
          <w:p w14:paraId="64BC8EA0"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Aboriginal and Torres Strait Islander Pharmacy Scholarship Scheme</w:t>
            </w:r>
          </w:p>
          <w:p w14:paraId="30B86FA9"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Aboriginal and Torres Strait Islander Pharmacy Assistant Traineeship Scheme</w:t>
            </w:r>
          </w:p>
        </w:tc>
        <w:tc>
          <w:tcPr>
            <w:tcW w:w="713" w:type="pct"/>
            <w:shd w:val="clear" w:color="auto" w:fill="F2F2F2" w:themeFill="background1" w:themeFillShade="F2"/>
            <w:noWrap/>
            <w:hideMark/>
          </w:tcPr>
          <w:p w14:paraId="2EA07093"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pPr>
            <w:r w:rsidRPr="00166DB1">
              <w:t>-</w:t>
            </w:r>
          </w:p>
        </w:tc>
        <w:tc>
          <w:tcPr>
            <w:tcW w:w="502" w:type="pct"/>
            <w:shd w:val="clear" w:color="auto" w:fill="F2F2F2" w:themeFill="background1" w:themeFillShade="F2"/>
            <w:noWrap/>
            <w:hideMark/>
          </w:tcPr>
          <w:p w14:paraId="5C0B8A7F" w14:textId="77777777" w:rsidR="00166DB1" w:rsidRPr="00166DB1" w:rsidRDefault="00166DB1" w:rsidP="00F44120">
            <w:pPr>
              <w:pStyle w:val="TableCopy"/>
              <w:cnfStyle w:val="000000000000" w:firstRow="0" w:lastRow="0" w:firstColumn="0" w:lastColumn="0" w:oddVBand="0" w:evenVBand="0" w:oddHBand="0" w:evenHBand="0" w:firstRowFirstColumn="0" w:firstRowLastColumn="0" w:lastRowFirstColumn="0" w:lastRowLastColumn="0"/>
              <w:rPr>
                <w:b/>
              </w:rPr>
            </w:pPr>
            <w:r w:rsidRPr="00166DB1">
              <w:rPr>
                <w:rFonts w:ascii="Times New Roman" w:hAnsi="Times New Roman"/>
                <w:b/>
              </w:rPr>
              <w:t>$</w:t>
            </w:r>
            <w:r w:rsidRPr="00166DB1">
              <w:rPr>
                <w:b/>
              </w:rPr>
              <w:t xml:space="preserve">0.23m (4.9%) </w:t>
            </w:r>
          </w:p>
        </w:tc>
      </w:tr>
      <w:tr w:rsidR="00133610" w:rsidRPr="00166DB1" w14:paraId="28CB0ED2" w14:textId="77777777" w:rsidTr="00133610">
        <w:trPr>
          <w:trHeight w:val="290"/>
        </w:trPr>
        <w:tc>
          <w:tcPr>
            <w:cnfStyle w:val="001000000000" w:firstRow="0" w:lastRow="0" w:firstColumn="1" w:lastColumn="0" w:oddVBand="0" w:evenVBand="0" w:oddHBand="0" w:evenHBand="0" w:firstRowFirstColumn="0" w:firstRowLastColumn="0" w:lastRowFirstColumn="0" w:lastRowLastColumn="0"/>
            <w:tcW w:w="526" w:type="pct"/>
            <w:tcBorders>
              <w:right w:val="nil"/>
            </w:tcBorders>
            <w:shd w:val="clear" w:color="auto" w:fill="D9D9D9" w:themeFill="background1" w:themeFillShade="D9"/>
            <w:noWrap/>
            <w:hideMark/>
          </w:tcPr>
          <w:p w14:paraId="4ADC9B34" w14:textId="77777777" w:rsidR="00133610" w:rsidRPr="00166DB1" w:rsidRDefault="00133610" w:rsidP="00F44120">
            <w:pPr>
              <w:pStyle w:val="TableCopy"/>
              <w:rPr>
                <w:b w:val="0"/>
                <w:color w:val="FFFFFF"/>
              </w:rPr>
            </w:pPr>
            <w:r w:rsidRPr="00166DB1">
              <w:t xml:space="preserve">Total </w:t>
            </w:r>
          </w:p>
        </w:tc>
        <w:tc>
          <w:tcPr>
            <w:tcW w:w="1327" w:type="pct"/>
            <w:tcBorders>
              <w:left w:val="nil"/>
            </w:tcBorders>
            <w:shd w:val="clear" w:color="auto" w:fill="D9D9D9" w:themeFill="background1" w:themeFillShade="D9"/>
          </w:tcPr>
          <w:p w14:paraId="73A52264" w14:textId="0B18A0C7" w:rsidR="00133610" w:rsidRPr="00166DB1" w:rsidRDefault="00133610" w:rsidP="00F44120">
            <w:pPr>
              <w:pStyle w:val="TableCopy"/>
              <w:cnfStyle w:val="000000000000" w:firstRow="0" w:lastRow="0" w:firstColumn="0" w:lastColumn="0" w:oddVBand="0" w:evenVBand="0" w:oddHBand="0" w:evenHBand="0" w:firstRowFirstColumn="0" w:firstRowLastColumn="0" w:lastRowFirstColumn="0" w:lastRowLastColumn="0"/>
              <w:rPr>
                <w:color w:val="FFFFFF"/>
              </w:rPr>
            </w:pPr>
          </w:p>
        </w:tc>
        <w:tc>
          <w:tcPr>
            <w:tcW w:w="1021" w:type="pct"/>
            <w:shd w:val="clear" w:color="auto" w:fill="F2F2F2" w:themeFill="background1" w:themeFillShade="F2"/>
            <w:noWrap/>
            <w:hideMark/>
          </w:tcPr>
          <w:p w14:paraId="21254F90" w14:textId="77777777" w:rsidR="00133610" w:rsidRPr="00166DB1" w:rsidRDefault="00133610" w:rsidP="00F44120">
            <w:pPr>
              <w:pStyle w:val="TableCopy"/>
              <w:cnfStyle w:val="000000000000" w:firstRow="0" w:lastRow="0" w:firstColumn="0" w:lastColumn="0" w:oddVBand="0" w:evenVBand="0" w:oddHBand="0" w:evenHBand="0" w:firstRowFirstColumn="0" w:firstRowLastColumn="0" w:lastRowFirstColumn="0" w:lastRowLastColumn="0"/>
              <w:rPr>
                <w:b/>
              </w:rPr>
            </w:pPr>
            <w:r w:rsidRPr="00166DB1">
              <w:rPr>
                <w:rFonts w:ascii="Times New Roman" w:hAnsi="Times New Roman"/>
                <w:b/>
              </w:rPr>
              <w:t>$</w:t>
            </w:r>
            <w:r w:rsidRPr="00166DB1">
              <w:rPr>
                <w:b/>
              </w:rPr>
              <w:t>2.89m (61.5%)</w:t>
            </w:r>
          </w:p>
        </w:tc>
        <w:tc>
          <w:tcPr>
            <w:tcW w:w="911" w:type="pct"/>
            <w:shd w:val="clear" w:color="auto" w:fill="F2F2F2" w:themeFill="background1" w:themeFillShade="F2"/>
            <w:noWrap/>
            <w:hideMark/>
          </w:tcPr>
          <w:p w14:paraId="2F6A1D42" w14:textId="77777777" w:rsidR="00133610" w:rsidRPr="00166DB1" w:rsidRDefault="00133610" w:rsidP="00F44120">
            <w:pPr>
              <w:pStyle w:val="TableCopy"/>
              <w:cnfStyle w:val="000000000000" w:firstRow="0" w:lastRow="0" w:firstColumn="0" w:lastColumn="0" w:oddVBand="0" w:evenVBand="0" w:oddHBand="0" w:evenHBand="0" w:firstRowFirstColumn="0" w:firstRowLastColumn="0" w:lastRowFirstColumn="0" w:lastRowLastColumn="0"/>
              <w:rPr>
                <w:b/>
              </w:rPr>
            </w:pPr>
            <w:r w:rsidRPr="00166DB1">
              <w:rPr>
                <w:rFonts w:ascii="Times New Roman" w:hAnsi="Times New Roman"/>
                <w:b/>
              </w:rPr>
              <w:t>$</w:t>
            </w:r>
            <w:r w:rsidRPr="00166DB1">
              <w:rPr>
                <w:b/>
              </w:rPr>
              <w:t xml:space="preserve">1.27m (27.0%) </w:t>
            </w:r>
          </w:p>
        </w:tc>
        <w:tc>
          <w:tcPr>
            <w:tcW w:w="713" w:type="pct"/>
            <w:shd w:val="clear" w:color="auto" w:fill="F2F2F2" w:themeFill="background1" w:themeFillShade="F2"/>
            <w:noWrap/>
            <w:hideMark/>
          </w:tcPr>
          <w:p w14:paraId="14F12D91" w14:textId="77777777" w:rsidR="00133610" w:rsidRPr="00166DB1" w:rsidRDefault="00133610" w:rsidP="00F44120">
            <w:pPr>
              <w:pStyle w:val="TableCopy"/>
              <w:cnfStyle w:val="000000000000" w:firstRow="0" w:lastRow="0" w:firstColumn="0" w:lastColumn="0" w:oddVBand="0" w:evenVBand="0" w:oddHBand="0" w:evenHBand="0" w:firstRowFirstColumn="0" w:firstRowLastColumn="0" w:lastRowFirstColumn="0" w:lastRowLastColumn="0"/>
              <w:rPr>
                <w:b/>
              </w:rPr>
            </w:pPr>
            <w:r w:rsidRPr="00166DB1">
              <w:rPr>
                <w:rFonts w:ascii="Times New Roman" w:hAnsi="Times New Roman"/>
                <w:b/>
              </w:rPr>
              <w:t>$</w:t>
            </w:r>
            <w:r w:rsidRPr="00166DB1">
              <w:rPr>
                <w:b/>
              </w:rPr>
              <w:t>0.54m (11.5%)</w:t>
            </w:r>
          </w:p>
        </w:tc>
        <w:tc>
          <w:tcPr>
            <w:tcW w:w="502" w:type="pct"/>
            <w:shd w:val="clear" w:color="auto" w:fill="F2F2F2" w:themeFill="background1" w:themeFillShade="F2"/>
            <w:noWrap/>
            <w:hideMark/>
          </w:tcPr>
          <w:p w14:paraId="036DDD2F" w14:textId="77777777" w:rsidR="00133610" w:rsidRPr="00166DB1" w:rsidRDefault="00133610" w:rsidP="00F44120">
            <w:pPr>
              <w:pStyle w:val="TableCopy"/>
              <w:cnfStyle w:val="000000000000" w:firstRow="0" w:lastRow="0" w:firstColumn="0" w:lastColumn="0" w:oddVBand="0" w:evenVBand="0" w:oddHBand="0" w:evenHBand="0" w:firstRowFirstColumn="0" w:firstRowLastColumn="0" w:lastRowFirstColumn="0" w:lastRowLastColumn="0"/>
              <w:rPr>
                <w:b/>
              </w:rPr>
            </w:pPr>
            <w:r w:rsidRPr="00166DB1">
              <w:rPr>
                <w:rFonts w:ascii="Times New Roman" w:hAnsi="Times New Roman"/>
                <w:b/>
              </w:rPr>
              <w:t>$</w:t>
            </w:r>
            <w:r w:rsidRPr="00166DB1">
              <w:rPr>
                <w:b/>
              </w:rPr>
              <w:t>4.7m (100%)</w:t>
            </w:r>
          </w:p>
        </w:tc>
      </w:tr>
    </w:tbl>
    <w:p w14:paraId="1104515A" w14:textId="77777777" w:rsidR="00166DB1" w:rsidRPr="00166DB1" w:rsidRDefault="00166DB1" w:rsidP="00166DB1">
      <w:pPr>
        <w:spacing w:before="85" w:after="85"/>
        <w:rPr>
          <w:rFonts w:ascii="Garamond" w:eastAsia="Garamond" w:hAnsi="Garamond"/>
          <w:color w:val="000000"/>
        </w:rPr>
        <w:sectPr w:rsidR="00166DB1" w:rsidRPr="00166DB1" w:rsidSect="00720069">
          <w:pgSz w:w="16839" w:h="11907" w:orient="landscape" w:code="9"/>
          <w:pgMar w:top="2268" w:right="1304" w:bottom="851" w:left="737" w:header="567" w:footer="284" w:gutter="0"/>
          <w:cols w:space="709"/>
          <w:docGrid w:linePitch="360"/>
        </w:sectPr>
      </w:pPr>
    </w:p>
    <w:p w14:paraId="6DB1B2F9" w14:textId="77777777" w:rsidR="00166DB1" w:rsidRPr="00166DB1" w:rsidRDefault="00166DB1" w:rsidP="00B24642">
      <w:pPr>
        <w:pStyle w:val="Heading3"/>
      </w:pPr>
      <w:bookmarkStart w:id="105" w:name="_Toc490574942"/>
      <w:bookmarkStart w:id="106" w:name="_Toc523322079"/>
      <w:r w:rsidRPr="00166DB1">
        <w:lastRenderedPageBreak/>
        <w:t>Enhanced culturally appropriate service access programs</w:t>
      </w:r>
      <w:bookmarkEnd w:id="105"/>
      <w:bookmarkEnd w:id="106"/>
    </w:p>
    <w:p w14:paraId="552BED05"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Programs to increase access to culturally appropriate pharmacy services for Aboriginal and Torres Strait Islander people account for only 4.9% of the Pharmacy Workforce Package funding. The Aboriginal and Torres Strait Islander Scholarship Scheme may contribute substantially to the small increase in Aboriginal and Torres Strait Islander pharmacists observed between 2013 and 2015. However, there is evidence to indicate that many previous scholarship recipients are now working in PhARIA 1 locations, albeit with Aboriginal and Torres Strait Islander populations above the national average. This is an important contribution to culturally appropriate service access, but it may not reflect an increase in the rural and remote workforce. </w:t>
      </w:r>
    </w:p>
    <w:p w14:paraId="1130CEAF"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Similarly, most pharmacies that benefited from the Aboriginal and Torres Strait Islander Pharmacy Assistant Traineeship Scheme were located in areas with Aboriginal and Torres Strait islander populations above the national average, indicating a contribution to culturally appropriate access. However, there was insufficient data on how many pharmacy assistants completed the training and continued employment at the pharmacy post training, or if the pharmacies were in rural or remote areas. Therefore, the contribution of the Aboriginal and Torres Strait Islander Pharmacy Assistant Traineeship Scheme to the rural and remote workforce is unclear. </w:t>
      </w:r>
    </w:p>
    <w:p w14:paraId="1875B857" w14:textId="77777777" w:rsidR="00166DB1" w:rsidRPr="00166DB1" w:rsidRDefault="00166DB1" w:rsidP="00546711">
      <w:pPr>
        <w:pStyle w:val="KeyFinding"/>
        <w:shd w:val="clear" w:color="auto" w:fill="F2F2F2" w:themeFill="background1" w:themeFillShade="F2"/>
      </w:pPr>
      <w:bookmarkStart w:id="107" w:name="_Ref489869158"/>
      <w:r w:rsidRPr="00166DB1">
        <w:t>The funding for enhanced culturally appropriate services targeting Aboriginal and Torres Straits students and trainees was focussed solely on recruitment programs. This was reflected in the recruitment of new graduates to rural and remote areas, but there were no retention programs for this workforce category.</w:t>
      </w:r>
      <w:bookmarkEnd w:id="107"/>
      <w:r w:rsidRPr="00166DB1">
        <w:t xml:space="preserve"> </w:t>
      </w:r>
    </w:p>
    <w:p w14:paraId="772D8DE3" w14:textId="77777777" w:rsidR="00166DB1" w:rsidRPr="00166DB1" w:rsidRDefault="00166DB1" w:rsidP="00166DB1">
      <w:pPr>
        <w:spacing w:before="85" w:after="85"/>
        <w:rPr>
          <w:rFonts w:ascii="Garamond" w:eastAsia="Garamond" w:hAnsi="Garamond"/>
          <w:color w:val="000000"/>
        </w:rPr>
      </w:pPr>
    </w:p>
    <w:p w14:paraId="29A924B8" w14:textId="77777777" w:rsidR="00166DB1" w:rsidRPr="00166DB1" w:rsidRDefault="00166DB1" w:rsidP="00546711">
      <w:pPr>
        <w:pStyle w:val="KeyFinding"/>
        <w:shd w:val="clear" w:color="auto" w:fill="F2F2F2" w:themeFill="background1" w:themeFillShade="F2"/>
      </w:pPr>
      <w:bookmarkStart w:id="108" w:name="_Ref489869175"/>
      <w:r w:rsidRPr="00166DB1">
        <w:t>There was insufficient data on programs aimed at increasing access to culturally appropriate pharmacy services to determine their impact on the rural and remote workforce. However, the Aboriginal and Torres Strait Islander Scholarship Scheme appeared to have contributed to modest growth in the Aboriginal and Torres Strait Islander pharmacist workforce.</w:t>
      </w:r>
      <w:bookmarkEnd w:id="108"/>
    </w:p>
    <w:p w14:paraId="58F26602" w14:textId="77777777" w:rsidR="00166DB1" w:rsidRPr="00166DB1" w:rsidRDefault="00166DB1" w:rsidP="00B24642">
      <w:pPr>
        <w:pStyle w:val="Heading2"/>
      </w:pPr>
      <w:bookmarkStart w:id="109" w:name="_Toc490574943"/>
      <w:bookmarkStart w:id="110" w:name="_Toc523322080"/>
      <w:r w:rsidRPr="00166DB1">
        <w:t>Unit cost</w:t>
      </w:r>
      <w:bookmarkEnd w:id="109"/>
      <w:r w:rsidRPr="00166DB1">
        <w:t xml:space="preserve"> and administrative overheads</w:t>
      </w:r>
      <w:bookmarkEnd w:id="110"/>
    </w:p>
    <w:p w14:paraId="66403949"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Total unit costs of individual programs were calculated for each Pharmacy Workforce Program. The unit costs were calculated based on:</w:t>
      </w:r>
    </w:p>
    <w:p w14:paraId="48E28833" w14:textId="77777777" w:rsidR="00166DB1" w:rsidRPr="00FF3C41" w:rsidRDefault="00166DB1" w:rsidP="009F66FB">
      <w:pPr>
        <w:pStyle w:val="ListParagraph"/>
        <w:numPr>
          <w:ilvl w:val="0"/>
          <w:numId w:val="19"/>
        </w:numPr>
        <w:tabs>
          <w:tab w:val="num" w:pos="170"/>
        </w:tabs>
        <w:spacing w:before="20" w:after="20"/>
        <w:rPr>
          <w:rFonts w:ascii="Garamond" w:eastAsia="Times New Roman" w:hAnsi="Garamond"/>
          <w:color w:val="000000"/>
        </w:rPr>
      </w:pPr>
      <w:r w:rsidRPr="00FF3C41">
        <w:rPr>
          <w:rFonts w:ascii="Garamond" w:eastAsia="Times New Roman" w:hAnsi="Garamond"/>
          <w:color w:val="000000"/>
        </w:rPr>
        <w:t>direct program expenditure (e.g. value of scholarship x the number of scholarships grants), and</w:t>
      </w:r>
    </w:p>
    <w:p w14:paraId="358FEED6" w14:textId="77777777" w:rsidR="00166DB1" w:rsidRPr="00FF3C41" w:rsidRDefault="00166DB1" w:rsidP="009F66FB">
      <w:pPr>
        <w:pStyle w:val="ListParagraph"/>
        <w:numPr>
          <w:ilvl w:val="0"/>
          <w:numId w:val="19"/>
        </w:numPr>
        <w:tabs>
          <w:tab w:val="num" w:pos="170"/>
        </w:tabs>
        <w:spacing w:before="20" w:after="20"/>
        <w:rPr>
          <w:rFonts w:ascii="Garamond" w:eastAsia="Times New Roman" w:hAnsi="Garamond"/>
          <w:color w:val="000000"/>
        </w:rPr>
      </w:pPr>
      <w:r w:rsidRPr="00FF3C41">
        <w:rPr>
          <w:rFonts w:ascii="Garamond" w:eastAsia="Times New Roman" w:hAnsi="Garamond"/>
          <w:color w:val="000000"/>
        </w:rPr>
        <w:t xml:space="preserve">an allocated proportion of The Guild’s administrative costs (see </w:t>
      </w:r>
      <w:r w:rsidRPr="00FF3C41">
        <w:rPr>
          <w:rFonts w:ascii="Garamond" w:eastAsia="Times New Roman" w:hAnsi="Garamond"/>
          <w:color w:val="000000"/>
        </w:rPr>
        <w:fldChar w:fldCharType="begin"/>
      </w:r>
      <w:r w:rsidRPr="00FF3C41">
        <w:rPr>
          <w:rFonts w:ascii="Garamond" w:eastAsia="Times New Roman" w:hAnsi="Garamond"/>
          <w:color w:val="000000"/>
        </w:rPr>
        <w:instrText xml:space="preserve"> REF _Ref488233640 \r \h  \* MERGEFORMAT </w:instrText>
      </w:r>
      <w:r w:rsidRPr="00FF3C41">
        <w:rPr>
          <w:rFonts w:ascii="Garamond" w:eastAsia="Times New Roman" w:hAnsi="Garamond"/>
          <w:color w:val="000000"/>
        </w:rPr>
      </w:r>
      <w:r w:rsidRPr="00FF3C41">
        <w:rPr>
          <w:rFonts w:ascii="Garamond" w:eastAsia="Times New Roman" w:hAnsi="Garamond"/>
          <w:color w:val="000000"/>
        </w:rPr>
        <w:fldChar w:fldCharType="separate"/>
      </w:r>
      <w:r w:rsidRPr="00FF3C41">
        <w:rPr>
          <w:rFonts w:ascii="Garamond" w:eastAsia="Times New Roman" w:hAnsi="Garamond"/>
          <w:color w:val="000000"/>
        </w:rPr>
        <w:t>Appendix E</w:t>
      </w:r>
      <w:r w:rsidRPr="00FF3C41">
        <w:rPr>
          <w:rFonts w:ascii="Garamond" w:eastAsia="Times New Roman" w:hAnsi="Garamond"/>
          <w:color w:val="000000"/>
        </w:rPr>
        <w:fldChar w:fldCharType="end"/>
      </w:r>
      <w:r w:rsidRPr="00FF3C41">
        <w:rPr>
          <w:rFonts w:ascii="Garamond" w:eastAsia="Times New Roman" w:hAnsi="Garamond"/>
          <w:color w:val="000000"/>
        </w:rPr>
        <w:t xml:space="preserve">). </w:t>
      </w:r>
    </w:p>
    <w:p w14:paraId="6DCA4734"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fldChar w:fldCharType="begin"/>
      </w:r>
      <w:r w:rsidRPr="00166DB1">
        <w:rPr>
          <w:rFonts w:ascii="Garamond" w:eastAsia="Garamond" w:hAnsi="Garamond"/>
          <w:color w:val="000000"/>
        </w:rPr>
        <w:instrText xml:space="preserve"> REF _Ref490647609 \h  \* MERGEFORMAT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 xml:space="preserve">Table </w:t>
      </w:r>
      <w:r w:rsidRPr="00166DB1">
        <w:rPr>
          <w:rFonts w:ascii="Garamond" w:eastAsia="Garamond" w:hAnsi="Garamond"/>
          <w:noProof/>
          <w:color w:val="000000"/>
        </w:rPr>
        <w:t>6.2</w:t>
      </w:r>
      <w:r w:rsidRPr="00166DB1">
        <w:rPr>
          <w:rFonts w:ascii="Garamond" w:eastAsia="Garamond" w:hAnsi="Garamond"/>
          <w:color w:val="000000"/>
        </w:rPr>
        <w:fldChar w:fldCharType="end"/>
      </w:r>
      <w:r w:rsidRPr="00166DB1">
        <w:rPr>
          <w:rFonts w:ascii="Garamond" w:eastAsia="Garamond" w:hAnsi="Garamond"/>
          <w:color w:val="000000"/>
        </w:rPr>
        <w:t xml:space="preserve"> shows the estimated administrative overhead costs by program, as a proportion of total unit cost. Administration overhead costs incurred by The Guild were derived from budget reporting data provided by the Department for 2010/11 – 2014/15 financial years of the 5CPA for both the Aboriginal and Torres Strait Islander Workforce Programs and Rural Pharmacy Workforce Programs. </w:t>
      </w:r>
    </w:p>
    <w:p w14:paraId="041A9054"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There were numerous limitations with this data, including:</w:t>
      </w:r>
    </w:p>
    <w:p w14:paraId="0A1F9281" w14:textId="77777777" w:rsidR="00166DB1" w:rsidRPr="00FF3C41" w:rsidRDefault="00166DB1" w:rsidP="009F66FB">
      <w:pPr>
        <w:pStyle w:val="ListParagraph"/>
        <w:numPr>
          <w:ilvl w:val="0"/>
          <w:numId w:val="20"/>
        </w:numPr>
        <w:tabs>
          <w:tab w:val="num" w:pos="170"/>
        </w:tabs>
        <w:spacing w:before="20" w:after="20"/>
        <w:rPr>
          <w:rFonts w:ascii="Garamond" w:eastAsia="Times New Roman" w:hAnsi="Garamond"/>
          <w:color w:val="000000"/>
        </w:rPr>
      </w:pPr>
      <w:r w:rsidRPr="00FF3C41">
        <w:rPr>
          <w:rFonts w:ascii="Garamond" w:eastAsia="Times New Roman" w:hAnsi="Garamond"/>
          <w:color w:val="000000"/>
        </w:rPr>
        <w:t>the data reflects administration budgets not expenditure, and</w:t>
      </w:r>
    </w:p>
    <w:p w14:paraId="784403E0" w14:textId="77777777" w:rsidR="00166DB1" w:rsidRPr="00FF3C41" w:rsidRDefault="00166DB1" w:rsidP="009F66FB">
      <w:pPr>
        <w:pStyle w:val="ListParagraph"/>
        <w:numPr>
          <w:ilvl w:val="0"/>
          <w:numId w:val="20"/>
        </w:numPr>
        <w:tabs>
          <w:tab w:val="num" w:pos="170"/>
        </w:tabs>
        <w:spacing w:before="20" w:after="20"/>
        <w:rPr>
          <w:rFonts w:ascii="Garamond" w:eastAsia="Times New Roman" w:hAnsi="Garamond"/>
          <w:color w:val="000000"/>
        </w:rPr>
      </w:pPr>
      <w:r w:rsidRPr="00FF3C41">
        <w:rPr>
          <w:rFonts w:ascii="Garamond" w:eastAsia="Times New Roman" w:hAnsi="Garamond"/>
          <w:color w:val="000000"/>
        </w:rPr>
        <w:t xml:space="preserve">the total administration budget was not broken down by individual program. The administration costs were ‘pooled’ into two categories: </w:t>
      </w:r>
    </w:p>
    <w:p w14:paraId="64559E3C" w14:textId="77777777" w:rsidR="00166DB1" w:rsidRPr="00FF3C41" w:rsidRDefault="00166DB1" w:rsidP="009F66FB">
      <w:pPr>
        <w:pStyle w:val="ListParagraph"/>
        <w:numPr>
          <w:ilvl w:val="1"/>
          <w:numId w:val="21"/>
        </w:numPr>
        <w:tabs>
          <w:tab w:val="num" w:pos="397"/>
        </w:tabs>
        <w:spacing w:before="20" w:after="20"/>
        <w:rPr>
          <w:rFonts w:ascii="Garamond" w:eastAsia="Times New Roman" w:hAnsi="Garamond"/>
          <w:color w:val="000000"/>
        </w:rPr>
      </w:pPr>
      <w:r w:rsidRPr="00FF3C41">
        <w:rPr>
          <w:rFonts w:ascii="Garamond" w:eastAsia="Times New Roman" w:hAnsi="Garamond"/>
          <w:color w:val="000000"/>
        </w:rPr>
        <w:t>Aboriginal and Torres Strait Islander Workforce Programs, and</w:t>
      </w:r>
    </w:p>
    <w:p w14:paraId="43A4595C" w14:textId="77777777" w:rsidR="00166DB1" w:rsidRPr="00FF3C41" w:rsidRDefault="00166DB1" w:rsidP="009F66FB">
      <w:pPr>
        <w:pStyle w:val="ListParagraph"/>
        <w:numPr>
          <w:ilvl w:val="1"/>
          <w:numId w:val="21"/>
        </w:numPr>
        <w:tabs>
          <w:tab w:val="num" w:pos="397"/>
        </w:tabs>
        <w:spacing w:before="20" w:after="20"/>
        <w:rPr>
          <w:rFonts w:ascii="Garamond" w:eastAsia="Times New Roman" w:hAnsi="Garamond"/>
          <w:color w:val="000000"/>
        </w:rPr>
      </w:pPr>
      <w:r w:rsidRPr="00FF3C41">
        <w:rPr>
          <w:rFonts w:ascii="Garamond" w:eastAsia="Times New Roman" w:hAnsi="Garamond"/>
          <w:color w:val="000000"/>
        </w:rPr>
        <w:t xml:space="preserve">Rural Pharmacy Workforce Programs. </w:t>
      </w:r>
    </w:p>
    <w:p w14:paraId="1304F80A"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Administration overhead budget was allocated to each program by program volume. This assumes that, as program volumes increase, so does the administrative effort required to deliver the program (e.g. processing applications, managing funds, reporting etc.). This approach was limited as some programs required greater effort </w:t>
      </w:r>
      <w:r w:rsidRPr="00166DB1">
        <w:rPr>
          <w:rFonts w:ascii="Garamond" w:eastAsia="Garamond" w:hAnsi="Garamond"/>
          <w:color w:val="000000"/>
        </w:rPr>
        <w:lastRenderedPageBreak/>
        <w:t>than others to administer. However, HMA considers this limitation was not significant. The distribution of the administration budget across the programs was a ‘zero sum game’; under this cost apportionment methodology a reduction in the average overhead allocation for one program would be offset by increases in another.</w:t>
      </w:r>
    </w:p>
    <w:p w14:paraId="40AC5466" w14:textId="77777777" w:rsidR="00166DB1" w:rsidRPr="00166DB1" w:rsidRDefault="00166DB1" w:rsidP="00483C21">
      <w:pPr>
        <w:pStyle w:val="Caption"/>
      </w:pPr>
      <w:bookmarkStart w:id="111" w:name="_Ref490647609"/>
      <w:r w:rsidRPr="00166DB1">
        <w:t xml:space="preserve">Table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6</w:t>
      </w:r>
      <w:r w:rsidRPr="00166DB1">
        <w:rPr>
          <w:noProof/>
        </w:rPr>
        <w:fldChar w:fldCharType="end"/>
      </w:r>
      <w:r w:rsidRPr="00166DB1">
        <w:t>.</w:t>
      </w:r>
      <w:r w:rsidRPr="00166DB1">
        <w:rPr>
          <w:noProof/>
        </w:rPr>
        <w:fldChar w:fldCharType="begin"/>
      </w:r>
      <w:r w:rsidRPr="00166DB1">
        <w:rPr>
          <w:noProof/>
        </w:rPr>
        <w:instrText xml:space="preserve"> SEQ Table \* ARABIC \s 1 </w:instrText>
      </w:r>
      <w:r w:rsidRPr="00166DB1">
        <w:rPr>
          <w:noProof/>
        </w:rPr>
        <w:fldChar w:fldCharType="separate"/>
      </w:r>
      <w:r w:rsidRPr="00166DB1">
        <w:rPr>
          <w:noProof/>
        </w:rPr>
        <w:t>2</w:t>
      </w:r>
      <w:r w:rsidRPr="00166DB1">
        <w:rPr>
          <w:noProof/>
        </w:rPr>
        <w:fldChar w:fldCharType="end"/>
      </w:r>
      <w:bookmarkEnd w:id="111"/>
      <w:r w:rsidRPr="00166DB1">
        <w:t>: Estimated administration overhead cost as a proportion of unit cost</w:t>
      </w:r>
    </w:p>
    <w:tbl>
      <w:tblPr>
        <w:tblStyle w:val="HMATable"/>
        <w:tblW w:w="5000" w:type="pct"/>
        <w:shd w:val="clear" w:color="auto" w:fill="F2F2F2" w:themeFill="background1" w:themeFillShade="F2"/>
        <w:tblLook w:val="04A0" w:firstRow="1" w:lastRow="0" w:firstColumn="1" w:lastColumn="0" w:noHBand="0" w:noVBand="1"/>
        <w:tblCaption w:val="Table 6.2: Estimated administration overhead cost as a proportion of unit cost"/>
        <w:tblDescription w:val="Table 6.2: Estimated administration overhead cost for each program as a proportion of unit cost"/>
      </w:tblPr>
      <w:tblGrid>
        <w:gridCol w:w="4531"/>
        <w:gridCol w:w="2503"/>
      </w:tblGrid>
      <w:tr w:rsidR="00166DB1" w:rsidRPr="00166DB1" w14:paraId="05436C4B" w14:textId="77777777" w:rsidTr="0013361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221" w:type="pct"/>
            <w:tcBorders>
              <w:bottom w:val="single" w:sz="4" w:space="0" w:color="auto"/>
            </w:tcBorders>
            <w:shd w:val="clear" w:color="auto" w:fill="F2F2F2" w:themeFill="background1" w:themeFillShade="F2"/>
          </w:tcPr>
          <w:p w14:paraId="2E2EB2CF" w14:textId="77777777" w:rsidR="00166DB1" w:rsidRPr="00166DB1" w:rsidRDefault="00166DB1" w:rsidP="00FF3C41">
            <w:pPr>
              <w:pStyle w:val="TableColumnHeading"/>
            </w:pPr>
            <w:r w:rsidRPr="00166DB1">
              <w:t>Program</w:t>
            </w:r>
          </w:p>
        </w:tc>
        <w:tc>
          <w:tcPr>
            <w:tcW w:w="1779" w:type="pct"/>
            <w:tcBorders>
              <w:bottom w:val="single" w:sz="4" w:space="0" w:color="auto"/>
            </w:tcBorders>
            <w:shd w:val="clear" w:color="auto" w:fill="F2F2F2" w:themeFill="background1" w:themeFillShade="F2"/>
          </w:tcPr>
          <w:p w14:paraId="508E7C4D" w14:textId="77777777" w:rsidR="00166DB1" w:rsidRPr="00166DB1" w:rsidRDefault="00166DB1" w:rsidP="00FF3C41">
            <w:pPr>
              <w:pStyle w:val="TableColumnHeading"/>
              <w:cnfStyle w:val="100000000000" w:firstRow="1" w:lastRow="0" w:firstColumn="0" w:lastColumn="0" w:oddVBand="0" w:evenVBand="0" w:oddHBand="0" w:evenHBand="0" w:firstRowFirstColumn="0" w:firstRowLastColumn="0" w:lastRowFirstColumn="0" w:lastRowLastColumn="0"/>
            </w:pPr>
            <w:r w:rsidRPr="00166DB1">
              <w:t>Estimated administration overhead cost as a proportion of unit cost</w:t>
            </w:r>
          </w:p>
        </w:tc>
      </w:tr>
      <w:tr w:rsidR="00133610" w:rsidRPr="003E51C4" w14:paraId="7E967652" w14:textId="77777777" w:rsidTr="00133610">
        <w:tc>
          <w:tcPr>
            <w:cnfStyle w:val="001000000000" w:firstRow="0" w:lastRow="0" w:firstColumn="1" w:lastColumn="0" w:oddVBand="0" w:evenVBand="0" w:oddHBand="0" w:evenHBand="0" w:firstRowFirstColumn="0" w:firstRowLastColumn="0" w:lastRowFirstColumn="0" w:lastRowLastColumn="0"/>
            <w:tcW w:w="3221" w:type="pct"/>
            <w:tcBorders>
              <w:right w:val="nil"/>
            </w:tcBorders>
            <w:shd w:val="clear" w:color="auto" w:fill="BFBFBF" w:themeFill="background1" w:themeFillShade="BF"/>
          </w:tcPr>
          <w:p w14:paraId="53C08402" w14:textId="77777777" w:rsidR="00133610" w:rsidRPr="003E51C4" w:rsidRDefault="00133610" w:rsidP="00FF3C41">
            <w:pPr>
              <w:pStyle w:val="Tablesubheading1"/>
              <w:rPr>
                <w:b w:val="0"/>
                <w:color w:val="000000" w:themeColor="text1"/>
              </w:rPr>
            </w:pPr>
            <w:r w:rsidRPr="003E51C4">
              <w:rPr>
                <w:color w:val="000000" w:themeColor="text1"/>
              </w:rPr>
              <w:t>Rural Pharmacy Workforce Programs</w:t>
            </w:r>
          </w:p>
        </w:tc>
        <w:tc>
          <w:tcPr>
            <w:tcW w:w="1779" w:type="pct"/>
            <w:tcBorders>
              <w:left w:val="nil"/>
            </w:tcBorders>
            <w:shd w:val="clear" w:color="auto" w:fill="BFBFBF" w:themeFill="background1" w:themeFillShade="BF"/>
          </w:tcPr>
          <w:p w14:paraId="069E3651" w14:textId="5BA7E9C8" w:rsidR="00133610" w:rsidRPr="003E51C4" w:rsidRDefault="00133610" w:rsidP="00FF3C41">
            <w:pPr>
              <w:pStyle w:val="Tablesubheading1"/>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66DB1" w:rsidRPr="00166DB1" w14:paraId="4783CFE9" w14:textId="77777777" w:rsidTr="00FF3C41">
        <w:tc>
          <w:tcPr>
            <w:cnfStyle w:val="001000000000" w:firstRow="0" w:lastRow="0" w:firstColumn="1" w:lastColumn="0" w:oddVBand="0" w:evenVBand="0" w:oddHBand="0" w:evenHBand="0" w:firstRowFirstColumn="0" w:firstRowLastColumn="0" w:lastRowFirstColumn="0" w:lastRowLastColumn="0"/>
            <w:tcW w:w="3221" w:type="pct"/>
            <w:shd w:val="clear" w:color="auto" w:fill="F2F2F2" w:themeFill="background1" w:themeFillShade="F2"/>
          </w:tcPr>
          <w:p w14:paraId="6D463121" w14:textId="77777777" w:rsidR="00166DB1" w:rsidRPr="00166DB1" w:rsidRDefault="00166DB1" w:rsidP="00FF3C41">
            <w:pPr>
              <w:pStyle w:val="TableCopy"/>
            </w:pPr>
            <w:r w:rsidRPr="00166DB1">
              <w:t>Rural Pharmacy Scholarship Mentor Scheme</w:t>
            </w:r>
          </w:p>
        </w:tc>
        <w:tc>
          <w:tcPr>
            <w:tcW w:w="1779" w:type="pct"/>
            <w:shd w:val="clear" w:color="auto" w:fill="F2F2F2" w:themeFill="background1" w:themeFillShade="F2"/>
          </w:tcPr>
          <w:p w14:paraId="38D7BD3E" w14:textId="77777777" w:rsidR="00166DB1" w:rsidRPr="00166DB1" w:rsidRDefault="00166DB1" w:rsidP="00FF3C41">
            <w:pPr>
              <w:pStyle w:val="TableCopy"/>
              <w:jc w:val="right"/>
              <w:cnfStyle w:val="000000000000" w:firstRow="0" w:lastRow="0" w:firstColumn="0" w:lastColumn="0" w:oddVBand="0" w:evenVBand="0" w:oddHBand="0" w:evenHBand="0" w:firstRowFirstColumn="0" w:firstRowLastColumn="0" w:lastRowFirstColumn="0" w:lastRowLastColumn="0"/>
            </w:pPr>
            <w:r w:rsidRPr="00166DB1">
              <w:t>62%</w:t>
            </w:r>
          </w:p>
        </w:tc>
      </w:tr>
      <w:tr w:rsidR="00166DB1" w:rsidRPr="00166DB1" w14:paraId="43FA8D50" w14:textId="77777777" w:rsidTr="00FF3C41">
        <w:tc>
          <w:tcPr>
            <w:cnfStyle w:val="001000000000" w:firstRow="0" w:lastRow="0" w:firstColumn="1" w:lastColumn="0" w:oddVBand="0" w:evenVBand="0" w:oddHBand="0" w:evenHBand="0" w:firstRowFirstColumn="0" w:firstRowLastColumn="0" w:lastRowFirstColumn="0" w:lastRowLastColumn="0"/>
            <w:tcW w:w="3221" w:type="pct"/>
            <w:shd w:val="clear" w:color="auto" w:fill="F2F2F2" w:themeFill="background1" w:themeFillShade="F2"/>
          </w:tcPr>
          <w:p w14:paraId="26CBF610" w14:textId="77777777" w:rsidR="00166DB1" w:rsidRPr="00166DB1" w:rsidRDefault="00166DB1" w:rsidP="00FF3C41">
            <w:pPr>
              <w:pStyle w:val="TableCopy"/>
            </w:pPr>
            <w:r w:rsidRPr="00166DB1">
              <w:t>Rural Intern Training Allowance</w:t>
            </w:r>
          </w:p>
        </w:tc>
        <w:tc>
          <w:tcPr>
            <w:tcW w:w="1779" w:type="pct"/>
            <w:shd w:val="clear" w:color="auto" w:fill="F2F2F2" w:themeFill="background1" w:themeFillShade="F2"/>
          </w:tcPr>
          <w:p w14:paraId="79AB842C" w14:textId="77777777" w:rsidR="00166DB1" w:rsidRPr="00166DB1" w:rsidRDefault="00166DB1" w:rsidP="00FF3C41">
            <w:pPr>
              <w:pStyle w:val="TableCopy"/>
              <w:jc w:val="right"/>
              <w:cnfStyle w:val="000000000000" w:firstRow="0" w:lastRow="0" w:firstColumn="0" w:lastColumn="0" w:oddVBand="0" w:evenVBand="0" w:oddHBand="0" w:evenHBand="0" w:firstRowFirstColumn="0" w:firstRowLastColumn="0" w:lastRowFirstColumn="0" w:lastRowLastColumn="0"/>
            </w:pPr>
            <w:r w:rsidRPr="00166DB1">
              <w:t>61%</w:t>
            </w:r>
          </w:p>
        </w:tc>
      </w:tr>
      <w:tr w:rsidR="00166DB1" w:rsidRPr="00166DB1" w14:paraId="412CFF83" w14:textId="77777777" w:rsidTr="00FF3C41">
        <w:tc>
          <w:tcPr>
            <w:cnfStyle w:val="001000000000" w:firstRow="0" w:lastRow="0" w:firstColumn="1" w:lastColumn="0" w:oddVBand="0" w:evenVBand="0" w:oddHBand="0" w:evenHBand="0" w:firstRowFirstColumn="0" w:firstRowLastColumn="0" w:lastRowFirstColumn="0" w:lastRowLastColumn="0"/>
            <w:tcW w:w="3221" w:type="pct"/>
            <w:shd w:val="clear" w:color="auto" w:fill="F2F2F2" w:themeFill="background1" w:themeFillShade="F2"/>
          </w:tcPr>
          <w:p w14:paraId="7E0BFD51" w14:textId="77777777" w:rsidR="00166DB1" w:rsidRPr="00166DB1" w:rsidRDefault="00166DB1" w:rsidP="00FF3C41">
            <w:pPr>
              <w:pStyle w:val="TableCopy"/>
            </w:pPr>
            <w:r w:rsidRPr="00166DB1">
              <w:t>Continuing Professional Education Allowance</w:t>
            </w:r>
          </w:p>
        </w:tc>
        <w:tc>
          <w:tcPr>
            <w:tcW w:w="1779" w:type="pct"/>
            <w:shd w:val="clear" w:color="auto" w:fill="F2F2F2" w:themeFill="background1" w:themeFillShade="F2"/>
          </w:tcPr>
          <w:p w14:paraId="2D0202AA" w14:textId="77777777" w:rsidR="00166DB1" w:rsidRPr="00166DB1" w:rsidRDefault="00166DB1" w:rsidP="00FF3C41">
            <w:pPr>
              <w:pStyle w:val="TableCopy"/>
              <w:jc w:val="right"/>
              <w:cnfStyle w:val="000000000000" w:firstRow="0" w:lastRow="0" w:firstColumn="0" w:lastColumn="0" w:oddVBand="0" w:evenVBand="0" w:oddHBand="0" w:evenHBand="0" w:firstRowFirstColumn="0" w:firstRowLastColumn="0" w:lastRowFirstColumn="0" w:lastRowLastColumn="0"/>
            </w:pPr>
            <w:r w:rsidRPr="00166DB1">
              <w:t>56%</w:t>
            </w:r>
          </w:p>
        </w:tc>
      </w:tr>
      <w:tr w:rsidR="00166DB1" w:rsidRPr="00166DB1" w14:paraId="43BE218B" w14:textId="77777777" w:rsidTr="00FF3C41">
        <w:tc>
          <w:tcPr>
            <w:cnfStyle w:val="001000000000" w:firstRow="0" w:lastRow="0" w:firstColumn="1" w:lastColumn="0" w:oddVBand="0" w:evenVBand="0" w:oddHBand="0" w:evenHBand="0" w:firstRowFirstColumn="0" w:firstRowLastColumn="0" w:lastRowFirstColumn="0" w:lastRowLastColumn="0"/>
            <w:tcW w:w="3221" w:type="pct"/>
            <w:shd w:val="clear" w:color="auto" w:fill="F2F2F2" w:themeFill="background1" w:themeFillShade="F2"/>
          </w:tcPr>
          <w:p w14:paraId="76531090" w14:textId="77777777" w:rsidR="00166DB1" w:rsidRPr="00166DB1" w:rsidRDefault="00166DB1" w:rsidP="00FF3C41">
            <w:pPr>
              <w:pStyle w:val="TableCopy"/>
            </w:pPr>
            <w:r w:rsidRPr="00166DB1">
              <w:t>Emergency Locum Service</w:t>
            </w:r>
          </w:p>
        </w:tc>
        <w:tc>
          <w:tcPr>
            <w:tcW w:w="1779" w:type="pct"/>
            <w:shd w:val="clear" w:color="auto" w:fill="F2F2F2" w:themeFill="background1" w:themeFillShade="F2"/>
          </w:tcPr>
          <w:p w14:paraId="6BAF6B8E" w14:textId="77777777" w:rsidR="00166DB1" w:rsidRPr="00166DB1" w:rsidRDefault="00166DB1" w:rsidP="00FF3C41">
            <w:pPr>
              <w:pStyle w:val="TableCopy"/>
              <w:jc w:val="right"/>
              <w:cnfStyle w:val="000000000000" w:firstRow="0" w:lastRow="0" w:firstColumn="0" w:lastColumn="0" w:oddVBand="0" w:evenVBand="0" w:oddHBand="0" w:evenHBand="0" w:firstRowFirstColumn="0" w:firstRowLastColumn="0" w:lastRowFirstColumn="0" w:lastRowLastColumn="0"/>
            </w:pPr>
            <w:r w:rsidRPr="00166DB1">
              <w:t>20%</w:t>
            </w:r>
          </w:p>
        </w:tc>
      </w:tr>
      <w:tr w:rsidR="00166DB1" w:rsidRPr="00166DB1" w14:paraId="2F18493E" w14:textId="77777777" w:rsidTr="00FF3C41">
        <w:tc>
          <w:tcPr>
            <w:cnfStyle w:val="001000000000" w:firstRow="0" w:lastRow="0" w:firstColumn="1" w:lastColumn="0" w:oddVBand="0" w:evenVBand="0" w:oddHBand="0" w:evenHBand="0" w:firstRowFirstColumn="0" w:firstRowLastColumn="0" w:lastRowFirstColumn="0" w:lastRowLastColumn="0"/>
            <w:tcW w:w="3221" w:type="pct"/>
            <w:shd w:val="clear" w:color="auto" w:fill="F2F2F2" w:themeFill="background1" w:themeFillShade="F2"/>
          </w:tcPr>
          <w:p w14:paraId="7019AE2E" w14:textId="77777777" w:rsidR="00166DB1" w:rsidRPr="00166DB1" w:rsidRDefault="00166DB1" w:rsidP="00FF3C41">
            <w:pPr>
              <w:pStyle w:val="TableCopy"/>
            </w:pPr>
            <w:r w:rsidRPr="00166DB1">
              <w:t>Rural Pharmacy Scholarship Scheme</w:t>
            </w:r>
          </w:p>
        </w:tc>
        <w:tc>
          <w:tcPr>
            <w:tcW w:w="1779" w:type="pct"/>
            <w:shd w:val="clear" w:color="auto" w:fill="F2F2F2" w:themeFill="background1" w:themeFillShade="F2"/>
          </w:tcPr>
          <w:p w14:paraId="243C0F00" w14:textId="77777777" w:rsidR="00166DB1" w:rsidRPr="00166DB1" w:rsidRDefault="00166DB1" w:rsidP="00FF3C41">
            <w:pPr>
              <w:pStyle w:val="TableCopy"/>
              <w:jc w:val="right"/>
              <w:cnfStyle w:val="000000000000" w:firstRow="0" w:lastRow="0" w:firstColumn="0" w:lastColumn="0" w:oddVBand="0" w:evenVBand="0" w:oddHBand="0" w:evenHBand="0" w:firstRowFirstColumn="0" w:firstRowLastColumn="0" w:lastRowFirstColumn="0" w:lastRowLastColumn="0"/>
            </w:pPr>
            <w:r w:rsidRPr="00166DB1">
              <w:t>6%</w:t>
            </w:r>
          </w:p>
        </w:tc>
      </w:tr>
      <w:tr w:rsidR="00166DB1" w:rsidRPr="00166DB1" w14:paraId="0894AA12" w14:textId="77777777" w:rsidTr="00FF3C41">
        <w:tc>
          <w:tcPr>
            <w:cnfStyle w:val="001000000000" w:firstRow="0" w:lastRow="0" w:firstColumn="1" w:lastColumn="0" w:oddVBand="0" w:evenVBand="0" w:oddHBand="0" w:evenHBand="0" w:firstRowFirstColumn="0" w:firstRowLastColumn="0" w:lastRowFirstColumn="0" w:lastRowLastColumn="0"/>
            <w:tcW w:w="3221" w:type="pct"/>
            <w:shd w:val="clear" w:color="auto" w:fill="F2F2F2" w:themeFill="background1" w:themeFillShade="F2"/>
          </w:tcPr>
          <w:p w14:paraId="51BEABFC" w14:textId="77777777" w:rsidR="00166DB1" w:rsidRPr="00166DB1" w:rsidRDefault="00166DB1" w:rsidP="00FF3C41">
            <w:pPr>
              <w:pStyle w:val="TableCopy"/>
            </w:pPr>
            <w:r w:rsidRPr="00166DB1">
              <w:t>Intern Incentive Allowance for Rural Pharmacies</w:t>
            </w:r>
          </w:p>
        </w:tc>
        <w:tc>
          <w:tcPr>
            <w:tcW w:w="1779" w:type="pct"/>
            <w:shd w:val="clear" w:color="auto" w:fill="F2F2F2" w:themeFill="background1" w:themeFillShade="F2"/>
          </w:tcPr>
          <w:p w14:paraId="1AD8C1EF" w14:textId="77777777" w:rsidR="00166DB1" w:rsidRPr="00166DB1" w:rsidRDefault="00166DB1" w:rsidP="00FF3C41">
            <w:pPr>
              <w:pStyle w:val="TableCopy"/>
              <w:jc w:val="right"/>
              <w:cnfStyle w:val="000000000000" w:firstRow="0" w:lastRow="0" w:firstColumn="0" w:lastColumn="0" w:oddVBand="0" w:evenVBand="0" w:oddHBand="0" w:evenHBand="0" w:firstRowFirstColumn="0" w:firstRowLastColumn="0" w:lastRowFirstColumn="0" w:lastRowLastColumn="0"/>
            </w:pPr>
            <w:r w:rsidRPr="00166DB1">
              <w:t>6%</w:t>
            </w:r>
          </w:p>
        </w:tc>
      </w:tr>
      <w:tr w:rsidR="00166DB1" w:rsidRPr="00166DB1" w14:paraId="2F7031D4" w14:textId="77777777" w:rsidTr="00FF3C41">
        <w:tc>
          <w:tcPr>
            <w:cnfStyle w:val="001000000000" w:firstRow="0" w:lastRow="0" w:firstColumn="1" w:lastColumn="0" w:oddVBand="0" w:evenVBand="0" w:oddHBand="0" w:evenHBand="0" w:firstRowFirstColumn="0" w:firstRowLastColumn="0" w:lastRowFirstColumn="0" w:lastRowLastColumn="0"/>
            <w:tcW w:w="3221" w:type="pct"/>
            <w:shd w:val="clear" w:color="auto" w:fill="F2F2F2" w:themeFill="background1" w:themeFillShade="F2"/>
          </w:tcPr>
          <w:p w14:paraId="4A4D2983" w14:textId="77777777" w:rsidR="00166DB1" w:rsidRPr="00166DB1" w:rsidRDefault="00166DB1" w:rsidP="00FF3C41">
            <w:pPr>
              <w:pStyle w:val="TableCopy"/>
            </w:pPr>
            <w:r w:rsidRPr="00166DB1">
              <w:t>Intern Incentive Allowance for Rural Pharmacies – Extension Program</w:t>
            </w:r>
          </w:p>
        </w:tc>
        <w:tc>
          <w:tcPr>
            <w:tcW w:w="1779" w:type="pct"/>
            <w:shd w:val="clear" w:color="auto" w:fill="F2F2F2" w:themeFill="background1" w:themeFillShade="F2"/>
          </w:tcPr>
          <w:p w14:paraId="0D3E708B" w14:textId="77777777" w:rsidR="00166DB1" w:rsidRPr="00166DB1" w:rsidRDefault="00166DB1" w:rsidP="00FF3C41">
            <w:pPr>
              <w:pStyle w:val="TableCopy"/>
              <w:jc w:val="right"/>
              <w:cnfStyle w:val="000000000000" w:firstRow="0" w:lastRow="0" w:firstColumn="0" w:lastColumn="0" w:oddVBand="0" w:evenVBand="0" w:oddHBand="0" w:evenHBand="0" w:firstRowFirstColumn="0" w:firstRowLastColumn="0" w:lastRowFirstColumn="0" w:lastRowLastColumn="0"/>
            </w:pPr>
            <w:r w:rsidRPr="00166DB1">
              <w:t>3%</w:t>
            </w:r>
          </w:p>
        </w:tc>
      </w:tr>
      <w:tr w:rsidR="00166DB1" w:rsidRPr="00166DB1" w14:paraId="2EE22AEA" w14:textId="77777777" w:rsidTr="00FF3C41">
        <w:tc>
          <w:tcPr>
            <w:cnfStyle w:val="001000000000" w:firstRow="0" w:lastRow="0" w:firstColumn="1" w:lastColumn="0" w:oddVBand="0" w:evenVBand="0" w:oddHBand="0" w:evenHBand="0" w:firstRowFirstColumn="0" w:firstRowLastColumn="0" w:lastRowFirstColumn="0" w:lastRowLastColumn="0"/>
            <w:tcW w:w="3221" w:type="pct"/>
            <w:shd w:val="clear" w:color="auto" w:fill="F2F2F2" w:themeFill="background1" w:themeFillShade="F2"/>
          </w:tcPr>
          <w:p w14:paraId="7E3467BB" w14:textId="77777777" w:rsidR="00166DB1" w:rsidRPr="00166DB1" w:rsidRDefault="00166DB1" w:rsidP="00FF3C41">
            <w:pPr>
              <w:pStyle w:val="TableCopy"/>
            </w:pPr>
            <w:r w:rsidRPr="00166DB1">
              <w:t>Rural Pharmacy Student Placement Allowance</w:t>
            </w:r>
          </w:p>
        </w:tc>
        <w:tc>
          <w:tcPr>
            <w:tcW w:w="1779" w:type="pct"/>
            <w:shd w:val="clear" w:color="auto" w:fill="F2F2F2" w:themeFill="background1" w:themeFillShade="F2"/>
          </w:tcPr>
          <w:p w14:paraId="3B7C6958" w14:textId="77777777" w:rsidR="00166DB1" w:rsidRPr="00166DB1" w:rsidRDefault="00166DB1" w:rsidP="00FF3C41">
            <w:pPr>
              <w:pStyle w:val="TableCopy"/>
              <w:jc w:val="right"/>
              <w:cnfStyle w:val="000000000000" w:firstRow="0" w:lastRow="0" w:firstColumn="0" w:lastColumn="0" w:oddVBand="0" w:evenVBand="0" w:oddHBand="0" w:evenHBand="0" w:firstRowFirstColumn="0" w:firstRowLastColumn="0" w:lastRowFirstColumn="0" w:lastRowLastColumn="0"/>
            </w:pPr>
            <w:r w:rsidRPr="00166DB1">
              <w:t>2%</w:t>
            </w:r>
          </w:p>
        </w:tc>
      </w:tr>
      <w:tr w:rsidR="00166DB1" w:rsidRPr="00166DB1" w14:paraId="1246931A" w14:textId="77777777" w:rsidTr="00FF3C41">
        <w:tc>
          <w:tcPr>
            <w:cnfStyle w:val="001000000000" w:firstRow="0" w:lastRow="0" w:firstColumn="1" w:lastColumn="0" w:oddVBand="0" w:evenVBand="0" w:oddHBand="0" w:evenHBand="0" w:firstRowFirstColumn="0" w:firstRowLastColumn="0" w:lastRowFirstColumn="0" w:lastRowLastColumn="0"/>
            <w:tcW w:w="3221" w:type="pct"/>
            <w:shd w:val="clear" w:color="auto" w:fill="F2F2F2" w:themeFill="background1" w:themeFillShade="F2"/>
          </w:tcPr>
          <w:p w14:paraId="35951399" w14:textId="77777777" w:rsidR="00166DB1" w:rsidRPr="00166DB1" w:rsidRDefault="00166DB1" w:rsidP="00FF3C41">
            <w:pPr>
              <w:pStyle w:val="TableCopy"/>
            </w:pPr>
            <w:r w:rsidRPr="00166DB1">
              <w:t>Administrative Support to Pharmacy Schools</w:t>
            </w:r>
          </w:p>
        </w:tc>
        <w:tc>
          <w:tcPr>
            <w:tcW w:w="1779" w:type="pct"/>
            <w:shd w:val="clear" w:color="auto" w:fill="F2F2F2" w:themeFill="background1" w:themeFillShade="F2"/>
          </w:tcPr>
          <w:p w14:paraId="331D9E16" w14:textId="77777777" w:rsidR="00166DB1" w:rsidRPr="00166DB1" w:rsidRDefault="00166DB1" w:rsidP="00FF3C41">
            <w:pPr>
              <w:pStyle w:val="TableCopy"/>
              <w:jc w:val="right"/>
              <w:cnfStyle w:val="000000000000" w:firstRow="0" w:lastRow="0" w:firstColumn="0" w:lastColumn="0" w:oddVBand="0" w:evenVBand="0" w:oddHBand="0" w:evenHBand="0" w:firstRowFirstColumn="0" w:firstRowLastColumn="0" w:lastRowFirstColumn="0" w:lastRowLastColumn="0"/>
            </w:pPr>
            <w:r w:rsidRPr="00166DB1">
              <w:t>2%</w:t>
            </w:r>
          </w:p>
        </w:tc>
      </w:tr>
      <w:tr w:rsidR="00166DB1" w:rsidRPr="00166DB1" w14:paraId="4B45C26E" w14:textId="77777777" w:rsidTr="00FF3C41">
        <w:tc>
          <w:tcPr>
            <w:cnfStyle w:val="001000000000" w:firstRow="0" w:lastRow="0" w:firstColumn="1" w:lastColumn="0" w:oddVBand="0" w:evenVBand="0" w:oddHBand="0" w:evenHBand="0" w:firstRowFirstColumn="0" w:firstRowLastColumn="0" w:lastRowFirstColumn="0" w:lastRowLastColumn="0"/>
            <w:tcW w:w="3221" w:type="pct"/>
            <w:shd w:val="clear" w:color="auto" w:fill="F2F2F2" w:themeFill="background1" w:themeFillShade="F2"/>
          </w:tcPr>
          <w:p w14:paraId="38860F82" w14:textId="77777777" w:rsidR="00166DB1" w:rsidRPr="00166DB1" w:rsidRDefault="00166DB1" w:rsidP="00FF3C41">
            <w:pPr>
              <w:pStyle w:val="TableCopy"/>
            </w:pPr>
            <w:r w:rsidRPr="00166DB1">
              <w:t>Rural Pharmacy Liaison Officer Program</w:t>
            </w:r>
          </w:p>
        </w:tc>
        <w:tc>
          <w:tcPr>
            <w:tcW w:w="1779" w:type="pct"/>
            <w:shd w:val="clear" w:color="auto" w:fill="F2F2F2" w:themeFill="background1" w:themeFillShade="F2"/>
          </w:tcPr>
          <w:p w14:paraId="0A0DB783" w14:textId="77777777" w:rsidR="00166DB1" w:rsidRPr="00166DB1" w:rsidRDefault="00166DB1" w:rsidP="00FF3C41">
            <w:pPr>
              <w:pStyle w:val="TableCopy"/>
              <w:jc w:val="right"/>
              <w:cnfStyle w:val="000000000000" w:firstRow="0" w:lastRow="0" w:firstColumn="0" w:lastColumn="0" w:oddVBand="0" w:evenVBand="0" w:oddHBand="0" w:evenHBand="0" w:firstRowFirstColumn="0" w:firstRowLastColumn="0" w:lastRowFirstColumn="0" w:lastRowLastColumn="0"/>
            </w:pPr>
            <w:r w:rsidRPr="00166DB1">
              <w:t>1%</w:t>
            </w:r>
          </w:p>
        </w:tc>
      </w:tr>
      <w:tr w:rsidR="00166DB1" w:rsidRPr="00166DB1" w14:paraId="4AD98F07" w14:textId="77777777" w:rsidTr="00133610">
        <w:tc>
          <w:tcPr>
            <w:cnfStyle w:val="001000000000" w:firstRow="0" w:lastRow="0" w:firstColumn="1" w:lastColumn="0" w:oddVBand="0" w:evenVBand="0" w:oddHBand="0" w:evenHBand="0" w:firstRowFirstColumn="0" w:firstRowLastColumn="0" w:lastRowFirstColumn="0" w:lastRowLastColumn="0"/>
            <w:tcW w:w="3221" w:type="pct"/>
            <w:tcBorders>
              <w:bottom w:val="single" w:sz="4" w:space="0" w:color="auto"/>
            </w:tcBorders>
            <w:shd w:val="clear" w:color="auto" w:fill="F2F2F2" w:themeFill="background1" w:themeFillShade="F2"/>
          </w:tcPr>
          <w:p w14:paraId="4E40C562" w14:textId="77777777" w:rsidR="00166DB1" w:rsidRPr="00166DB1" w:rsidRDefault="00166DB1" w:rsidP="00FF3C41">
            <w:pPr>
              <w:pStyle w:val="TableCopy"/>
              <w:rPr>
                <w:i/>
              </w:rPr>
            </w:pPr>
            <w:r w:rsidRPr="00166DB1">
              <w:rPr>
                <w:i/>
              </w:rPr>
              <w:t>Average proportion for package</w:t>
            </w:r>
          </w:p>
        </w:tc>
        <w:tc>
          <w:tcPr>
            <w:tcW w:w="1779" w:type="pct"/>
            <w:tcBorders>
              <w:bottom w:val="single" w:sz="4" w:space="0" w:color="auto"/>
            </w:tcBorders>
            <w:shd w:val="clear" w:color="auto" w:fill="F2F2F2" w:themeFill="background1" w:themeFillShade="F2"/>
          </w:tcPr>
          <w:p w14:paraId="25E12F1F" w14:textId="77777777" w:rsidR="00166DB1" w:rsidRPr="00166DB1" w:rsidRDefault="00166DB1" w:rsidP="00FF3C41">
            <w:pPr>
              <w:pStyle w:val="TableCopy"/>
              <w:jc w:val="right"/>
              <w:cnfStyle w:val="000000000000" w:firstRow="0" w:lastRow="0" w:firstColumn="0" w:lastColumn="0" w:oddVBand="0" w:evenVBand="0" w:oddHBand="0" w:evenHBand="0" w:firstRowFirstColumn="0" w:firstRowLastColumn="0" w:lastRowFirstColumn="0" w:lastRowLastColumn="0"/>
            </w:pPr>
            <w:r w:rsidRPr="00166DB1">
              <w:t>15%</w:t>
            </w:r>
          </w:p>
        </w:tc>
      </w:tr>
      <w:tr w:rsidR="00133610" w:rsidRPr="003E51C4" w14:paraId="15A47FC6" w14:textId="77777777" w:rsidTr="00133610">
        <w:tc>
          <w:tcPr>
            <w:cnfStyle w:val="001000000000" w:firstRow="0" w:lastRow="0" w:firstColumn="1" w:lastColumn="0" w:oddVBand="0" w:evenVBand="0" w:oddHBand="0" w:evenHBand="0" w:firstRowFirstColumn="0" w:firstRowLastColumn="0" w:lastRowFirstColumn="0" w:lastRowLastColumn="0"/>
            <w:tcW w:w="3221" w:type="pct"/>
            <w:tcBorders>
              <w:right w:val="nil"/>
            </w:tcBorders>
            <w:shd w:val="clear" w:color="auto" w:fill="BFBFBF" w:themeFill="background1" w:themeFillShade="BF"/>
          </w:tcPr>
          <w:p w14:paraId="4BC3869C" w14:textId="77777777" w:rsidR="00133610" w:rsidRPr="003E51C4" w:rsidRDefault="00133610" w:rsidP="00FF3C41">
            <w:pPr>
              <w:pStyle w:val="Tablesubheading1"/>
              <w:rPr>
                <w:b w:val="0"/>
                <w:color w:val="000000" w:themeColor="text1"/>
              </w:rPr>
            </w:pPr>
            <w:r w:rsidRPr="003E51C4">
              <w:rPr>
                <w:color w:val="000000" w:themeColor="text1"/>
              </w:rPr>
              <w:t>Aboriginal and Torres Strait Islander Workforce Programs</w:t>
            </w:r>
          </w:p>
        </w:tc>
        <w:tc>
          <w:tcPr>
            <w:tcW w:w="1779" w:type="pct"/>
            <w:tcBorders>
              <w:left w:val="nil"/>
            </w:tcBorders>
            <w:shd w:val="clear" w:color="auto" w:fill="BFBFBF" w:themeFill="background1" w:themeFillShade="BF"/>
          </w:tcPr>
          <w:p w14:paraId="1750E66C" w14:textId="7D3094A5" w:rsidR="00133610" w:rsidRPr="003E51C4" w:rsidRDefault="00133610" w:rsidP="00FF3C41">
            <w:pPr>
              <w:pStyle w:val="Tablesubheading1"/>
              <w:cnfStyle w:val="000000000000" w:firstRow="0" w:lastRow="0" w:firstColumn="0" w:lastColumn="0" w:oddVBand="0" w:evenVBand="0" w:oddHBand="0" w:evenHBand="0" w:firstRowFirstColumn="0" w:firstRowLastColumn="0" w:lastRowFirstColumn="0" w:lastRowLastColumn="0"/>
              <w:rPr>
                <w:color w:val="000000" w:themeColor="text1"/>
              </w:rPr>
            </w:pPr>
          </w:p>
        </w:tc>
      </w:tr>
      <w:tr w:rsidR="00166DB1" w:rsidRPr="00166DB1" w14:paraId="3F5E97E9" w14:textId="77777777" w:rsidTr="00FF3C41">
        <w:tc>
          <w:tcPr>
            <w:cnfStyle w:val="001000000000" w:firstRow="0" w:lastRow="0" w:firstColumn="1" w:lastColumn="0" w:oddVBand="0" w:evenVBand="0" w:oddHBand="0" w:evenHBand="0" w:firstRowFirstColumn="0" w:firstRowLastColumn="0" w:lastRowFirstColumn="0" w:lastRowLastColumn="0"/>
            <w:tcW w:w="3221" w:type="pct"/>
            <w:shd w:val="clear" w:color="auto" w:fill="F2F2F2" w:themeFill="background1" w:themeFillShade="F2"/>
          </w:tcPr>
          <w:p w14:paraId="62C68DCB" w14:textId="77777777" w:rsidR="00166DB1" w:rsidRPr="00166DB1" w:rsidRDefault="00166DB1" w:rsidP="00FF3C41">
            <w:pPr>
              <w:pStyle w:val="TableCopy"/>
            </w:pPr>
            <w:r w:rsidRPr="00166DB1">
              <w:t>Aboriginal and Torres Strait Islander Pharmacy Assistant Traineeship Scheme</w:t>
            </w:r>
          </w:p>
        </w:tc>
        <w:tc>
          <w:tcPr>
            <w:tcW w:w="1779" w:type="pct"/>
            <w:shd w:val="clear" w:color="auto" w:fill="F2F2F2" w:themeFill="background1" w:themeFillShade="F2"/>
          </w:tcPr>
          <w:p w14:paraId="763A8DCB" w14:textId="77777777" w:rsidR="00166DB1" w:rsidRPr="00166DB1" w:rsidRDefault="00166DB1" w:rsidP="00FF3C41">
            <w:pPr>
              <w:pStyle w:val="TableCopy"/>
              <w:jc w:val="right"/>
              <w:cnfStyle w:val="000000000000" w:firstRow="0" w:lastRow="0" w:firstColumn="0" w:lastColumn="0" w:oddVBand="0" w:evenVBand="0" w:oddHBand="0" w:evenHBand="0" w:firstRowFirstColumn="0" w:firstRowLastColumn="0" w:lastRowFirstColumn="0" w:lastRowLastColumn="0"/>
            </w:pPr>
            <w:r w:rsidRPr="00166DB1">
              <w:t>29%</w:t>
            </w:r>
          </w:p>
        </w:tc>
      </w:tr>
      <w:tr w:rsidR="00166DB1" w:rsidRPr="00166DB1" w14:paraId="0C9532F6" w14:textId="77777777" w:rsidTr="00FF3C41">
        <w:tc>
          <w:tcPr>
            <w:cnfStyle w:val="001000000000" w:firstRow="0" w:lastRow="0" w:firstColumn="1" w:lastColumn="0" w:oddVBand="0" w:evenVBand="0" w:oddHBand="0" w:evenHBand="0" w:firstRowFirstColumn="0" w:firstRowLastColumn="0" w:lastRowFirstColumn="0" w:lastRowLastColumn="0"/>
            <w:tcW w:w="3221" w:type="pct"/>
            <w:shd w:val="clear" w:color="auto" w:fill="F2F2F2" w:themeFill="background1" w:themeFillShade="F2"/>
          </w:tcPr>
          <w:p w14:paraId="2AF6A687" w14:textId="77777777" w:rsidR="00166DB1" w:rsidRPr="00166DB1" w:rsidRDefault="00166DB1" w:rsidP="00FF3C41">
            <w:pPr>
              <w:pStyle w:val="TableCopy"/>
            </w:pPr>
            <w:r w:rsidRPr="00166DB1">
              <w:t>Aboriginal and Torres Strait Islander Pharmacy Scholarship Scheme</w:t>
            </w:r>
          </w:p>
        </w:tc>
        <w:tc>
          <w:tcPr>
            <w:tcW w:w="1779" w:type="pct"/>
            <w:shd w:val="clear" w:color="auto" w:fill="F2F2F2" w:themeFill="background1" w:themeFillShade="F2"/>
          </w:tcPr>
          <w:p w14:paraId="535F5D90" w14:textId="77777777" w:rsidR="00166DB1" w:rsidRPr="00166DB1" w:rsidRDefault="00166DB1" w:rsidP="00FF3C41">
            <w:pPr>
              <w:pStyle w:val="TableCopy"/>
              <w:jc w:val="right"/>
              <w:cnfStyle w:val="000000000000" w:firstRow="0" w:lastRow="0" w:firstColumn="0" w:lastColumn="0" w:oddVBand="0" w:evenVBand="0" w:oddHBand="0" w:evenHBand="0" w:firstRowFirstColumn="0" w:firstRowLastColumn="0" w:lastRowFirstColumn="0" w:lastRowLastColumn="0"/>
            </w:pPr>
            <w:r w:rsidRPr="00166DB1">
              <w:t>21%</w:t>
            </w:r>
          </w:p>
        </w:tc>
      </w:tr>
      <w:tr w:rsidR="00166DB1" w:rsidRPr="00166DB1" w14:paraId="38A13C02" w14:textId="77777777" w:rsidTr="00FF3C41">
        <w:tc>
          <w:tcPr>
            <w:cnfStyle w:val="001000000000" w:firstRow="0" w:lastRow="0" w:firstColumn="1" w:lastColumn="0" w:oddVBand="0" w:evenVBand="0" w:oddHBand="0" w:evenHBand="0" w:firstRowFirstColumn="0" w:firstRowLastColumn="0" w:lastRowFirstColumn="0" w:lastRowLastColumn="0"/>
            <w:tcW w:w="3221" w:type="pct"/>
            <w:shd w:val="clear" w:color="auto" w:fill="F2F2F2" w:themeFill="background1" w:themeFillShade="F2"/>
          </w:tcPr>
          <w:p w14:paraId="52D0AC15" w14:textId="77777777" w:rsidR="00166DB1" w:rsidRPr="00166DB1" w:rsidRDefault="00166DB1" w:rsidP="00FF3C41">
            <w:pPr>
              <w:pStyle w:val="TableCopy"/>
              <w:rPr>
                <w:i/>
              </w:rPr>
            </w:pPr>
            <w:r w:rsidRPr="00166DB1">
              <w:rPr>
                <w:i/>
              </w:rPr>
              <w:t>Average proportion for package</w:t>
            </w:r>
          </w:p>
        </w:tc>
        <w:tc>
          <w:tcPr>
            <w:tcW w:w="1779" w:type="pct"/>
            <w:shd w:val="clear" w:color="auto" w:fill="F2F2F2" w:themeFill="background1" w:themeFillShade="F2"/>
          </w:tcPr>
          <w:p w14:paraId="2A667B9F" w14:textId="77777777" w:rsidR="00166DB1" w:rsidRPr="00166DB1" w:rsidRDefault="00166DB1" w:rsidP="00FF3C41">
            <w:pPr>
              <w:pStyle w:val="TableCopy"/>
              <w:jc w:val="right"/>
              <w:cnfStyle w:val="000000000000" w:firstRow="0" w:lastRow="0" w:firstColumn="0" w:lastColumn="0" w:oddVBand="0" w:evenVBand="0" w:oddHBand="0" w:evenHBand="0" w:firstRowFirstColumn="0" w:firstRowLastColumn="0" w:lastRowFirstColumn="0" w:lastRowLastColumn="0"/>
            </w:pPr>
            <w:r w:rsidRPr="00166DB1">
              <w:t>25%</w:t>
            </w:r>
          </w:p>
        </w:tc>
      </w:tr>
    </w:tbl>
    <w:p w14:paraId="1C87E9E0" w14:textId="77777777" w:rsidR="00166DB1" w:rsidRPr="00166DB1" w:rsidRDefault="00166DB1" w:rsidP="00546711">
      <w:pPr>
        <w:pStyle w:val="KeyFinding"/>
        <w:shd w:val="clear" w:color="auto" w:fill="F2F2F2" w:themeFill="background1" w:themeFillShade="F2"/>
      </w:pPr>
      <w:bookmarkStart w:id="112" w:name="_Ref490677235"/>
      <w:r w:rsidRPr="00166DB1">
        <w:t>The estimated cost of administering both Pharmacy Workforce package components was within an acceptable range (under 30% of total program cost).</w:t>
      </w:r>
      <w:bookmarkEnd w:id="112"/>
      <w:r w:rsidRPr="00166DB1">
        <w:t xml:space="preserve"> </w:t>
      </w:r>
    </w:p>
    <w:p w14:paraId="2524055A" w14:textId="77777777" w:rsidR="00166DB1" w:rsidRPr="00166DB1" w:rsidRDefault="00166DB1" w:rsidP="00B24642">
      <w:pPr>
        <w:pStyle w:val="Heading2"/>
      </w:pPr>
      <w:bookmarkStart w:id="113" w:name="_Toc523322081"/>
      <w:r w:rsidRPr="00166DB1">
        <w:t>Rank correlation analysis</w:t>
      </w:r>
      <w:bookmarkEnd w:id="113"/>
    </w:p>
    <w:p w14:paraId="71EE1267"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In order to gain a quantitative assessment of the workforce programs’ value for money, a survey was distributed to community pharmacists who attended the consultations at UDRH sites. This survey provided pharmacists with information regarding program rules as well as the average annual volume of recipients and funding attributed per output (e.g. per scholarship). Pharmacists were asked to assign a value from 0–5 based upon how effective they perceived these programs to be against how much the programs cost (a score of 1 was assigned if the program was not at all effective, while 5 was assigned if it was extremely effective). The data collected through this survey was used to conduct a rank correlation analysis, an evaluation technique that allows for the direct comparison of multiple programs with varied outputs and requires stakeholders to identify their value. </w:t>
      </w:r>
    </w:p>
    <w:p w14:paraId="5544E8E9"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28 responses received from community pharmacists was collated to produce an overall score of all 12 Pharmacy Workforce Programs summarised in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_Ref484453107 \h  \* MERGEFORMAT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 xml:space="preserve">Table </w:t>
      </w:r>
      <w:r w:rsidRPr="00166DB1">
        <w:rPr>
          <w:rFonts w:ascii="Garamond" w:eastAsia="Garamond" w:hAnsi="Garamond"/>
          <w:noProof/>
          <w:color w:val="000000"/>
        </w:rPr>
        <w:t>6.3</w:t>
      </w:r>
      <w:r w:rsidRPr="00166DB1">
        <w:rPr>
          <w:rFonts w:ascii="Garamond" w:eastAsia="Garamond" w:hAnsi="Garamond"/>
          <w:color w:val="000000"/>
        </w:rPr>
        <w:fldChar w:fldCharType="end"/>
      </w:r>
      <w:r w:rsidRPr="00166DB1">
        <w:rPr>
          <w:rFonts w:ascii="Garamond" w:eastAsia="Garamond" w:hAnsi="Garamond"/>
          <w:color w:val="000000"/>
        </w:rPr>
        <w:t xml:space="preserve">. A detailed summary of the scores and ranking methodology is provided in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_Ref488303652 \n \h  \* MERGEFORMAT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Appendix F</w:t>
      </w:r>
      <w:r w:rsidRPr="00166DB1">
        <w:rPr>
          <w:rFonts w:ascii="Garamond" w:eastAsia="Garamond" w:hAnsi="Garamond"/>
          <w:color w:val="000000"/>
        </w:rPr>
        <w:fldChar w:fldCharType="end"/>
      </w:r>
      <w:r w:rsidRPr="00166DB1">
        <w:rPr>
          <w:rFonts w:ascii="Garamond" w:eastAsia="Garamond" w:hAnsi="Garamond"/>
          <w:color w:val="000000"/>
        </w:rPr>
        <w:t>. The highest possible score a program could achieve was 140 (28 responses times a maximum of 5 points).</w:t>
      </w:r>
    </w:p>
    <w:p w14:paraId="4FA81746" w14:textId="77777777" w:rsidR="00166DB1" w:rsidRPr="00166DB1" w:rsidRDefault="00166DB1" w:rsidP="00483C21">
      <w:pPr>
        <w:pStyle w:val="Caption"/>
      </w:pPr>
      <w:bookmarkStart w:id="114" w:name="_Ref484453107"/>
      <w:r w:rsidRPr="00166DB1">
        <w:t xml:space="preserve">Table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6</w:t>
      </w:r>
      <w:r w:rsidRPr="00166DB1">
        <w:rPr>
          <w:noProof/>
        </w:rPr>
        <w:fldChar w:fldCharType="end"/>
      </w:r>
      <w:r w:rsidRPr="00166DB1">
        <w:t>.</w:t>
      </w:r>
      <w:r w:rsidRPr="00166DB1">
        <w:rPr>
          <w:noProof/>
        </w:rPr>
        <w:fldChar w:fldCharType="begin"/>
      </w:r>
      <w:r w:rsidRPr="00166DB1">
        <w:rPr>
          <w:noProof/>
        </w:rPr>
        <w:instrText xml:space="preserve"> SEQ Table \* ARABIC \s 1 </w:instrText>
      </w:r>
      <w:r w:rsidRPr="00166DB1">
        <w:rPr>
          <w:noProof/>
        </w:rPr>
        <w:fldChar w:fldCharType="separate"/>
      </w:r>
      <w:r w:rsidRPr="00166DB1">
        <w:rPr>
          <w:noProof/>
        </w:rPr>
        <w:t>3</w:t>
      </w:r>
      <w:r w:rsidRPr="00166DB1">
        <w:rPr>
          <w:noProof/>
        </w:rPr>
        <w:fldChar w:fldCharType="end"/>
      </w:r>
      <w:bookmarkEnd w:id="114"/>
      <w:r w:rsidRPr="00166DB1">
        <w:t xml:space="preserve"> </w:t>
      </w:r>
      <w:r w:rsidRPr="00787AA0">
        <w:rPr>
          <w:rFonts w:ascii="Franklin Gothic Book" w:hAnsi="Franklin Gothic Book"/>
          <w:b/>
        </w:rPr>
        <w:t>Rank correlation analysis aggregate scores by program</w:t>
      </w:r>
    </w:p>
    <w:tbl>
      <w:tblPr>
        <w:tblStyle w:val="HMATable"/>
        <w:tblW w:w="5000" w:type="pct"/>
        <w:shd w:val="clear" w:color="auto" w:fill="F2F2F2" w:themeFill="background1" w:themeFillShade="F2"/>
        <w:tblLook w:val="04A0" w:firstRow="1" w:lastRow="0" w:firstColumn="1" w:lastColumn="0" w:noHBand="0" w:noVBand="1"/>
        <w:tblCaption w:val="Table 6.3: Rank correlation analysis aggregate scores by program"/>
        <w:tblDescription w:val="Table 6.3: Rank correlation analysis aggregate scores by program"/>
      </w:tblPr>
      <w:tblGrid>
        <w:gridCol w:w="5281"/>
        <w:gridCol w:w="1753"/>
      </w:tblGrid>
      <w:tr w:rsidR="00166DB1" w:rsidRPr="00166DB1" w14:paraId="2357774C" w14:textId="77777777" w:rsidTr="009B60C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5281" w:type="dxa"/>
            <w:shd w:val="clear" w:color="auto" w:fill="F2F2F2" w:themeFill="background1" w:themeFillShade="F2"/>
            <w:noWrap/>
            <w:hideMark/>
          </w:tcPr>
          <w:p w14:paraId="7E91B018" w14:textId="77777777" w:rsidR="00166DB1" w:rsidRPr="00166DB1" w:rsidRDefault="00166DB1" w:rsidP="00FF3C41">
            <w:pPr>
              <w:pStyle w:val="TableColumnHeading"/>
            </w:pPr>
            <w:r w:rsidRPr="00166DB1">
              <w:t>Workforce program</w:t>
            </w:r>
          </w:p>
        </w:tc>
        <w:tc>
          <w:tcPr>
            <w:tcW w:w="1753" w:type="dxa"/>
            <w:shd w:val="clear" w:color="auto" w:fill="F2F2F2" w:themeFill="background1" w:themeFillShade="F2"/>
            <w:noWrap/>
            <w:hideMark/>
          </w:tcPr>
          <w:p w14:paraId="361D767D" w14:textId="77777777" w:rsidR="00166DB1" w:rsidRPr="00166DB1" w:rsidRDefault="00166DB1" w:rsidP="00FF3C41">
            <w:pPr>
              <w:pStyle w:val="TableColumnHeading"/>
              <w:cnfStyle w:val="100000000000" w:firstRow="1" w:lastRow="0" w:firstColumn="0" w:lastColumn="0" w:oddVBand="0" w:evenVBand="0" w:oddHBand="0" w:evenHBand="0" w:firstRowFirstColumn="0" w:firstRowLastColumn="0" w:lastRowFirstColumn="0" w:lastRowLastColumn="0"/>
            </w:pPr>
            <w:r w:rsidRPr="00166DB1">
              <w:t>Total respondent score</w:t>
            </w:r>
          </w:p>
        </w:tc>
      </w:tr>
      <w:tr w:rsidR="00166DB1" w:rsidRPr="00166DB1" w14:paraId="08C566E1" w14:textId="77777777" w:rsidTr="00546711">
        <w:trPr>
          <w:trHeight w:val="300"/>
        </w:trPr>
        <w:tc>
          <w:tcPr>
            <w:cnfStyle w:val="001000000000" w:firstRow="0" w:lastRow="0" w:firstColumn="1" w:lastColumn="0" w:oddVBand="0" w:evenVBand="0" w:oddHBand="0" w:evenHBand="0" w:firstRowFirstColumn="0" w:firstRowLastColumn="0" w:lastRowFirstColumn="0" w:lastRowLastColumn="0"/>
            <w:tcW w:w="5281" w:type="dxa"/>
            <w:shd w:val="clear" w:color="auto" w:fill="F2F2F2" w:themeFill="background1" w:themeFillShade="F2"/>
            <w:noWrap/>
            <w:hideMark/>
          </w:tcPr>
          <w:p w14:paraId="6D8868F0" w14:textId="77777777" w:rsidR="00166DB1" w:rsidRPr="00166DB1" w:rsidRDefault="00166DB1" w:rsidP="00FF3C41">
            <w:pPr>
              <w:pStyle w:val="TableCopy"/>
            </w:pPr>
            <w:r w:rsidRPr="00166DB1">
              <w:t>Intern Incentive Allowance for Rural Pharmacies</w:t>
            </w:r>
          </w:p>
        </w:tc>
        <w:tc>
          <w:tcPr>
            <w:tcW w:w="1753" w:type="dxa"/>
            <w:shd w:val="clear" w:color="auto" w:fill="F2F2F2" w:themeFill="background1" w:themeFillShade="F2"/>
            <w:noWrap/>
            <w:hideMark/>
          </w:tcPr>
          <w:p w14:paraId="252EA039" w14:textId="77777777" w:rsidR="00166DB1" w:rsidRPr="00166DB1" w:rsidRDefault="00166DB1" w:rsidP="00FF3C41">
            <w:pPr>
              <w:pStyle w:val="TableCopy"/>
              <w:jc w:val="center"/>
              <w:cnfStyle w:val="000000000000" w:firstRow="0" w:lastRow="0" w:firstColumn="0" w:lastColumn="0" w:oddVBand="0" w:evenVBand="0" w:oddHBand="0" w:evenHBand="0" w:firstRowFirstColumn="0" w:firstRowLastColumn="0" w:lastRowFirstColumn="0" w:lastRowLastColumn="0"/>
            </w:pPr>
            <w:r w:rsidRPr="00166DB1">
              <w:t>109</w:t>
            </w:r>
          </w:p>
        </w:tc>
      </w:tr>
      <w:tr w:rsidR="00166DB1" w:rsidRPr="00166DB1" w14:paraId="06EE220B" w14:textId="77777777" w:rsidTr="00546711">
        <w:trPr>
          <w:trHeight w:val="300"/>
        </w:trPr>
        <w:tc>
          <w:tcPr>
            <w:cnfStyle w:val="001000000000" w:firstRow="0" w:lastRow="0" w:firstColumn="1" w:lastColumn="0" w:oddVBand="0" w:evenVBand="0" w:oddHBand="0" w:evenHBand="0" w:firstRowFirstColumn="0" w:firstRowLastColumn="0" w:lastRowFirstColumn="0" w:lastRowLastColumn="0"/>
            <w:tcW w:w="5281" w:type="dxa"/>
            <w:shd w:val="clear" w:color="auto" w:fill="F2F2F2" w:themeFill="background1" w:themeFillShade="F2"/>
            <w:noWrap/>
            <w:hideMark/>
          </w:tcPr>
          <w:p w14:paraId="180873BF" w14:textId="77777777" w:rsidR="00166DB1" w:rsidRPr="00166DB1" w:rsidRDefault="00166DB1" w:rsidP="00FF3C41">
            <w:pPr>
              <w:pStyle w:val="TableCopy"/>
            </w:pPr>
            <w:r w:rsidRPr="00166DB1">
              <w:t>Continuing Professional Education Allowance</w:t>
            </w:r>
          </w:p>
        </w:tc>
        <w:tc>
          <w:tcPr>
            <w:tcW w:w="1753" w:type="dxa"/>
            <w:shd w:val="clear" w:color="auto" w:fill="F2F2F2" w:themeFill="background1" w:themeFillShade="F2"/>
            <w:noWrap/>
            <w:hideMark/>
          </w:tcPr>
          <w:p w14:paraId="174D2E19" w14:textId="77777777" w:rsidR="00166DB1" w:rsidRPr="00166DB1" w:rsidRDefault="00166DB1" w:rsidP="00FF3C41">
            <w:pPr>
              <w:pStyle w:val="TableCopy"/>
              <w:jc w:val="center"/>
              <w:cnfStyle w:val="000000000000" w:firstRow="0" w:lastRow="0" w:firstColumn="0" w:lastColumn="0" w:oddVBand="0" w:evenVBand="0" w:oddHBand="0" w:evenHBand="0" w:firstRowFirstColumn="0" w:firstRowLastColumn="0" w:lastRowFirstColumn="0" w:lastRowLastColumn="0"/>
            </w:pPr>
            <w:r w:rsidRPr="00166DB1">
              <w:t>109</w:t>
            </w:r>
          </w:p>
        </w:tc>
      </w:tr>
      <w:tr w:rsidR="00166DB1" w:rsidRPr="00166DB1" w14:paraId="0B717CE8" w14:textId="77777777" w:rsidTr="00546711">
        <w:trPr>
          <w:trHeight w:val="300"/>
        </w:trPr>
        <w:tc>
          <w:tcPr>
            <w:cnfStyle w:val="001000000000" w:firstRow="0" w:lastRow="0" w:firstColumn="1" w:lastColumn="0" w:oddVBand="0" w:evenVBand="0" w:oddHBand="0" w:evenHBand="0" w:firstRowFirstColumn="0" w:firstRowLastColumn="0" w:lastRowFirstColumn="0" w:lastRowLastColumn="0"/>
            <w:tcW w:w="5281" w:type="dxa"/>
            <w:shd w:val="clear" w:color="auto" w:fill="F2F2F2" w:themeFill="background1" w:themeFillShade="F2"/>
            <w:noWrap/>
            <w:hideMark/>
          </w:tcPr>
          <w:p w14:paraId="789CB2DF" w14:textId="77777777" w:rsidR="00166DB1" w:rsidRPr="00166DB1" w:rsidRDefault="00166DB1" w:rsidP="00FF3C41">
            <w:pPr>
              <w:pStyle w:val="TableCopy"/>
            </w:pPr>
            <w:r w:rsidRPr="00166DB1">
              <w:t>Rural Pharmacy Liaison Officer Program</w:t>
            </w:r>
          </w:p>
        </w:tc>
        <w:tc>
          <w:tcPr>
            <w:tcW w:w="1753" w:type="dxa"/>
            <w:shd w:val="clear" w:color="auto" w:fill="F2F2F2" w:themeFill="background1" w:themeFillShade="F2"/>
            <w:noWrap/>
            <w:hideMark/>
          </w:tcPr>
          <w:p w14:paraId="2E86FBAA" w14:textId="77777777" w:rsidR="00166DB1" w:rsidRPr="00166DB1" w:rsidRDefault="00166DB1" w:rsidP="00FF3C41">
            <w:pPr>
              <w:pStyle w:val="TableCopy"/>
              <w:jc w:val="center"/>
              <w:cnfStyle w:val="000000000000" w:firstRow="0" w:lastRow="0" w:firstColumn="0" w:lastColumn="0" w:oddVBand="0" w:evenVBand="0" w:oddHBand="0" w:evenHBand="0" w:firstRowFirstColumn="0" w:firstRowLastColumn="0" w:lastRowFirstColumn="0" w:lastRowLastColumn="0"/>
            </w:pPr>
            <w:r w:rsidRPr="00166DB1">
              <w:t>109</w:t>
            </w:r>
          </w:p>
        </w:tc>
      </w:tr>
      <w:tr w:rsidR="00166DB1" w:rsidRPr="00166DB1" w14:paraId="12DF812E" w14:textId="77777777" w:rsidTr="00546711">
        <w:trPr>
          <w:trHeight w:val="300"/>
        </w:trPr>
        <w:tc>
          <w:tcPr>
            <w:cnfStyle w:val="001000000000" w:firstRow="0" w:lastRow="0" w:firstColumn="1" w:lastColumn="0" w:oddVBand="0" w:evenVBand="0" w:oddHBand="0" w:evenHBand="0" w:firstRowFirstColumn="0" w:firstRowLastColumn="0" w:lastRowFirstColumn="0" w:lastRowLastColumn="0"/>
            <w:tcW w:w="5281" w:type="dxa"/>
            <w:shd w:val="clear" w:color="auto" w:fill="F2F2F2" w:themeFill="background1" w:themeFillShade="F2"/>
            <w:noWrap/>
            <w:hideMark/>
          </w:tcPr>
          <w:p w14:paraId="1BD18316" w14:textId="77777777" w:rsidR="00166DB1" w:rsidRPr="00166DB1" w:rsidRDefault="00166DB1" w:rsidP="00FF3C41">
            <w:pPr>
              <w:pStyle w:val="TableCopy"/>
            </w:pPr>
            <w:r w:rsidRPr="00166DB1">
              <w:t>Intern Incentive Allowance for Rural Pharmacies Extension Program</w:t>
            </w:r>
          </w:p>
        </w:tc>
        <w:tc>
          <w:tcPr>
            <w:tcW w:w="1753" w:type="dxa"/>
            <w:shd w:val="clear" w:color="auto" w:fill="F2F2F2" w:themeFill="background1" w:themeFillShade="F2"/>
            <w:noWrap/>
            <w:hideMark/>
          </w:tcPr>
          <w:p w14:paraId="4F9E9C50" w14:textId="77777777" w:rsidR="00166DB1" w:rsidRPr="00166DB1" w:rsidRDefault="00166DB1" w:rsidP="00FF3C41">
            <w:pPr>
              <w:pStyle w:val="TableCopy"/>
              <w:jc w:val="center"/>
              <w:cnfStyle w:val="000000000000" w:firstRow="0" w:lastRow="0" w:firstColumn="0" w:lastColumn="0" w:oddVBand="0" w:evenVBand="0" w:oddHBand="0" w:evenHBand="0" w:firstRowFirstColumn="0" w:firstRowLastColumn="0" w:lastRowFirstColumn="0" w:lastRowLastColumn="0"/>
            </w:pPr>
            <w:r w:rsidRPr="00166DB1">
              <w:t>100</w:t>
            </w:r>
          </w:p>
        </w:tc>
      </w:tr>
      <w:tr w:rsidR="00166DB1" w:rsidRPr="00166DB1" w14:paraId="3F590D73" w14:textId="77777777" w:rsidTr="00546711">
        <w:trPr>
          <w:trHeight w:val="300"/>
        </w:trPr>
        <w:tc>
          <w:tcPr>
            <w:cnfStyle w:val="001000000000" w:firstRow="0" w:lastRow="0" w:firstColumn="1" w:lastColumn="0" w:oddVBand="0" w:evenVBand="0" w:oddHBand="0" w:evenHBand="0" w:firstRowFirstColumn="0" w:firstRowLastColumn="0" w:lastRowFirstColumn="0" w:lastRowLastColumn="0"/>
            <w:tcW w:w="5281" w:type="dxa"/>
            <w:shd w:val="clear" w:color="auto" w:fill="F2F2F2" w:themeFill="background1" w:themeFillShade="F2"/>
            <w:noWrap/>
            <w:hideMark/>
          </w:tcPr>
          <w:p w14:paraId="236B8C91" w14:textId="77777777" w:rsidR="00166DB1" w:rsidRPr="00166DB1" w:rsidRDefault="00166DB1" w:rsidP="00FF3C41">
            <w:pPr>
              <w:pStyle w:val="TableCopy"/>
            </w:pPr>
            <w:r w:rsidRPr="00166DB1">
              <w:t>Rural Pharmacy Scholarship Scheme</w:t>
            </w:r>
          </w:p>
        </w:tc>
        <w:tc>
          <w:tcPr>
            <w:tcW w:w="1753" w:type="dxa"/>
            <w:shd w:val="clear" w:color="auto" w:fill="F2F2F2" w:themeFill="background1" w:themeFillShade="F2"/>
            <w:noWrap/>
            <w:hideMark/>
          </w:tcPr>
          <w:p w14:paraId="6FFC5BC2" w14:textId="77777777" w:rsidR="00166DB1" w:rsidRPr="00166DB1" w:rsidRDefault="00166DB1" w:rsidP="00FF3C41">
            <w:pPr>
              <w:pStyle w:val="TableCopy"/>
              <w:jc w:val="center"/>
              <w:cnfStyle w:val="000000000000" w:firstRow="0" w:lastRow="0" w:firstColumn="0" w:lastColumn="0" w:oddVBand="0" w:evenVBand="0" w:oddHBand="0" w:evenHBand="0" w:firstRowFirstColumn="0" w:firstRowLastColumn="0" w:lastRowFirstColumn="0" w:lastRowLastColumn="0"/>
            </w:pPr>
            <w:r w:rsidRPr="00166DB1">
              <w:t>96</w:t>
            </w:r>
          </w:p>
        </w:tc>
      </w:tr>
      <w:tr w:rsidR="00166DB1" w:rsidRPr="00166DB1" w14:paraId="136EA725" w14:textId="77777777" w:rsidTr="00546711">
        <w:trPr>
          <w:trHeight w:val="300"/>
        </w:trPr>
        <w:tc>
          <w:tcPr>
            <w:cnfStyle w:val="001000000000" w:firstRow="0" w:lastRow="0" w:firstColumn="1" w:lastColumn="0" w:oddVBand="0" w:evenVBand="0" w:oddHBand="0" w:evenHBand="0" w:firstRowFirstColumn="0" w:firstRowLastColumn="0" w:lastRowFirstColumn="0" w:lastRowLastColumn="0"/>
            <w:tcW w:w="5281" w:type="dxa"/>
            <w:shd w:val="clear" w:color="auto" w:fill="F2F2F2" w:themeFill="background1" w:themeFillShade="F2"/>
            <w:noWrap/>
            <w:hideMark/>
          </w:tcPr>
          <w:p w14:paraId="5665C4E0" w14:textId="77777777" w:rsidR="00166DB1" w:rsidRPr="00166DB1" w:rsidRDefault="00166DB1" w:rsidP="00FF3C41">
            <w:pPr>
              <w:pStyle w:val="TableCopy"/>
            </w:pPr>
            <w:r w:rsidRPr="00166DB1">
              <w:t>Rural Pharmacy Student Placement Allowance</w:t>
            </w:r>
          </w:p>
        </w:tc>
        <w:tc>
          <w:tcPr>
            <w:tcW w:w="1753" w:type="dxa"/>
            <w:shd w:val="clear" w:color="auto" w:fill="F2F2F2" w:themeFill="background1" w:themeFillShade="F2"/>
            <w:noWrap/>
            <w:hideMark/>
          </w:tcPr>
          <w:p w14:paraId="193EA5E3" w14:textId="77777777" w:rsidR="00166DB1" w:rsidRPr="00166DB1" w:rsidRDefault="00166DB1" w:rsidP="00FF3C41">
            <w:pPr>
              <w:pStyle w:val="TableCopy"/>
              <w:jc w:val="center"/>
              <w:cnfStyle w:val="000000000000" w:firstRow="0" w:lastRow="0" w:firstColumn="0" w:lastColumn="0" w:oddVBand="0" w:evenVBand="0" w:oddHBand="0" w:evenHBand="0" w:firstRowFirstColumn="0" w:firstRowLastColumn="0" w:lastRowFirstColumn="0" w:lastRowLastColumn="0"/>
            </w:pPr>
            <w:r w:rsidRPr="00166DB1">
              <w:t>93</w:t>
            </w:r>
          </w:p>
        </w:tc>
      </w:tr>
      <w:tr w:rsidR="00166DB1" w:rsidRPr="00166DB1" w14:paraId="66CE4B70" w14:textId="77777777" w:rsidTr="00546711">
        <w:trPr>
          <w:trHeight w:val="300"/>
        </w:trPr>
        <w:tc>
          <w:tcPr>
            <w:cnfStyle w:val="001000000000" w:firstRow="0" w:lastRow="0" w:firstColumn="1" w:lastColumn="0" w:oddVBand="0" w:evenVBand="0" w:oddHBand="0" w:evenHBand="0" w:firstRowFirstColumn="0" w:firstRowLastColumn="0" w:lastRowFirstColumn="0" w:lastRowLastColumn="0"/>
            <w:tcW w:w="5281" w:type="dxa"/>
            <w:shd w:val="clear" w:color="auto" w:fill="F2F2F2" w:themeFill="background1" w:themeFillShade="F2"/>
            <w:noWrap/>
            <w:hideMark/>
          </w:tcPr>
          <w:p w14:paraId="170EFA54" w14:textId="77777777" w:rsidR="00166DB1" w:rsidRPr="00166DB1" w:rsidRDefault="00166DB1" w:rsidP="00FF3C41">
            <w:pPr>
              <w:pStyle w:val="TableCopy"/>
            </w:pPr>
            <w:r w:rsidRPr="00166DB1">
              <w:t>Rural Intern Training Allowance</w:t>
            </w:r>
          </w:p>
        </w:tc>
        <w:tc>
          <w:tcPr>
            <w:tcW w:w="1753" w:type="dxa"/>
            <w:shd w:val="clear" w:color="auto" w:fill="F2F2F2" w:themeFill="background1" w:themeFillShade="F2"/>
            <w:noWrap/>
            <w:hideMark/>
          </w:tcPr>
          <w:p w14:paraId="34A631B9" w14:textId="77777777" w:rsidR="00166DB1" w:rsidRPr="00166DB1" w:rsidRDefault="00166DB1" w:rsidP="00FF3C41">
            <w:pPr>
              <w:pStyle w:val="TableCopy"/>
              <w:jc w:val="center"/>
              <w:cnfStyle w:val="000000000000" w:firstRow="0" w:lastRow="0" w:firstColumn="0" w:lastColumn="0" w:oddVBand="0" w:evenVBand="0" w:oddHBand="0" w:evenHBand="0" w:firstRowFirstColumn="0" w:firstRowLastColumn="0" w:lastRowFirstColumn="0" w:lastRowLastColumn="0"/>
            </w:pPr>
            <w:r w:rsidRPr="00166DB1">
              <w:t>79</w:t>
            </w:r>
          </w:p>
        </w:tc>
      </w:tr>
      <w:tr w:rsidR="00166DB1" w:rsidRPr="00166DB1" w14:paraId="42285413" w14:textId="77777777" w:rsidTr="00546711">
        <w:trPr>
          <w:trHeight w:val="600"/>
        </w:trPr>
        <w:tc>
          <w:tcPr>
            <w:cnfStyle w:val="001000000000" w:firstRow="0" w:lastRow="0" w:firstColumn="1" w:lastColumn="0" w:oddVBand="0" w:evenVBand="0" w:oddHBand="0" w:evenHBand="0" w:firstRowFirstColumn="0" w:firstRowLastColumn="0" w:lastRowFirstColumn="0" w:lastRowLastColumn="0"/>
            <w:tcW w:w="5281" w:type="dxa"/>
            <w:shd w:val="clear" w:color="auto" w:fill="F2F2F2" w:themeFill="background1" w:themeFillShade="F2"/>
            <w:hideMark/>
          </w:tcPr>
          <w:p w14:paraId="13310199" w14:textId="77777777" w:rsidR="00166DB1" w:rsidRPr="00166DB1" w:rsidRDefault="00166DB1" w:rsidP="00FF3C41">
            <w:pPr>
              <w:pStyle w:val="TableCopy"/>
            </w:pPr>
            <w:r w:rsidRPr="00166DB1">
              <w:lastRenderedPageBreak/>
              <w:t xml:space="preserve">Aboriginal and Torres Strait Islander Pharmacy Assistant Traineeship Scheme </w:t>
            </w:r>
          </w:p>
        </w:tc>
        <w:tc>
          <w:tcPr>
            <w:tcW w:w="1753" w:type="dxa"/>
            <w:shd w:val="clear" w:color="auto" w:fill="F2F2F2" w:themeFill="background1" w:themeFillShade="F2"/>
            <w:noWrap/>
            <w:hideMark/>
          </w:tcPr>
          <w:p w14:paraId="5A17125D" w14:textId="77777777" w:rsidR="00166DB1" w:rsidRPr="00166DB1" w:rsidRDefault="00166DB1" w:rsidP="00FF3C41">
            <w:pPr>
              <w:pStyle w:val="TableCopy"/>
              <w:jc w:val="center"/>
              <w:cnfStyle w:val="000000000000" w:firstRow="0" w:lastRow="0" w:firstColumn="0" w:lastColumn="0" w:oddVBand="0" w:evenVBand="0" w:oddHBand="0" w:evenHBand="0" w:firstRowFirstColumn="0" w:firstRowLastColumn="0" w:lastRowFirstColumn="0" w:lastRowLastColumn="0"/>
            </w:pPr>
            <w:r w:rsidRPr="00166DB1">
              <w:t>55</w:t>
            </w:r>
          </w:p>
        </w:tc>
      </w:tr>
      <w:tr w:rsidR="00166DB1" w:rsidRPr="00166DB1" w14:paraId="22F5BEF2" w14:textId="77777777" w:rsidTr="00546711">
        <w:trPr>
          <w:trHeight w:val="300"/>
        </w:trPr>
        <w:tc>
          <w:tcPr>
            <w:cnfStyle w:val="001000000000" w:firstRow="0" w:lastRow="0" w:firstColumn="1" w:lastColumn="0" w:oddVBand="0" w:evenVBand="0" w:oddHBand="0" w:evenHBand="0" w:firstRowFirstColumn="0" w:firstRowLastColumn="0" w:lastRowFirstColumn="0" w:lastRowLastColumn="0"/>
            <w:tcW w:w="5281" w:type="dxa"/>
            <w:shd w:val="clear" w:color="auto" w:fill="F2F2F2" w:themeFill="background1" w:themeFillShade="F2"/>
            <w:noWrap/>
            <w:hideMark/>
          </w:tcPr>
          <w:p w14:paraId="202E3206" w14:textId="77777777" w:rsidR="00166DB1" w:rsidRPr="00166DB1" w:rsidRDefault="00166DB1" w:rsidP="00FF3C41">
            <w:pPr>
              <w:pStyle w:val="TableCopy"/>
            </w:pPr>
            <w:r w:rsidRPr="00166DB1">
              <w:t>Administrative Support to Pharmacy Schools</w:t>
            </w:r>
          </w:p>
        </w:tc>
        <w:tc>
          <w:tcPr>
            <w:tcW w:w="1753" w:type="dxa"/>
            <w:shd w:val="clear" w:color="auto" w:fill="F2F2F2" w:themeFill="background1" w:themeFillShade="F2"/>
            <w:noWrap/>
            <w:hideMark/>
          </w:tcPr>
          <w:p w14:paraId="2741D0D8" w14:textId="77777777" w:rsidR="00166DB1" w:rsidRPr="00166DB1" w:rsidRDefault="00166DB1" w:rsidP="00FF3C41">
            <w:pPr>
              <w:pStyle w:val="TableCopy"/>
              <w:jc w:val="center"/>
              <w:cnfStyle w:val="000000000000" w:firstRow="0" w:lastRow="0" w:firstColumn="0" w:lastColumn="0" w:oddVBand="0" w:evenVBand="0" w:oddHBand="0" w:evenHBand="0" w:firstRowFirstColumn="0" w:firstRowLastColumn="0" w:lastRowFirstColumn="0" w:lastRowLastColumn="0"/>
            </w:pPr>
            <w:r w:rsidRPr="00166DB1">
              <w:t>42</w:t>
            </w:r>
          </w:p>
        </w:tc>
      </w:tr>
      <w:tr w:rsidR="00166DB1" w:rsidRPr="00166DB1" w14:paraId="3A51B3CC" w14:textId="77777777" w:rsidTr="00546711">
        <w:trPr>
          <w:trHeight w:val="600"/>
        </w:trPr>
        <w:tc>
          <w:tcPr>
            <w:cnfStyle w:val="001000000000" w:firstRow="0" w:lastRow="0" w:firstColumn="1" w:lastColumn="0" w:oddVBand="0" w:evenVBand="0" w:oddHBand="0" w:evenHBand="0" w:firstRowFirstColumn="0" w:firstRowLastColumn="0" w:lastRowFirstColumn="0" w:lastRowLastColumn="0"/>
            <w:tcW w:w="5281" w:type="dxa"/>
            <w:shd w:val="clear" w:color="auto" w:fill="F2F2F2" w:themeFill="background1" w:themeFillShade="F2"/>
            <w:hideMark/>
          </w:tcPr>
          <w:p w14:paraId="48AB0089" w14:textId="77777777" w:rsidR="00166DB1" w:rsidRPr="00166DB1" w:rsidRDefault="00166DB1" w:rsidP="00FF3C41">
            <w:pPr>
              <w:pStyle w:val="TableCopy"/>
            </w:pPr>
            <w:r w:rsidRPr="00166DB1">
              <w:t>Aboriginal and Torres Strait Islander Scholarship Scheme</w:t>
            </w:r>
          </w:p>
        </w:tc>
        <w:tc>
          <w:tcPr>
            <w:tcW w:w="1753" w:type="dxa"/>
            <w:shd w:val="clear" w:color="auto" w:fill="F2F2F2" w:themeFill="background1" w:themeFillShade="F2"/>
            <w:noWrap/>
            <w:hideMark/>
          </w:tcPr>
          <w:p w14:paraId="63407191" w14:textId="77777777" w:rsidR="00166DB1" w:rsidRPr="00166DB1" w:rsidRDefault="00166DB1" w:rsidP="00FF3C41">
            <w:pPr>
              <w:pStyle w:val="TableCopy"/>
              <w:jc w:val="center"/>
              <w:cnfStyle w:val="000000000000" w:firstRow="0" w:lastRow="0" w:firstColumn="0" w:lastColumn="0" w:oddVBand="0" w:evenVBand="0" w:oddHBand="0" w:evenHBand="0" w:firstRowFirstColumn="0" w:firstRowLastColumn="0" w:lastRowFirstColumn="0" w:lastRowLastColumn="0"/>
            </w:pPr>
            <w:r w:rsidRPr="00166DB1">
              <w:t>41</w:t>
            </w:r>
          </w:p>
        </w:tc>
      </w:tr>
      <w:tr w:rsidR="00166DB1" w:rsidRPr="00166DB1" w14:paraId="347CF4BB" w14:textId="77777777" w:rsidTr="00546711">
        <w:trPr>
          <w:trHeight w:val="300"/>
        </w:trPr>
        <w:tc>
          <w:tcPr>
            <w:cnfStyle w:val="001000000000" w:firstRow="0" w:lastRow="0" w:firstColumn="1" w:lastColumn="0" w:oddVBand="0" w:evenVBand="0" w:oddHBand="0" w:evenHBand="0" w:firstRowFirstColumn="0" w:firstRowLastColumn="0" w:lastRowFirstColumn="0" w:lastRowLastColumn="0"/>
            <w:tcW w:w="5281" w:type="dxa"/>
            <w:shd w:val="clear" w:color="auto" w:fill="F2F2F2" w:themeFill="background1" w:themeFillShade="F2"/>
            <w:noWrap/>
            <w:hideMark/>
          </w:tcPr>
          <w:p w14:paraId="6B6B7711" w14:textId="77777777" w:rsidR="00166DB1" w:rsidRPr="00166DB1" w:rsidRDefault="00166DB1" w:rsidP="00FF3C41">
            <w:pPr>
              <w:pStyle w:val="TableCopy"/>
            </w:pPr>
            <w:r w:rsidRPr="00166DB1">
              <w:t>Emergency Locum Service</w:t>
            </w:r>
          </w:p>
        </w:tc>
        <w:tc>
          <w:tcPr>
            <w:tcW w:w="1753" w:type="dxa"/>
            <w:shd w:val="clear" w:color="auto" w:fill="F2F2F2" w:themeFill="background1" w:themeFillShade="F2"/>
            <w:noWrap/>
            <w:hideMark/>
          </w:tcPr>
          <w:p w14:paraId="14C3BED7" w14:textId="77777777" w:rsidR="00166DB1" w:rsidRPr="00166DB1" w:rsidRDefault="00166DB1" w:rsidP="00FF3C41">
            <w:pPr>
              <w:pStyle w:val="TableCopy"/>
              <w:jc w:val="center"/>
              <w:cnfStyle w:val="000000000000" w:firstRow="0" w:lastRow="0" w:firstColumn="0" w:lastColumn="0" w:oddVBand="0" w:evenVBand="0" w:oddHBand="0" w:evenHBand="0" w:firstRowFirstColumn="0" w:firstRowLastColumn="0" w:lastRowFirstColumn="0" w:lastRowLastColumn="0"/>
            </w:pPr>
            <w:r w:rsidRPr="00166DB1">
              <w:t>41</w:t>
            </w:r>
          </w:p>
        </w:tc>
      </w:tr>
      <w:tr w:rsidR="00166DB1" w:rsidRPr="00166DB1" w14:paraId="1DAE8407" w14:textId="77777777" w:rsidTr="00546711">
        <w:trPr>
          <w:trHeight w:val="300"/>
        </w:trPr>
        <w:tc>
          <w:tcPr>
            <w:cnfStyle w:val="001000000000" w:firstRow="0" w:lastRow="0" w:firstColumn="1" w:lastColumn="0" w:oddVBand="0" w:evenVBand="0" w:oddHBand="0" w:evenHBand="0" w:firstRowFirstColumn="0" w:firstRowLastColumn="0" w:lastRowFirstColumn="0" w:lastRowLastColumn="0"/>
            <w:tcW w:w="5281" w:type="dxa"/>
            <w:shd w:val="clear" w:color="auto" w:fill="F2F2F2" w:themeFill="background1" w:themeFillShade="F2"/>
            <w:noWrap/>
            <w:hideMark/>
          </w:tcPr>
          <w:p w14:paraId="38C56D5F" w14:textId="77777777" w:rsidR="00166DB1" w:rsidRPr="00166DB1" w:rsidRDefault="00166DB1" w:rsidP="00FF3C41">
            <w:pPr>
              <w:pStyle w:val="TableCopy"/>
            </w:pPr>
            <w:r w:rsidRPr="00166DB1">
              <w:t>Rural Pharmacy Scholarship Mentor Scheme</w:t>
            </w:r>
          </w:p>
        </w:tc>
        <w:tc>
          <w:tcPr>
            <w:tcW w:w="1753" w:type="dxa"/>
            <w:shd w:val="clear" w:color="auto" w:fill="F2F2F2" w:themeFill="background1" w:themeFillShade="F2"/>
            <w:noWrap/>
            <w:hideMark/>
          </w:tcPr>
          <w:p w14:paraId="09019B46" w14:textId="77777777" w:rsidR="00166DB1" w:rsidRPr="00166DB1" w:rsidRDefault="00166DB1" w:rsidP="00FF3C41">
            <w:pPr>
              <w:pStyle w:val="TableCopy"/>
              <w:jc w:val="center"/>
              <w:cnfStyle w:val="000000000000" w:firstRow="0" w:lastRow="0" w:firstColumn="0" w:lastColumn="0" w:oddVBand="0" w:evenVBand="0" w:oddHBand="0" w:evenHBand="0" w:firstRowFirstColumn="0" w:firstRowLastColumn="0" w:lastRowFirstColumn="0" w:lastRowLastColumn="0"/>
            </w:pPr>
            <w:r w:rsidRPr="00166DB1">
              <w:t>34</w:t>
            </w:r>
          </w:p>
        </w:tc>
      </w:tr>
    </w:tbl>
    <w:p w14:paraId="4B0BD1D7"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This ranking data shows that the programs that pharmacists perceived to be the most effective relative to cost are the Intern Incentive Allowance for Rural Pharmacies, CPE Allowance and RPLO Program. The programs seen to be the least effective were the Rural Pharmacy Scholarship Mentor Scheme, the Emergency Locum Service and the Aboriginal and Torres Strait Islander Pharmacy Scholarship Scheme. </w:t>
      </w:r>
    </w:p>
    <w:p w14:paraId="1F7E0205"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As this survey was only distributed to a small number of pharmacists, programs where pharmacists were not the recipient tended to rank lower. Pharmacists consulted also had limited exposure to Aboriginal and Torres Strait Islander specific programs and therefore, many were unable to comment on the efficacy of these programs. </w:t>
      </w:r>
    </w:p>
    <w:p w14:paraId="40203649" w14:textId="72FA1DC0" w:rsidR="00166DB1" w:rsidRPr="00166DB1" w:rsidRDefault="00166DB1" w:rsidP="00546711">
      <w:pPr>
        <w:pStyle w:val="KeyFinding"/>
        <w:shd w:val="clear" w:color="auto" w:fill="F2F2F2" w:themeFill="background1" w:themeFillShade="F2"/>
      </w:pPr>
      <w:bookmarkStart w:id="115" w:name="_Ref490677246"/>
      <w:r w:rsidRPr="00166DB1">
        <w:t>Pharmacists considered the most effective programs relative to cost were the Intern Incentive Allowance for Rural Pharmacies, the CPE Allowance and the RPLO Program.</w:t>
      </w:r>
      <w:bookmarkEnd w:id="115"/>
    </w:p>
    <w:p w14:paraId="6B5A9F99" w14:textId="77777777" w:rsidR="00281DD2" w:rsidRDefault="00281DD2" w:rsidP="00546711">
      <w:pPr>
        <w:shd w:val="clear" w:color="auto" w:fill="F2F2F2" w:themeFill="background1" w:themeFillShade="F2"/>
        <w:spacing w:before="85" w:after="85"/>
        <w:rPr>
          <w:rFonts w:ascii="Garamond" w:eastAsia="Garamond" w:hAnsi="Garamond"/>
          <w:color w:val="000000"/>
        </w:rPr>
        <w:sectPr w:rsidR="00281DD2" w:rsidSect="00720069">
          <w:pgSz w:w="16839" w:h="11907" w:orient="landscape" w:code="9"/>
          <w:pgMar w:top="2268" w:right="1304" w:bottom="850" w:left="737" w:header="567" w:footer="284" w:gutter="0"/>
          <w:cols w:num="2" w:space="709"/>
          <w:docGrid w:linePitch="360"/>
        </w:sectPr>
      </w:pPr>
    </w:p>
    <w:p w14:paraId="754D97B0" w14:textId="3CC11EAB" w:rsidR="00281DD2" w:rsidRPr="00281DD2" w:rsidRDefault="00281DD2" w:rsidP="009F66FB">
      <w:pPr>
        <w:pStyle w:val="Heading1"/>
        <w:rPr>
          <w:lang w:val="en-US"/>
        </w:rPr>
      </w:pPr>
      <w:bookmarkStart w:id="116" w:name="_Toc523322082"/>
      <w:bookmarkStart w:id="117" w:name="_Toc490574946"/>
      <w:r w:rsidRPr="00281DD2">
        <w:rPr>
          <w:lang w:val="en-US"/>
        </w:rPr>
        <w:lastRenderedPageBreak/>
        <w:t>Conclusion and Options for Future development</w:t>
      </w:r>
      <w:bookmarkEnd w:id="116"/>
    </w:p>
    <w:p w14:paraId="45B354FC" w14:textId="77777777" w:rsidR="00660B8E" w:rsidRDefault="00660B8E" w:rsidP="009F66FB">
      <w:pPr>
        <w:pStyle w:val="Heading1"/>
        <w:sectPr w:rsidR="00660B8E" w:rsidSect="00660B8E">
          <w:pgSz w:w="16839" w:h="11907" w:orient="landscape" w:code="9"/>
          <w:pgMar w:top="2268" w:right="1304" w:bottom="850" w:left="737" w:header="567" w:footer="284" w:gutter="0"/>
          <w:cols w:space="709"/>
          <w:titlePg/>
          <w:docGrid w:linePitch="360"/>
        </w:sectPr>
      </w:pPr>
    </w:p>
    <w:p w14:paraId="5F176A35" w14:textId="0750E6CF" w:rsidR="00166DB1" w:rsidRPr="00166DB1" w:rsidRDefault="00166DB1" w:rsidP="00B24642">
      <w:pPr>
        <w:pStyle w:val="Heading2"/>
      </w:pPr>
      <w:bookmarkStart w:id="118" w:name="_Toc523322083"/>
      <w:r w:rsidRPr="00166DB1">
        <w:t>Summary of evaluation findings</w:t>
      </w:r>
      <w:bookmarkEnd w:id="117"/>
      <w:bookmarkEnd w:id="118"/>
    </w:p>
    <w:p w14:paraId="20525437"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evaluation found that the Pharmacy Workforce Package had minimal impact on the pharmacy workforce at the macro level. However, the impact, reach and currency of the Pharmacy Workforce Programs could be improved by more proactive program governance.</w:t>
      </w:r>
    </w:p>
    <w:p w14:paraId="1175771C"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All 12 Pharmacy Workforce Programs were highly valued by recipients and generally well received by broader stakeholders. Although, as a package, the programs did not show significant impact on pharmacy workforce growth in rural and remote locations, further analysis indicates that some program types may have more impact than others. </w:t>
      </w:r>
    </w:p>
    <w:p w14:paraId="62671854"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Recruitment programs may have the greatest impact. It was estimated that recruitment programs could reach approximately 600 recipients per year, with approximately 250 students / interns likely to return to rural and remote areas. This correlates with the average number of new graduates working in rural and remote areas (270 new graduates). </w:t>
      </w:r>
    </w:p>
    <w:p w14:paraId="281D4055"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Conversely, retention programs do not appear to significantly impact on the pharmacy workforce. Pharmacist turn-over rates in rural and remote areas were estimated to be 1.3 to 1.8 times higher than in major cities. In addition, retention programs were estimated to reach less than 10% of the existing rural and remote workforce. </w:t>
      </w:r>
    </w:p>
    <w:p w14:paraId="0539D35A"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It was estimated that an additional 800 pharmacists are required in rural and remote areas in order to reach parity with major cities. Therefore, a greater investment in workforce programs is required to address the ongoing pharmacist shortage in these areas. </w:t>
      </w:r>
    </w:p>
    <w:p w14:paraId="166DC857"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Programs supporting increased access to culturally appropriate services for Aboriginal and Torres Strait Islander people were more challenging to evaluate, as their core objectives were to improve culturally appropriate access to PBS </w:t>
      </w:r>
      <w:r w:rsidRPr="00166DB1">
        <w:rPr>
          <w:rFonts w:ascii="Garamond" w:eastAsia="Garamond" w:hAnsi="Garamond"/>
          <w:color w:val="000000"/>
        </w:rPr>
        <w:t>medicines, and should therefore not be limited to workforce growth or rural and remote locations.</w:t>
      </w:r>
    </w:p>
    <w:p w14:paraId="0CAB5E44"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Total unit costs of individual programs were calculated based on program usage and an allocated proportion of administration funding. The unit costs were ranked as small (below </w:t>
      </w:r>
      <w:r w:rsidRPr="00166DB1">
        <w:rPr>
          <w:rFonts w:ascii="Times New Roman" w:eastAsia="Garamond" w:hAnsi="Times New Roman"/>
          <w:color w:val="000000"/>
        </w:rPr>
        <w:t>$</w:t>
      </w:r>
      <w:r w:rsidRPr="00166DB1">
        <w:rPr>
          <w:rFonts w:ascii="Garamond" w:eastAsia="Garamond" w:hAnsi="Garamond"/>
          <w:color w:val="000000"/>
        </w:rPr>
        <w:t>10,000), moderate (</w:t>
      </w:r>
      <w:r w:rsidRPr="00166DB1">
        <w:rPr>
          <w:rFonts w:ascii="Times New Roman" w:eastAsia="Garamond" w:hAnsi="Times New Roman"/>
          <w:color w:val="000000"/>
        </w:rPr>
        <w:t>$</w:t>
      </w:r>
      <w:r w:rsidRPr="00166DB1">
        <w:rPr>
          <w:rFonts w:ascii="Garamond" w:eastAsia="Garamond" w:hAnsi="Garamond"/>
          <w:color w:val="000000"/>
        </w:rPr>
        <w:t xml:space="preserve">10,000 to </w:t>
      </w:r>
      <w:r w:rsidRPr="00166DB1">
        <w:rPr>
          <w:rFonts w:ascii="Times New Roman" w:eastAsia="Garamond" w:hAnsi="Times New Roman"/>
          <w:color w:val="000000"/>
        </w:rPr>
        <w:t>$</w:t>
      </w:r>
      <w:r w:rsidRPr="00166DB1">
        <w:rPr>
          <w:rFonts w:ascii="Garamond" w:eastAsia="Garamond" w:hAnsi="Garamond"/>
          <w:color w:val="000000"/>
        </w:rPr>
        <w:t xml:space="preserve">50,000), or large (above </w:t>
      </w:r>
      <w:r w:rsidRPr="00166DB1">
        <w:rPr>
          <w:rFonts w:ascii="Times New Roman" w:eastAsia="Garamond" w:hAnsi="Times New Roman"/>
          <w:color w:val="000000"/>
        </w:rPr>
        <w:t>$</w:t>
      </w:r>
      <w:r w:rsidRPr="00166DB1">
        <w:rPr>
          <w:rFonts w:ascii="Garamond" w:eastAsia="Garamond" w:hAnsi="Garamond"/>
          <w:color w:val="000000"/>
        </w:rPr>
        <w:t xml:space="preserve">50,000). </w:t>
      </w:r>
    </w:p>
    <w:p w14:paraId="254C1412"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perceived benefit of the programs on the rural and remote pharmacy workforce was also assessed. The benefit of the programs was assessed using the perceptions of peak body stakeholders, pharmacists or program recipients or supported by published peer reviewed literature, workforce data, program data and rank correlation analysis (see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_Ref488303652 \n \h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Appendix F</w:t>
      </w:r>
      <w:r w:rsidRPr="00166DB1">
        <w:rPr>
          <w:rFonts w:ascii="Garamond" w:eastAsia="Garamond" w:hAnsi="Garamond"/>
          <w:color w:val="000000"/>
        </w:rPr>
        <w:fldChar w:fldCharType="end"/>
      </w:r>
      <w:r w:rsidRPr="00166DB1">
        <w:rPr>
          <w:rFonts w:ascii="Garamond" w:eastAsia="Garamond" w:hAnsi="Garamond"/>
          <w:color w:val="000000"/>
        </w:rPr>
        <w:t>). An assessment of perceived benefit was based on the strength of support indicated by each of the data sources listed above. Examples of how the strength of evidence is weight include:</w:t>
      </w:r>
    </w:p>
    <w:p w14:paraId="72AAC74F" w14:textId="77777777" w:rsidR="00166DB1" w:rsidRPr="00FF3C41" w:rsidRDefault="00166DB1" w:rsidP="009F66FB">
      <w:pPr>
        <w:pStyle w:val="ListParagraph"/>
        <w:numPr>
          <w:ilvl w:val="0"/>
          <w:numId w:val="22"/>
        </w:numPr>
        <w:tabs>
          <w:tab w:val="num" w:pos="170"/>
        </w:tabs>
        <w:spacing w:before="20" w:after="20"/>
        <w:rPr>
          <w:rFonts w:ascii="Garamond" w:eastAsia="Times New Roman" w:hAnsi="Garamond"/>
          <w:color w:val="000000"/>
        </w:rPr>
      </w:pPr>
      <w:r w:rsidRPr="00FF3C41">
        <w:rPr>
          <w:rFonts w:ascii="Garamond" w:eastAsia="Times New Roman" w:hAnsi="Garamond"/>
          <w:color w:val="000000"/>
        </w:rPr>
        <w:t>supported by workforce data – high perceived benefit</w:t>
      </w:r>
    </w:p>
    <w:p w14:paraId="1CAD1A90" w14:textId="77777777" w:rsidR="00166DB1" w:rsidRPr="00FF3C41" w:rsidRDefault="00166DB1" w:rsidP="009F66FB">
      <w:pPr>
        <w:pStyle w:val="ListParagraph"/>
        <w:numPr>
          <w:ilvl w:val="0"/>
          <w:numId w:val="22"/>
        </w:numPr>
        <w:tabs>
          <w:tab w:val="num" w:pos="170"/>
        </w:tabs>
        <w:spacing w:before="20" w:after="20"/>
        <w:rPr>
          <w:rFonts w:ascii="Garamond" w:eastAsia="Times New Roman" w:hAnsi="Garamond"/>
          <w:color w:val="000000"/>
        </w:rPr>
      </w:pPr>
      <w:r w:rsidRPr="00FF3C41">
        <w:rPr>
          <w:rFonts w:ascii="Garamond" w:eastAsia="Times New Roman" w:hAnsi="Garamond"/>
          <w:color w:val="000000"/>
        </w:rPr>
        <w:t>supported by strong literature evidence – high perceived benefit</w:t>
      </w:r>
    </w:p>
    <w:p w14:paraId="37E0B957" w14:textId="77777777" w:rsidR="00166DB1" w:rsidRPr="00FF3C41" w:rsidRDefault="00166DB1" w:rsidP="009F66FB">
      <w:pPr>
        <w:pStyle w:val="ListParagraph"/>
        <w:numPr>
          <w:ilvl w:val="0"/>
          <w:numId w:val="22"/>
        </w:numPr>
        <w:tabs>
          <w:tab w:val="num" w:pos="170"/>
        </w:tabs>
        <w:spacing w:before="20" w:after="20"/>
        <w:rPr>
          <w:rFonts w:ascii="Garamond" w:eastAsia="Times New Roman" w:hAnsi="Garamond"/>
          <w:color w:val="000000"/>
        </w:rPr>
      </w:pPr>
      <w:r w:rsidRPr="00FF3C41">
        <w:rPr>
          <w:rFonts w:ascii="Garamond" w:eastAsia="Times New Roman" w:hAnsi="Garamond"/>
          <w:color w:val="000000"/>
        </w:rPr>
        <w:t>supported by moderate literature evidence – moderate perceived benefit</w:t>
      </w:r>
    </w:p>
    <w:p w14:paraId="43330CD5" w14:textId="77777777" w:rsidR="00166DB1" w:rsidRPr="00FF3C41" w:rsidRDefault="00166DB1" w:rsidP="009F66FB">
      <w:pPr>
        <w:pStyle w:val="ListParagraph"/>
        <w:numPr>
          <w:ilvl w:val="0"/>
          <w:numId w:val="22"/>
        </w:numPr>
        <w:tabs>
          <w:tab w:val="num" w:pos="170"/>
        </w:tabs>
        <w:spacing w:before="20" w:after="20"/>
        <w:rPr>
          <w:rFonts w:ascii="Garamond" w:eastAsia="Times New Roman" w:hAnsi="Garamond"/>
          <w:color w:val="000000"/>
        </w:rPr>
      </w:pPr>
      <w:r w:rsidRPr="00FF3C41">
        <w:rPr>
          <w:rFonts w:ascii="Garamond" w:eastAsia="Times New Roman" w:hAnsi="Garamond"/>
          <w:color w:val="000000"/>
        </w:rPr>
        <w:t xml:space="preserve">supported by multiple stakeholder groups (e.g. peak bodies and recipients) – moderate perceived benefit, and </w:t>
      </w:r>
    </w:p>
    <w:p w14:paraId="18801322" w14:textId="77777777" w:rsidR="00166DB1" w:rsidRPr="00FF3C41" w:rsidRDefault="00166DB1" w:rsidP="009F66FB">
      <w:pPr>
        <w:pStyle w:val="ListParagraph"/>
        <w:numPr>
          <w:ilvl w:val="0"/>
          <w:numId w:val="22"/>
        </w:numPr>
        <w:tabs>
          <w:tab w:val="num" w:pos="170"/>
        </w:tabs>
        <w:spacing w:before="20" w:after="20"/>
        <w:rPr>
          <w:rFonts w:ascii="Garamond" w:eastAsia="Times New Roman" w:hAnsi="Garamond"/>
          <w:color w:val="000000"/>
        </w:rPr>
      </w:pPr>
      <w:r w:rsidRPr="00FF3C41">
        <w:rPr>
          <w:rFonts w:ascii="Garamond" w:eastAsia="Times New Roman" w:hAnsi="Garamond"/>
          <w:color w:val="000000"/>
        </w:rPr>
        <w:t xml:space="preserve">weak literature evidence and limited stakeholder support – low perceived benefit. </w:t>
      </w:r>
    </w:p>
    <w:p w14:paraId="046ACB55"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unit cost and of the perceived benefit were then compared for each program. This analysis generated an overall assessment of effectiveness for each program. See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_Ref488233748 \h  \* MERGEFORMAT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 xml:space="preserve">Table </w:t>
      </w:r>
      <w:r w:rsidRPr="00166DB1">
        <w:rPr>
          <w:rFonts w:ascii="Garamond" w:eastAsia="Garamond" w:hAnsi="Garamond"/>
          <w:noProof/>
          <w:color w:val="000000"/>
        </w:rPr>
        <w:t>7.1</w:t>
      </w:r>
      <w:r w:rsidRPr="00166DB1">
        <w:rPr>
          <w:rFonts w:ascii="Garamond" w:eastAsia="Garamond" w:hAnsi="Garamond"/>
          <w:color w:val="000000"/>
        </w:rPr>
        <w:fldChar w:fldCharType="end"/>
      </w:r>
      <w:r w:rsidRPr="00166DB1">
        <w:rPr>
          <w:rFonts w:ascii="Garamond" w:eastAsia="Garamond" w:hAnsi="Garamond"/>
          <w:color w:val="000000"/>
        </w:rPr>
        <w:t>.</w:t>
      </w:r>
    </w:p>
    <w:p w14:paraId="10073667" w14:textId="77777777" w:rsidR="00166DB1" w:rsidRPr="00166DB1" w:rsidRDefault="00166DB1" w:rsidP="00166DB1">
      <w:pPr>
        <w:spacing w:before="85" w:after="85"/>
        <w:rPr>
          <w:rFonts w:ascii="Garamond" w:eastAsia="Garamond" w:hAnsi="Garamond"/>
          <w:color w:val="000000"/>
        </w:rPr>
        <w:sectPr w:rsidR="00166DB1" w:rsidRPr="00166DB1" w:rsidSect="00660B8E">
          <w:type w:val="continuous"/>
          <w:pgSz w:w="16839" w:h="11907" w:orient="landscape" w:code="9"/>
          <w:pgMar w:top="2268" w:right="1304" w:bottom="850" w:left="737" w:header="567" w:footer="284" w:gutter="0"/>
          <w:cols w:num="2" w:space="709"/>
          <w:titlePg/>
          <w:docGrid w:linePitch="360"/>
        </w:sectPr>
      </w:pPr>
    </w:p>
    <w:p w14:paraId="7FBEBB92" w14:textId="77777777" w:rsidR="00166DB1" w:rsidRPr="00166DB1" w:rsidRDefault="00166DB1" w:rsidP="00483C21">
      <w:pPr>
        <w:pStyle w:val="Caption"/>
      </w:pPr>
      <w:bookmarkStart w:id="119" w:name="_Ref488233748"/>
      <w:r w:rsidRPr="00166DB1">
        <w:lastRenderedPageBreak/>
        <w:t xml:space="preserve">Table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7</w:t>
      </w:r>
      <w:r w:rsidRPr="00166DB1">
        <w:rPr>
          <w:noProof/>
        </w:rPr>
        <w:fldChar w:fldCharType="end"/>
      </w:r>
      <w:r w:rsidRPr="00166DB1">
        <w:t>.</w:t>
      </w:r>
      <w:r w:rsidRPr="00166DB1">
        <w:rPr>
          <w:noProof/>
        </w:rPr>
        <w:fldChar w:fldCharType="begin"/>
      </w:r>
      <w:r w:rsidRPr="00166DB1">
        <w:rPr>
          <w:noProof/>
        </w:rPr>
        <w:instrText xml:space="preserve"> SEQ Table \* ARABIC \s 1 </w:instrText>
      </w:r>
      <w:r w:rsidRPr="00166DB1">
        <w:rPr>
          <w:noProof/>
        </w:rPr>
        <w:fldChar w:fldCharType="separate"/>
      </w:r>
      <w:r w:rsidRPr="00166DB1">
        <w:rPr>
          <w:noProof/>
        </w:rPr>
        <w:t>1</w:t>
      </w:r>
      <w:r w:rsidRPr="00166DB1">
        <w:rPr>
          <w:noProof/>
        </w:rPr>
        <w:fldChar w:fldCharType="end"/>
      </w:r>
      <w:bookmarkEnd w:id="119"/>
      <w:r w:rsidRPr="00166DB1">
        <w:t xml:space="preserve">: Unit costs and perceived program benefit </w:t>
      </w:r>
    </w:p>
    <w:tbl>
      <w:tblPr>
        <w:tblStyle w:val="HMATable"/>
        <w:tblW w:w="5000" w:type="pct"/>
        <w:shd w:val="clear" w:color="auto" w:fill="F2F2F2" w:themeFill="background1" w:themeFillShade="F2"/>
        <w:tblLook w:val="04A0" w:firstRow="1" w:lastRow="0" w:firstColumn="1" w:lastColumn="0" w:noHBand="0" w:noVBand="1"/>
        <w:tblCaption w:val="Table 7.1: Unit costs and perceived program benefit"/>
        <w:tblDescription w:val="Table 7.1: Unit costs and perceived program benefit. Table consists of Package component, Total unit cost (annual)*, Unit cost rank, Perceived benefit, Rationale, and Overall value assessment."/>
      </w:tblPr>
      <w:tblGrid>
        <w:gridCol w:w="2419"/>
        <w:gridCol w:w="1405"/>
        <w:gridCol w:w="994"/>
        <w:gridCol w:w="1133"/>
        <w:gridCol w:w="7616"/>
        <w:gridCol w:w="1221"/>
      </w:tblGrid>
      <w:tr w:rsidR="00166DB1" w:rsidRPr="00166DB1" w14:paraId="48A9F88F" w14:textId="77777777" w:rsidTr="0006633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818" w:type="pct"/>
            <w:shd w:val="clear" w:color="auto" w:fill="D9D9D9" w:themeFill="background1" w:themeFillShade="D9"/>
            <w:noWrap/>
            <w:hideMark/>
          </w:tcPr>
          <w:p w14:paraId="532ECC0B" w14:textId="77777777" w:rsidR="00166DB1" w:rsidRPr="00166DB1" w:rsidRDefault="00166DB1" w:rsidP="00FF3C41">
            <w:pPr>
              <w:pStyle w:val="TableColumnHeading"/>
              <w:rPr>
                <w:lang w:eastAsia="en-AU"/>
              </w:rPr>
            </w:pPr>
            <w:r w:rsidRPr="00166DB1">
              <w:rPr>
                <w:lang w:eastAsia="en-AU"/>
              </w:rPr>
              <w:t>Package component</w:t>
            </w:r>
          </w:p>
        </w:tc>
        <w:tc>
          <w:tcPr>
            <w:tcW w:w="475" w:type="pct"/>
            <w:shd w:val="clear" w:color="auto" w:fill="D9D9D9" w:themeFill="background1" w:themeFillShade="D9"/>
            <w:hideMark/>
          </w:tcPr>
          <w:p w14:paraId="4556B383" w14:textId="77777777" w:rsidR="00166DB1" w:rsidRPr="00166DB1" w:rsidRDefault="00166DB1" w:rsidP="00FF3C41">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Total unit cost (annual)*</w:t>
            </w:r>
          </w:p>
        </w:tc>
        <w:tc>
          <w:tcPr>
            <w:tcW w:w="336" w:type="pct"/>
            <w:shd w:val="clear" w:color="auto" w:fill="D9D9D9" w:themeFill="background1" w:themeFillShade="D9"/>
          </w:tcPr>
          <w:p w14:paraId="2A31898C" w14:textId="77777777" w:rsidR="00166DB1" w:rsidRPr="00166DB1" w:rsidRDefault="00166DB1" w:rsidP="00FF3C41">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 xml:space="preserve">Unit cost rank </w:t>
            </w:r>
          </w:p>
        </w:tc>
        <w:tc>
          <w:tcPr>
            <w:tcW w:w="383" w:type="pct"/>
            <w:shd w:val="clear" w:color="auto" w:fill="D9D9D9" w:themeFill="background1" w:themeFillShade="D9"/>
          </w:tcPr>
          <w:p w14:paraId="49769B59" w14:textId="77777777" w:rsidR="00166DB1" w:rsidRPr="00166DB1" w:rsidRDefault="00166DB1" w:rsidP="00FF3C41">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 xml:space="preserve">Perceived benefit </w:t>
            </w:r>
          </w:p>
        </w:tc>
        <w:tc>
          <w:tcPr>
            <w:tcW w:w="2575" w:type="pct"/>
            <w:shd w:val="clear" w:color="auto" w:fill="D9D9D9" w:themeFill="background1" w:themeFillShade="D9"/>
          </w:tcPr>
          <w:p w14:paraId="663276DA" w14:textId="77777777" w:rsidR="00166DB1" w:rsidRPr="00166DB1" w:rsidRDefault="00166DB1" w:rsidP="00FF3C41">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 xml:space="preserve">Rationale </w:t>
            </w:r>
          </w:p>
        </w:tc>
        <w:tc>
          <w:tcPr>
            <w:tcW w:w="413" w:type="pct"/>
            <w:shd w:val="clear" w:color="auto" w:fill="D9D9D9" w:themeFill="background1" w:themeFillShade="D9"/>
          </w:tcPr>
          <w:p w14:paraId="39067B03" w14:textId="77777777" w:rsidR="00166DB1" w:rsidRPr="00166DB1" w:rsidRDefault="00166DB1" w:rsidP="00FF3C41">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Overall value assessment</w:t>
            </w:r>
          </w:p>
        </w:tc>
      </w:tr>
      <w:tr w:rsidR="00AB00DC" w:rsidRPr="0006633E" w14:paraId="71F1E265" w14:textId="77777777" w:rsidTr="00AB00DC">
        <w:trPr>
          <w:trHeight w:val="20"/>
        </w:trPr>
        <w:tc>
          <w:tcPr>
            <w:cnfStyle w:val="001000000000" w:firstRow="0" w:lastRow="0" w:firstColumn="1" w:lastColumn="0" w:oddVBand="0" w:evenVBand="0" w:oddHBand="0" w:evenHBand="0" w:firstRowFirstColumn="0" w:firstRowLastColumn="0" w:lastRowFirstColumn="0" w:lastRowLastColumn="0"/>
            <w:tcW w:w="818" w:type="pct"/>
            <w:shd w:val="clear" w:color="auto" w:fill="D9D9D9" w:themeFill="background1" w:themeFillShade="D9"/>
            <w:noWrap/>
            <w:hideMark/>
          </w:tcPr>
          <w:p w14:paraId="5FE2972E" w14:textId="77777777" w:rsidR="00AB00DC" w:rsidRPr="0006633E" w:rsidRDefault="00AB00DC" w:rsidP="00FF3C41">
            <w:pPr>
              <w:pStyle w:val="Tablesubheading2"/>
              <w:rPr>
                <w:lang w:eastAsia="en-AU"/>
              </w:rPr>
            </w:pPr>
            <w:r w:rsidRPr="0006633E">
              <w:rPr>
                <w:b/>
                <w:lang w:eastAsia="en-AU"/>
              </w:rPr>
              <w:t xml:space="preserve">Recruitment Programs </w:t>
            </w:r>
          </w:p>
        </w:tc>
        <w:tc>
          <w:tcPr>
            <w:tcW w:w="475" w:type="pct"/>
            <w:shd w:val="clear" w:color="auto" w:fill="D9D9D9" w:themeFill="background1" w:themeFillShade="D9"/>
          </w:tcPr>
          <w:p w14:paraId="12CEA996" w14:textId="77777777" w:rsidR="00AB00DC" w:rsidRPr="0006633E" w:rsidRDefault="00AB00DC" w:rsidP="00FF3C41">
            <w:pPr>
              <w:pStyle w:val="Tablesubheading2"/>
              <w:cnfStyle w:val="000000000000" w:firstRow="0" w:lastRow="0" w:firstColumn="0" w:lastColumn="0" w:oddVBand="0" w:evenVBand="0" w:oddHBand="0" w:evenHBand="0" w:firstRowFirstColumn="0" w:firstRowLastColumn="0" w:lastRowFirstColumn="0" w:lastRowLastColumn="0"/>
              <w:rPr>
                <w:lang w:eastAsia="en-AU"/>
              </w:rPr>
            </w:pPr>
          </w:p>
        </w:tc>
        <w:tc>
          <w:tcPr>
            <w:tcW w:w="336" w:type="pct"/>
            <w:shd w:val="clear" w:color="auto" w:fill="D9D9D9" w:themeFill="background1" w:themeFillShade="D9"/>
          </w:tcPr>
          <w:p w14:paraId="1D4CAC39" w14:textId="77777777" w:rsidR="00AB00DC" w:rsidRPr="0006633E" w:rsidRDefault="00AB00DC" w:rsidP="00FF3C41">
            <w:pPr>
              <w:pStyle w:val="Tablesubheading2"/>
              <w:cnfStyle w:val="000000000000" w:firstRow="0" w:lastRow="0" w:firstColumn="0" w:lastColumn="0" w:oddVBand="0" w:evenVBand="0" w:oddHBand="0" w:evenHBand="0" w:firstRowFirstColumn="0" w:firstRowLastColumn="0" w:lastRowFirstColumn="0" w:lastRowLastColumn="0"/>
              <w:rPr>
                <w:lang w:eastAsia="en-AU"/>
              </w:rPr>
            </w:pPr>
          </w:p>
        </w:tc>
        <w:tc>
          <w:tcPr>
            <w:tcW w:w="383" w:type="pct"/>
            <w:shd w:val="clear" w:color="auto" w:fill="D9D9D9" w:themeFill="background1" w:themeFillShade="D9"/>
          </w:tcPr>
          <w:p w14:paraId="2177BA2F" w14:textId="77777777" w:rsidR="00AB00DC" w:rsidRPr="0006633E" w:rsidRDefault="00AB00DC" w:rsidP="00FF3C41">
            <w:pPr>
              <w:pStyle w:val="Tablesubheading2"/>
              <w:cnfStyle w:val="000000000000" w:firstRow="0" w:lastRow="0" w:firstColumn="0" w:lastColumn="0" w:oddVBand="0" w:evenVBand="0" w:oddHBand="0" w:evenHBand="0" w:firstRowFirstColumn="0" w:firstRowLastColumn="0" w:lastRowFirstColumn="0" w:lastRowLastColumn="0"/>
              <w:rPr>
                <w:lang w:eastAsia="en-AU"/>
              </w:rPr>
            </w:pPr>
          </w:p>
        </w:tc>
        <w:tc>
          <w:tcPr>
            <w:tcW w:w="2575" w:type="pct"/>
            <w:shd w:val="clear" w:color="auto" w:fill="D9D9D9" w:themeFill="background1" w:themeFillShade="D9"/>
          </w:tcPr>
          <w:p w14:paraId="092E6EC0" w14:textId="77777777" w:rsidR="00AB00DC" w:rsidRPr="0006633E" w:rsidRDefault="00AB00DC" w:rsidP="00FF3C41">
            <w:pPr>
              <w:pStyle w:val="Tablesubheading2"/>
              <w:cnfStyle w:val="000000000000" w:firstRow="0" w:lastRow="0" w:firstColumn="0" w:lastColumn="0" w:oddVBand="0" w:evenVBand="0" w:oddHBand="0" w:evenHBand="0" w:firstRowFirstColumn="0" w:firstRowLastColumn="0" w:lastRowFirstColumn="0" w:lastRowLastColumn="0"/>
              <w:rPr>
                <w:lang w:eastAsia="en-AU"/>
              </w:rPr>
            </w:pPr>
          </w:p>
        </w:tc>
        <w:tc>
          <w:tcPr>
            <w:tcW w:w="413" w:type="pct"/>
            <w:shd w:val="clear" w:color="auto" w:fill="D9D9D9" w:themeFill="background1" w:themeFillShade="D9"/>
          </w:tcPr>
          <w:p w14:paraId="4710FE20" w14:textId="61644CC9" w:rsidR="00AB00DC" w:rsidRPr="0006633E" w:rsidRDefault="00AB00DC" w:rsidP="00FF3C41">
            <w:pPr>
              <w:pStyle w:val="Tablesubheading2"/>
              <w:cnfStyle w:val="000000000000" w:firstRow="0" w:lastRow="0" w:firstColumn="0" w:lastColumn="0" w:oddVBand="0" w:evenVBand="0" w:oddHBand="0" w:evenHBand="0" w:firstRowFirstColumn="0" w:firstRowLastColumn="0" w:lastRowFirstColumn="0" w:lastRowLastColumn="0"/>
              <w:rPr>
                <w:b w:val="0"/>
                <w:lang w:eastAsia="en-AU"/>
              </w:rPr>
            </w:pPr>
          </w:p>
        </w:tc>
      </w:tr>
      <w:tr w:rsidR="00166DB1" w:rsidRPr="00166DB1" w14:paraId="0395FD42" w14:textId="77777777" w:rsidTr="0006633E">
        <w:trPr>
          <w:trHeight w:val="20"/>
        </w:trPr>
        <w:tc>
          <w:tcPr>
            <w:cnfStyle w:val="001000000000" w:firstRow="0" w:lastRow="0" w:firstColumn="1" w:lastColumn="0" w:oddVBand="0" w:evenVBand="0" w:oddHBand="0" w:evenHBand="0" w:firstRowFirstColumn="0" w:firstRowLastColumn="0" w:lastRowFirstColumn="0" w:lastRowLastColumn="0"/>
            <w:tcW w:w="818" w:type="pct"/>
            <w:shd w:val="clear" w:color="auto" w:fill="F2F2F2" w:themeFill="background1" w:themeFillShade="F2"/>
            <w:hideMark/>
          </w:tcPr>
          <w:p w14:paraId="6787358C" w14:textId="77777777" w:rsidR="00166DB1" w:rsidRPr="00166DB1" w:rsidRDefault="00166DB1" w:rsidP="00FF3C41">
            <w:pPr>
              <w:pStyle w:val="TableCopy"/>
              <w:rPr>
                <w:lang w:eastAsia="en-AU"/>
              </w:rPr>
            </w:pPr>
            <w:r w:rsidRPr="00166DB1">
              <w:rPr>
                <w:lang w:eastAsia="en-AU"/>
              </w:rPr>
              <w:t>Rural Pharmacy Scholarship Scheme</w:t>
            </w:r>
          </w:p>
        </w:tc>
        <w:tc>
          <w:tcPr>
            <w:tcW w:w="475" w:type="pct"/>
            <w:shd w:val="clear" w:color="auto" w:fill="F2F2F2" w:themeFill="background1" w:themeFillShade="F2"/>
            <w:noWrap/>
            <w:hideMark/>
          </w:tcPr>
          <w:p w14:paraId="491E3B9D"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10,618 </w:t>
            </w:r>
          </w:p>
        </w:tc>
        <w:tc>
          <w:tcPr>
            <w:tcW w:w="336" w:type="pct"/>
            <w:shd w:val="clear" w:color="auto" w:fill="F2F2F2" w:themeFill="background1" w:themeFillShade="F2"/>
            <w:noWrap/>
          </w:tcPr>
          <w:p w14:paraId="27E1C443"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Moderate </w:t>
            </w:r>
          </w:p>
        </w:tc>
        <w:tc>
          <w:tcPr>
            <w:tcW w:w="383" w:type="pct"/>
            <w:shd w:val="clear" w:color="auto" w:fill="F2F2F2" w:themeFill="background1" w:themeFillShade="F2"/>
            <w:noWrap/>
          </w:tcPr>
          <w:p w14:paraId="1B330A18"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High </w:t>
            </w:r>
          </w:p>
        </w:tc>
        <w:tc>
          <w:tcPr>
            <w:tcW w:w="2575" w:type="pct"/>
            <w:shd w:val="clear" w:color="auto" w:fill="F2F2F2" w:themeFill="background1" w:themeFillShade="F2"/>
          </w:tcPr>
          <w:p w14:paraId="101706B3"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Strong literature support on the effectiveness of scholarships in encouraging rural practise among students with a rural origin.</w:t>
            </w:r>
          </w:p>
          <w:p w14:paraId="5E68BB8B"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Approximately 50% of recipients go on to practise in a rural area, based on recipient survey findings.</w:t>
            </w:r>
          </w:p>
          <w:p w14:paraId="72EFBE60"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Strong stakeholder and recipient support.</w:t>
            </w:r>
          </w:p>
        </w:tc>
        <w:tc>
          <w:tcPr>
            <w:tcW w:w="413" w:type="pct"/>
            <w:shd w:val="clear" w:color="auto" w:fill="F2F2F2" w:themeFill="background1" w:themeFillShade="F2"/>
          </w:tcPr>
          <w:p w14:paraId="726764E1"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 - High</w:t>
            </w:r>
          </w:p>
        </w:tc>
      </w:tr>
      <w:tr w:rsidR="00166DB1" w:rsidRPr="00166DB1" w14:paraId="317AC56E" w14:textId="77777777" w:rsidTr="0006633E">
        <w:trPr>
          <w:trHeight w:val="20"/>
        </w:trPr>
        <w:tc>
          <w:tcPr>
            <w:cnfStyle w:val="001000000000" w:firstRow="0" w:lastRow="0" w:firstColumn="1" w:lastColumn="0" w:oddVBand="0" w:evenVBand="0" w:oddHBand="0" w:evenHBand="0" w:firstRowFirstColumn="0" w:firstRowLastColumn="0" w:lastRowFirstColumn="0" w:lastRowLastColumn="0"/>
            <w:tcW w:w="818" w:type="pct"/>
            <w:shd w:val="clear" w:color="auto" w:fill="F2F2F2" w:themeFill="background1" w:themeFillShade="F2"/>
            <w:hideMark/>
          </w:tcPr>
          <w:p w14:paraId="2C2187A6" w14:textId="77777777" w:rsidR="00166DB1" w:rsidRPr="00166DB1" w:rsidRDefault="00166DB1" w:rsidP="00FF3C41">
            <w:pPr>
              <w:pStyle w:val="TableCopy"/>
              <w:rPr>
                <w:lang w:eastAsia="en-AU"/>
              </w:rPr>
            </w:pPr>
            <w:r w:rsidRPr="00166DB1">
              <w:rPr>
                <w:lang w:eastAsia="en-AU"/>
              </w:rPr>
              <w:t>Rural Pharmacy Scholarship Mentor Scheme</w:t>
            </w:r>
          </w:p>
        </w:tc>
        <w:tc>
          <w:tcPr>
            <w:tcW w:w="475" w:type="pct"/>
            <w:shd w:val="clear" w:color="auto" w:fill="F2F2F2" w:themeFill="background1" w:themeFillShade="F2"/>
            <w:noWrap/>
            <w:hideMark/>
          </w:tcPr>
          <w:p w14:paraId="1D5DA766"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987 </w:t>
            </w:r>
          </w:p>
        </w:tc>
        <w:tc>
          <w:tcPr>
            <w:tcW w:w="336" w:type="pct"/>
            <w:shd w:val="clear" w:color="auto" w:fill="F2F2F2" w:themeFill="background1" w:themeFillShade="F2"/>
            <w:noWrap/>
          </w:tcPr>
          <w:p w14:paraId="2CEBC175"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Small </w:t>
            </w:r>
          </w:p>
        </w:tc>
        <w:tc>
          <w:tcPr>
            <w:tcW w:w="383" w:type="pct"/>
            <w:shd w:val="clear" w:color="auto" w:fill="F2F2F2" w:themeFill="background1" w:themeFillShade="F2"/>
            <w:noWrap/>
          </w:tcPr>
          <w:p w14:paraId="6B697154"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Moderate </w:t>
            </w:r>
          </w:p>
        </w:tc>
        <w:tc>
          <w:tcPr>
            <w:tcW w:w="2575" w:type="pct"/>
            <w:shd w:val="clear" w:color="auto" w:fill="F2F2F2" w:themeFill="background1" w:themeFillShade="F2"/>
          </w:tcPr>
          <w:p w14:paraId="472D9CD3"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Moderate literature support on the positive effect of mentorship on retaining students in their studies (especially for Aboriginal and Torres Strait Islander students). </w:t>
            </w:r>
          </w:p>
          <w:p w14:paraId="3BE6277D"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Low stakeholder support, due to few peak body stakeholders and pharmacists consulted being aware of the program.</w:t>
            </w:r>
          </w:p>
        </w:tc>
        <w:tc>
          <w:tcPr>
            <w:tcW w:w="413" w:type="pct"/>
            <w:shd w:val="clear" w:color="auto" w:fill="F2F2F2" w:themeFill="background1" w:themeFillShade="F2"/>
          </w:tcPr>
          <w:p w14:paraId="0785C247"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w:t>
            </w:r>
          </w:p>
        </w:tc>
      </w:tr>
      <w:tr w:rsidR="00166DB1" w:rsidRPr="00166DB1" w14:paraId="77071F9E" w14:textId="77777777" w:rsidTr="0006633E">
        <w:trPr>
          <w:trHeight w:val="20"/>
        </w:trPr>
        <w:tc>
          <w:tcPr>
            <w:cnfStyle w:val="001000000000" w:firstRow="0" w:lastRow="0" w:firstColumn="1" w:lastColumn="0" w:oddVBand="0" w:evenVBand="0" w:oddHBand="0" w:evenHBand="0" w:firstRowFirstColumn="0" w:firstRowLastColumn="0" w:lastRowFirstColumn="0" w:lastRowLastColumn="0"/>
            <w:tcW w:w="818" w:type="pct"/>
            <w:shd w:val="clear" w:color="auto" w:fill="F2F2F2" w:themeFill="background1" w:themeFillShade="F2"/>
            <w:hideMark/>
          </w:tcPr>
          <w:p w14:paraId="4DF4EA2C" w14:textId="77777777" w:rsidR="00166DB1" w:rsidRPr="00166DB1" w:rsidRDefault="00166DB1" w:rsidP="00FF3C41">
            <w:pPr>
              <w:pStyle w:val="TableCopy"/>
              <w:rPr>
                <w:lang w:eastAsia="en-AU"/>
              </w:rPr>
            </w:pPr>
            <w:r w:rsidRPr="00166DB1">
              <w:rPr>
                <w:lang w:eastAsia="en-AU"/>
              </w:rPr>
              <w:t>Rural Intern Training Allowance</w:t>
            </w:r>
          </w:p>
        </w:tc>
        <w:tc>
          <w:tcPr>
            <w:tcW w:w="475" w:type="pct"/>
            <w:shd w:val="clear" w:color="auto" w:fill="F2F2F2" w:themeFill="background1" w:themeFillShade="F2"/>
            <w:noWrap/>
            <w:hideMark/>
          </w:tcPr>
          <w:p w14:paraId="47C87253"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1,170 </w:t>
            </w:r>
          </w:p>
        </w:tc>
        <w:tc>
          <w:tcPr>
            <w:tcW w:w="336" w:type="pct"/>
            <w:shd w:val="clear" w:color="auto" w:fill="F2F2F2" w:themeFill="background1" w:themeFillShade="F2"/>
            <w:noWrap/>
          </w:tcPr>
          <w:p w14:paraId="6FD6B9E8"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Small </w:t>
            </w:r>
          </w:p>
        </w:tc>
        <w:tc>
          <w:tcPr>
            <w:tcW w:w="383" w:type="pct"/>
            <w:shd w:val="clear" w:color="auto" w:fill="F2F2F2" w:themeFill="background1" w:themeFillShade="F2"/>
            <w:noWrap/>
          </w:tcPr>
          <w:p w14:paraId="1BA6FEBB"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High </w:t>
            </w:r>
          </w:p>
        </w:tc>
        <w:tc>
          <w:tcPr>
            <w:tcW w:w="2575" w:type="pct"/>
            <w:shd w:val="clear" w:color="auto" w:fill="F2F2F2" w:themeFill="background1" w:themeFillShade="F2"/>
          </w:tcPr>
          <w:p w14:paraId="708712BD"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Strong literature support on the effectiveness of rural exposure (via an internship) on encouraging rural practise.</w:t>
            </w:r>
          </w:p>
          <w:p w14:paraId="08E6CF74"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Approximately 92% of recipients go on to practise in a rural area based on NHWDS data.</w:t>
            </w:r>
          </w:p>
          <w:p w14:paraId="19B1531C"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 stakeholder support weakened by the low number of interns consulted.</w:t>
            </w:r>
          </w:p>
        </w:tc>
        <w:tc>
          <w:tcPr>
            <w:tcW w:w="413" w:type="pct"/>
            <w:shd w:val="clear" w:color="auto" w:fill="F2F2F2" w:themeFill="background1" w:themeFillShade="F2"/>
          </w:tcPr>
          <w:p w14:paraId="42CE14F7"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High</w:t>
            </w:r>
          </w:p>
        </w:tc>
      </w:tr>
      <w:tr w:rsidR="00166DB1" w:rsidRPr="00166DB1" w14:paraId="5DEAA134" w14:textId="77777777" w:rsidTr="0006633E">
        <w:trPr>
          <w:trHeight w:val="20"/>
        </w:trPr>
        <w:tc>
          <w:tcPr>
            <w:cnfStyle w:val="001000000000" w:firstRow="0" w:lastRow="0" w:firstColumn="1" w:lastColumn="0" w:oddVBand="0" w:evenVBand="0" w:oddHBand="0" w:evenHBand="0" w:firstRowFirstColumn="0" w:firstRowLastColumn="0" w:lastRowFirstColumn="0" w:lastRowLastColumn="0"/>
            <w:tcW w:w="818" w:type="pct"/>
            <w:shd w:val="clear" w:color="auto" w:fill="F2F2F2" w:themeFill="background1" w:themeFillShade="F2"/>
            <w:hideMark/>
          </w:tcPr>
          <w:p w14:paraId="6754F312" w14:textId="77777777" w:rsidR="00166DB1" w:rsidRPr="00166DB1" w:rsidRDefault="00166DB1" w:rsidP="00FF3C41">
            <w:pPr>
              <w:pStyle w:val="TableCopy"/>
              <w:rPr>
                <w:lang w:eastAsia="en-AU"/>
              </w:rPr>
            </w:pPr>
            <w:r w:rsidRPr="00166DB1">
              <w:rPr>
                <w:lang w:eastAsia="en-AU"/>
              </w:rPr>
              <w:t>Rural Pharmacy Student Placement Allowance#</w:t>
            </w:r>
          </w:p>
        </w:tc>
        <w:tc>
          <w:tcPr>
            <w:tcW w:w="475" w:type="pct"/>
            <w:shd w:val="clear" w:color="auto" w:fill="F2F2F2" w:themeFill="background1" w:themeFillShade="F2"/>
            <w:noWrap/>
            <w:hideMark/>
          </w:tcPr>
          <w:p w14:paraId="40FDF15A"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t>1,696</w:t>
            </w:r>
          </w:p>
          <w:p w14:paraId="6920CE2D"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(or </w:t>
            </w:r>
            <w:r w:rsidRPr="00166DB1">
              <w:rPr>
                <w:rFonts w:ascii="Times New Roman" w:hAnsi="Times New Roman"/>
                <w:lang w:eastAsia="en-AU"/>
              </w:rPr>
              <w:t>$</w:t>
            </w:r>
            <w:r w:rsidRPr="00166DB1">
              <w:rPr>
                <w:lang w:eastAsia="en-AU"/>
              </w:rPr>
              <w:t>40,390</w:t>
            </w:r>
            <w:r w:rsidRPr="00166DB1">
              <w:t>)</w:t>
            </w:r>
          </w:p>
        </w:tc>
        <w:tc>
          <w:tcPr>
            <w:tcW w:w="336" w:type="pct"/>
            <w:shd w:val="clear" w:color="auto" w:fill="F2F2F2" w:themeFill="background1" w:themeFillShade="F2"/>
            <w:noWrap/>
          </w:tcPr>
          <w:p w14:paraId="2A92954D"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 Small</w:t>
            </w:r>
          </w:p>
          <w:p w14:paraId="5476759A"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w:t>
            </w:r>
          </w:p>
        </w:tc>
        <w:tc>
          <w:tcPr>
            <w:tcW w:w="383" w:type="pct"/>
            <w:shd w:val="clear" w:color="auto" w:fill="F2F2F2" w:themeFill="background1" w:themeFillShade="F2"/>
            <w:noWrap/>
          </w:tcPr>
          <w:p w14:paraId="5F8A6B7C"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w:t>
            </w:r>
          </w:p>
        </w:tc>
        <w:tc>
          <w:tcPr>
            <w:tcW w:w="2575" w:type="pct"/>
            <w:shd w:val="clear" w:color="auto" w:fill="F2F2F2" w:themeFill="background1" w:themeFillShade="F2"/>
          </w:tcPr>
          <w:p w14:paraId="5C4A6C61"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Strong literature support on the effectiveness of placements in encouraging rural practise. </w:t>
            </w:r>
          </w:p>
          <w:p w14:paraId="2E2CBA81"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Low return rate, as an estimated 20% of recipients go on to practise in rural areas, based on recipient consultations. </w:t>
            </w:r>
          </w:p>
          <w:p w14:paraId="04FBA49C"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Strong stakeholder support</w:t>
            </w:r>
          </w:p>
        </w:tc>
        <w:tc>
          <w:tcPr>
            <w:tcW w:w="413" w:type="pct"/>
            <w:shd w:val="clear" w:color="auto" w:fill="F2F2F2" w:themeFill="background1" w:themeFillShade="F2"/>
          </w:tcPr>
          <w:p w14:paraId="44E69B8F" w14:textId="77777777" w:rsidR="00166DB1" w:rsidRPr="00166DB1" w:rsidRDefault="00166DB1" w:rsidP="00FF3C41">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w:t>
            </w:r>
          </w:p>
        </w:tc>
      </w:tr>
      <w:tr w:rsidR="00AB00DC" w:rsidRPr="00166DB1" w14:paraId="17499248" w14:textId="77777777" w:rsidTr="00AB00DC">
        <w:trPr>
          <w:trHeight w:val="84"/>
        </w:trPr>
        <w:tc>
          <w:tcPr>
            <w:cnfStyle w:val="001000000000" w:firstRow="0" w:lastRow="0" w:firstColumn="1" w:lastColumn="0" w:oddVBand="0" w:evenVBand="0" w:oddHBand="0" w:evenHBand="0" w:firstRowFirstColumn="0" w:firstRowLastColumn="0" w:lastRowFirstColumn="0" w:lastRowLastColumn="0"/>
            <w:tcW w:w="818" w:type="pct"/>
            <w:shd w:val="clear" w:color="auto" w:fill="D9D9D9" w:themeFill="background1" w:themeFillShade="D9"/>
          </w:tcPr>
          <w:p w14:paraId="1D0A2079" w14:textId="77777777" w:rsidR="00AB00DC" w:rsidRPr="0006633E" w:rsidRDefault="00AB00DC" w:rsidP="00FF3C41">
            <w:pPr>
              <w:pStyle w:val="Tablesubheading2"/>
              <w:rPr>
                <w:lang w:eastAsia="en-AU"/>
              </w:rPr>
            </w:pPr>
            <w:r w:rsidRPr="0006633E">
              <w:rPr>
                <w:b/>
                <w:lang w:eastAsia="en-AU"/>
              </w:rPr>
              <w:t xml:space="preserve">Other Support Programs </w:t>
            </w:r>
          </w:p>
        </w:tc>
        <w:tc>
          <w:tcPr>
            <w:tcW w:w="475" w:type="pct"/>
            <w:shd w:val="clear" w:color="auto" w:fill="D9D9D9" w:themeFill="background1" w:themeFillShade="D9"/>
          </w:tcPr>
          <w:p w14:paraId="288C8039" w14:textId="77777777" w:rsidR="00AB00DC" w:rsidRPr="0006633E" w:rsidRDefault="00AB00DC" w:rsidP="00FF3C41">
            <w:pPr>
              <w:pStyle w:val="Tablesubheading2"/>
              <w:cnfStyle w:val="000000000000" w:firstRow="0" w:lastRow="0" w:firstColumn="0" w:lastColumn="0" w:oddVBand="0" w:evenVBand="0" w:oddHBand="0" w:evenHBand="0" w:firstRowFirstColumn="0" w:firstRowLastColumn="0" w:lastRowFirstColumn="0" w:lastRowLastColumn="0"/>
              <w:rPr>
                <w:lang w:eastAsia="en-AU"/>
              </w:rPr>
            </w:pPr>
          </w:p>
        </w:tc>
        <w:tc>
          <w:tcPr>
            <w:tcW w:w="336" w:type="pct"/>
            <w:shd w:val="clear" w:color="auto" w:fill="D9D9D9" w:themeFill="background1" w:themeFillShade="D9"/>
          </w:tcPr>
          <w:p w14:paraId="311FE260" w14:textId="77777777" w:rsidR="00AB00DC" w:rsidRPr="0006633E" w:rsidRDefault="00AB00DC" w:rsidP="00FF3C41">
            <w:pPr>
              <w:pStyle w:val="Tablesubheading2"/>
              <w:cnfStyle w:val="000000000000" w:firstRow="0" w:lastRow="0" w:firstColumn="0" w:lastColumn="0" w:oddVBand="0" w:evenVBand="0" w:oddHBand="0" w:evenHBand="0" w:firstRowFirstColumn="0" w:firstRowLastColumn="0" w:lastRowFirstColumn="0" w:lastRowLastColumn="0"/>
              <w:rPr>
                <w:lang w:eastAsia="en-AU"/>
              </w:rPr>
            </w:pPr>
          </w:p>
        </w:tc>
        <w:tc>
          <w:tcPr>
            <w:tcW w:w="383" w:type="pct"/>
            <w:shd w:val="clear" w:color="auto" w:fill="D9D9D9" w:themeFill="background1" w:themeFillShade="D9"/>
          </w:tcPr>
          <w:p w14:paraId="2F3C4448" w14:textId="77777777" w:rsidR="00AB00DC" w:rsidRPr="0006633E" w:rsidRDefault="00AB00DC" w:rsidP="00FF3C41">
            <w:pPr>
              <w:pStyle w:val="Tablesubheading2"/>
              <w:cnfStyle w:val="000000000000" w:firstRow="0" w:lastRow="0" w:firstColumn="0" w:lastColumn="0" w:oddVBand="0" w:evenVBand="0" w:oddHBand="0" w:evenHBand="0" w:firstRowFirstColumn="0" w:firstRowLastColumn="0" w:lastRowFirstColumn="0" w:lastRowLastColumn="0"/>
              <w:rPr>
                <w:lang w:eastAsia="en-AU"/>
              </w:rPr>
            </w:pPr>
          </w:p>
        </w:tc>
        <w:tc>
          <w:tcPr>
            <w:tcW w:w="2575" w:type="pct"/>
            <w:shd w:val="clear" w:color="auto" w:fill="D9D9D9" w:themeFill="background1" w:themeFillShade="D9"/>
          </w:tcPr>
          <w:p w14:paraId="36145BF8" w14:textId="77777777" w:rsidR="00AB00DC" w:rsidRPr="0006633E" w:rsidRDefault="00AB00DC" w:rsidP="00FF3C41">
            <w:pPr>
              <w:pStyle w:val="Tablesubheading2"/>
              <w:cnfStyle w:val="000000000000" w:firstRow="0" w:lastRow="0" w:firstColumn="0" w:lastColumn="0" w:oddVBand="0" w:evenVBand="0" w:oddHBand="0" w:evenHBand="0" w:firstRowFirstColumn="0" w:firstRowLastColumn="0" w:lastRowFirstColumn="0" w:lastRowLastColumn="0"/>
              <w:rPr>
                <w:lang w:eastAsia="en-AU"/>
              </w:rPr>
            </w:pPr>
          </w:p>
        </w:tc>
        <w:tc>
          <w:tcPr>
            <w:tcW w:w="413" w:type="pct"/>
            <w:shd w:val="clear" w:color="auto" w:fill="D9D9D9" w:themeFill="background1" w:themeFillShade="D9"/>
          </w:tcPr>
          <w:p w14:paraId="0D372315" w14:textId="7127C053" w:rsidR="00AB00DC" w:rsidRPr="0006633E" w:rsidRDefault="00AB00DC" w:rsidP="00FF3C41">
            <w:pPr>
              <w:pStyle w:val="Tablesubheading2"/>
              <w:cnfStyle w:val="000000000000" w:firstRow="0" w:lastRow="0" w:firstColumn="0" w:lastColumn="0" w:oddVBand="0" w:evenVBand="0" w:oddHBand="0" w:evenHBand="0" w:firstRowFirstColumn="0" w:firstRowLastColumn="0" w:lastRowFirstColumn="0" w:lastRowLastColumn="0"/>
              <w:rPr>
                <w:b w:val="0"/>
                <w:lang w:eastAsia="en-AU"/>
              </w:rPr>
            </w:pPr>
          </w:p>
        </w:tc>
      </w:tr>
      <w:tr w:rsidR="00166DB1" w:rsidRPr="00166DB1" w14:paraId="2F75E6F9" w14:textId="77777777" w:rsidTr="0006633E">
        <w:trPr>
          <w:trHeight w:val="20"/>
        </w:trPr>
        <w:tc>
          <w:tcPr>
            <w:cnfStyle w:val="001000000000" w:firstRow="0" w:lastRow="0" w:firstColumn="1" w:lastColumn="0" w:oddVBand="0" w:evenVBand="0" w:oddHBand="0" w:evenHBand="0" w:firstRowFirstColumn="0" w:firstRowLastColumn="0" w:lastRowFirstColumn="0" w:lastRowLastColumn="0"/>
            <w:tcW w:w="818" w:type="pct"/>
            <w:shd w:val="clear" w:color="auto" w:fill="F2F2F2" w:themeFill="background1" w:themeFillShade="F2"/>
            <w:hideMark/>
          </w:tcPr>
          <w:p w14:paraId="7C7D89BA" w14:textId="77777777" w:rsidR="00166DB1" w:rsidRPr="00166DB1" w:rsidRDefault="00166DB1" w:rsidP="0006633E">
            <w:pPr>
              <w:pStyle w:val="TableCopy"/>
              <w:rPr>
                <w:lang w:eastAsia="en-AU"/>
              </w:rPr>
            </w:pPr>
            <w:r w:rsidRPr="00166DB1">
              <w:rPr>
                <w:lang w:eastAsia="en-AU"/>
              </w:rPr>
              <w:t>Administrative Support to Pharmacy Schools#</w:t>
            </w:r>
          </w:p>
        </w:tc>
        <w:tc>
          <w:tcPr>
            <w:tcW w:w="475" w:type="pct"/>
            <w:shd w:val="clear" w:color="auto" w:fill="F2F2F2" w:themeFill="background1" w:themeFillShade="F2"/>
            <w:noWrap/>
            <w:hideMark/>
          </w:tcPr>
          <w:p w14:paraId="77199FE6"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t>1,426</w:t>
            </w:r>
          </w:p>
          <w:p w14:paraId="2D183A29"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(or </w:t>
            </w:r>
            <w:r w:rsidRPr="00166DB1">
              <w:rPr>
                <w:rFonts w:ascii="Times New Roman" w:hAnsi="Times New Roman"/>
                <w:lang w:eastAsia="en-AU"/>
              </w:rPr>
              <w:t>$</w:t>
            </w:r>
            <w:r w:rsidRPr="00166DB1">
              <w:rPr>
                <w:lang w:eastAsia="en-AU"/>
              </w:rPr>
              <w:t>33,959</w:t>
            </w:r>
            <w:r w:rsidRPr="00166DB1">
              <w:t>)</w:t>
            </w:r>
          </w:p>
        </w:tc>
        <w:tc>
          <w:tcPr>
            <w:tcW w:w="336" w:type="pct"/>
            <w:shd w:val="clear" w:color="auto" w:fill="F2F2F2" w:themeFill="background1" w:themeFillShade="F2"/>
            <w:noWrap/>
          </w:tcPr>
          <w:p w14:paraId="157BF743"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Small</w:t>
            </w:r>
          </w:p>
          <w:p w14:paraId="4FC979F0"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w:t>
            </w:r>
          </w:p>
        </w:tc>
        <w:tc>
          <w:tcPr>
            <w:tcW w:w="383" w:type="pct"/>
            <w:shd w:val="clear" w:color="auto" w:fill="F2F2F2" w:themeFill="background1" w:themeFillShade="F2"/>
            <w:noWrap/>
          </w:tcPr>
          <w:p w14:paraId="7F57D9A7"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w:t>
            </w:r>
          </w:p>
        </w:tc>
        <w:tc>
          <w:tcPr>
            <w:tcW w:w="2575" w:type="pct"/>
            <w:shd w:val="clear" w:color="auto" w:fill="F2F2F2" w:themeFill="background1" w:themeFillShade="F2"/>
          </w:tcPr>
          <w:p w14:paraId="6845EA54"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Strong literature support on the effectiveness of placements in encouraging rural practise.</w:t>
            </w:r>
          </w:p>
          <w:p w14:paraId="5D3B92B9"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Low return rate as an estimated 20% of recipients go on to practise in rural areas, based on recipient consultations. </w:t>
            </w:r>
          </w:p>
          <w:p w14:paraId="5178A6DC"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Low stakeholder support due to few stakeholders being aware of the program or its objectives. </w:t>
            </w:r>
          </w:p>
        </w:tc>
        <w:tc>
          <w:tcPr>
            <w:tcW w:w="413" w:type="pct"/>
            <w:shd w:val="clear" w:color="auto" w:fill="F2F2F2" w:themeFill="background1" w:themeFillShade="F2"/>
          </w:tcPr>
          <w:p w14:paraId="1CA63618"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w:t>
            </w:r>
          </w:p>
        </w:tc>
      </w:tr>
      <w:tr w:rsidR="00166DB1" w:rsidRPr="00166DB1" w14:paraId="6A1D2A23" w14:textId="77777777" w:rsidTr="0006633E">
        <w:trPr>
          <w:trHeight w:val="20"/>
        </w:trPr>
        <w:tc>
          <w:tcPr>
            <w:cnfStyle w:val="001000000000" w:firstRow="0" w:lastRow="0" w:firstColumn="1" w:lastColumn="0" w:oddVBand="0" w:evenVBand="0" w:oddHBand="0" w:evenHBand="0" w:firstRowFirstColumn="0" w:firstRowLastColumn="0" w:lastRowFirstColumn="0" w:lastRowLastColumn="0"/>
            <w:tcW w:w="818" w:type="pct"/>
            <w:shd w:val="clear" w:color="auto" w:fill="F2F2F2" w:themeFill="background1" w:themeFillShade="F2"/>
            <w:hideMark/>
          </w:tcPr>
          <w:p w14:paraId="592AB765" w14:textId="77777777" w:rsidR="00166DB1" w:rsidRPr="00166DB1" w:rsidRDefault="00166DB1" w:rsidP="0006633E">
            <w:pPr>
              <w:pStyle w:val="TableCopy"/>
              <w:rPr>
                <w:lang w:eastAsia="en-AU"/>
              </w:rPr>
            </w:pPr>
            <w:r w:rsidRPr="00166DB1">
              <w:rPr>
                <w:lang w:eastAsia="en-AU"/>
              </w:rPr>
              <w:t>Rural Pharmacy Liaison Officer Program^</w:t>
            </w:r>
          </w:p>
        </w:tc>
        <w:tc>
          <w:tcPr>
            <w:tcW w:w="475" w:type="pct"/>
            <w:shd w:val="clear" w:color="auto" w:fill="F2F2F2" w:themeFill="background1" w:themeFillShade="F2"/>
            <w:noWrap/>
            <w:hideMark/>
          </w:tcPr>
          <w:p w14:paraId="56CA8ED5"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t>2,195</w:t>
            </w:r>
          </w:p>
          <w:p w14:paraId="33D665DC"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(or </w:t>
            </w:r>
            <w:r w:rsidRPr="00166DB1">
              <w:rPr>
                <w:rFonts w:ascii="Times New Roman" w:hAnsi="Times New Roman"/>
                <w:lang w:eastAsia="en-AU"/>
              </w:rPr>
              <w:t>$</w:t>
            </w:r>
            <w:r w:rsidRPr="00166DB1">
              <w:rPr>
                <w:lang w:eastAsia="en-AU"/>
              </w:rPr>
              <w:t>83,613)</w:t>
            </w:r>
          </w:p>
        </w:tc>
        <w:tc>
          <w:tcPr>
            <w:tcW w:w="336" w:type="pct"/>
            <w:shd w:val="clear" w:color="auto" w:fill="F2F2F2" w:themeFill="background1" w:themeFillShade="F2"/>
            <w:noWrap/>
          </w:tcPr>
          <w:p w14:paraId="430E72A7"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Small</w:t>
            </w:r>
          </w:p>
          <w:p w14:paraId="1C514052"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(Large)</w:t>
            </w:r>
          </w:p>
        </w:tc>
        <w:tc>
          <w:tcPr>
            <w:tcW w:w="383" w:type="pct"/>
            <w:shd w:val="clear" w:color="auto" w:fill="F2F2F2" w:themeFill="background1" w:themeFillShade="F2"/>
            <w:noWrap/>
          </w:tcPr>
          <w:p w14:paraId="741D407C"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High</w:t>
            </w:r>
          </w:p>
        </w:tc>
        <w:tc>
          <w:tcPr>
            <w:tcW w:w="2575" w:type="pct"/>
            <w:shd w:val="clear" w:color="auto" w:fill="F2F2F2" w:themeFill="background1" w:themeFillShade="F2"/>
          </w:tcPr>
          <w:p w14:paraId="213FC5D1"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Strong literature support on the effectiveness of placements in encouraging rural practise.</w:t>
            </w:r>
          </w:p>
          <w:p w14:paraId="2694A4A4"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Low return rate, as an estimated 20% of recipients go on to practise in rural areas, based on recipient consultations.</w:t>
            </w:r>
          </w:p>
          <w:p w14:paraId="2F7CE685"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Strong stakeholder support from pharmacists and peak bodies.</w:t>
            </w:r>
          </w:p>
        </w:tc>
        <w:tc>
          <w:tcPr>
            <w:tcW w:w="413" w:type="pct"/>
            <w:shd w:val="clear" w:color="auto" w:fill="F2F2F2" w:themeFill="background1" w:themeFillShade="F2"/>
          </w:tcPr>
          <w:p w14:paraId="65A445F8"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High</w:t>
            </w:r>
          </w:p>
        </w:tc>
      </w:tr>
      <w:tr w:rsidR="00AB00DC" w:rsidRPr="00166DB1" w14:paraId="50467E95" w14:textId="77777777" w:rsidTr="00AB00DC">
        <w:trPr>
          <w:trHeight w:val="20"/>
        </w:trPr>
        <w:tc>
          <w:tcPr>
            <w:cnfStyle w:val="001000000000" w:firstRow="0" w:lastRow="0" w:firstColumn="1" w:lastColumn="0" w:oddVBand="0" w:evenVBand="0" w:oddHBand="0" w:evenHBand="0" w:firstRowFirstColumn="0" w:firstRowLastColumn="0" w:lastRowFirstColumn="0" w:lastRowLastColumn="0"/>
            <w:tcW w:w="818" w:type="pct"/>
            <w:shd w:val="clear" w:color="auto" w:fill="D9D9D9" w:themeFill="background1" w:themeFillShade="D9"/>
          </w:tcPr>
          <w:p w14:paraId="008BDCC2" w14:textId="77777777" w:rsidR="00AB00DC" w:rsidRPr="0006633E" w:rsidRDefault="00AB00DC" w:rsidP="00FF3C41">
            <w:pPr>
              <w:pStyle w:val="Tablesubheading2"/>
              <w:rPr>
                <w:lang w:eastAsia="en-AU"/>
              </w:rPr>
            </w:pPr>
            <w:r w:rsidRPr="0006633E">
              <w:rPr>
                <w:b/>
                <w:lang w:eastAsia="en-AU"/>
              </w:rPr>
              <w:t xml:space="preserve">Retention Programs </w:t>
            </w:r>
          </w:p>
        </w:tc>
        <w:tc>
          <w:tcPr>
            <w:tcW w:w="475" w:type="pct"/>
            <w:shd w:val="clear" w:color="auto" w:fill="D9D9D9" w:themeFill="background1" w:themeFillShade="D9"/>
          </w:tcPr>
          <w:p w14:paraId="10A09E06" w14:textId="77777777" w:rsidR="00AB00DC" w:rsidRPr="0006633E" w:rsidRDefault="00AB00DC" w:rsidP="00FF3C41">
            <w:pPr>
              <w:pStyle w:val="Tablesubheading2"/>
              <w:cnfStyle w:val="000000000000" w:firstRow="0" w:lastRow="0" w:firstColumn="0" w:lastColumn="0" w:oddVBand="0" w:evenVBand="0" w:oddHBand="0" w:evenHBand="0" w:firstRowFirstColumn="0" w:firstRowLastColumn="0" w:lastRowFirstColumn="0" w:lastRowLastColumn="0"/>
              <w:rPr>
                <w:lang w:eastAsia="en-AU"/>
              </w:rPr>
            </w:pPr>
          </w:p>
        </w:tc>
        <w:tc>
          <w:tcPr>
            <w:tcW w:w="336" w:type="pct"/>
            <w:shd w:val="clear" w:color="auto" w:fill="D9D9D9" w:themeFill="background1" w:themeFillShade="D9"/>
          </w:tcPr>
          <w:p w14:paraId="7CDB11B6" w14:textId="77777777" w:rsidR="00AB00DC" w:rsidRPr="0006633E" w:rsidRDefault="00AB00DC" w:rsidP="00FF3C41">
            <w:pPr>
              <w:pStyle w:val="Tablesubheading2"/>
              <w:cnfStyle w:val="000000000000" w:firstRow="0" w:lastRow="0" w:firstColumn="0" w:lastColumn="0" w:oddVBand="0" w:evenVBand="0" w:oddHBand="0" w:evenHBand="0" w:firstRowFirstColumn="0" w:firstRowLastColumn="0" w:lastRowFirstColumn="0" w:lastRowLastColumn="0"/>
              <w:rPr>
                <w:lang w:eastAsia="en-AU"/>
              </w:rPr>
            </w:pPr>
          </w:p>
        </w:tc>
        <w:tc>
          <w:tcPr>
            <w:tcW w:w="383" w:type="pct"/>
            <w:shd w:val="clear" w:color="auto" w:fill="D9D9D9" w:themeFill="background1" w:themeFillShade="D9"/>
          </w:tcPr>
          <w:p w14:paraId="7B436E09" w14:textId="77777777" w:rsidR="00AB00DC" w:rsidRPr="0006633E" w:rsidRDefault="00AB00DC" w:rsidP="00FF3C41">
            <w:pPr>
              <w:pStyle w:val="Tablesubheading2"/>
              <w:cnfStyle w:val="000000000000" w:firstRow="0" w:lastRow="0" w:firstColumn="0" w:lastColumn="0" w:oddVBand="0" w:evenVBand="0" w:oddHBand="0" w:evenHBand="0" w:firstRowFirstColumn="0" w:firstRowLastColumn="0" w:lastRowFirstColumn="0" w:lastRowLastColumn="0"/>
              <w:rPr>
                <w:lang w:eastAsia="en-AU"/>
              </w:rPr>
            </w:pPr>
          </w:p>
        </w:tc>
        <w:tc>
          <w:tcPr>
            <w:tcW w:w="2575" w:type="pct"/>
            <w:shd w:val="clear" w:color="auto" w:fill="D9D9D9" w:themeFill="background1" w:themeFillShade="D9"/>
          </w:tcPr>
          <w:p w14:paraId="64E13BB0" w14:textId="77777777" w:rsidR="00AB00DC" w:rsidRPr="0006633E" w:rsidRDefault="00AB00DC" w:rsidP="00FF3C41">
            <w:pPr>
              <w:pStyle w:val="Tablesubheading2"/>
              <w:cnfStyle w:val="000000000000" w:firstRow="0" w:lastRow="0" w:firstColumn="0" w:lastColumn="0" w:oddVBand="0" w:evenVBand="0" w:oddHBand="0" w:evenHBand="0" w:firstRowFirstColumn="0" w:firstRowLastColumn="0" w:lastRowFirstColumn="0" w:lastRowLastColumn="0"/>
              <w:rPr>
                <w:lang w:eastAsia="en-AU"/>
              </w:rPr>
            </w:pPr>
          </w:p>
        </w:tc>
        <w:tc>
          <w:tcPr>
            <w:tcW w:w="413" w:type="pct"/>
            <w:shd w:val="clear" w:color="auto" w:fill="D9D9D9" w:themeFill="background1" w:themeFillShade="D9"/>
          </w:tcPr>
          <w:p w14:paraId="7BE661E5" w14:textId="25030963" w:rsidR="00AB00DC" w:rsidRPr="0006633E" w:rsidRDefault="00AB00DC" w:rsidP="00FF3C41">
            <w:pPr>
              <w:pStyle w:val="Tablesubheading2"/>
              <w:cnfStyle w:val="000000000000" w:firstRow="0" w:lastRow="0" w:firstColumn="0" w:lastColumn="0" w:oddVBand="0" w:evenVBand="0" w:oddHBand="0" w:evenHBand="0" w:firstRowFirstColumn="0" w:firstRowLastColumn="0" w:lastRowFirstColumn="0" w:lastRowLastColumn="0"/>
              <w:rPr>
                <w:b w:val="0"/>
                <w:lang w:eastAsia="en-AU"/>
              </w:rPr>
            </w:pPr>
          </w:p>
        </w:tc>
      </w:tr>
      <w:tr w:rsidR="00166DB1" w:rsidRPr="00166DB1" w14:paraId="0EF9A1F0" w14:textId="77777777" w:rsidTr="0006633E">
        <w:trPr>
          <w:trHeight w:val="20"/>
        </w:trPr>
        <w:tc>
          <w:tcPr>
            <w:cnfStyle w:val="001000000000" w:firstRow="0" w:lastRow="0" w:firstColumn="1" w:lastColumn="0" w:oddVBand="0" w:evenVBand="0" w:oddHBand="0" w:evenHBand="0" w:firstRowFirstColumn="0" w:firstRowLastColumn="0" w:lastRowFirstColumn="0" w:lastRowLastColumn="0"/>
            <w:tcW w:w="818" w:type="pct"/>
            <w:shd w:val="clear" w:color="auto" w:fill="F2F2F2" w:themeFill="background1" w:themeFillShade="F2"/>
          </w:tcPr>
          <w:p w14:paraId="1A1B229B" w14:textId="77777777" w:rsidR="00166DB1" w:rsidRPr="00166DB1" w:rsidRDefault="00166DB1" w:rsidP="0006633E">
            <w:pPr>
              <w:pStyle w:val="TableCopy"/>
              <w:rPr>
                <w:lang w:eastAsia="en-AU"/>
              </w:rPr>
            </w:pPr>
            <w:r w:rsidRPr="00166DB1">
              <w:rPr>
                <w:lang w:eastAsia="en-AU"/>
              </w:rPr>
              <w:t>Intern Incentive Allowance for Rural Pharmacies</w:t>
            </w:r>
          </w:p>
        </w:tc>
        <w:tc>
          <w:tcPr>
            <w:tcW w:w="475" w:type="pct"/>
            <w:shd w:val="clear" w:color="auto" w:fill="F2F2F2" w:themeFill="background1" w:themeFillShade="F2"/>
            <w:noWrap/>
          </w:tcPr>
          <w:p w14:paraId="1E0B4BAF"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rFonts w:ascii="Times New Roman" w:hAnsi="Times New Roman"/>
                <w:lang w:eastAsia="en-AU"/>
              </w:rPr>
            </w:pPr>
            <w:r w:rsidRPr="00166DB1">
              <w:rPr>
                <w:rFonts w:ascii="Times New Roman" w:hAnsi="Times New Roman"/>
                <w:lang w:eastAsia="en-AU"/>
              </w:rPr>
              <w:t>$</w:t>
            </w:r>
            <w:r w:rsidRPr="00166DB1">
              <w:rPr>
                <w:lang w:eastAsia="en-AU"/>
              </w:rPr>
              <w:t>10,593</w:t>
            </w:r>
          </w:p>
        </w:tc>
        <w:tc>
          <w:tcPr>
            <w:tcW w:w="336" w:type="pct"/>
            <w:shd w:val="clear" w:color="auto" w:fill="F2F2F2" w:themeFill="background1" w:themeFillShade="F2"/>
            <w:noWrap/>
          </w:tcPr>
          <w:p w14:paraId="326334F8"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w:t>
            </w:r>
          </w:p>
        </w:tc>
        <w:tc>
          <w:tcPr>
            <w:tcW w:w="383" w:type="pct"/>
            <w:shd w:val="clear" w:color="auto" w:fill="F2F2F2" w:themeFill="background1" w:themeFillShade="F2"/>
            <w:noWrap/>
          </w:tcPr>
          <w:p w14:paraId="22F3D102"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High</w:t>
            </w:r>
          </w:p>
        </w:tc>
        <w:tc>
          <w:tcPr>
            <w:tcW w:w="2575" w:type="pct"/>
            <w:shd w:val="clear" w:color="auto" w:fill="F2F2F2" w:themeFill="background1" w:themeFillShade="F2"/>
          </w:tcPr>
          <w:p w14:paraId="7EA5F511"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Strong literature support on the effectiveness of rural exposure (via internships) on encouraging rural practise.</w:t>
            </w:r>
          </w:p>
          <w:p w14:paraId="3FB787FC"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Estimated 92% return rate, based on NHWDS data</w:t>
            </w:r>
          </w:p>
          <w:p w14:paraId="7EE89D4B"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Strong stakeholder support from pharmacists.</w:t>
            </w:r>
          </w:p>
        </w:tc>
        <w:tc>
          <w:tcPr>
            <w:tcW w:w="413" w:type="pct"/>
            <w:shd w:val="clear" w:color="auto" w:fill="F2F2F2" w:themeFill="background1" w:themeFillShade="F2"/>
          </w:tcPr>
          <w:p w14:paraId="3CE742C7"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 – High</w:t>
            </w:r>
          </w:p>
        </w:tc>
      </w:tr>
      <w:tr w:rsidR="00166DB1" w:rsidRPr="00166DB1" w14:paraId="362D9FE5" w14:textId="77777777" w:rsidTr="0006633E">
        <w:trPr>
          <w:trHeight w:val="20"/>
        </w:trPr>
        <w:tc>
          <w:tcPr>
            <w:cnfStyle w:val="001000000000" w:firstRow="0" w:lastRow="0" w:firstColumn="1" w:lastColumn="0" w:oddVBand="0" w:evenVBand="0" w:oddHBand="0" w:evenHBand="0" w:firstRowFirstColumn="0" w:firstRowLastColumn="0" w:lastRowFirstColumn="0" w:lastRowLastColumn="0"/>
            <w:tcW w:w="818" w:type="pct"/>
            <w:shd w:val="clear" w:color="auto" w:fill="F2F2F2" w:themeFill="background1" w:themeFillShade="F2"/>
            <w:hideMark/>
          </w:tcPr>
          <w:p w14:paraId="19C63F45" w14:textId="77777777" w:rsidR="00166DB1" w:rsidRPr="00166DB1" w:rsidRDefault="00166DB1" w:rsidP="0006633E">
            <w:pPr>
              <w:pStyle w:val="TableCopy"/>
              <w:rPr>
                <w:lang w:eastAsia="en-AU"/>
              </w:rPr>
            </w:pPr>
            <w:r w:rsidRPr="00166DB1">
              <w:rPr>
                <w:lang w:eastAsia="en-AU"/>
              </w:rPr>
              <w:lastRenderedPageBreak/>
              <w:t>Intern Incentive Allowance for Rural Pharmacies – Extension Program</w:t>
            </w:r>
          </w:p>
        </w:tc>
        <w:tc>
          <w:tcPr>
            <w:tcW w:w="475" w:type="pct"/>
            <w:shd w:val="clear" w:color="auto" w:fill="F2F2F2" w:themeFill="background1" w:themeFillShade="F2"/>
            <w:noWrap/>
            <w:hideMark/>
          </w:tcPr>
          <w:p w14:paraId="6575EDB1"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20,644</w:t>
            </w:r>
          </w:p>
        </w:tc>
        <w:tc>
          <w:tcPr>
            <w:tcW w:w="336" w:type="pct"/>
            <w:shd w:val="clear" w:color="auto" w:fill="F2F2F2" w:themeFill="background1" w:themeFillShade="F2"/>
            <w:noWrap/>
          </w:tcPr>
          <w:p w14:paraId="782C7EE8"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Moderate </w:t>
            </w:r>
          </w:p>
        </w:tc>
        <w:tc>
          <w:tcPr>
            <w:tcW w:w="383" w:type="pct"/>
            <w:shd w:val="clear" w:color="auto" w:fill="F2F2F2" w:themeFill="background1" w:themeFillShade="F2"/>
            <w:noWrap/>
          </w:tcPr>
          <w:p w14:paraId="5E0D81CA"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High </w:t>
            </w:r>
          </w:p>
        </w:tc>
        <w:tc>
          <w:tcPr>
            <w:tcW w:w="2575" w:type="pct"/>
            <w:shd w:val="clear" w:color="auto" w:fill="F2F2F2" w:themeFill="background1" w:themeFillShade="F2"/>
          </w:tcPr>
          <w:p w14:paraId="473917CC"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Strong literature support on the effectiveness of rural exposure (via a graduate program) on encouraging rural practise.</w:t>
            </w:r>
          </w:p>
          <w:p w14:paraId="7452B8C9"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 Estimated 92% return rate, based on NHWDS data.</w:t>
            </w:r>
          </w:p>
          <w:p w14:paraId="2487E265"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Strong stakeholder support from pharmacists. </w:t>
            </w:r>
          </w:p>
        </w:tc>
        <w:tc>
          <w:tcPr>
            <w:tcW w:w="413" w:type="pct"/>
            <w:shd w:val="clear" w:color="auto" w:fill="F2F2F2" w:themeFill="background1" w:themeFillShade="F2"/>
          </w:tcPr>
          <w:p w14:paraId="0C04FB69"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Moderate – High </w:t>
            </w:r>
          </w:p>
        </w:tc>
      </w:tr>
      <w:tr w:rsidR="00166DB1" w:rsidRPr="00166DB1" w14:paraId="0303F0FD" w14:textId="77777777" w:rsidTr="0006633E">
        <w:trPr>
          <w:trHeight w:val="20"/>
        </w:trPr>
        <w:tc>
          <w:tcPr>
            <w:cnfStyle w:val="001000000000" w:firstRow="0" w:lastRow="0" w:firstColumn="1" w:lastColumn="0" w:oddVBand="0" w:evenVBand="0" w:oddHBand="0" w:evenHBand="0" w:firstRowFirstColumn="0" w:firstRowLastColumn="0" w:lastRowFirstColumn="0" w:lastRowLastColumn="0"/>
            <w:tcW w:w="818" w:type="pct"/>
            <w:shd w:val="clear" w:color="auto" w:fill="F2F2F2" w:themeFill="background1" w:themeFillShade="F2"/>
            <w:hideMark/>
          </w:tcPr>
          <w:p w14:paraId="0F5BE93D" w14:textId="77777777" w:rsidR="00166DB1" w:rsidRPr="00166DB1" w:rsidRDefault="00166DB1" w:rsidP="0006633E">
            <w:pPr>
              <w:pStyle w:val="TableCopy"/>
              <w:rPr>
                <w:lang w:eastAsia="en-AU"/>
              </w:rPr>
            </w:pPr>
            <w:r w:rsidRPr="00166DB1">
              <w:rPr>
                <w:lang w:eastAsia="en-AU"/>
              </w:rPr>
              <w:t>Continuing Professional Education Allowance</w:t>
            </w:r>
          </w:p>
        </w:tc>
        <w:tc>
          <w:tcPr>
            <w:tcW w:w="475" w:type="pct"/>
            <w:shd w:val="clear" w:color="auto" w:fill="F2F2F2" w:themeFill="background1" w:themeFillShade="F2"/>
            <w:noWrap/>
            <w:hideMark/>
          </w:tcPr>
          <w:p w14:paraId="540F82DB"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1,932 </w:t>
            </w:r>
          </w:p>
        </w:tc>
        <w:tc>
          <w:tcPr>
            <w:tcW w:w="336" w:type="pct"/>
            <w:shd w:val="clear" w:color="auto" w:fill="F2F2F2" w:themeFill="background1" w:themeFillShade="F2"/>
            <w:noWrap/>
          </w:tcPr>
          <w:p w14:paraId="721BE026"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Small</w:t>
            </w:r>
          </w:p>
        </w:tc>
        <w:tc>
          <w:tcPr>
            <w:tcW w:w="383" w:type="pct"/>
            <w:shd w:val="clear" w:color="auto" w:fill="F2F2F2" w:themeFill="background1" w:themeFillShade="F2"/>
            <w:noWrap/>
          </w:tcPr>
          <w:p w14:paraId="327314C8"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w:t>
            </w:r>
          </w:p>
        </w:tc>
        <w:tc>
          <w:tcPr>
            <w:tcW w:w="2575" w:type="pct"/>
            <w:shd w:val="clear" w:color="auto" w:fill="F2F2F2" w:themeFill="background1" w:themeFillShade="F2"/>
          </w:tcPr>
          <w:p w14:paraId="03F1039E"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 literature support on the effectiveness of CPE access in supporting rural workforce</w:t>
            </w:r>
          </w:p>
          <w:p w14:paraId="50247866"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Strong stakeholder support from pharmacists and peak bodies. </w:t>
            </w:r>
          </w:p>
        </w:tc>
        <w:tc>
          <w:tcPr>
            <w:tcW w:w="413" w:type="pct"/>
            <w:shd w:val="clear" w:color="auto" w:fill="F2F2F2" w:themeFill="background1" w:themeFillShade="F2"/>
          </w:tcPr>
          <w:p w14:paraId="222BBD25"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w:t>
            </w:r>
          </w:p>
        </w:tc>
      </w:tr>
      <w:tr w:rsidR="00166DB1" w:rsidRPr="00166DB1" w14:paraId="3FD92F5D" w14:textId="77777777" w:rsidTr="0006633E">
        <w:trPr>
          <w:trHeight w:val="20"/>
        </w:trPr>
        <w:tc>
          <w:tcPr>
            <w:cnfStyle w:val="001000000000" w:firstRow="0" w:lastRow="0" w:firstColumn="1" w:lastColumn="0" w:oddVBand="0" w:evenVBand="0" w:oddHBand="0" w:evenHBand="0" w:firstRowFirstColumn="0" w:firstRowLastColumn="0" w:lastRowFirstColumn="0" w:lastRowLastColumn="0"/>
            <w:tcW w:w="818" w:type="pct"/>
            <w:shd w:val="clear" w:color="auto" w:fill="F2F2F2" w:themeFill="background1" w:themeFillShade="F2"/>
            <w:hideMark/>
          </w:tcPr>
          <w:p w14:paraId="4940C465" w14:textId="77777777" w:rsidR="00166DB1" w:rsidRPr="00166DB1" w:rsidRDefault="00166DB1" w:rsidP="0006633E">
            <w:pPr>
              <w:pStyle w:val="TableCopy"/>
              <w:rPr>
                <w:lang w:eastAsia="en-AU"/>
              </w:rPr>
            </w:pPr>
            <w:r w:rsidRPr="00166DB1">
              <w:rPr>
                <w:lang w:eastAsia="en-AU"/>
              </w:rPr>
              <w:t>Emergency Locum Service</w:t>
            </w:r>
          </w:p>
        </w:tc>
        <w:tc>
          <w:tcPr>
            <w:tcW w:w="475" w:type="pct"/>
            <w:shd w:val="clear" w:color="auto" w:fill="F2F2F2" w:themeFill="background1" w:themeFillShade="F2"/>
            <w:noWrap/>
            <w:hideMark/>
          </w:tcPr>
          <w:p w14:paraId="54BB3028"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3,346 </w:t>
            </w:r>
          </w:p>
        </w:tc>
        <w:tc>
          <w:tcPr>
            <w:tcW w:w="336" w:type="pct"/>
            <w:shd w:val="clear" w:color="auto" w:fill="F2F2F2" w:themeFill="background1" w:themeFillShade="F2"/>
            <w:noWrap/>
          </w:tcPr>
          <w:p w14:paraId="2C335ABB"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Small</w:t>
            </w:r>
          </w:p>
        </w:tc>
        <w:tc>
          <w:tcPr>
            <w:tcW w:w="383" w:type="pct"/>
            <w:shd w:val="clear" w:color="auto" w:fill="F2F2F2" w:themeFill="background1" w:themeFillShade="F2"/>
            <w:noWrap/>
          </w:tcPr>
          <w:p w14:paraId="492C7680"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w:t>
            </w:r>
          </w:p>
        </w:tc>
        <w:tc>
          <w:tcPr>
            <w:tcW w:w="2575" w:type="pct"/>
            <w:shd w:val="clear" w:color="auto" w:fill="F2F2F2" w:themeFill="background1" w:themeFillShade="F2"/>
          </w:tcPr>
          <w:p w14:paraId="49CAD9AD"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Limited literature supporting the effectiveness of emergency locums in supporting rural workforce</w:t>
            </w:r>
          </w:p>
          <w:p w14:paraId="060D9F23"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Moderate stakeholder support </w:t>
            </w:r>
          </w:p>
          <w:p w14:paraId="539EBAA9"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Strong support from users of the service  </w:t>
            </w:r>
          </w:p>
        </w:tc>
        <w:tc>
          <w:tcPr>
            <w:tcW w:w="413" w:type="pct"/>
            <w:shd w:val="clear" w:color="auto" w:fill="F2F2F2" w:themeFill="background1" w:themeFillShade="F2"/>
          </w:tcPr>
          <w:p w14:paraId="0B6BC109"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w:t>
            </w:r>
          </w:p>
        </w:tc>
      </w:tr>
      <w:tr w:rsidR="00AB00DC" w:rsidRPr="0006633E" w14:paraId="10EA5562" w14:textId="77777777" w:rsidTr="00AB00DC">
        <w:trPr>
          <w:trHeight w:val="20"/>
        </w:trPr>
        <w:tc>
          <w:tcPr>
            <w:cnfStyle w:val="001000000000" w:firstRow="0" w:lastRow="0" w:firstColumn="1" w:lastColumn="0" w:oddVBand="0" w:evenVBand="0" w:oddHBand="0" w:evenHBand="0" w:firstRowFirstColumn="0" w:firstRowLastColumn="0" w:lastRowFirstColumn="0" w:lastRowLastColumn="0"/>
            <w:tcW w:w="818" w:type="pct"/>
            <w:shd w:val="clear" w:color="auto" w:fill="D9D9D9" w:themeFill="background1" w:themeFillShade="D9"/>
          </w:tcPr>
          <w:p w14:paraId="013CC166" w14:textId="77777777" w:rsidR="00AB00DC" w:rsidRPr="0006633E" w:rsidDel="00FE6C49" w:rsidRDefault="00AB00DC" w:rsidP="0006633E">
            <w:pPr>
              <w:pStyle w:val="Tablesubheading2"/>
              <w:rPr>
                <w:lang w:eastAsia="en-AU"/>
              </w:rPr>
            </w:pPr>
            <w:r w:rsidRPr="0006633E">
              <w:rPr>
                <w:b/>
                <w:lang w:eastAsia="en-AU"/>
              </w:rPr>
              <w:t xml:space="preserve">Culturally Appropriate Access Programs </w:t>
            </w:r>
          </w:p>
        </w:tc>
        <w:tc>
          <w:tcPr>
            <w:tcW w:w="475" w:type="pct"/>
            <w:shd w:val="clear" w:color="auto" w:fill="D9D9D9" w:themeFill="background1" w:themeFillShade="D9"/>
          </w:tcPr>
          <w:p w14:paraId="12D417F6" w14:textId="77777777" w:rsidR="00AB00DC" w:rsidRPr="0006633E" w:rsidDel="00FE6C49" w:rsidRDefault="00AB00DC" w:rsidP="0006633E">
            <w:pPr>
              <w:pStyle w:val="Tablesubheading2"/>
              <w:cnfStyle w:val="000000000000" w:firstRow="0" w:lastRow="0" w:firstColumn="0" w:lastColumn="0" w:oddVBand="0" w:evenVBand="0" w:oddHBand="0" w:evenHBand="0" w:firstRowFirstColumn="0" w:firstRowLastColumn="0" w:lastRowFirstColumn="0" w:lastRowLastColumn="0"/>
              <w:rPr>
                <w:lang w:eastAsia="en-AU"/>
              </w:rPr>
            </w:pPr>
          </w:p>
        </w:tc>
        <w:tc>
          <w:tcPr>
            <w:tcW w:w="336" w:type="pct"/>
            <w:shd w:val="clear" w:color="auto" w:fill="D9D9D9" w:themeFill="background1" w:themeFillShade="D9"/>
          </w:tcPr>
          <w:p w14:paraId="6DA7EACB" w14:textId="77777777" w:rsidR="00AB00DC" w:rsidRPr="0006633E" w:rsidDel="00FE6C49" w:rsidRDefault="00AB00DC" w:rsidP="0006633E">
            <w:pPr>
              <w:pStyle w:val="Tablesubheading2"/>
              <w:cnfStyle w:val="000000000000" w:firstRow="0" w:lastRow="0" w:firstColumn="0" w:lastColumn="0" w:oddVBand="0" w:evenVBand="0" w:oddHBand="0" w:evenHBand="0" w:firstRowFirstColumn="0" w:firstRowLastColumn="0" w:lastRowFirstColumn="0" w:lastRowLastColumn="0"/>
              <w:rPr>
                <w:lang w:eastAsia="en-AU"/>
              </w:rPr>
            </w:pPr>
          </w:p>
        </w:tc>
        <w:tc>
          <w:tcPr>
            <w:tcW w:w="383" w:type="pct"/>
            <w:shd w:val="clear" w:color="auto" w:fill="D9D9D9" w:themeFill="background1" w:themeFillShade="D9"/>
          </w:tcPr>
          <w:p w14:paraId="5DE75C73" w14:textId="77777777" w:rsidR="00AB00DC" w:rsidRPr="0006633E" w:rsidDel="00FE6C49" w:rsidRDefault="00AB00DC" w:rsidP="0006633E">
            <w:pPr>
              <w:pStyle w:val="Tablesubheading2"/>
              <w:cnfStyle w:val="000000000000" w:firstRow="0" w:lastRow="0" w:firstColumn="0" w:lastColumn="0" w:oddVBand="0" w:evenVBand="0" w:oddHBand="0" w:evenHBand="0" w:firstRowFirstColumn="0" w:firstRowLastColumn="0" w:lastRowFirstColumn="0" w:lastRowLastColumn="0"/>
              <w:rPr>
                <w:lang w:eastAsia="en-AU"/>
              </w:rPr>
            </w:pPr>
          </w:p>
        </w:tc>
        <w:tc>
          <w:tcPr>
            <w:tcW w:w="2575" w:type="pct"/>
            <w:shd w:val="clear" w:color="auto" w:fill="D9D9D9" w:themeFill="background1" w:themeFillShade="D9"/>
          </w:tcPr>
          <w:p w14:paraId="0FD2A330" w14:textId="77777777" w:rsidR="00AB00DC" w:rsidRPr="0006633E" w:rsidDel="00FE6C49" w:rsidRDefault="00AB00DC" w:rsidP="0006633E">
            <w:pPr>
              <w:pStyle w:val="Tablesubheading2"/>
              <w:cnfStyle w:val="000000000000" w:firstRow="0" w:lastRow="0" w:firstColumn="0" w:lastColumn="0" w:oddVBand="0" w:evenVBand="0" w:oddHBand="0" w:evenHBand="0" w:firstRowFirstColumn="0" w:firstRowLastColumn="0" w:lastRowFirstColumn="0" w:lastRowLastColumn="0"/>
              <w:rPr>
                <w:lang w:eastAsia="en-AU"/>
              </w:rPr>
            </w:pPr>
          </w:p>
        </w:tc>
        <w:tc>
          <w:tcPr>
            <w:tcW w:w="413" w:type="pct"/>
            <w:shd w:val="clear" w:color="auto" w:fill="D9D9D9" w:themeFill="background1" w:themeFillShade="D9"/>
          </w:tcPr>
          <w:p w14:paraId="11D0C38B" w14:textId="4AF7030C" w:rsidR="00AB00DC" w:rsidRPr="0006633E" w:rsidDel="00FE6C49" w:rsidRDefault="00AB00DC" w:rsidP="0006633E">
            <w:pPr>
              <w:pStyle w:val="Tablesubheading2"/>
              <w:cnfStyle w:val="000000000000" w:firstRow="0" w:lastRow="0" w:firstColumn="0" w:lastColumn="0" w:oddVBand="0" w:evenVBand="0" w:oddHBand="0" w:evenHBand="0" w:firstRowFirstColumn="0" w:firstRowLastColumn="0" w:lastRowFirstColumn="0" w:lastRowLastColumn="0"/>
              <w:rPr>
                <w:b w:val="0"/>
                <w:lang w:eastAsia="en-AU"/>
              </w:rPr>
            </w:pPr>
          </w:p>
        </w:tc>
      </w:tr>
      <w:tr w:rsidR="00166DB1" w:rsidRPr="00166DB1" w14:paraId="4EB0B0E6" w14:textId="77777777" w:rsidTr="0006633E">
        <w:trPr>
          <w:trHeight w:val="20"/>
        </w:trPr>
        <w:tc>
          <w:tcPr>
            <w:cnfStyle w:val="001000000000" w:firstRow="0" w:lastRow="0" w:firstColumn="1" w:lastColumn="0" w:oddVBand="0" w:evenVBand="0" w:oddHBand="0" w:evenHBand="0" w:firstRowFirstColumn="0" w:firstRowLastColumn="0" w:lastRowFirstColumn="0" w:lastRowLastColumn="0"/>
            <w:tcW w:w="818" w:type="pct"/>
            <w:shd w:val="clear" w:color="auto" w:fill="F2F2F2" w:themeFill="background1" w:themeFillShade="F2"/>
            <w:hideMark/>
          </w:tcPr>
          <w:p w14:paraId="08DA58B0" w14:textId="77777777" w:rsidR="00166DB1" w:rsidRPr="00166DB1" w:rsidRDefault="00166DB1" w:rsidP="0006633E">
            <w:pPr>
              <w:pStyle w:val="TableCopy"/>
              <w:rPr>
                <w:lang w:eastAsia="en-AU"/>
              </w:rPr>
            </w:pPr>
            <w:r w:rsidRPr="00166DB1">
              <w:rPr>
                <w:lang w:eastAsia="en-AU"/>
              </w:rPr>
              <w:t>Aboriginal and Torres Strait Islander Pharmacy Scholarship Scheme</w:t>
            </w:r>
          </w:p>
        </w:tc>
        <w:tc>
          <w:tcPr>
            <w:tcW w:w="475" w:type="pct"/>
            <w:shd w:val="clear" w:color="auto" w:fill="F2F2F2" w:themeFill="background1" w:themeFillShade="F2"/>
            <w:noWrap/>
            <w:hideMark/>
          </w:tcPr>
          <w:p w14:paraId="3B890160"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19,098 </w:t>
            </w:r>
          </w:p>
        </w:tc>
        <w:tc>
          <w:tcPr>
            <w:tcW w:w="336" w:type="pct"/>
            <w:shd w:val="clear" w:color="auto" w:fill="F2F2F2" w:themeFill="background1" w:themeFillShade="F2"/>
            <w:noWrap/>
          </w:tcPr>
          <w:p w14:paraId="12068483"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w:t>
            </w:r>
          </w:p>
        </w:tc>
        <w:tc>
          <w:tcPr>
            <w:tcW w:w="383" w:type="pct"/>
            <w:shd w:val="clear" w:color="auto" w:fill="F2F2F2" w:themeFill="background1" w:themeFillShade="F2"/>
            <w:noWrap/>
          </w:tcPr>
          <w:p w14:paraId="1F1657C1"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Moderate </w:t>
            </w:r>
          </w:p>
        </w:tc>
        <w:tc>
          <w:tcPr>
            <w:tcW w:w="2575" w:type="pct"/>
            <w:shd w:val="clear" w:color="auto" w:fill="F2F2F2" w:themeFill="background1" w:themeFillShade="F2"/>
          </w:tcPr>
          <w:p w14:paraId="37314980"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 literature support on the effectiveness of scholarships in supporting Aboriginal and Torres Strait Islander students.</w:t>
            </w:r>
          </w:p>
          <w:p w14:paraId="78DD8ACA"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Low stakeholder support due to few stakeholders being aware of the program and the lack of apparent community consultation. </w:t>
            </w:r>
          </w:p>
        </w:tc>
        <w:tc>
          <w:tcPr>
            <w:tcW w:w="413" w:type="pct"/>
            <w:shd w:val="clear" w:color="auto" w:fill="F2F2F2" w:themeFill="background1" w:themeFillShade="F2"/>
          </w:tcPr>
          <w:p w14:paraId="662258AC"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w:t>
            </w:r>
          </w:p>
        </w:tc>
      </w:tr>
      <w:tr w:rsidR="00166DB1" w:rsidRPr="00166DB1" w14:paraId="1EE9A865" w14:textId="77777777" w:rsidTr="0006633E">
        <w:trPr>
          <w:trHeight w:val="20"/>
        </w:trPr>
        <w:tc>
          <w:tcPr>
            <w:cnfStyle w:val="001000000000" w:firstRow="0" w:lastRow="0" w:firstColumn="1" w:lastColumn="0" w:oddVBand="0" w:evenVBand="0" w:oddHBand="0" w:evenHBand="0" w:firstRowFirstColumn="0" w:firstRowLastColumn="0" w:lastRowFirstColumn="0" w:lastRowLastColumn="0"/>
            <w:tcW w:w="818" w:type="pct"/>
            <w:shd w:val="clear" w:color="auto" w:fill="F2F2F2" w:themeFill="background1" w:themeFillShade="F2"/>
            <w:hideMark/>
          </w:tcPr>
          <w:p w14:paraId="6B7F4F67" w14:textId="77777777" w:rsidR="00166DB1" w:rsidRPr="00166DB1" w:rsidRDefault="00166DB1" w:rsidP="0006633E">
            <w:pPr>
              <w:pStyle w:val="TableCopy"/>
              <w:rPr>
                <w:lang w:eastAsia="en-AU"/>
              </w:rPr>
            </w:pPr>
            <w:r w:rsidRPr="00166DB1">
              <w:rPr>
                <w:lang w:eastAsia="en-AU"/>
              </w:rPr>
              <w:t>Aboriginal and Torres Strait Islander Pharmacy Assistant Traineeship Scheme</w:t>
            </w:r>
          </w:p>
        </w:tc>
        <w:tc>
          <w:tcPr>
            <w:tcW w:w="475" w:type="pct"/>
            <w:shd w:val="clear" w:color="auto" w:fill="F2F2F2" w:themeFill="background1" w:themeFillShade="F2"/>
            <w:noWrap/>
            <w:hideMark/>
          </w:tcPr>
          <w:p w14:paraId="0E16192F"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14,098 </w:t>
            </w:r>
          </w:p>
        </w:tc>
        <w:tc>
          <w:tcPr>
            <w:tcW w:w="336" w:type="pct"/>
            <w:shd w:val="clear" w:color="auto" w:fill="F2F2F2" w:themeFill="background1" w:themeFillShade="F2"/>
            <w:noWrap/>
          </w:tcPr>
          <w:p w14:paraId="00D0CFCF"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Moderate</w:t>
            </w:r>
          </w:p>
        </w:tc>
        <w:tc>
          <w:tcPr>
            <w:tcW w:w="383" w:type="pct"/>
            <w:shd w:val="clear" w:color="auto" w:fill="F2F2F2" w:themeFill="background1" w:themeFillShade="F2"/>
            <w:noWrap/>
          </w:tcPr>
          <w:p w14:paraId="65C0E05C"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Unable to </w:t>
            </w:r>
            <w:r w:rsidRPr="00166DB1">
              <w:rPr>
                <w:lang w:eastAsia="en-AU"/>
              </w:rPr>
              <w:br/>
              <w:t xml:space="preserve">determine </w:t>
            </w:r>
          </w:p>
        </w:tc>
        <w:tc>
          <w:tcPr>
            <w:tcW w:w="2575" w:type="pct"/>
            <w:shd w:val="clear" w:color="auto" w:fill="F2F2F2" w:themeFill="background1" w:themeFillShade="F2"/>
          </w:tcPr>
          <w:p w14:paraId="336C110D"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Limited literature or data available to assess contribution to the workforce.</w:t>
            </w:r>
          </w:p>
          <w:p w14:paraId="53D6E6AE"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Insufficient survey responses to determine perceived benefit.</w:t>
            </w:r>
          </w:p>
          <w:p w14:paraId="765C7B92"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Moderate to low support from stakeholders, due to a lack of awareness among stakeholders and the lack of apparent community consultation. </w:t>
            </w:r>
          </w:p>
        </w:tc>
        <w:tc>
          <w:tcPr>
            <w:tcW w:w="413" w:type="pct"/>
            <w:shd w:val="clear" w:color="auto" w:fill="F2F2F2" w:themeFill="background1" w:themeFillShade="F2"/>
          </w:tcPr>
          <w:p w14:paraId="54FD927D" w14:textId="77777777" w:rsidR="00166DB1" w:rsidRPr="00166DB1" w:rsidRDefault="00166DB1" w:rsidP="0006633E">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Unable to determine</w:t>
            </w:r>
          </w:p>
        </w:tc>
      </w:tr>
    </w:tbl>
    <w:p w14:paraId="04EDDC26" w14:textId="77777777" w:rsidR="00166DB1" w:rsidRPr="00166DB1" w:rsidRDefault="00166DB1" w:rsidP="00787AA0">
      <w:pPr>
        <w:pStyle w:val="TableNotes"/>
        <w:rPr>
          <w:lang w:eastAsia="en-AU"/>
        </w:rPr>
      </w:pPr>
      <w:r w:rsidRPr="00166DB1">
        <w:rPr>
          <w:lang w:eastAsia="en-AU"/>
        </w:rPr>
        <w:t>* Dollar figures are rounded to the nearest whole dollar figure.</w:t>
      </w:r>
    </w:p>
    <w:p w14:paraId="34234CC9" w14:textId="77777777" w:rsidR="00166DB1" w:rsidRPr="00166DB1" w:rsidRDefault="00166DB1" w:rsidP="00787AA0">
      <w:pPr>
        <w:pStyle w:val="TableNotes"/>
        <w:rPr>
          <w:lang w:eastAsia="en-AU"/>
        </w:rPr>
      </w:pPr>
      <w:r w:rsidRPr="00166DB1">
        <w:rPr>
          <w:lang w:eastAsia="en-AU"/>
        </w:rPr>
        <w:t xml:space="preserve">^Unit cost for RPLO is based on the number of student placements (or the number of officers in brackets). </w:t>
      </w:r>
    </w:p>
    <w:p w14:paraId="49459096" w14:textId="77777777" w:rsidR="00166DB1" w:rsidRPr="00166DB1" w:rsidRDefault="00166DB1" w:rsidP="00787AA0">
      <w:pPr>
        <w:pStyle w:val="TableNotes"/>
        <w:rPr>
          <w:lang w:eastAsia="en-AU"/>
        </w:rPr>
      </w:pPr>
      <w:r w:rsidRPr="00166DB1">
        <w:rPr>
          <w:lang w:eastAsia="en-AU"/>
        </w:rPr>
        <w:t>#Unit cost is based on number of student placements (or number of contracted universities in brackets)</w:t>
      </w:r>
    </w:p>
    <w:p w14:paraId="2BAC8FEA" w14:textId="77777777" w:rsidR="00787AA0" w:rsidRDefault="00787AA0" w:rsidP="00787AA0">
      <w:pPr>
        <w:pStyle w:val="TableNotes"/>
        <w:sectPr w:rsidR="00787AA0" w:rsidSect="00720069">
          <w:headerReference w:type="default" r:id="rId39"/>
          <w:pgSz w:w="16839" w:h="11907" w:orient="landscape" w:code="9"/>
          <w:pgMar w:top="2268" w:right="1304" w:bottom="850" w:left="737" w:header="567" w:footer="284" w:gutter="0"/>
          <w:cols w:space="709"/>
          <w:docGrid w:linePitch="360"/>
        </w:sectPr>
      </w:pPr>
    </w:p>
    <w:p w14:paraId="0CC8B4F8" w14:textId="1ACFA9AA" w:rsidR="00166DB1" w:rsidRPr="00166DB1" w:rsidRDefault="00166DB1" w:rsidP="00787AA0">
      <w:pPr>
        <w:pStyle w:val="TableNotes"/>
        <w:sectPr w:rsidR="00166DB1" w:rsidRPr="00166DB1" w:rsidSect="00720069">
          <w:pgSz w:w="16839" w:h="11907" w:orient="landscape" w:code="9"/>
          <w:pgMar w:top="2268" w:right="1304" w:bottom="850" w:left="737" w:header="567" w:footer="284" w:gutter="0"/>
          <w:cols w:space="709"/>
          <w:docGrid w:linePitch="360"/>
        </w:sectPr>
      </w:pPr>
    </w:p>
    <w:p w14:paraId="662B2856" w14:textId="77777777" w:rsidR="00166DB1" w:rsidRPr="00166DB1" w:rsidRDefault="00166DB1" w:rsidP="00B24642">
      <w:pPr>
        <w:pStyle w:val="Heading2"/>
      </w:pPr>
      <w:bookmarkStart w:id="120" w:name="_Toc490574947"/>
      <w:bookmarkStart w:id="121" w:name="_Toc523322084"/>
      <w:r w:rsidRPr="00166DB1">
        <w:t>Alternative models of service delivery</w:t>
      </w:r>
      <w:bookmarkEnd w:id="120"/>
      <w:bookmarkEnd w:id="121"/>
    </w:p>
    <w:p w14:paraId="20B76647"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Addressing pharmacist shortages is only one avenue to improve access to medicines in rural and remote areas. Alternative models of service delivery for remote locations already exist, such as the provision of medicines in ACCHOs through the Remote Area Aboriginal Health Service Program. In addition, there are emerging models of care that have the potential to impact on medicines access. For example, in 2014, the National Rural Health Alliance prepared a discussion paper on access to medicines and pharmacy services in rural and remote Australia. In this paper, alternative models of service delivery were discussed, such as removing legislative requirements that tie dispensing and counselling to a registered location, in favour of pharmacy outposts that could increase the potential for pharmacists to improve the quality of access in remote locations. </w:t>
      </w:r>
      <w:sdt>
        <w:sdtPr>
          <w:rPr>
            <w:rFonts w:ascii="Garamond" w:eastAsia="Garamond" w:hAnsi="Garamond"/>
            <w:color w:val="000000"/>
          </w:rPr>
          <w:id w:val="547026698"/>
          <w:citation/>
        </w:sdtPr>
        <w:sdtEndPr/>
        <w:sdtContent>
          <w:r w:rsidRPr="00166DB1">
            <w:rPr>
              <w:rFonts w:ascii="Garamond" w:eastAsia="Garamond" w:hAnsi="Garamond"/>
              <w:color w:val="000000"/>
            </w:rPr>
            <w:fldChar w:fldCharType="begin"/>
          </w:r>
          <w:r w:rsidRPr="00166DB1">
            <w:rPr>
              <w:rFonts w:ascii="Garamond" w:eastAsia="Garamond" w:hAnsi="Garamond"/>
              <w:color w:val="000000"/>
            </w:rPr>
            <w:instrText xml:space="preserve"> CITATION Nat14 \l 3081 </w:instrText>
          </w:r>
          <w:r w:rsidRPr="00166DB1">
            <w:rPr>
              <w:rFonts w:ascii="Garamond" w:eastAsia="Garamond" w:hAnsi="Garamond"/>
              <w:color w:val="000000"/>
            </w:rPr>
            <w:fldChar w:fldCharType="separate"/>
          </w:r>
          <w:r w:rsidRPr="00166DB1">
            <w:rPr>
              <w:rFonts w:ascii="Garamond" w:eastAsia="Garamond" w:hAnsi="Garamond"/>
              <w:noProof/>
              <w:color w:val="000000"/>
            </w:rPr>
            <w:t>[6]</w:t>
          </w:r>
          <w:r w:rsidRPr="00166DB1">
            <w:rPr>
              <w:rFonts w:ascii="Garamond" w:eastAsia="Garamond" w:hAnsi="Garamond"/>
              <w:color w:val="000000"/>
            </w:rPr>
            <w:fldChar w:fldCharType="end"/>
          </w:r>
        </w:sdtContent>
      </w:sdt>
    </w:p>
    <w:p w14:paraId="36DB6F03"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Similarly, in a position statement prepared by the Pharmaceutical Society of Australia (PSA) in 2010, it was suggested (among other advice) that: </w:t>
      </w:r>
    </w:p>
    <w:p w14:paraId="1B3E88EE" w14:textId="77777777" w:rsidR="00166DB1" w:rsidRPr="0006633E" w:rsidRDefault="00166DB1" w:rsidP="009F66FB">
      <w:pPr>
        <w:pStyle w:val="ListParagraph"/>
        <w:numPr>
          <w:ilvl w:val="0"/>
          <w:numId w:val="24"/>
        </w:numPr>
        <w:tabs>
          <w:tab w:val="num" w:pos="284"/>
        </w:tabs>
        <w:spacing w:before="20" w:after="20"/>
        <w:ind w:left="284" w:hanging="284"/>
        <w:rPr>
          <w:rFonts w:ascii="Garamond" w:eastAsia="Times New Roman" w:hAnsi="Garamond"/>
          <w:color w:val="000000"/>
        </w:rPr>
      </w:pPr>
      <w:r w:rsidRPr="0006633E">
        <w:rPr>
          <w:rFonts w:ascii="Garamond" w:eastAsia="Times New Roman" w:hAnsi="Garamond"/>
          <w:color w:val="000000"/>
        </w:rPr>
        <w:t>a model of practice be developed that allows pharmacists in rural and remote locations to deliver an appropriate range of services to the community</w:t>
      </w:r>
    </w:p>
    <w:p w14:paraId="4917C6D6" w14:textId="77777777" w:rsidR="00166DB1" w:rsidRPr="0006633E" w:rsidRDefault="00166DB1" w:rsidP="009F66FB">
      <w:pPr>
        <w:pStyle w:val="ListParagraph"/>
        <w:numPr>
          <w:ilvl w:val="0"/>
          <w:numId w:val="24"/>
        </w:numPr>
        <w:tabs>
          <w:tab w:val="num" w:pos="284"/>
        </w:tabs>
        <w:spacing w:before="20" w:after="20"/>
        <w:ind w:left="284" w:hanging="284"/>
        <w:rPr>
          <w:rFonts w:ascii="Garamond" w:eastAsia="Times New Roman" w:hAnsi="Garamond"/>
          <w:color w:val="000000"/>
        </w:rPr>
      </w:pPr>
      <w:r w:rsidRPr="0006633E">
        <w:rPr>
          <w:rFonts w:ascii="Garamond" w:eastAsia="Times New Roman" w:hAnsi="Garamond"/>
          <w:color w:val="000000"/>
        </w:rPr>
        <w:t>remote health clinics be registered as pharmacy outstations, so that pharmacists may dispense in these locations</w:t>
      </w:r>
    </w:p>
    <w:p w14:paraId="3033D84F" w14:textId="77777777" w:rsidR="00166DB1" w:rsidRPr="0006633E" w:rsidRDefault="00166DB1" w:rsidP="009F66FB">
      <w:pPr>
        <w:pStyle w:val="ListParagraph"/>
        <w:numPr>
          <w:ilvl w:val="0"/>
          <w:numId w:val="24"/>
        </w:numPr>
        <w:tabs>
          <w:tab w:val="num" w:pos="284"/>
        </w:tabs>
        <w:spacing w:before="20" w:after="20"/>
        <w:ind w:left="284" w:hanging="284"/>
        <w:rPr>
          <w:rFonts w:ascii="Garamond" w:eastAsia="Times New Roman" w:hAnsi="Garamond"/>
          <w:color w:val="000000"/>
        </w:rPr>
      </w:pPr>
      <w:r w:rsidRPr="0006633E">
        <w:rPr>
          <w:rFonts w:ascii="Garamond" w:eastAsia="Times New Roman" w:hAnsi="Garamond"/>
          <w:color w:val="000000"/>
        </w:rPr>
        <w:t xml:space="preserve">appropriately credentialed pharmacy technicians be allowed to provide Pharmacist Only Medicines and dispense Prescription Only Medicines under a pharmacist’s supervision through video conference or at remote depots/outstations, and </w:t>
      </w:r>
    </w:p>
    <w:p w14:paraId="4FFE1D00" w14:textId="77777777" w:rsidR="00166DB1" w:rsidRPr="0006633E" w:rsidRDefault="00166DB1" w:rsidP="009F66FB">
      <w:pPr>
        <w:pStyle w:val="ListParagraph"/>
        <w:numPr>
          <w:ilvl w:val="0"/>
          <w:numId w:val="24"/>
        </w:numPr>
        <w:tabs>
          <w:tab w:val="num" w:pos="284"/>
        </w:tabs>
        <w:spacing w:before="20" w:after="20"/>
        <w:ind w:left="284" w:hanging="284"/>
        <w:rPr>
          <w:rFonts w:ascii="Garamond" w:eastAsia="Times New Roman" w:hAnsi="Garamond"/>
          <w:color w:val="000000"/>
        </w:rPr>
      </w:pPr>
      <w:r w:rsidRPr="0006633E">
        <w:rPr>
          <w:rFonts w:ascii="Garamond" w:eastAsia="Times New Roman" w:hAnsi="Garamond"/>
          <w:color w:val="000000"/>
        </w:rPr>
        <w:t>modifications to the requirement for a pharmacist to be present at the pharmacy while open be considered for single-pharmacy locations.</w:t>
      </w:r>
      <w:sdt>
        <w:sdtPr>
          <w:id w:val="-1614204183"/>
          <w:citation/>
        </w:sdtPr>
        <w:sdtEndPr/>
        <w:sdtContent>
          <w:r w:rsidRPr="0006633E">
            <w:rPr>
              <w:rFonts w:ascii="Garamond" w:eastAsia="Times New Roman" w:hAnsi="Garamond"/>
              <w:color w:val="000000"/>
            </w:rPr>
            <w:fldChar w:fldCharType="begin"/>
          </w:r>
          <w:r w:rsidRPr="0006633E">
            <w:rPr>
              <w:rFonts w:ascii="Garamond" w:eastAsia="Times New Roman" w:hAnsi="Garamond"/>
              <w:color w:val="000000"/>
            </w:rPr>
            <w:instrText xml:space="preserve"> CITATION Pha10 \l 3081 </w:instrText>
          </w:r>
          <w:r w:rsidRPr="0006633E">
            <w:rPr>
              <w:rFonts w:ascii="Garamond" w:eastAsia="Times New Roman" w:hAnsi="Garamond"/>
              <w:color w:val="000000"/>
            </w:rPr>
            <w:fldChar w:fldCharType="separate"/>
          </w:r>
          <w:r w:rsidRPr="0006633E">
            <w:rPr>
              <w:rFonts w:ascii="Garamond" w:eastAsia="Times New Roman" w:hAnsi="Garamond"/>
              <w:noProof/>
              <w:color w:val="000000"/>
            </w:rPr>
            <w:t xml:space="preserve"> [7]</w:t>
          </w:r>
          <w:r w:rsidRPr="0006633E">
            <w:rPr>
              <w:rFonts w:ascii="Garamond" w:eastAsia="Times New Roman" w:hAnsi="Garamond"/>
              <w:color w:val="000000"/>
            </w:rPr>
            <w:fldChar w:fldCharType="end"/>
          </w:r>
        </w:sdtContent>
      </w:sdt>
      <w:r w:rsidRPr="0006633E">
        <w:rPr>
          <w:rFonts w:ascii="Garamond" w:eastAsia="Times New Roman" w:hAnsi="Garamond"/>
          <w:color w:val="000000"/>
        </w:rPr>
        <w:t xml:space="preserve"> </w:t>
      </w:r>
    </w:p>
    <w:p w14:paraId="62AB5BB8"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A review of alternative models of service delivery is beyond the scope of this evaluation on pharmacy workforce programs. However, the workforce requirements need to be considered in reviewing existing and emerging alternative models of service delivery. </w:t>
      </w:r>
    </w:p>
    <w:p w14:paraId="62EA9010" w14:textId="209B17F7" w:rsidR="00166DB1" w:rsidRPr="00166DB1" w:rsidRDefault="00166DB1" w:rsidP="00546711">
      <w:pPr>
        <w:pStyle w:val="KeyFinding"/>
        <w:shd w:val="clear" w:color="auto" w:fill="F2F2F2" w:themeFill="background1" w:themeFillShade="F2"/>
      </w:pPr>
      <w:bookmarkStart w:id="122" w:name="_Ref490676772"/>
      <w:r w:rsidRPr="00166DB1">
        <w:t>Alternative models of service delivery, in addition to / or as an alternative, may need to be considered to maximise access to PBS medicines in rural and remote locations.</w:t>
      </w:r>
      <w:bookmarkEnd w:id="122"/>
    </w:p>
    <w:p w14:paraId="5BA59711" w14:textId="10A9B0D5" w:rsidR="00166DB1" w:rsidRPr="00166DB1" w:rsidRDefault="00166DB1" w:rsidP="00B24642">
      <w:pPr>
        <w:pStyle w:val="Heading2"/>
      </w:pPr>
      <w:bookmarkStart w:id="123" w:name="_Toc490574948"/>
      <w:bookmarkStart w:id="124" w:name="_Toc523322085"/>
      <w:r w:rsidRPr="00166DB1">
        <w:t>Options for future development</w:t>
      </w:r>
      <w:bookmarkEnd w:id="123"/>
      <w:bookmarkEnd w:id="124"/>
    </w:p>
    <w:p w14:paraId="7AA15E89" w14:textId="77777777" w:rsidR="00166DB1" w:rsidRPr="00166DB1" w:rsidRDefault="00166DB1" w:rsidP="00CB2141">
      <w:pPr>
        <w:pStyle w:val="BodyCopy"/>
      </w:pPr>
      <w:r w:rsidRPr="00166DB1">
        <w:t xml:space="preserve">Looking at options for future development of the Pharmacy Workforce Program, it is necessary to acknowledge the broader context in which these programs operate, while appreciating the actual benefit they may offer to individual recipients. </w:t>
      </w:r>
    </w:p>
    <w:p w14:paraId="1BB4952C"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Many other concurrently operating programs target improved access to PBS medicines, especially in remote locations. These programs may reduce the need for rural workforce parity with major cities. However, the relationship with these programs was not in-scope for this evaluation. </w:t>
      </w:r>
    </w:p>
    <w:p w14:paraId="79CB85EF"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Based on the evaluation findings of the individual programs (see Volume 2, </w:t>
      </w:r>
      <w:r w:rsidRPr="00166DB1">
        <w:rPr>
          <w:rFonts w:ascii="Garamond" w:eastAsia="Garamond" w:hAnsi="Garamond"/>
          <w:i/>
          <w:color w:val="000000"/>
        </w:rPr>
        <w:t>Detailed Analysis of Workforce Programs</w:t>
      </w:r>
      <w:r w:rsidRPr="00166DB1">
        <w:rPr>
          <w:rFonts w:ascii="Garamond" w:eastAsia="Garamond" w:hAnsi="Garamond"/>
          <w:color w:val="000000"/>
        </w:rPr>
        <w:t>) and of the overall impact of the package components (as discussed in this report), we propose that consideration be given to several options for future development:</w:t>
      </w:r>
    </w:p>
    <w:p w14:paraId="0FDE1092" w14:textId="77777777" w:rsidR="00166DB1" w:rsidRPr="0006633E" w:rsidRDefault="00166DB1" w:rsidP="009F66FB">
      <w:pPr>
        <w:pStyle w:val="ListParagraph"/>
        <w:numPr>
          <w:ilvl w:val="0"/>
          <w:numId w:val="23"/>
        </w:numPr>
        <w:tabs>
          <w:tab w:val="num" w:pos="426"/>
        </w:tabs>
        <w:spacing w:before="20" w:after="20"/>
        <w:ind w:left="426" w:hanging="426"/>
        <w:rPr>
          <w:rFonts w:ascii="Garamond" w:eastAsia="Times New Roman" w:hAnsi="Garamond"/>
          <w:color w:val="000000"/>
        </w:rPr>
      </w:pPr>
      <w:r w:rsidRPr="0006633E">
        <w:rPr>
          <w:rFonts w:ascii="Garamond" w:eastAsia="Times New Roman" w:hAnsi="Garamond"/>
          <w:b/>
          <w:color w:val="000000"/>
        </w:rPr>
        <w:t>Option 1:</w:t>
      </w:r>
      <w:r w:rsidRPr="0006633E">
        <w:rPr>
          <w:rFonts w:ascii="Garamond" w:eastAsia="Times New Roman" w:hAnsi="Garamond"/>
          <w:color w:val="000000"/>
        </w:rPr>
        <w:t xml:space="preserve"> keep existing programs with minor modifications to improve functionality</w:t>
      </w:r>
    </w:p>
    <w:p w14:paraId="552E767F" w14:textId="77777777" w:rsidR="00166DB1" w:rsidRPr="0006633E" w:rsidRDefault="00166DB1" w:rsidP="009F66FB">
      <w:pPr>
        <w:pStyle w:val="ListParagraph"/>
        <w:numPr>
          <w:ilvl w:val="0"/>
          <w:numId w:val="23"/>
        </w:numPr>
        <w:tabs>
          <w:tab w:val="num" w:pos="426"/>
        </w:tabs>
        <w:spacing w:before="20" w:after="20"/>
        <w:ind w:left="426" w:hanging="426"/>
        <w:rPr>
          <w:rFonts w:ascii="Garamond" w:eastAsia="Times New Roman" w:hAnsi="Garamond"/>
          <w:color w:val="000000"/>
        </w:rPr>
      </w:pPr>
      <w:r w:rsidRPr="0006633E">
        <w:rPr>
          <w:rFonts w:ascii="Garamond" w:eastAsia="Times New Roman" w:hAnsi="Garamond"/>
          <w:b/>
          <w:color w:val="000000"/>
        </w:rPr>
        <w:t>Option 2:</w:t>
      </w:r>
      <w:r w:rsidRPr="0006633E">
        <w:rPr>
          <w:rFonts w:ascii="Garamond" w:eastAsia="Times New Roman" w:hAnsi="Garamond"/>
          <w:color w:val="000000"/>
        </w:rPr>
        <w:t xml:space="preserve"> remove PhARIA 1 restrictions to existing programs to improve the Pharmacy Workforce program’s reach in regional areas</w:t>
      </w:r>
    </w:p>
    <w:p w14:paraId="7284CE96" w14:textId="77777777" w:rsidR="00166DB1" w:rsidRPr="0006633E" w:rsidRDefault="00166DB1" w:rsidP="009F66FB">
      <w:pPr>
        <w:pStyle w:val="ListParagraph"/>
        <w:numPr>
          <w:ilvl w:val="0"/>
          <w:numId w:val="23"/>
        </w:numPr>
        <w:tabs>
          <w:tab w:val="num" w:pos="426"/>
        </w:tabs>
        <w:spacing w:before="20" w:after="20"/>
        <w:ind w:left="426" w:hanging="426"/>
        <w:rPr>
          <w:rFonts w:ascii="Garamond" w:eastAsia="Times New Roman" w:hAnsi="Garamond"/>
          <w:color w:val="000000"/>
        </w:rPr>
      </w:pPr>
      <w:r w:rsidRPr="0006633E">
        <w:rPr>
          <w:rFonts w:ascii="Garamond" w:eastAsia="Times New Roman" w:hAnsi="Garamond"/>
          <w:b/>
          <w:color w:val="000000"/>
        </w:rPr>
        <w:t xml:space="preserve">Option 3: </w:t>
      </w:r>
      <w:r w:rsidRPr="0006633E">
        <w:rPr>
          <w:rFonts w:ascii="Garamond" w:eastAsia="Times New Roman" w:hAnsi="Garamond"/>
          <w:color w:val="000000"/>
        </w:rPr>
        <w:t xml:space="preserve">moderate restructure to include additional workforce program types, while retaining some or all of the existing programs, or </w:t>
      </w:r>
    </w:p>
    <w:p w14:paraId="6BF63245" w14:textId="77777777" w:rsidR="00166DB1" w:rsidRPr="0006633E" w:rsidRDefault="00166DB1" w:rsidP="009F66FB">
      <w:pPr>
        <w:pStyle w:val="ListParagraph"/>
        <w:numPr>
          <w:ilvl w:val="0"/>
          <w:numId w:val="23"/>
        </w:numPr>
        <w:tabs>
          <w:tab w:val="num" w:pos="426"/>
        </w:tabs>
        <w:spacing w:before="20" w:after="20"/>
        <w:ind w:left="426" w:hanging="426"/>
        <w:rPr>
          <w:rFonts w:ascii="Garamond" w:eastAsia="Times New Roman" w:hAnsi="Garamond"/>
          <w:color w:val="000000"/>
        </w:rPr>
      </w:pPr>
      <w:r w:rsidRPr="0006633E">
        <w:rPr>
          <w:rFonts w:ascii="Garamond" w:eastAsia="Times New Roman" w:hAnsi="Garamond"/>
          <w:b/>
          <w:color w:val="000000"/>
        </w:rPr>
        <w:t>Option 4:</w:t>
      </w:r>
      <w:r w:rsidRPr="0006633E">
        <w:rPr>
          <w:rFonts w:ascii="Garamond" w:eastAsia="Times New Roman" w:hAnsi="Garamond"/>
          <w:color w:val="000000"/>
        </w:rPr>
        <w:t xml:space="preserve"> major restructure to cease all existing program and use funds to enhance the level of workforce support pharmacists in targeted geographic areas (possibly prioritised on the basis of rurality).</w:t>
      </w:r>
    </w:p>
    <w:p w14:paraId="5EF382EA"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pros and cons of each are discussed below.</w:t>
      </w:r>
    </w:p>
    <w:p w14:paraId="3EF242F8" w14:textId="23D82893" w:rsidR="00166DB1" w:rsidRPr="00BF753C" w:rsidRDefault="00166DB1" w:rsidP="00BF753C">
      <w:pPr>
        <w:pStyle w:val="ESHeading3"/>
        <w:spacing w:before="120"/>
      </w:pPr>
      <w:bookmarkStart w:id="125" w:name="_Ref488248498"/>
      <w:bookmarkStart w:id="126" w:name="_Toc490574949"/>
      <w:r w:rsidRPr="00BF753C">
        <w:lastRenderedPageBreak/>
        <w:t>Option 1: Minor modifications to existing programs</w:t>
      </w:r>
      <w:bookmarkEnd w:id="125"/>
      <w:bookmarkEnd w:id="126"/>
    </w:p>
    <w:p w14:paraId="6EFFF683"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Data analysis and consultation activities revealed a number of limitations with the programs in their current state. These ranged from program-specific issues including restrictive eligibility criteria, inflexible program rules that hamper or limit program take-up, and administration issues. </w:t>
      </w:r>
    </w:p>
    <w:p w14:paraId="6CA0F84C"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These program-specific options are summarised in </w:t>
      </w:r>
      <w:r w:rsidRPr="00166DB1">
        <w:rPr>
          <w:rFonts w:ascii="Garamond" w:eastAsia="Garamond" w:hAnsi="Garamond"/>
          <w:color w:val="000000"/>
        </w:rPr>
        <w:fldChar w:fldCharType="begin"/>
      </w:r>
      <w:r w:rsidRPr="00166DB1">
        <w:rPr>
          <w:rFonts w:ascii="Garamond" w:eastAsia="Garamond" w:hAnsi="Garamond"/>
          <w:color w:val="000000"/>
        </w:rPr>
        <w:instrText xml:space="preserve"> REF _Ref490585438 \h </w:instrText>
      </w:r>
      <w:r w:rsidRPr="00166DB1">
        <w:rPr>
          <w:rFonts w:ascii="Garamond" w:eastAsia="Garamond" w:hAnsi="Garamond"/>
          <w:color w:val="000000"/>
        </w:rPr>
      </w:r>
      <w:r w:rsidRPr="00166DB1">
        <w:rPr>
          <w:rFonts w:ascii="Garamond" w:eastAsia="Garamond" w:hAnsi="Garamond"/>
          <w:color w:val="000000"/>
        </w:rPr>
        <w:fldChar w:fldCharType="separate"/>
      </w:r>
      <w:r w:rsidRPr="00166DB1">
        <w:rPr>
          <w:rFonts w:ascii="Garamond" w:eastAsia="Garamond" w:hAnsi="Garamond"/>
          <w:color w:val="000000"/>
        </w:rPr>
        <w:t xml:space="preserve">Table </w:t>
      </w:r>
      <w:r w:rsidRPr="00166DB1">
        <w:rPr>
          <w:rFonts w:ascii="Garamond" w:eastAsia="Garamond" w:hAnsi="Garamond"/>
          <w:noProof/>
          <w:color w:val="000000"/>
        </w:rPr>
        <w:t>7</w:t>
      </w:r>
      <w:r w:rsidRPr="00166DB1">
        <w:rPr>
          <w:rFonts w:ascii="Garamond" w:eastAsia="Garamond" w:hAnsi="Garamond"/>
          <w:color w:val="000000"/>
        </w:rPr>
        <w:t>.</w:t>
      </w:r>
      <w:r w:rsidRPr="00166DB1">
        <w:rPr>
          <w:rFonts w:ascii="Garamond" w:eastAsia="Garamond" w:hAnsi="Garamond"/>
          <w:noProof/>
          <w:color w:val="000000"/>
        </w:rPr>
        <w:t>2</w:t>
      </w:r>
      <w:r w:rsidRPr="00166DB1">
        <w:rPr>
          <w:rFonts w:ascii="Garamond" w:eastAsia="Garamond" w:hAnsi="Garamond"/>
          <w:color w:val="000000"/>
        </w:rPr>
        <w:fldChar w:fldCharType="end"/>
      </w:r>
    </w:p>
    <w:p w14:paraId="76626D6C" w14:textId="77777777" w:rsidR="00166DB1" w:rsidRPr="00166DB1" w:rsidRDefault="00166DB1" w:rsidP="00166DB1">
      <w:pPr>
        <w:spacing w:before="85" w:after="85"/>
        <w:rPr>
          <w:rFonts w:ascii="Garamond" w:eastAsia="Garamond" w:hAnsi="Garamond"/>
          <w:color w:val="000000"/>
        </w:rPr>
        <w:sectPr w:rsidR="00166DB1" w:rsidRPr="00166DB1" w:rsidSect="00720069">
          <w:type w:val="continuous"/>
          <w:pgSz w:w="16839" w:h="11907" w:orient="landscape" w:code="9"/>
          <w:pgMar w:top="2268" w:right="1304" w:bottom="850" w:left="737" w:header="567" w:footer="284" w:gutter="0"/>
          <w:cols w:num="2" w:space="709"/>
          <w:docGrid w:linePitch="360"/>
        </w:sectPr>
      </w:pPr>
    </w:p>
    <w:p w14:paraId="390CC524" w14:textId="77777777" w:rsidR="00166DB1" w:rsidRPr="00166DB1" w:rsidRDefault="00166DB1" w:rsidP="00483C21">
      <w:pPr>
        <w:pStyle w:val="Caption"/>
      </w:pPr>
      <w:bookmarkStart w:id="127" w:name="_Ref490585438"/>
      <w:r w:rsidRPr="00166DB1">
        <w:lastRenderedPageBreak/>
        <w:t xml:space="preserve">Table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7</w:t>
      </w:r>
      <w:r w:rsidRPr="00166DB1">
        <w:rPr>
          <w:noProof/>
        </w:rPr>
        <w:fldChar w:fldCharType="end"/>
      </w:r>
      <w:r w:rsidRPr="00166DB1">
        <w:t>.</w:t>
      </w:r>
      <w:r w:rsidRPr="00166DB1">
        <w:rPr>
          <w:noProof/>
        </w:rPr>
        <w:fldChar w:fldCharType="begin"/>
      </w:r>
      <w:r w:rsidRPr="00166DB1">
        <w:rPr>
          <w:noProof/>
        </w:rPr>
        <w:instrText xml:space="preserve"> SEQ Table \* ARABIC \s 1 </w:instrText>
      </w:r>
      <w:r w:rsidRPr="00166DB1">
        <w:rPr>
          <w:noProof/>
        </w:rPr>
        <w:fldChar w:fldCharType="separate"/>
      </w:r>
      <w:r w:rsidRPr="00166DB1">
        <w:rPr>
          <w:noProof/>
        </w:rPr>
        <w:t>2</w:t>
      </w:r>
      <w:r w:rsidRPr="00166DB1">
        <w:rPr>
          <w:noProof/>
        </w:rPr>
        <w:fldChar w:fldCharType="end"/>
      </w:r>
      <w:bookmarkEnd w:id="127"/>
      <w:r w:rsidRPr="00166DB1">
        <w:rPr>
          <w:noProof/>
        </w:rPr>
        <w:t xml:space="preserve">: </w:t>
      </w:r>
      <w:r w:rsidRPr="00166DB1">
        <w:t>Options for improved Pharmacy Workforce Program Operations</w:t>
      </w:r>
    </w:p>
    <w:tbl>
      <w:tblPr>
        <w:tblStyle w:val="HMATable"/>
        <w:tblW w:w="5000" w:type="pct"/>
        <w:tblLook w:val="04A0" w:firstRow="1" w:lastRow="0" w:firstColumn="1" w:lastColumn="0" w:noHBand="0" w:noVBand="1"/>
        <w:tblCaption w:val="Table 7.2: Options for improved Pharmacy Workforce Program Operations"/>
        <w:tblDescription w:val="Table 7.2: Options for improved Pharmacy Workforce Program Operations. Table consists of Programs, Modification suggested for consideration, Pros, Cons, and Expected result."/>
      </w:tblPr>
      <w:tblGrid>
        <w:gridCol w:w="2957"/>
        <w:gridCol w:w="2957"/>
        <w:gridCol w:w="2958"/>
        <w:gridCol w:w="2958"/>
        <w:gridCol w:w="2958"/>
      </w:tblGrid>
      <w:tr w:rsidR="00166DB1" w:rsidRPr="00166DB1" w14:paraId="23F2D75F" w14:textId="77777777" w:rsidTr="0006633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00" w:type="pct"/>
            <w:shd w:val="clear" w:color="auto" w:fill="D9D9D9" w:themeFill="background1" w:themeFillShade="D9"/>
          </w:tcPr>
          <w:p w14:paraId="39F3C820" w14:textId="77777777" w:rsidR="00166DB1" w:rsidRPr="00166DB1" w:rsidRDefault="00166DB1" w:rsidP="0006633E">
            <w:pPr>
              <w:pStyle w:val="TableColumnHeading"/>
            </w:pPr>
            <w:r w:rsidRPr="00166DB1">
              <w:t>Program</w:t>
            </w:r>
          </w:p>
        </w:tc>
        <w:tc>
          <w:tcPr>
            <w:tcW w:w="1000" w:type="pct"/>
            <w:shd w:val="clear" w:color="auto" w:fill="D9D9D9" w:themeFill="background1" w:themeFillShade="D9"/>
          </w:tcPr>
          <w:p w14:paraId="5851497E" w14:textId="77777777" w:rsidR="00166DB1" w:rsidRPr="00166DB1" w:rsidRDefault="00166DB1" w:rsidP="0006633E">
            <w:pPr>
              <w:pStyle w:val="TableColumnHeading"/>
              <w:cnfStyle w:val="100000000000" w:firstRow="1" w:lastRow="0" w:firstColumn="0" w:lastColumn="0" w:oddVBand="0" w:evenVBand="0" w:oddHBand="0" w:evenHBand="0" w:firstRowFirstColumn="0" w:firstRowLastColumn="0" w:lastRowFirstColumn="0" w:lastRowLastColumn="0"/>
            </w:pPr>
            <w:r w:rsidRPr="00166DB1">
              <w:t>Modification suggested for consideration</w:t>
            </w:r>
          </w:p>
        </w:tc>
        <w:tc>
          <w:tcPr>
            <w:tcW w:w="1000" w:type="pct"/>
            <w:shd w:val="clear" w:color="auto" w:fill="D9D9D9" w:themeFill="background1" w:themeFillShade="D9"/>
          </w:tcPr>
          <w:p w14:paraId="417D46C2" w14:textId="77777777" w:rsidR="00166DB1" w:rsidRPr="00166DB1" w:rsidRDefault="00166DB1" w:rsidP="0006633E">
            <w:pPr>
              <w:pStyle w:val="TableColumnHeading"/>
              <w:cnfStyle w:val="100000000000" w:firstRow="1" w:lastRow="0" w:firstColumn="0" w:lastColumn="0" w:oddVBand="0" w:evenVBand="0" w:oddHBand="0" w:evenHBand="0" w:firstRowFirstColumn="0" w:firstRowLastColumn="0" w:lastRowFirstColumn="0" w:lastRowLastColumn="0"/>
            </w:pPr>
            <w:r w:rsidRPr="00166DB1">
              <w:t>Pros</w:t>
            </w:r>
          </w:p>
        </w:tc>
        <w:tc>
          <w:tcPr>
            <w:tcW w:w="1000" w:type="pct"/>
            <w:shd w:val="clear" w:color="auto" w:fill="D9D9D9" w:themeFill="background1" w:themeFillShade="D9"/>
          </w:tcPr>
          <w:p w14:paraId="7E104E19" w14:textId="77777777" w:rsidR="00166DB1" w:rsidRPr="00166DB1" w:rsidRDefault="00166DB1" w:rsidP="0006633E">
            <w:pPr>
              <w:pStyle w:val="TableColumnHeading"/>
              <w:cnfStyle w:val="100000000000" w:firstRow="1" w:lastRow="0" w:firstColumn="0" w:lastColumn="0" w:oddVBand="0" w:evenVBand="0" w:oddHBand="0" w:evenHBand="0" w:firstRowFirstColumn="0" w:firstRowLastColumn="0" w:lastRowFirstColumn="0" w:lastRowLastColumn="0"/>
            </w:pPr>
            <w:r w:rsidRPr="00166DB1">
              <w:t>Cons</w:t>
            </w:r>
          </w:p>
        </w:tc>
        <w:tc>
          <w:tcPr>
            <w:tcW w:w="1000" w:type="pct"/>
            <w:shd w:val="clear" w:color="auto" w:fill="D9D9D9" w:themeFill="background1" w:themeFillShade="D9"/>
          </w:tcPr>
          <w:p w14:paraId="52911C2D" w14:textId="77777777" w:rsidR="00166DB1" w:rsidRPr="00166DB1" w:rsidRDefault="00166DB1" w:rsidP="0006633E">
            <w:pPr>
              <w:pStyle w:val="TableColumnHeading"/>
              <w:cnfStyle w:val="100000000000" w:firstRow="1" w:lastRow="0" w:firstColumn="0" w:lastColumn="0" w:oddVBand="0" w:evenVBand="0" w:oddHBand="0" w:evenHBand="0" w:firstRowFirstColumn="0" w:firstRowLastColumn="0" w:lastRowFirstColumn="0" w:lastRowLastColumn="0"/>
            </w:pPr>
            <w:r w:rsidRPr="00166DB1">
              <w:t>Expected result</w:t>
            </w:r>
          </w:p>
        </w:tc>
      </w:tr>
      <w:tr w:rsidR="00166DB1" w:rsidRPr="00166DB1" w14:paraId="6081EA92" w14:textId="77777777" w:rsidTr="00166DB1">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0000"/>
          </w:tcPr>
          <w:p w14:paraId="363D1601" w14:textId="77777777" w:rsidR="00166DB1" w:rsidRPr="00166DB1" w:rsidRDefault="00166DB1" w:rsidP="0006633E">
            <w:pPr>
              <w:pStyle w:val="Tablesubheading1"/>
            </w:pPr>
            <w:r w:rsidRPr="00166DB1">
              <w:t>Rural Pharmacy Workforce Programs</w:t>
            </w:r>
          </w:p>
        </w:tc>
      </w:tr>
      <w:tr w:rsidR="00166DB1" w:rsidRPr="00166DB1" w14:paraId="53AE9700"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val="restart"/>
            <w:shd w:val="clear" w:color="auto" w:fill="F2F2F2" w:themeFill="background1" w:themeFillShade="F2"/>
          </w:tcPr>
          <w:p w14:paraId="7310C471" w14:textId="77777777" w:rsidR="00166DB1" w:rsidRPr="00166DB1" w:rsidRDefault="00166DB1" w:rsidP="0006633E">
            <w:pPr>
              <w:pStyle w:val="TableCopy"/>
            </w:pPr>
            <w:r w:rsidRPr="00166DB1">
              <w:t>Rural Pharmacy Scholarship Scheme</w:t>
            </w:r>
          </w:p>
        </w:tc>
        <w:tc>
          <w:tcPr>
            <w:tcW w:w="1000" w:type="pct"/>
            <w:shd w:val="clear" w:color="auto" w:fill="F2F2F2" w:themeFill="background1" w:themeFillShade="F2"/>
          </w:tcPr>
          <w:p w14:paraId="654D2859"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Embed a one-year Return of Service Obligation period in a rural pharmacy for all scholarship recipients.</w:t>
            </w:r>
          </w:p>
        </w:tc>
        <w:tc>
          <w:tcPr>
            <w:tcW w:w="1000" w:type="pct"/>
            <w:shd w:val="clear" w:color="auto" w:fill="F2F2F2" w:themeFill="background1" w:themeFillShade="F2"/>
          </w:tcPr>
          <w:p w14:paraId="5C11BD91"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In line with ‘higher value scholarships’ of the Health Workforce Scholarship Program.</w:t>
            </w:r>
          </w:p>
          <w:p w14:paraId="2FA23859"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Supported by peak body stakeholders and scholars.</w:t>
            </w:r>
          </w:p>
        </w:tc>
        <w:tc>
          <w:tcPr>
            <w:tcW w:w="1000" w:type="pct"/>
            <w:shd w:val="clear" w:color="auto" w:fill="F2F2F2" w:themeFill="background1" w:themeFillShade="F2"/>
          </w:tcPr>
          <w:p w14:paraId="7D586B8C"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Not in line with other scholarship schemes including the Nursing and Allied Health Scholarship and Support Scheme.</w:t>
            </w:r>
          </w:p>
          <w:p w14:paraId="4422C30F"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Not supported by the literature.</w:t>
            </w:r>
          </w:p>
        </w:tc>
        <w:tc>
          <w:tcPr>
            <w:tcW w:w="1000" w:type="pct"/>
            <w:shd w:val="clear" w:color="auto" w:fill="F2F2F2" w:themeFill="background1" w:themeFillShade="F2"/>
          </w:tcPr>
          <w:p w14:paraId="04A1F131"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Increase in the number of scholarship recipients returning to a rural area once qualified, but may not result in a sustained commitment (because of the perceived obligation to comply)</w:t>
            </w:r>
          </w:p>
        </w:tc>
      </w:tr>
      <w:tr w:rsidR="00166DB1" w:rsidRPr="00166DB1" w14:paraId="3821944C"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shd w:val="clear" w:color="auto" w:fill="F2F2F2" w:themeFill="background1" w:themeFillShade="F2"/>
          </w:tcPr>
          <w:p w14:paraId="6BE3CFA9" w14:textId="77777777" w:rsidR="00166DB1" w:rsidRPr="00166DB1" w:rsidRDefault="00166DB1" w:rsidP="0006633E">
            <w:pPr>
              <w:pStyle w:val="TableCopy"/>
            </w:pPr>
          </w:p>
        </w:tc>
        <w:tc>
          <w:tcPr>
            <w:tcW w:w="1000" w:type="pct"/>
            <w:shd w:val="clear" w:color="auto" w:fill="F2F2F2" w:themeFill="background1" w:themeFillShade="F2"/>
          </w:tcPr>
          <w:p w14:paraId="1DA27F7B"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Linking the scholarship to the Intern Incentive Allowance for Rural Pharmacies to guarantee a rural internship for scholarship recipients.</w:t>
            </w:r>
          </w:p>
        </w:tc>
        <w:tc>
          <w:tcPr>
            <w:tcW w:w="1000" w:type="pct"/>
            <w:shd w:val="clear" w:color="auto" w:fill="F2F2F2" w:themeFill="background1" w:themeFillShade="F2"/>
          </w:tcPr>
          <w:p w14:paraId="7E015989"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Increases rural exposure and professional networking for scholarship recipients.</w:t>
            </w:r>
          </w:p>
        </w:tc>
        <w:tc>
          <w:tcPr>
            <w:tcW w:w="1000" w:type="pct"/>
            <w:shd w:val="clear" w:color="auto" w:fill="F2F2F2" w:themeFill="background1" w:themeFillShade="F2"/>
          </w:tcPr>
          <w:p w14:paraId="14D4E465"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Scholarship recipients have rural experience. Intern Incentive may impact more interns if provided to those without rural experience.</w:t>
            </w:r>
          </w:p>
        </w:tc>
        <w:tc>
          <w:tcPr>
            <w:tcW w:w="1000" w:type="pct"/>
            <w:shd w:val="clear" w:color="auto" w:fill="F2F2F2" w:themeFill="background1" w:themeFillShade="F2"/>
          </w:tcPr>
          <w:p w14:paraId="464AA17A"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Possible increase in the number of scholarship recipients remaining in a rural area once qualified.</w:t>
            </w:r>
          </w:p>
        </w:tc>
      </w:tr>
      <w:tr w:rsidR="00166DB1" w:rsidRPr="00166DB1" w14:paraId="52FBC4B3" w14:textId="77777777" w:rsidTr="0006633E">
        <w:tc>
          <w:tcPr>
            <w:cnfStyle w:val="001000000000" w:firstRow="0" w:lastRow="0" w:firstColumn="1" w:lastColumn="0" w:oddVBand="0" w:evenVBand="0" w:oddHBand="0" w:evenHBand="0" w:firstRowFirstColumn="0" w:firstRowLastColumn="0" w:lastRowFirstColumn="0" w:lastRowLastColumn="0"/>
            <w:tcW w:w="1000" w:type="pct"/>
            <w:shd w:val="clear" w:color="auto" w:fill="F2F2F2" w:themeFill="background1" w:themeFillShade="F2"/>
          </w:tcPr>
          <w:p w14:paraId="7B42EC51" w14:textId="77777777" w:rsidR="00166DB1" w:rsidRPr="00166DB1" w:rsidRDefault="00166DB1" w:rsidP="0006633E">
            <w:pPr>
              <w:pStyle w:val="TableCopy"/>
            </w:pPr>
            <w:r w:rsidRPr="00166DB1">
              <w:t>Rural Pharmacy Scholarship Mentor Scheme</w:t>
            </w:r>
          </w:p>
        </w:tc>
        <w:tc>
          <w:tcPr>
            <w:tcW w:w="1000" w:type="pct"/>
            <w:shd w:val="clear" w:color="auto" w:fill="F2F2F2" w:themeFill="background1" w:themeFillShade="F2"/>
          </w:tcPr>
          <w:p w14:paraId="5170CEEB"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 xml:space="preserve">Linking the Mentor Scheme with the Intern Incentive Allowance for Rural Pharmacies to support mentors being able to offer placements to scholarship recipients. </w:t>
            </w:r>
          </w:p>
        </w:tc>
        <w:tc>
          <w:tcPr>
            <w:tcW w:w="1000" w:type="pct"/>
            <w:shd w:val="clear" w:color="auto" w:fill="F2F2F2" w:themeFill="background1" w:themeFillShade="F2"/>
          </w:tcPr>
          <w:p w14:paraId="6FBEF1FF"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As above</w:t>
            </w:r>
          </w:p>
          <w:p w14:paraId="0B56C1AB"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Improved capacity to track the future internship and practice locations of scholarship recipients. </w:t>
            </w:r>
          </w:p>
        </w:tc>
        <w:tc>
          <w:tcPr>
            <w:tcW w:w="1000" w:type="pct"/>
            <w:shd w:val="clear" w:color="auto" w:fill="F2F2F2" w:themeFill="background1" w:themeFillShade="F2"/>
          </w:tcPr>
          <w:p w14:paraId="1A5084AE"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As above</w:t>
            </w:r>
          </w:p>
        </w:tc>
        <w:tc>
          <w:tcPr>
            <w:tcW w:w="1000" w:type="pct"/>
            <w:shd w:val="clear" w:color="auto" w:fill="F2F2F2" w:themeFill="background1" w:themeFillShade="F2"/>
          </w:tcPr>
          <w:p w14:paraId="1DFECC99"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As above</w:t>
            </w:r>
          </w:p>
        </w:tc>
      </w:tr>
      <w:tr w:rsidR="00166DB1" w:rsidRPr="00166DB1" w14:paraId="1CF3A0B0"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val="restart"/>
            <w:shd w:val="clear" w:color="auto" w:fill="F2F2F2" w:themeFill="background1" w:themeFillShade="F2"/>
          </w:tcPr>
          <w:p w14:paraId="1FB5ECEF" w14:textId="77777777" w:rsidR="00166DB1" w:rsidRPr="00166DB1" w:rsidRDefault="00166DB1" w:rsidP="0006633E">
            <w:pPr>
              <w:pStyle w:val="TableCopy"/>
            </w:pPr>
            <w:r w:rsidRPr="00166DB1">
              <w:t>Rural Intern Training Allowance</w:t>
            </w:r>
          </w:p>
        </w:tc>
        <w:tc>
          <w:tcPr>
            <w:tcW w:w="1000" w:type="pct"/>
            <w:shd w:val="clear" w:color="auto" w:fill="F2F2F2" w:themeFill="background1" w:themeFillShade="F2"/>
          </w:tcPr>
          <w:p w14:paraId="214F4180"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Removal of the 500-kilometre cap on funded distance travelled.</w:t>
            </w:r>
          </w:p>
        </w:tc>
        <w:tc>
          <w:tcPr>
            <w:tcW w:w="1000" w:type="pct"/>
            <w:shd w:val="clear" w:color="auto" w:fill="F2F2F2" w:themeFill="background1" w:themeFillShade="F2"/>
          </w:tcPr>
          <w:p w14:paraId="78909992"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Removes disadvantage experienced by remote interns who cannot afford / choose not to purchase airfares to attend training.</w:t>
            </w:r>
          </w:p>
          <w:p w14:paraId="5E608094"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Supported by interns.</w:t>
            </w:r>
          </w:p>
        </w:tc>
        <w:tc>
          <w:tcPr>
            <w:tcW w:w="1000" w:type="pct"/>
            <w:shd w:val="clear" w:color="auto" w:fill="F2F2F2" w:themeFill="background1" w:themeFillShade="F2"/>
          </w:tcPr>
          <w:p w14:paraId="3731A86D"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Increased claims and potentially higher outlays per claim</w:t>
            </w:r>
          </w:p>
        </w:tc>
        <w:tc>
          <w:tcPr>
            <w:tcW w:w="1000" w:type="pct"/>
            <w:shd w:val="clear" w:color="auto" w:fill="F2F2F2" w:themeFill="background1" w:themeFillShade="F2"/>
          </w:tcPr>
          <w:p w14:paraId="07171E57"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Increased support for remote interns. </w:t>
            </w:r>
          </w:p>
        </w:tc>
      </w:tr>
      <w:tr w:rsidR="00166DB1" w:rsidRPr="00166DB1" w14:paraId="7D16DECA"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shd w:val="clear" w:color="auto" w:fill="F2F2F2" w:themeFill="background1" w:themeFillShade="F2"/>
          </w:tcPr>
          <w:p w14:paraId="49683270" w14:textId="77777777" w:rsidR="00166DB1" w:rsidRPr="00166DB1" w:rsidRDefault="00166DB1" w:rsidP="0006633E">
            <w:pPr>
              <w:pStyle w:val="TableCopy"/>
            </w:pPr>
          </w:p>
        </w:tc>
        <w:tc>
          <w:tcPr>
            <w:tcW w:w="1000" w:type="pct"/>
            <w:shd w:val="clear" w:color="auto" w:fill="F2F2F2" w:themeFill="background1" w:themeFillShade="F2"/>
          </w:tcPr>
          <w:p w14:paraId="3D63DCDD"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Providing a tiered stipend for intern travel rather than reimbursement.</w:t>
            </w:r>
          </w:p>
        </w:tc>
        <w:tc>
          <w:tcPr>
            <w:tcW w:w="1000" w:type="pct"/>
            <w:shd w:val="clear" w:color="auto" w:fill="F2F2F2" w:themeFill="background1" w:themeFillShade="F2"/>
          </w:tcPr>
          <w:p w14:paraId="3B1CCC86"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Reduces out of pocket expenses for interns on a low wage.</w:t>
            </w:r>
          </w:p>
          <w:p w14:paraId="5ADEFA08"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Acknowledges increasing costs with increasing remoteness. </w:t>
            </w:r>
          </w:p>
          <w:p w14:paraId="372AFE71"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Does not significantly increase administration burden or cost. </w:t>
            </w:r>
          </w:p>
          <w:p w14:paraId="0770005C"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Supported by interns.</w:t>
            </w:r>
          </w:p>
        </w:tc>
        <w:tc>
          <w:tcPr>
            <w:tcW w:w="1000" w:type="pct"/>
            <w:shd w:val="clear" w:color="auto" w:fill="F2F2F2" w:themeFill="background1" w:themeFillShade="F2"/>
          </w:tcPr>
          <w:p w14:paraId="6ECA6B96"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May increase the overall program cost as interns in more remote areas will require more funding.</w:t>
            </w:r>
          </w:p>
        </w:tc>
        <w:tc>
          <w:tcPr>
            <w:tcW w:w="1000" w:type="pct"/>
            <w:shd w:val="clear" w:color="auto" w:fill="F2F2F2" w:themeFill="background1" w:themeFillShade="F2"/>
          </w:tcPr>
          <w:p w14:paraId="668E5319"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Improved support for interns, especially in remote locations. </w:t>
            </w:r>
          </w:p>
        </w:tc>
      </w:tr>
      <w:tr w:rsidR="00166DB1" w:rsidRPr="00166DB1" w14:paraId="0FD8A811"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val="restart"/>
            <w:shd w:val="clear" w:color="auto" w:fill="F2F2F2" w:themeFill="background1" w:themeFillShade="F2"/>
          </w:tcPr>
          <w:p w14:paraId="716DDD1F" w14:textId="77777777" w:rsidR="00166DB1" w:rsidRPr="00166DB1" w:rsidRDefault="00166DB1" w:rsidP="0006633E">
            <w:pPr>
              <w:pStyle w:val="TableCopy"/>
            </w:pPr>
            <w:r w:rsidRPr="00166DB1">
              <w:t>Rural Pharmacy Student Placement Allowance</w:t>
            </w:r>
          </w:p>
        </w:tc>
        <w:tc>
          <w:tcPr>
            <w:tcW w:w="1000" w:type="pct"/>
            <w:shd w:val="clear" w:color="auto" w:fill="F2F2F2" w:themeFill="background1" w:themeFillShade="F2"/>
          </w:tcPr>
          <w:p w14:paraId="1EC8E447"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Increased regularity of the timing of program funding (i.e. at the start of the calendar year).</w:t>
            </w:r>
          </w:p>
        </w:tc>
        <w:tc>
          <w:tcPr>
            <w:tcW w:w="1000" w:type="pct"/>
            <w:shd w:val="clear" w:color="auto" w:fill="F2F2F2" w:themeFill="background1" w:themeFillShade="F2"/>
          </w:tcPr>
          <w:p w14:paraId="1BEA2E91"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Universities receive funding in a timely manner to inform the number of placements offered.</w:t>
            </w:r>
          </w:p>
          <w:p w14:paraId="0209420D"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lastRenderedPageBreak/>
              <w:t>Students do not miss out on funding.</w:t>
            </w:r>
          </w:p>
          <w:p w14:paraId="3837AA3D"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Supported by placement coordinators.</w:t>
            </w:r>
          </w:p>
        </w:tc>
        <w:tc>
          <w:tcPr>
            <w:tcW w:w="1000" w:type="pct"/>
            <w:shd w:val="clear" w:color="auto" w:fill="F2F2F2" w:themeFill="background1" w:themeFillShade="F2"/>
          </w:tcPr>
          <w:p w14:paraId="4A8AC4DF"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lastRenderedPageBreak/>
              <w:t>None identified.</w:t>
            </w:r>
          </w:p>
        </w:tc>
        <w:tc>
          <w:tcPr>
            <w:tcW w:w="1000" w:type="pct"/>
            <w:shd w:val="clear" w:color="auto" w:fill="F2F2F2" w:themeFill="background1" w:themeFillShade="F2"/>
          </w:tcPr>
          <w:p w14:paraId="48AF8045"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Improved program delivery within contracted universities.</w:t>
            </w:r>
          </w:p>
        </w:tc>
      </w:tr>
      <w:tr w:rsidR="00166DB1" w:rsidRPr="00166DB1" w14:paraId="29200139"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tcPr>
          <w:p w14:paraId="05B45538" w14:textId="77777777" w:rsidR="00166DB1" w:rsidRPr="00166DB1" w:rsidRDefault="00166DB1" w:rsidP="00166DB1">
            <w:pPr>
              <w:spacing w:line="240" w:lineRule="atLeast"/>
              <w:ind w:left="57" w:right="57"/>
              <w:rPr>
                <w:rFonts w:eastAsia="Garamond"/>
                <w:color w:val="000000"/>
              </w:rPr>
            </w:pPr>
          </w:p>
        </w:tc>
        <w:tc>
          <w:tcPr>
            <w:tcW w:w="1000" w:type="pct"/>
            <w:shd w:val="clear" w:color="auto" w:fill="F2F2F2" w:themeFill="background1" w:themeFillShade="F2"/>
          </w:tcPr>
          <w:p w14:paraId="7235EBEE"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 xml:space="preserve">Allowance for students undertaking longer placements (e.g. 6 weeks or more) to access funding in excess of the </w:t>
            </w:r>
            <w:r w:rsidRPr="00D3633D">
              <w:t>$</w:t>
            </w:r>
            <w:r w:rsidRPr="00166DB1">
              <w:t>3,000 cap.</w:t>
            </w:r>
          </w:p>
        </w:tc>
        <w:tc>
          <w:tcPr>
            <w:tcW w:w="1000" w:type="pct"/>
            <w:shd w:val="clear" w:color="auto" w:fill="F2F2F2" w:themeFill="background1" w:themeFillShade="F2"/>
          </w:tcPr>
          <w:p w14:paraId="19A8F835"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Increased student capacity to undertake longer placements.</w:t>
            </w:r>
          </w:p>
          <w:p w14:paraId="0246CEB7"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Longer placements increase rural exposure, which is associated with increased intention to practise rurally.</w:t>
            </w:r>
          </w:p>
          <w:p w14:paraId="71750491"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Supported by students, RPLOs and placement coordinators.</w:t>
            </w:r>
          </w:p>
        </w:tc>
        <w:tc>
          <w:tcPr>
            <w:tcW w:w="1000" w:type="pct"/>
            <w:shd w:val="clear" w:color="auto" w:fill="F2F2F2" w:themeFill="background1" w:themeFillShade="F2"/>
          </w:tcPr>
          <w:p w14:paraId="313D1076"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May increase the total program cost, as students undertaking longer placements will require additional funding.</w:t>
            </w:r>
          </w:p>
        </w:tc>
        <w:tc>
          <w:tcPr>
            <w:tcW w:w="1000" w:type="pct"/>
            <w:shd w:val="clear" w:color="auto" w:fill="F2F2F2" w:themeFill="background1" w:themeFillShade="F2"/>
          </w:tcPr>
          <w:p w14:paraId="0EAD4AEC"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Improved support for students on longer placements.</w:t>
            </w:r>
          </w:p>
        </w:tc>
      </w:tr>
      <w:tr w:rsidR="00166DB1" w:rsidRPr="00166DB1" w14:paraId="784FD7B8"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val="restart"/>
            <w:shd w:val="clear" w:color="auto" w:fill="F2F2F2" w:themeFill="background1" w:themeFillShade="F2"/>
          </w:tcPr>
          <w:p w14:paraId="4BDBB81B" w14:textId="77777777" w:rsidR="00166DB1" w:rsidRPr="00166DB1" w:rsidRDefault="00166DB1" w:rsidP="0006633E">
            <w:pPr>
              <w:pStyle w:val="TableCopy"/>
            </w:pPr>
            <w:r w:rsidRPr="00166DB1">
              <w:t>Continuing Professional Educational Allowance</w:t>
            </w:r>
          </w:p>
        </w:tc>
        <w:tc>
          <w:tcPr>
            <w:tcW w:w="1000" w:type="pct"/>
            <w:shd w:val="clear" w:color="auto" w:fill="F2F2F2" w:themeFill="background1" w:themeFillShade="F2"/>
          </w:tcPr>
          <w:p w14:paraId="4732B9D3"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Simplifying the application process.</w:t>
            </w:r>
          </w:p>
        </w:tc>
        <w:tc>
          <w:tcPr>
            <w:tcW w:w="1000" w:type="pct"/>
            <w:shd w:val="clear" w:color="auto" w:fill="F2F2F2" w:themeFill="background1" w:themeFillShade="F2"/>
          </w:tcPr>
          <w:p w14:paraId="000FC194"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Supported by pharmacists.</w:t>
            </w:r>
          </w:p>
          <w:p w14:paraId="7781E9C8"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May reduce administration burden for The Guild.</w:t>
            </w:r>
          </w:p>
        </w:tc>
        <w:tc>
          <w:tcPr>
            <w:tcW w:w="1000" w:type="pct"/>
            <w:shd w:val="clear" w:color="auto" w:fill="F2F2F2" w:themeFill="background1" w:themeFillShade="F2"/>
          </w:tcPr>
          <w:p w14:paraId="4DF2A581"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Will require revision of the online application portal and existing protocols which may be costly and time-consuming for The Guild. </w:t>
            </w:r>
          </w:p>
        </w:tc>
        <w:tc>
          <w:tcPr>
            <w:tcW w:w="1000" w:type="pct"/>
            <w:shd w:val="clear" w:color="auto" w:fill="F2F2F2" w:themeFill="background1" w:themeFillShade="F2"/>
          </w:tcPr>
          <w:p w14:paraId="70C4131D"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Improved support for pharmacists accessing CPE.</w:t>
            </w:r>
          </w:p>
          <w:p w14:paraId="2D1E23CA"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Increase in demand for CPE Allowances.</w:t>
            </w:r>
          </w:p>
        </w:tc>
      </w:tr>
      <w:tr w:rsidR="00166DB1" w:rsidRPr="00166DB1" w14:paraId="333D0A8A"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shd w:val="clear" w:color="auto" w:fill="F2F2F2" w:themeFill="background1" w:themeFillShade="F2"/>
          </w:tcPr>
          <w:p w14:paraId="2A1397CB" w14:textId="77777777" w:rsidR="00166DB1" w:rsidRPr="00166DB1" w:rsidRDefault="00166DB1" w:rsidP="0006633E">
            <w:pPr>
              <w:pStyle w:val="TableCopy"/>
            </w:pPr>
          </w:p>
        </w:tc>
        <w:tc>
          <w:tcPr>
            <w:tcW w:w="1000" w:type="pct"/>
            <w:shd w:val="clear" w:color="auto" w:fill="F2F2F2" w:themeFill="background1" w:themeFillShade="F2"/>
          </w:tcPr>
          <w:p w14:paraId="4CB31A97"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Inclusion of an allowance to help cover locum travel or wages to help the pharmacist attend CPE.</w:t>
            </w:r>
          </w:p>
        </w:tc>
        <w:tc>
          <w:tcPr>
            <w:tcW w:w="1000" w:type="pct"/>
            <w:shd w:val="clear" w:color="auto" w:fill="F2F2F2" w:themeFill="background1" w:themeFillShade="F2"/>
          </w:tcPr>
          <w:p w14:paraId="0E0FF683"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Supported by pharmacists ‘on the ground’</w:t>
            </w:r>
          </w:p>
          <w:p w14:paraId="1570C966"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May be addressed by changes to the Emergency Locum Service eligibility criteria.</w:t>
            </w:r>
          </w:p>
        </w:tc>
        <w:tc>
          <w:tcPr>
            <w:tcW w:w="1000" w:type="pct"/>
            <w:shd w:val="clear" w:color="auto" w:fill="F2F2F2" w:themeFill="background1" w:themeFillShade="F2"/>
          </w:tcPr>
          <w:p w14:paraId="22EAFE50"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May increase the cost of the program.</w:t>
            </w:r>
          </w:p>
        </w:tc>
        <w:tc>
          <w:tcPr>
            <w:tcW w:w="1000" w:type="pct"/>
            <w:shd w:val="clear" w:color="auto" w:fill="F2F2F2" w:themeFill="background1" w:themeFillShade="F2"/>
          </w:tcPr>
          <w:p w14:paraId="2C2AF5A4"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As above.</w:t>
            </w:r>
          </w:p>
          <w:p w14:paraId="071E5F5C"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Increased demand for the Emergency Locum Service.</w:t>
            </w:r>
          </w:p>
        </w:tc>
      </w:tr>
      <w:tr w:rsidR="00166DB1" w:rsidRPr="00166DB1" w14:paraId="4C9B105A"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shd w:val="clear" w:color="auto" w:fill="F2F2F2" w:themeFill="background1" w:themeFillShade="F2"/>
          </w:tcPr>
          <w:p w14:paraId="47CA19DD" w14:textId="77777777" w:rsidR="00166DB1" w:rsidRPr="00166DB1" w:rsidRDefault="00166DB1" w:rsidP="0006633E">
            <w:pPr>
              <w:pStyle w:val="TableCopy"/>
            </w:pPr>
          </w:p>
        </w:tc>
        <w:tc>
          <w:tcPr>
            <w:tcW w:w="1000" w:type="pct"/>
            <w:shd w:val="clear" w:color="auto" w:fill="F2F2F2" w:themeFill="background1" w:themeFillShade="F2"/>
          </w:tcPr>
          <w:p w14:paraId="2F4F02EF"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Providing tiered funding caps to distribute more funding to remote pharmacists.</w:t>
            </w:r>
          </w:p>
        </w:tc>
        <w:tc>
          <w:tcPr>
            <w:tcW w:w="1000" w:type="pct"/>
            <w:shd w:val="clear" w:color="auto" w:fill="F2F2F2" w:themeFill="background1" w:themeFillShade="F2"/>
          </w:tcPr>
          <w:p w14:paraId="053067E4"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Supported by pharmacists.</w:t>
            </w:r>
          </w:p>
          <w:p w14:paraId="2D0E39DF"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Acknowledges increasing costs with increasing remoteness.</w:t>
            </w:r>
          </w:p>
        </w:tc>
        <w:tc>
          <w:tcPr>
            <w:tcW w:w="1000" w:type="pct"/>
            <w:shd w:val="clear" w:color="auto" w:fill="F2F2F2" w:themeFill="background1" w:themeFillShade="F2"/>
          </w:tcPr>
          <w:p w14:paraId="15CEE1A7"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May increase the cost of the program. </w:t>
            </w:r>
          </w:p>
        </w:tc>
        <w:tc>
          <w:tcPr>
            <w:tcW w:w="1000" w:type="pct"/>
            <w:shd w:val="clear" w:color="auto" w:fill="F2F2F2" w:themeFill="background1" w:themeFillShade="F2"/>
          </w:tcPr>
          <w:p w14:paraId="3CB37BA4"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Improved support for remote pharmacists accessing the CPE program</w:t>
            </w:r>
          </w:p>
        </w:tc>
      </w:tr>
      <w:tr w:rsidR="00166DB1" w:rsidRPr="00166DB1" w14:paraId="7C19B426"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shd w:val="clear" w:color="auto" w:fill="F2F2F2" w:themeFill="background1" w:themeFillShade="F2"/>
          </w:tcPr>
          <w:p w14:paraId="73CF3B5D" w14:textId="77777777" w:rsidR="00166DB1" w:rsidRPr="00166DB1" w:rsidRDefault="00166DB1" w:rsidP="0006633E">
            <w:pPr>
              <w:pStyle w:val="TableCopy"/>
            </w:pPr>
          </w:p>
        </w:tc>
        <w:tc>
          <w:tcPr>
            <w:tcW w:w="1000" w:type="pct"/>
            <w:shd w:val="clear" w:color="auto" w:fill="F2F2F2" w:themeFill="background1" w:themeFillShade="F2"/>
          </w:tcPr>
          <w:p w14:paraId="7025437C"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Providing CPE Allowance as an upfront per diem rather than as a cost-reimbursement.</w:t>
            </w:r>
          </w:p>
        </w:tc>
        <w:tc>
          <w:tcPr>
            <w:tcW w:w="1000" w:type="pct"/>
            <w:shd w:val="clear" w:color="auto" w:fill="F2F2F2" w:themeFill="background1" w:themeFillShade="F2"/>
          </w:tcPr>
          <w:p w14:paraId="609AF10B"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Supported by pharmacists.</w:t>
            </w:r>
          </w:p>
          <w:p w14:paraId="331E1CB9"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Reduces out-of-pocket expenses for pharmacists.</w:t>
            </w:r>
          </w:p>
          <w:p w14:paraId="2540A400"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Ensures pharmacists receive a CPE allowance.</w:t>
            </w:r>
          </w:p>
          <w:p w14:paraId="3BE04FB8"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May reduce administration burden. </w:t>
            </w:r>
          </w:p>
        </w:tc>
        <w:tc>
          <w:tcPr>
            <w:tcW w:w="1000" w:type="pct"/>
            <w:shd w:val="clear" w:color="auto" w:fill="F2F2F2" w:themeFill="background1" w:themeFillShade="F2"/>
          </w:tcPr>
          <w:p w14:paraId="275F16C5"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May increase the cost of the program.</w:t>
            </w:r>
          </w:p>
          <w:p w14:paraId="45BE674A" w14:textId="46178EE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Per diem may not reflect actual costs. Processes to ensure event attendance may be required.</w:t>
            </w:r>
          </w:p>
        </w:tc>
        <w:tc>
          <w:tcPr>
            <w:tcW w:w="1000" w:type="pct"/>
            <w:shd w:val="clear" w:color="auto" w:fill="F2F2F2" w:themeFill="background1" w:themeFillShade="F2"/>
          </w:tcPr>
          <w:p w14:paraId="348D49E4"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Improved support for pharmacists accessing CPE.</w:t>
            </w:r>
          </w:p>
          <w:p w14:paraId="2B5878A9"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Increase in demand for CPE Allowances.</w:t>
            </w:r>
            <w:r w:rsidRPr="00166DB1">
              <w:br/>
            </w:r>
            <w:r w:rsidRPr="00166DB1">
              <w:br/>
            </w:r>
          </w:p>
        </w:tc>
      </w:tr>
      <w:tr w:rsidR="00166DB1" w:rsidRPr="00166DB1" w14:paraId="655D51B2"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shd w:val="clear" w:color="auto" w:fill="F2F2F2" w:themeFill="background1" w:themeFillShade="F2"/>
          </w:tcPr>
          <w:p w14:paraId="0120FDF6" w14:textId="77777777" w:rsidR="00166DB1" w:rsidRPr="00166DB1" w:rsidRDefault="00166DB1" w:rsidP="0006633E">
            <w:pPr>
              <w:pStyle w:val="TableCopy"/>
            </w:pPr>
          </w:p>
        </w:tc>
        <w:tc>
          <w:tcPr>
            <w:tcW w:w="1000" w:type="pct"/>
            <w:shd w:val="clear" w:color="auto" w:fill="F2F2F2" w:themeFill="background1" w:themeFillShade="F2"/>
          </w:tcPr>
          <w:p w14:paraId="69BB660F"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Placing a limit on the number of claims that can be made per pharmacist.</w:t>
            </w:r>
          </w:p>
        </w:tc>
        <w:tc>
          <w:tcPr>
            <w:tcW w:w="1000" w:type="pct"/>
            <w:shd w:val="clear" w:color="auto" w:fill="F2F2F2" w:themeFill="background1" w:themeFillShade="F2"/>
          </w:tcPr>
          <w:p w14:paraId="55474748"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Reduces inequity of multiple claims per pharmacist.</w:t>
            </w:r>
          </w:p>
          <w:p w14:paraId="2A8687CC"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New software or system will help streamline the application process.</w:t>
            </w:r>
          </w:p>
        </w:tc>
        <w:tc>
          <w:tcPr>
            <w:tcW w:w="1000" w:type="pct"/>
            <w:shd w:val="clear" w:color="auto" w:fill="F2F2F2" w:themeFill="background1" w:themeFillShade="F2"/>
          </w:tcPr>
          <w:p w14:paraId="06147381"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Will require investment in appropriate software or systems to track the number of claims per pharmacist. </w:t>
            </w:r>
          </w:p>
        </w:tc>
        <w:tc>
          <w:tcPr>
            <w:tcW w:w="1000" w:type="pct"/>
            <w:shd w:val="clear" w:color="auto" w:fill="F2F2F2" w:themeFill="background1" w:themeFillShade="F2"/>
          </w:tcPr>
          <w:p w14:paraId="599FDFE6"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Increase in the number of pharmacists assisted under the program. </w:t>
            </w:r>
          </w:p>
        </w:tc>
      </w:tr>
      <w:tr w:rsidR="00166DB1" w:rsidRPr="00166DB1" w14:paraId="6C10508C"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val="restart"/>
            <w:shd w:val="clear" w:color="auto" w:fill="F2F2F2" w:themeFill="background1" w:themeFillShade="F2"/>
          </w:tcPr>
          <w:p w14:paraId="4813FD05" w14:textId="77777777" w:rsidR="00166DB1" w:rsidRPr="00166DB1" w:rsidRDefault="00166DB1" w:rsidP="0006633E">
            <w:pPr>
              <w:pStyle w:val="TableCopy"/>
            </w:pPr>
            <w:r w:rsidRPr="00166DB1">
              <w:lastRenderedPageBreak/>
              <w:t>Emergency Locum Service</w:t>
            </w:r>
          </w:p>
        </w:tc>
        <w:tc>
          <w:tcPr>
            <w:tcW w:w="1000" w:type="pct"/>
            <w:shd w:val="clear" w:color="auto" w:fill="F2F2F2" w:themeFill="background1" w:themeFillShade="F2"/>
          </w:tcPr>
          <w:p w14:paraId="41DE7D1C"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Improve clarity and transparency of eligibility criteria.</w:t>
            </w:r>
          </w:p>
        </w:tc>
        <w:tc>
          <w:tcPr>
            <w:tcW w:w="1000" w:type="pct"/>
            <w:shd w:val="clear" w:color="auto" w:fill="F2F2F2" w:themeFill="background1" w:themeFillShade="F2"/>
          </w:tcPr>
          <w:p w14:paraId="0F728247"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Supported by pharmacists ‘on the ground’.</w:t>
            </w:r>
          </w:p>
        </w:tc>
        <w:tc>
          <w:tcPr>
            <w:tcW w:w="1000" w:type="pct"/>
            <w:shd w:val="clear" w:color="auto" w:fill="F2F2F2" w:themeFill="background1" w:themeFillShade="F2"/>
          </w:tcPr>
          <w:p w14:paraId="36FC8EDF"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None identified.</w:t>
            </w:r>
          </w:p>
        </w:tc>
        <w:tc>
          <w:tcPr>
            <w:tcW w:w="1000" w:type="pct"/>
            <w:shd w:val="clear" w:color="auto" w:fill="F2F2F2" w:themeFill="background1" w:themeFillShade="F2"/>
          </w:tcPr>
          <w:p w14:paraId="1201D9E1"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Will align pharmacists’ expectations with Emergency Locum Service offerings and reduce confusion. </w:t>
            </w:r>
          </w:p>
        </w:tc>
      </w:tr>
      <w:tr w:rsidR="00166DB1" w:rsidRPr="00166DB1" w14:paraId="7F36160B"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tcPr>
          <w:p w14:paraId="48EEF376" w14:textId="77777777" w:rsidR="00166DB1" w:rsidRPr="00166DB1" w:rsidRDefault="00166DB1" w:rsidP="00166DB1">
            <w:pPr>
              <w:spacing w:line="240" w:lineRule="atLeast"/>
              <w:ind w:left="57" w:right="57"/>
              <w:rPr>
                <w:rFonts w:eastAsia="Garamond"/>
                <w:color w:val="000000"/>
              </w:rPr>
            </w:pPr>
          </w:p>
        </w:tc>
        <w:tc>
          <w:tcPr>
            <w:tcW w:w="1000" w:type="pct"/>
            <w:shd w:val="clear" w:color="auto" w:fill="F2F2F2" w:themeFill="background1" w:themeFillShade="F2"/>
          </w:tcPr>
          <w:p w14:paraId="11FEBF3A"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 xml:space="preserve">Funding of accommodation costs for locums travelling to remote areas. </w:t>
            </w:r>
          </w:p>
        </w:tc>
        <w:tc>
          <w:tcPr>
            <w:tcW w:w="1000" w:type="pct"/>
            <w:shd w:val="clear" w:color="auto" w:fill="F2F2F2" w:themeFill="background1" w:themeFillShade="F2"/>
          </w:tcPr>
          <w:p w14:paraId="74FAC0E0"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Supported by pharmacists.</w:t>
            </w:r>
          </w:p>
          <w:p w14:paraId="52C6430A"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Removes disadvantage experienced by remote pharmacists. </w:t>
            </w:r>
          </w:p>
        </w:tc>
        <w:tc>
          <w:tcPr>
            <w:tcW w:w="1000" w:type="pct"/>
            <w:shd w:val="clear" w:color="auto" w:fill="F2F2F2" w:themeFill="background1" w:themeFillShade="F2"/>
          </w:tcPr>
          <w:p w14:paraId="1B06C59B"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Will increase the cost of the program.</w:t>
            </w:r>
          </w:p>
        </w:tc>
        <w:tc>
          <w:tcPr>
            <w:tcW w:w="1000" w:type="pct"/>
            <w:shd w:val="clear" w:color="auto" w:fill="F2F2F2" w:themeFill="background1" w:themeFillShade="F2"/>
          </w:tcPr>
          <w:p w14:paraId="6DD77F28"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Increased support to remote pharmacists accessing the Emergency Locum Service.</w:t>
            </w:r>
          </w:p>
        </w:tc>
      </w:tr>
      <w:tr w:rsidR="00166DB1" w:rsidRPr="00166DB1" w14:paraId="7DB798F5" w14:textId="77777777" w:rsidTr="0006633E">
        <w:tc>
          <w:tcPr>
            <w:cnfStyle w:val="001000000000" w:firstRow="0" w:lastRow="0" w:firstColumn="1" w:lastColumn="0" w:oddVBand="0" w:evenVBand="0" w:oddHBand="0" w:evenHBand="0" w:firstRowFirstColumn="0" w:firstRowLastColumn="0" w:lastRowFirstColumn="0" w:lastRowLastColumn="0"/>
            <w:tcW w:w="1000" w:type="pct"/>
            <w:shd w:val="clear" w:color="auto" w:fill="F2F2F2" w:themeFill="background1" w:themeFillShade="F2"/>
          </w:tcPr>
          <w:p w14:paraId="58F88F38" w14:textId="77777777" w:rsidR="00166DB1" w:rsidRPr="00166DB1" w:rsidRDefault="00166DB1" w:rsidP="0006633E">
            <w:pPr>
              <w:pStyle w:val="TableCopy"/>
            </w:pPr>
            <w:r w:rsidRPr="00166DB1">
              <w:t>Intern Incentive Allowance for Rural Pharmacies and Extension Program</w:t>
            </w:r>
          </w:p>
        </w:tc>
        <w:tc>
          <w:tcPr>
            <w:tcW w:w="1000" w:type="pct"/>
            <w:shd w:val="clear" w:color="auto" w:fill="F2F2F2" w:themeFill="background1" w:themeFillShade="F2"/>
          </w:tcPr>
          <w:p w14:paraId="529B2E7C"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Increase allowance value to reflect increased cost of employing an intern / graduate in a rural or remote area.</w:t>
            </w:r>
          </w:p>
        </w:tc>
        <w:tc>
          <w:tcPr>
            <w:tcW w:w="1000" w:type="pct"/>
            <w:shd w:val="clear" w:color="auto" w:fill="F2F2F2" w:themeFill="background1" w:themeFillShade="F2"/>
          </w:tcPr>
          <w:p w14:paraId="26532E67"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Supported by pharmacists ‘on the ground’.</w:t>
            </w:r>
          </w:p>
          <w:p w14:paraId="6027F9B6"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Acknowledges the need for pharmacists to offer interns / graduates higher salaries to attract them to rural areas. </w:t>
            </w:r>
          </w:p>
        </w:tc>
        <w:tc>
          <w:tcPr>
            <w:tcW w:w="1000" w:type="pct"/>
            <w:shd w:val="clear" w:color="auto" w:fill="F2F2F2" w:themeFill="background1" w:themeFillShade="F2"/>
          </w:tcPr>
          <w:p w14:paraId="78A3A237"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Will increase the cost of the program. </w:t>
            </w:r>
          </w:p>
        </w:tc>
        <w:tc>
          <w:tcPr>
            <w:tcW w:w="1000" w:type="pct"/>
            <w:shd w:val="clear" w:color="auto" w:fill="F2F2F2" w:themeFill="background1" w:themeFillShade="F2"/>
          </w:tcPr>
          <w:p w14:paraId="389315C9"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Increased support to pharmacy employers. </w:t>
            </w:r>
          </w:p>
        </w:tc>
      </w:tr>
      <w:tr w:rsidR="00166DB1" w:rsidRPr="00166DB1" w14:paraId="7964D93C" w14:textId="77777777" w:rsidTr="0006633E">
        <w:tc>
          <w:tcPr>
            <w:cnfStyle w:val="001000000000" w:firstRow="0" w:lastRow="0" w:firstColumn="1" w:lastColumn="0" w:oddVBand="0" w:evenVBand="0" w:oddHBand="0" w:evenHBand="0" w:firstRowFirstColumn="0" w:firstRowLastColumn="0" w:lastRowFirstColumn="0" w:lastRowLastColumn="0"/>
            <w:tcW w:w="1000" w:type="pct"/>
            <w:shd w:val="clear" w:color="auto" w:fill="F2F2F2" w:themeFill="background1" w:themeFillShade="F2"/>
          </w:tcPr>
          <w:p w14:paraId="0773E026" w14:textId="77777777" w:rsidR="00166DB1" w:rsidRPr="00166DB1" w:rsidRDefault="00166DB1" w:rsidP="0006633E">
            <w:pPr>
              <w:pStyle w:val="TableCopy"/>
            </w:pPr>
            <w:r w:rsidRPr="00166DB1">
              <w:t>Rural Pharmacy Liaison Officer Program</w:t>
            </w:r>
          </w:p>
        </w:tc>
        <w:tc>
          <w:tcPr>
            <w:tcW w:w="1000" w:type="pct"/>
            <w:shd w:val="clear" w:color="auto" w:fill="F2F2F2" w:themeFill="background1" w:themeFillShade="F2"/>
          </w:tcPr>
          <w:p w14:paraId="036AD013"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Removal of the RPLO Program from the 6CPA and redirecting funding and administrative responsibility to University Departments of Rural Health.</w:t>
            </w:r>
          </w:p>
        </w:tc>
        <w:tc>
          <w:tcPr>
            <w:tcW w:w="1000" w:type="pct"/>
            <w:shd w:val="clear" w:color="auto" w:fill="F2F2F2" w:themeFill="background1" w:themeFillShade="F2"/>
          </w:tcPr>
          <w:p w14:paraId="33BD1A35"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Supported by RPLOs, UDRHs and some peak body stakeholders. </w:t>
            </w:r>
          </w:p>
          <w:p w14:paraId="78A32AA8"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Provide greater professional stability for RPLOs who currently only have tenure under 12-month contracts</w:t>
            </w:r>
          </w:p>
          <w:p w14:paraId="26A87335"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Align RPLO objectives with the objectives of the Rural Health Multidisciplinary Training Program. </w:t>
            </w:r>
          </w:p>
        </w:tc>
        <w:tc>
          <w:tcPr>
            <w:tcW w:w="1000" w:type="pct"/>
            <w:shd w:val="clear" w:color="auto" w:fill="F2F2F2" w:themeFill="background1" w:themeFillShade="F2"/>
          </w:tcPr>
          <w:p w14:paraId="27587B9E"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A change in program governance may impact program scope and the role of RPLOs. </w:t>
            </w:r>
          </w:p>
          <w:p w14:paraId="088B1B31"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Debates over where the transfer should be funded from government general revenue or the CPA</w:t>
            </w:r>
          </w:p>
        </w:tc>
        <w:tc>
          <w:tcPr>
            <w:tcW w:w="1000" w:type="pct"/>
            <w:shd w:val="clear" w:color="auto" w:fill="F2F2F2" w:themeFill="background1" w:themeFillShade="F2"/>
          </w:tcPr>
          <w:p w14:paraId="5B9EE284"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Increased recruitment and retention of RPLOs at UDRH sites. </w:t>
            </w:r>
          </w:p>
        </w:tc>
      </w:tr>
      <w:tr w:rsidR="00166DB1" w:rsidRPr="00166DB1" w14:paraId="2D312324" w14:textId="77777777" w:rsidTr="0006633E">
        <w:tc>
          <w:tcPr>
            <w:cnfStyle w:val="001000000000" w:firstRow="0" w:lastRow="0" w:firstColumn="1" w:lastColumn="0" w:oddVBand="0" w:evenVBand="0" w:oddHBand="0" w:evenHBand="0" w:firstRowFirstColumn="0" w:firstRowLastColumn="0" w:lastRowFirstColumn="0" w:lastRowLastColumn="0"/>
            <w:tcW w:w="1000" w:type="pct"/>
            <w:shd w:val="clear" w:color="auto" w:fill="F2F2F2" w:themeFill="background1" w:themeFillShade="F2"/>
          </w:tcPr>
          <w:p w14:paraId="2CEED998" w14:textId="77777777" w:rsidR="00166DB1" w:rsidRPr="00166DB1" w:rsidRDefault="00166DB1" w:rsidP="0006633E">
            <w:pPr>
              <w:pStyle w:val="TableCopy"/>
            </w:pPr>
            <w:r w:rsidRPr="00166DB1">
              <w:t>Administrative Support to Pharmacy Schools</w:t>
            </w:r>
          </w:p>
        </w:tc>
        <w:tc>
          <w:tcPr>
            <w:tcW w:w="1000" w:type="pct"/>
            <w:shd w:val="clear" w:color="auto" w:fill="F2F2F2" w:themeFill="background1" w:themeFillShade="F2"/>
          </w:tcPr>
          <w:p w14:paraId="621E6D5D"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None identified.</w:t>
            </w:r>
          </w:p>
        </w:tc>
        <w:tc>
          <w:tcPr>
            <w:tcW w:w="1000" w:type="pct"/>
            <w:shd w:val="clear" w:color="auto" w:fill="F2F2F2" w:themeFill="background1" w:themeFillShade="F2"/>
          </w:tcPr>
          <w:p w14:paraId="44567E1F"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None identified.</w:t>
            </w:r>
          </w:p>
        </w:tc>
        <w:tc>
          <w:tcPr>
            <w:tcW w:w="1000" w:type="pct"/>
            <w:shd w:val="clear" w:color="auto" w:fill="F2F2F2" w:themeFill="background1" w:themeFillShade="F2"/>
          </w:tcPr>
          <w:p w14:paraId="45315656"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None identified.</w:t>
            </w:r>
          </w:p>
        </w:tc>
        <w:tc>
          <w:tcPr>
            <w:tcW w:w="1000" w:type="pct"/>
            <w:shd w:val="clear" w:color="auto" w:fill="F2F2F2" w:themeFill="background1" w:themeFillShade="F2"/>
          </w:tcPr>
          <w:p w14:paraId="10C9EA60"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None identified.</w:t>
            </w:r>
          </w:p>
        </w:tc>
      </w:tr>
      <w:tr w:rsidR="00166DB1" w:rsidRPr="00166DB1" w14:paraId="051CADCC" w14:textId="77777777" w:rsidTr="00166DB1">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0000"/>
          </w:tcPr>
          <w:p w14:paraId="511DF3BE" w14:textId="77777777" w:rsidR="00166DB1" w:rsidRPr="00166DB1" w:rsidRDefault="00166DB1" w:rsidP="0006633E">
            <w:pPr>
              <w:pStyle w:val="Tablesubheading1"/>
            </w:pPr>
            <w:r w:rsidRPr="00166DB1">
              <w:t>Aboriginal and Torres Strait Islander Workforce Programs</w:t>
            </w:r>
          </w:p>
        </w:tc>
      </w:tr>
      <w:tr w:rsidR="00166DB1" w:rsidRPr="00166DB1" w14:paraId="6A8DAD14"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val="restart"/>
            <w:shd w:val="clear" w:color="auto" w:fill="F2F2F2" w:themeFill="background1" w:themeFillShade="F2"/>
          </w:tcPr>
          <w:p w14:paraId="3844228F" w14:textId="77777777" w:rsidR="00166DB1" w:rsidRPr="00166DB1" w:rsidRDefault="00166DB1" w:rsidP="0006633E">
            <w:pPr>
              <w:pStyle w:val="TableCopy"/>
            </w:pPr>
            <w:r w:rsidRPr="00166DB1">
              <w:t>Aboriginal and Torres Strait Islander Pharmacy Assistant Traineeship Scheme</w:t>
            </w:r>
          </w:p>
        </w:tc>
        <w:tc>
          <w:tcPr>
            <w:tcW w:w="1000" w:type="pct"/>
            <w:shd w:val="clear" w:color="auto" w:fill="F2F2F2" w:themeFill="background1" w:themeFillShade="F2"/>
          </w:tcPr>
          <w:p w14:paraId="28EE8B50"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 xml:space="preserve">Link with the Rural Pharmacy Scholarship Mentor Scheme to provide mentor support for trainees. </w:t>
            </w:r>
          </w:p>
        </w:tc>
        <w:tc>
          <w:tcPr>
            <w:tcW w:w="1000" w:type="pct"/>
            <w:shd w:val="clear" w:color="auto" w:fill="F2F2F2" w:themeFill="background1" w:themeFillShade="F2"/>
          </w:tcPr>
          <w:p w14:paraId="62633ADA"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Supported by peak body stakeholders and literature. </w:t>
            </w:r>
          </w:p>
          <w:p w14:paraId="13D59F48"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Expansion of an existing program. </w:t>
            </w:r>
          </w:p>
        </w:tc>
        <w:tc>
          <w:tcPr>
            <w:tcW w:w="1000" w:type="pct"/>
            <w:shd w:val="clear" w:color="auto" w:fill="F2F2F2" w:themeFill="background1" w:themeFillShade="F2"/>
          </w:tcPr>
          <w:p w14:paraId="054C37B8"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Will increase the cost of the Mentor Scheme with more participating mentors. </w:t>
            </w:r>
          </w:p>
        </w:tc>
        <w:tc>
          <w:tcPr>
            <w:tcW w:w="1000" w:type="pct"/>
            <w:shd w:val="clear" w:color="auto" w:fill="F2F2F2" w:themeFill="background1" w:themeFillShade="F2"/>
          </w:tcPr>
          <w:p w14:paraId="580247E9"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Pharmacy assistants feel supported and are more likely to be retained. </w:t>
            </w:r>
          </w:p>
        </w:tc>
      </w:tr>
      <w:tr w:rsidR="00166DB1" w:rsidRPr="00166DB1" w14:paraId="5F95338D"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shd w:val="clear" w:color="auto" w:fill="F2F2F2" w:themeFill="background1" w:themeFillShade="F2"/>
          </w:tcPr>
          <w:p w14:paraId="5835C6A2" w14:textId="77777777" w:rsidR="00166DB1" w:rsidRPr="00166DB1" w:rsidRDefault="00166DB1" w:rsidP="0006633E">
            <w:pPr>
              <w:pStyle w:val="TableCopy"/>
            </w:pPr>
          </w:p>
        </w:tc>
        <w:tc>
          <w:tcPr>
            <w:tcW w:w="1000" w:type="pct"/>
            <w:shd w:val="clear" w:color="auto" w:fill="F2F2F2" w:themeFill="background1" w:themeFillShade="F2"/>
          </w:tcPr>
          <w:p w14:paraId="2212240C"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 xml:space="preserve">Undertake consultations with Aboriginal and Torres Strait Islander communities and peak </w:t>
            </w:r>
            <w:r w:rsidRPr="00166DB1">
              <w:lastRenderedPageBreak/>
              <w:t>body stakeholders (i.e. the National Aboriginal Community Controlled Health Organisation, NACCHO) to assess whether the program meets the needs of the community.</w:t>
            </w:r>
          </w:p>
        </w:tc>
        <w:tc>
          <w:tcPr>
            <w:tcW w:w="1000" w:type="pct"/>
            <w:shd w:val="clear" w:color="auto" w:fill="F2F2F2" w:themeFill="background1" w:themeFillShade="F2"/>
          </w:tcPr>
          <w:p w14:paraId="2CFDA91E"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lastRenderedPageBreak/>
              <w:t xml:space="preserve">Best practice approach in developing and implementing programs to support Aboriginal </w:t>
            </w:r>
            <w:r w:rsidRPr="00166DB1">
              <w:lastRenderedPageBreak/>
              <w:t>and Torres Strait Islander individuals and communities.</w:t>
            </w:r>
          </w:p>
          <w:p w14:paraId="1A4DA5B0"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Support from communities and peak body organisations may increase awareness and access to the program.</w:t>
            </w:r>
          </w:p>
        </w:tc>
        <w:tc>
          <w:tcPr>
            <w:tcW w:w="1000" w:type="pct"/>
            <w:shd w:val="clear" w:color="auto" w:fill="F2F2F2" w:themeFill="background1" w:themeFillShade="F2"/>
          </w:tcPr>
          <w:p w14:paraId="2FDA16D9"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lastRenderedPageBreak/>
              <w:t>None identified.</w:t>
            </w:r>
          </w:p>
        </w:tc>
        <w:tc>
          <w:tcPr>
            <w:tcW w:w="1000" w:type="pct"/>
            <w:shd w:val="clear" w:color="auto" w:fill="F2F2F2" w:themeFill="background1" w:themeFillShade="F2"/>
          </w:tcPr>
          <w:p w14:paraId="5CAB485D"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The program better meets the needs of Aboriginal and Torres Strait Islander communities.</w:t>
            </w:r>
          </w:p>
          <w:p w14:paraId="32040734"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lastRenderedPageBreak/>
              <w:t xml:space="preserve">Increase awareness and access to the program. </w:t>
            </w:r>
          </w:p>
        </w:tc>
      </w:tr>
      <w:tr w:rsidR="00166DB1" w:rsidRPr="00166DB1" w14:paraId="0D75E963"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val="restart"/>
            <w:shd w:val="clear" w:color="auto" w:fill="F2F2F2" w:themeFill="background1" w:themeFillShade="F2"/>
          </w:tcPr>
          <w:p w14:paraId="79E78402" w14:textId="77777777" w:rsidR="00166DB1" w:rsidRPr="00166DB1" w:rsidRDefault="00166DB1" w:rsidP="0006633E">
            <w:pPr>
              <w:pStyle w:val="TableCopy"/>
            </w:pPr>
            <w:r w:rsidRPr="00166DB1">
              <w:lastRenderedPageBreak/>
              <w:t>Aboriginal and Torres Strait Islander Pharmacy Scholarship Scheme</w:t>
            </w:r>
          </w:p>
        </w:tc>
        <w:tc>
          <w:tcPr>
            <w:tcW w:w="1000" w:type="pct"/>
            <w:shd w:val="clear" w:color="auto" w:fill="F2F2F2" w:themeFill="background1" w:themeFillShade="F2"/>
          </w:tcPr>
          <w:p w14:paraId="41C02E1F"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 xml:space="preserve">Increase the number of scholarships offered each year. </w:t>
            </w:r>
          </w:p>
        </w:tc>
        <w:tc>
          <w:tcPr>
            <w:tcW w:w="1000" w:type="pct"/>
            <w:shd w:val="clear" w:color="auto" w:fill="F2F2F2" w:themeFill="background1" w:themeFillShade="F2"/>
          </w:tcPr>
          <w:p w14:paraId="04B63C99"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May lead to increased registrations of Aboriginal and Torres Strait Islander pharmacists. </w:t>
            </w:r>
          </w:p>
        </w:tc>
        <w:tc>
          <w:tcPr>
            <w:tcW w:w="1000" w:type="pct"/>
            <w:shd w:val="clear" w:color="auto" w:fill="F2F2F2" w:themeFill="background1" w:themeFillShade="F2"/>
          </w:tcPr>
          <w:p w14:paraId="5E3F6B2F"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Will increase the cost of the program. </w:t>
            </w:r>
          </w:p>
        </w:tc>
        <w:tc>
          <w:tcPr>
            <w:tcW w:w="1000" w:type="pct"/>
            <w:shd w:val="clear" w:color="auto" w:fill="F2F2F2" w:themeFill="background1" w:themeFillShade="F2"/>
          </w:tcPr>
          <w:p w14:paraId="41FFCD5B"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Increase in the number of qualified Aboriginal and Torres Strait Islander pharmacists. </w:t>
            </w:r>
          </w:p>
        </w:tc>
      </w:tr>
      <w:tr w:rsidR="00166DB1" w:rsidRPr="00166DB1" w14:paraId="1C22AA9E"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shd w:val="clear" w:color="auto" w:fill="F2F2F2" w:themeFill="background1" w:themeFillShade="F2"/>
          </w:tcPr>
          <w:p w14:paraId="7F873FD2" w14:textId="77777777" w:rsidR="00166DB1" w:rsidRPr="00166DB1" w:rsidRDefault="00166DB1" w:rsidP="0006633E">
            <w:pPr>
              <w:pStyle w:val="TableCopy"/>
            </w:pPr>
          </w:p>
        </w:tc>
        <w:tc>
          <w:tcPr>
            <w:tcW w:w="1000" w:type="pct"/>
            <w:shd w:val="clear" w:color="auto" w:fill="F2F2F2" w:themeFill="background1" w:themeFillShade="F2"/>
          </w:tcPr>
          <w:p w14:paraId="02A858B9"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Supplement Scheme with a pathway program to assist students without the requisite academic score to access alternate entry to university.</w:t>
            </w:r>
          </w:p>
        </w:tc>
        <w:tc>
          <w:tcPr>
            <w:tcW w:w="1000" w:type="pct"/>
            <w:shd w:val="clear" w:color="auto" w:fill="F2F2F2" w:themeFill="background1" w:themeFillShade="F2"/>
          </w:tcPr>
          <w:p w14:paraId="0F606762"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Builds capacity of Aboriginal and Torres Strait Islander students. </w:t>
            </w:r>
          </w:p>
        </w:tc>
        <w:tc>
          <w:tcPr>
            <w:tcW w:w="1000" w:type="pct"/>
            <w:shd w:val="clear" w:color="auto" w:fill="F2F2F2" w:themeFill="background1" w:themeFillShade="F2"/>
          </w:tcPr>
          <w:p w14:paraId="006ADA99"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Will require investigation to identify any existing pathway schemes or additional funding to implement a new support scheme. </w:t>
            </w:r>
          </w:p>
        </w:tc>
        <w:tc>
          <w:tcPr>
            <w:tcW w:w="1000" w:type="pct"/>
            <w:shd w:val="clear" w:color="auto" w:fill="F2F2F2" w:themeFill="background1" w:themeFillShade="F2"/>
          </w:tcPr>
          <w:p w14:paraId="1E50C858"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 xml:space="preserve">Increase in the number of Aboriginal and Torres Strait Islander students enrolled in a pharmacy course. </w:t>
            </w:r>
          </w:p>
        </w:tc>
      </w:tr>
      <w:tr w:rsidR="00166DB1" w:rsidRPr="00166DB1" w14:paraId="5383A725" w14:textId="77777777" w:rsidTr="0006633E">
        <w:tc>
          <w:tcPr>
            <w:cnfStyle w:val="001000000000" w:firstRow="0" w:lastRow="0" w:firstColumn="1" w:lastColumn="0" w:oddVBand="0" w:evenVBand="0" w:oddHBand="0" w:evenHBand="0" w:firstRowFirstColumn="0" w:firstRowLastColumn="0" w:lastRowFirstColumn="0" w:lastRowLastColumn="0"/>
            <w:tcW w:w="1000" w:type="pct"/>
            <w:vMerge/>
            <w:shd w:val="clear" w:color="auto" w:fill="F2F2F2" w:themeFill="background1" w:themeFillShade="F2"/>
          </w:tcPr>
          <w:p w14:paraId="78F83BC9" w14:textId="77777777" w:rsidR="00166DB1" w:rsidRPr="00166DB1" w:rsidRDefault="00166DB1" w:rsidP="0006633E">
            <w:pPr>
              <w:pStyle w:val="TableCopy"/>
            </w:pPr>
          </w:p>
        </w:tc>
        <w:tc>
          <w:tcPr>
            <w:tcW w:w="1000" w:type="pct"/>
            <w:shd w:val="clear" w:color="auto" w:fill="F2F2F2" w:themeFill="background1" w:themeFillShade="F2"/>
          </w:tcPr>
          <w:p w14:paraId="661A820B" w14:textId="77777777" w:rsidR="00166DB1" w:rsidRPr="00166DB1" w:rsidRDefault="00166DB1" w:rsidP="009B60C3">
            <w:pPr>
              <w:pStyle w:val="TableNumbers1"/>
              <w:cnfStyle w:val="000000000000" w:firstRow="0" w:lastRow="0" w:firstColumn="0" w:lastColumn="0" w:oddVBand="0" w:evenVBand="0" w:oddHBand="0" w:evenHBand="0" w:firstRowFirstColumn="0" w:firstRowLastColumn="0" w:lastRowFirstColumn="0" w:lastRowLastColumn="0"/>
            </w:pPr>
            <w:r w:rsidRPr="00166DB1">
              <w:t>Undertake consultations with Aboriginal and Torres Strait Islander communities and peak body stakeholders (i.e. NACCHO) to assess whether the program meets the needs of the community.</w:t>
            </w:r>
          </w:p>
        </w:tc>
        <w:tc>
          <w:tcPr>
            <w:tcW w:w="1000" w:type="pct"/>
            <w:shd w:val="clear" w:color="auto" w:fill="F2F2F2" w:themeFill="background1" w:themeFillShade="F2"/>
          </w:tcPr>
          <w:p w14:paraId="21FBD782"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Best practice approach in developing and implementing programs to support Aboriginal and Torres Strait Islander individuals and communities.</w:t>
            </w:r>
          </w:p>
          <w:p w14:paraId="55876533"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Support from communities and peak body organisations may increase awareness and access to the program.</w:t>
            </w:r>
          </w:p>
        </w:tc>
        <w:tc>
          <w:tcPr>
            <w:tcW w:w="1000" w:type="pct"/>
            <w:shd w:val="clear" w:color="auto" w:fill="F2F2F2" w:themeFill="background1" w:themeFillShade="F2"/>
          </w:tcPr>
          <w:p w14:paraId="4642409A"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None identified.</w:t>
            </w:r>
          </w:p>
        </w:tc>
        <w:tc>
          <w:tcPr>
            <w:tcW w:w="1000" w:type="pct"/>
            <w:shd w:val="clear" w:color="auto" w:fill="F2F2F2" w:themeFill="background1" w:themeFillShade="F2"/>
          </w:tcPr>
          <w:p w14:paraId="76B51D13"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The program better meets the needs of Aboriginal and Torres Strait Islander communities.</w:t>
            </w:r>
          </w:p>
          <w:p w14:paraId="1D294689" w14:textId="77777777" w:rsidR="00166DB1" w:rsidRPr="00166DB1" w:rsidRDefault="00166DB1" w:rsidP="009B60C3">
            <w:pPr>
              <w:pStyle w:val="TableBullets1"/>
              <w:cnfStyle w:val="000000000000" w:firstRow="0" w:lastRow="0" w:firstColumn="0" w:lastColumn="0" w:oddVBand="0" w:evenVBand="0" w:oddHBand="0" w:evenHBand="0" w:firstRowFirstColumn="0" w:firstRowLastColumn="0" w:lastRowFirstColumn="0" w:lastRowLastColumn="0"/>
            </w:pPr>
            <w:r w:rsidRPr="00166DB1">
              <w:t>Increase awareness and access to the program.</w:t>
            </w:r>
          </w:p>
        </w:tc>
      </w:tr>
    </w:tbl>
    <w:p w14:paraId="7CB02B2D" w14:textId="77777777" w:rsidR="00166DB1" w:rsidRPr="00166DB1" w:rsidRDefault="00166DB1" w:rsidP="00166DB1">
      <w:pPr>
        <w:spacing w:before="85" w:after="85"/>
        <w:rPr>
          <w:rFonts w:ascii="Garamond" w:eastAsia="Garamond" w:hAnsi="Garamond"/>
          <w:color w:val="000000"/>
        </w:rPr>
      </w:pPr>
    </w:p>
    <w:p w14:paraId="0D755D67" w14:textId="77777777" w:rsidR="00166DB1" w:rsidRPr="00166DB1" w:rsidRDefault="00166DB1" w:rsidP="00166DB1">
      <w:pPr>
        <w:spacing w:before="85" w:after="85"/>
        <w:rPr>
          <w:rFonts w:ascii="Garamond" w:eastAsia="Garamond" w:hAnsi="Garamond"/>
          <w:color w:val="000000"/>
        </w:rPr>
        <w:sectPr w:rsidR="00166DB1" w:rsidRPr="00166DB1" w:rsidSect="00EB4D7E">
          <w:pgSz w:w="16839" w:h="11907" w:orient="landscape" w:code="9"/>
          <w:pgMar w:top="2127" w:right="1304" w:bottom="850" w:left="737" w:header="567" w:footer="284" w:gutter="0"/>
          <w:cols w:space="709"/>
          <w:docGrid w:linePitch="360"/>
        </w:sectPr>
      </w:pPr>
    </w:p>
    <w:p w14:paraId="6A8CFC3A" w14:textId="77777777" w:rsidR="00166DB1" w:rsidRPr="00BF753C" w:rsidRDefault="00166DB1" w:rsidP="00BF753C">
      <w:pPr>
        <w:pStyle w:val="ESHeading3"/>
        <w:spacing w:before="120"/>
      </w:pPr>
      <w:bookmarkStart w:id="128" w:name="_Ref488248505"/>
      <w:bookmarkStart w:id="129" w:name="_Toc490574950"/>
      <w:r w:rsidRPr="00BF753C">
        <w:lastRenderedPageBreak/>
        <w:t>Option 2: Removal of PhARIA restrictions</w:t>
      </w:r>
      <w:bookmarkEnd w:id="128"/>
      <w:bookmarkEnd w:id="129"/>
      <w:r w:rsidRPr="00BF753C">
        <w:t xml:space="preserve"> </w:t>
      </w:r>
    </w:p>
    <w:p w14:paraId="3DB525AC"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PhARIA is a tool used to determine rural and remote location eligible for the Pharmacy Workforce Programs. PhARIA is a composite index incorporating the geographic distance from major cities determined by the Accessibility / Remoteness Index for Australia (ARIA) and a professional isolation component represented by the road distance to the five closest pharmacies.</w:t>
      </w:r>
      <w:sdt>
        <w:sdtPr>
          <w:rPr>
            <w:rFonts w:ascii="Garamond" w:eastAsia="Garamond" w:hAnsi="Garamond"/>
            <w:color w:val="000000"/>
          </w:rPr>
          <w:id w:val="-1639173825"/>
          <w:citation/>
        </w:sdtPr>
        <w:sdtEndPr/>
        <w:sdtContent>
          <w:r w:rsidRPr="00166DB1">
            <w:rPr>
              <w:rFonts w:ascii="Garamond" w:eastAsia="Garamond" w:hAnsi="Garamond"/>
              <w:color w:val="000000"/>
            </w:rPr>
            <w:fldChar w:fldCharType="begin"/>
          </w:r>
          <w:r w:rsidRPr="00166DB1">
            <w:rPr>
              <w:rFonts w:ascii="Garamond" w:eastAsia="Garamond" w:hAnsi="Garamond"/>
              <w:color w:val="000000"/>
            </w:rPr>
            <w:instrText xml:space="preserve"> CITATION Uni17 \l 3081 </w:instrText>
          </w:r>
          <w:r w:rsidRPr="00166DB1">
            <w:rPr>
              <w:rFonts w:ascii="Garamond" w:eastAsia="Garamond" w:hAnsi="Garamond"/>
              <w:color w:val="000000"/>
            </w:rPr>
            <w:fldChar w:fldCharType="separate"/>
          </w:r>
          <w:r w:rsidRPr="00166DB1">
            <w:rPr>
              <w:rFonts w:ascii="Garamond" w:eastAsia="Garamond" w:hAnsi="Garamond"/>
              <w:noProof/>
              <w:color w:val="000000"/>
            </w:rPr>
            <w:t xml:space="preserve"> [8]</w:t>
          </w:r>
          <w:r w:rsidRPr="00166DB1">
            <w:rPr>
              <w:rFonts w:ascii="Garamond" w:eastAsia="Garamond" w:hAnsi="Garamond"/>
              <w:color w:val="000000"/>
            </w:rPr>
            <w:fldChar w:fldCharType="end"/>
          </w:r>
        </w:sdtContent>
      </w:sdt>
      <w:r w:rsidRPr="00166DB1">
        <w:rPr>
          <w:rFonts w:ascii="Garamond" w:eastAsia="Garamond" w:hAnsi="Garamond"/>
          <w:color w:val="000000"/>
        </w:rPr>
        <w:t xml:space="preserve"> </w:t>
      </w:r>
    </w:p>
    <w:p w14:paraId="697300D6"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use of the PhARIA to classify eligible rural locations has resulted in complications for a number of programs, including the Rural Pharmacy Scholarship Scheme, the Rural Pharmacy Student Placement Allowance, the Rural Intern Incentive Program, the Continuing Professional Education Allowance and the Intern Incentive Allowance for Rural Pharmacies and Extension Program. Several of these programs aim to alleviate the financial burden experienced by pharmacy students or pharmacists who must travel to attend training or other professional experiences. Applying the PhARIA system to these programs excludes pharmacists or students travelling between PhARIA 1 locations in regional areas and major cities. As a consequence, pharmacy staff in inner regional areas are often excluded from benefitting from the Pharmacy Workforce Program because of the application of the PhARIA 2 or higher location rule. PhARIA 1 locations are excluded, even though some of these locations may experience significant workforce shortages.</w:t>
      </w:r>
    </w:p>
    <w:p w14:paraId="7BF40B46"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Other options for determining rurality of an applicant could include the </w:t>
      </w:r>
      <w:r w:rsidRPr="00166DB1">
        <w:rPr>
          <w:rFonts w:ascii="Garamond" w:eastAsia="Garamond" w:hAnsi="Garamond"/>
          <w:i/>
          <w:color w:val="000000"/>
        </w:rPr>
        <w:t>Modified Monash Model</w:t>
      </w:r>
      <w:r w:rsidRPr="00166DB1">
        <w:rPr>
          <w:rFonts w:ascii="Garamond" w:eastAsia="Garamond" w:hAnsi="Garamond"/>
          <w:color w:val="000000"/>
        </w:rPr>
        <w:t>, which was developed recently and will be adopted by the Department of Health for other health workforce programs including the Bonded Medical Places Scheme.</w:t>
      </w:r>
      <w:sdt>
        <w:sdtPr>
          <w:rPr>
            <w:rFonts w:ascii="Garamond" w:eastAsia="Garamond" w:hAnsi="Garamond"/>
            <w:color w:val="000000"/>
          </w:rPr>
          <w:id w:val="57983622"/>
          <w:citation/>
        </w:sdtPr>
        <w:sdtEndPr/>
        <w:sdtContent>
          <w:r w:rsidRPr="00166DB1">
            <w:rPr>
              <w:rFonts w:ascii="Garamond" w:eastAsia="Garamond" w:hAnsi="Garamond"/>
              <w:color w:val="000000"/>
            </w:rPr>
            <w:fldChar w:fldCharType="begin"/>
          </w:r>
          <w:r w:rsidRPr="00166DB1">
            <w:rPr>
              <w:rFonts w:ascii="Garamond" w:eastAsia="Garamond" w:hAnsi="Garamond"/>
              <w:color w:val="000000"/>
            </w:rPr>
            <w:instrText xml:space="preserve"> CITATION Depp16 \l 3081 </w:instrText>
          </w:r>
          <w:r w:rsidRPr="00166DB1">
            <w:rPr>
              <w:rFonts w:ascii="Garamond" w:eastAsia="Garamond" w:hAnsi="Garamond"/>
              <w:color w:val="000000"/>
            </w:rPr>
            <w:fldChar w:fldCharType="separate"/>
          </w:r>
          <w:r w:rsidRPr="00166DB1">
            <w:rPr>
              <w:rFonts w:ascii="Garamond" w:eastAsia="Garamond" w:hAnsi="Garamond"/>
              <w:noProof/>
              <w:color w:val="000000"/>
            </w:rPr>
            <w:t xml:space="preserve"> [9]</w:t>
          </w:r>
          <w:r w:rsidRPr="00166DB1">
            <w:rPr>
              <w:rFonts w:ascii="Garamond" w:eastAsia="Garamond" w:hAnsi="Garamond"/>
              <w:color w:val="000000"/>
            </w:rPr>
            <w:fldChar w:fldCharType="end"/>
          </w:r>
        </w:sdtContent>
      </w:sdt>
      <w:r w:rsidRPr="00166DB1">
        <w:rPr>
          <w:rFonts w:ascii="Garamond" w:eastAsia="Garamond" w:hAnsi="Garamond"/>
          <w:color w:val="000000"/>
        </w:rPr>
        <w:t xml:space="preserve"> The Modified Monash Model is based on geographic remoteness and population data and is considered to be more up-to-date than other models including the ARIA or the Australian Statistical Geographic Standard – Remoteness Areas (ASGC – RA). </w:t>
      </w:r>
    </w:p>
    <w:p w14:paraId="5C616E18" w14:textId="5458551E" w:rsidR="00166DB1" w:rsidRPr="00BF753C" w:rsidRDefault="00166DB1" w:rsidP="00BF753C">
      <w:pPr>
        <w:pStyle w:val="ESHeading3"/>
        <w:spacing w:before="120"/>
      </w:pPr>
      <w:bookmarkStart w:id="130" w:name="_Toc490574951"/>
      <w:r w:rsidRPr="00BF753C">
        <w:t>Option 3: Moderate restructure of programs</w:t>
      </w:r>
      <w:bookmarkEnd w:id="130"/>
    </w:p>
    <w:p w14:paraId="20C97DB1"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A moderate restructure of programs would allow for the inclusion of different types of workforce programs to further assist workforce growth in rural and remote areas.</w:t>
      </w:r>
    </w:p>
    <w:p w14:paraId="6CE7A326"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Existing recruitment programs only target new graduates. Consequently, other avenues for potential recruits, such as qualified pharmacists in major cities or overseas trained pharmacists, have not been explored. </w:t>
      </w:r>
    </w:p>
    <w:p w14:paraId="0D6ADD52"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Relocation grants are one type of program used by other health professions to attract qualified staff to move from major cities, or even from inner / outer regional areas to more remote locations. Until July 2015, GPs were able to access a relocation program, which may have contributed to the relative high FTE rate of GPs in remote areas. Similarly, since July 2013 and until recently, dentists were able to access relocation and infrastructure grants to move to rural areas. This program correlated with significant growth in the dentistry workforce in rural and remote areas between 2013 and 2015.  </w:t>
      </w:r>
    </w:p>
    <w:p w14:paraId="57B957A6"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Additionally, GP incentive programs include incentives for overseas trained GPs to work in remote or difficult-to-recruit locations. If workforce shortages continue to be a barrier to medicine access in remote locations, a similar program for overseas trained pharmacists could be an option for consideration. </w:t>
      </w:r>
    </w:p>
    <w:p w14:paraId="7C64525E"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Other types of retention programs could also be explored such as assistance with small business operations (e.g. accounting, new infrastructure), assistance or flexible legislation for single pharmacist areas or professional networking opportunities. Expansion and modification to existing retention programs could also result in additional activity as discussed in options 1 and 2. </w:t>
      </w:r>
    </w:p>
    <w:p w14:paraId="2FB8E2E6"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Increasing the capacity of the RPLOs to include greater support for the existing workforce may ease challenges experienced by pharmacists in rural and remote locations (at present, program rules require RPLOs to support students on placements coordinated through UDRHs).</w:t>
      </w:r>
    </w:p>
    <w:p w14:paraId="62E56A0B"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Significant investment in additional programs and program modification could be required to implement any of the changes referred to in Option 3.</w:t>
      </w:r>
    </w:p>
    <w:p w14:paraId="162215B2" w14:textId="3DC89DBE" w:rsidR="00166DB1" w:rsidRPr="00166DB1" w:rsidRDefault="00166DB1" w:rsidP="00BF753C">
      <w:pPr>
        <w:pStyle w:val="ESHeading3"/>
        <w:spacing w:before="120"/>
      </w:pPr>
      <w:bookmarkStart w:id="131" w:name="_Toc490574952"/>
      <w:r w:rsidRPr="00166DB1">
        <w:t>Option 4: Major restructure of programs</w:t>
      </w:r>
      <w:bookmarkEnd w:id="131"/>
    </w:p>
    <w:p w14:paraId="34A6FE25"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A major restructure of the Pharmacy Workforce Programs would be to cease existing programs, and divert all current investment into a program that could provide greater support pharmacists in targeted geographic locations, e.g. outer </w:t>
      </w:r>
      <w:r w:rsidRPr="00166DB1">
        <w:rPr>
          <w:rFonts w:ascii="Garamond" w:eastAsia="Garamond" w:hAnsi="Garamond"/>
          <w:color w:val="000000"/>
        </w:rPr>
        <w:lastRenderedPageBreak/>
        <w:t>regional or remote areas. The funding could be tiered based on rurality to reflect the additional challenges and costs associated with working in these locations. One mechanism to implement this type of model would be to merge the funds into the existing Rural Pharmacy Maintenance Allowance.</w:t>
      </w:r>
    </w:p>
    <w:p w14:paraId="057098ED" w14:textId="5BC64A98"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However, as the funding for the Pharmacy Workforce Programs is relatively small, the effect of such a restructure would be minimal at the individual pharmacy level. It could also create frustration for many pharmacists who would no longer receive access to allowances such as the CPE Allowance (the Rural Pharmacy Maintenance Allowance is paid to pharmacy owners).</w:t>
      </w:r>
    </w:p>
    <w:p w14:paraId="4BA77A83"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A final variant under option 4 would be to substantially increase the value of individual payments under each of the programs, e.g. double the value of a student scholarship or mentorship payments. This would require a substantial investment of funds but the consequent increased take-up could lead to willingness of the pharmacy workforce to work or remain in rural and remote areas.</w:t>
      </w:r>
    </w:p>
    <w:p w14:paraId="7313D931" w14:textId="36A216DB" w:rsidR="00166DB1" w:rsidRPr="00166DB1" w:rsidRDefault="00166DB1" w:rsidP="00B24642">
      <w:pPr>
        <w:pStyle w:val="Heading2"/>
      </w:pPr>
      <w:bookmarkStart w:id="132" w:name="_Toc490574953"/>
      <w:bookmarkStart w:id="133" w:name="_Toc523322086"/>
      <w:r w:rsidRPr="00166DB1">
        <w:t>Conclusion</w:t>
      </w:r>
      <w:bookmarkEnd w:id="132"/>
      <w:bookmarkEnd w:id="133"/>
    </w:p>
    <w:p w14:paraId="5B801254" w14:textId="77777777" w:rsidR="00166DB1" w:rsidRPr="00166DB1" w:rsidRDefault="00166DB1" w:rsidP="00166DB1">
      <w:pPr>
        <w:keepNext/>
        <w:spacing w:before="85" w:after="85"/>
        <w:rPr>
          <w:rFonts w:ascii="Garamond" w:eastAsia="Garamond" w:hAnsi="Garamond"/>
          <w:color w:val="000000"/>
        </w:rPr>
      </w:pPr>
      <w:r w:rsidRPr="00166DB1">
        <w:rPr>
          <w:rFonts w:ascii="Garamond" w:eastAsia="Garamond" w:hAnsi="Garamond"/>
          <w:color w:val="000000"/>
        </w:rPr>
        <w:t>The Pharmacy Workforce Programs have had a negligible impact at a macro level when measured against growing the rural and remote pharmacy workforce. However, they are perceived to be useful by individual recipients and this may have slowed a potential decline in rural pharmacist numbers at the margin. In order for the Pharmacy Workforce Package to have a greater impact on the rural and remote pharmacy workforce, a greater investment is required. Additionally, modifications to the programs could be made:</w:t>
      </w:r>
    </w:p>
    <w:p w14:paraId="5B4BFF26" w14:textId="77777777" w:rsidR="00166DB1" w:rsidRPr="0006633E" w:rsidRDefault="00166DB1" w:rsidP="009F66FB">
      <w:pPr>
        <w:pStyle w:val="ListParagraph"/>
        <w:keepNext/>
        <w:keepLines/>
        <w:numPr>
          <w:ilvl w:val="0"/>
          <w:numId w:val="25"/>
        </w:numPr>
        <w:tabs>
          <w:tab w:val="num" w:pos="170"/>
        </w:tabs>
        <w:spacing w:before="20" w:after="20"/>
        <w:rPr>
          <w:rFonts w:ascii="Garamond" w:eastAsia="Times New Roman" w:hAnsi="Garamond"/>
          <w:color w:val="000000"/>
        </w:rPr>
      </w:pPr>
      <w:r w:rsidRPr="0006633E">
        <w:rPr>
          <w:rFonts w:ascii="Garamond" w:eastAsia="Times New Roman" w:hAnsi="Garamond"/>
          <w:color w:val="000000"/>
        </w:rPr>
        <w:t>via minor adjustments (see Option 1), or</w:t>
      </w:r>
    </w:p>
    <w:p w14:paraId="0D883E75" w14:textId="1AD44DAA" w:rsidR="00166DB1" w:rsidRPr="0006633E" w:rsidRDefault="00166DB1" w:rsidP="009F66FB">
      <w:pPr>
        <w:pStyle w:val="ListParagraph"/>
        <w:keepNext/>
        <w:keepLines/>
        <w:numPr>
          <w:ilvl w:val="0"/>
          <w:numId w:val="25"/>
        </w:numPr>
        <w:tabs>
          <w:tab w:val="num" w:pos="170"/>
        </w:tabs>
        <w:spacing w:before="20" w:after="20"/>
        <w:rPr>
          <w:rFonts w:ascii="Garamond" w:eastAsia="Times New Roman" w:hAnsi="Garamond"/>
          <w:color w:val="000000"/>
        </w:rPr>
      </w:pPr>
      <w:r w:rsidRPr="0006633E">
        <w:rPr>
          <w:rFonts w:ascii="Garamond" w:eastAsia="Times New Roman" w:hAnsi="Garamond"/>
          <w:color w:val="000000"/>
        </w:rPr>
        <w:t xml:space="preserve">through a major restructure that would improve program effectiveness and reach. </w:t>
      </w:r>
    </w:p>
    <w:p w14:paraId="463FB2F0" w14:textId="77777777" w:rsidR="00281DD2" w:rsidRDefault="00166DB1" w:rsidP="00166DB1">
      <w:pPr>
        <w:spacing w:before="85" w:after="85"/>
        <w:rPr>
          <w:rFonts w:ascii="Garamond" w:eastAsia="Garamond" w:hAnsi="Garamond"/>
          <w:color w:val="000000"/>
        </w:rPr>
        <w:sectPr w:rsidR="00281DD2" w:rsidSect="00720069">
          <w:pgSz w:w="16839" w:h="11907" w:orient="landscape" w:code="9"/>
          <w:pgMar w:top="2268" w:right="1304" w:bottom="850" w:left="737" w:header="567" w:footer="284" w:gutter="0"/>
          <w:cols w:num="2" w:space="709"/>
          <w:docGrid w:linePitch="360"/>
        </w:sectPr>
      </w:pPr>
      <w:r w:rsidRPr="00166DB1">
        <w:rPr>
          <w:rFonts w:ascii="Garamond" w:eastAsia="Garamond" w:hAnsi="Garamond"/>
          <w:color w:val="000000"/>
        </w:rPr>
        <w:t>Alternatively, consideration could be given to a major change in the value of individual grant values.</w:t>
      </w:r>
    </w:p>
    <w:p w14:paraId="5368350A" w14:textId="5FC79440" w:rsidR="00281DD2" w:rsidRPr="0068689E" w:rsidRDefault="00281DD2" w:rsidP="009F66FB">
      <w:pPr>
        <w:pStyle w:val="Heading1"/>
        <w:rPr>
          <w:lang w:val="en-US"/>
        </w:rPr>
      </w:pPr>
      <w:bookmarkStart w:id="134" w:name="_Toc490574955"/>
      <w:bookmarkStart w:id="135" w:name="_Toc523322087"/>
      <w:bookmarkStart w:id="136" w:name="_Ref488151659"/>
      <w:bookmarkEnd w:id="134"/>
      <w:r w:rsidRPr="0068689E">
        <w:rPr>
          <w:lang w:val="en-US"/>
        </w:rPr>
        <w:lastRenderedPageBreak/>
        <w:t>Appendices</w:t>
      </w:r>
      <w:bookmarkEnd w:id="135"/>
    </w:p>
    <w:p w14:paraId="0CF84944" w14:textId="118C1595" w:rsidR="00166DB1" w:rsidRPr="00166DB1" w:rsidRDefault="00166DB1" w:rsidP="009F66FB">
      <w:pPr>
        <w:pStyle w:val="HeadingAppendix2"/>
      </w:pPr>
      <w:bookmarkStart w:id="137" w:name="_Toc523322088"/>
      <w:r w:rsidRPr="00166DB1">
        <w:t>Historical Evolution of Program Objectives</w:t>
      </w:r>
      <w:bookmarkEnd w:id="137"/>
    </w:p>
    <w:p w14:paraId="2C1F7505" w14:textId="77777777" w:rsidR="00166DB1" w:rsidRPr="00166DB1" w:rsidRDefault="00166DB1" w:rsidP="009F66FB">
      <w:pPr>
        <w:pStyle w:val="ESHeading3"/>
      </w:pPr>
      <w:bookmarkStart w:id="138" w:name="_Toc490574956"/>
      <w:r w:rsidRPr="00166DB1">
        <w:t>Objectives of the Pharmacy Workforce Programs at a Package Level – Historical Evolution</w:t>
      </w:r>
      <w:bookmarkEnd w:id="138"/>
      <w:r w:rsidRPr="00166DB1">
        <w:t xml:space="preserve"> </w:t>
      </w:r>
    </w:p>
    <w:p w14:paraId="4DD906F3"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main elements of the Pharmacy Workforce Programs were first implemented under the Third Community Pharmacy Agreement (3CPA) in 2000 and were then known as the Rural Pharmacy Workforce Development Programs. The objective at that time at a package level was described as being to:</w:t>
      </w:r>
    </w:p>
    <w:p w14:paraId="19EC72B8" w14:textId="77777777" w:rsidR="00166DB1" w:rsidRPr="00166DB1" w:rsidRDefault="00166DB1" w:rsidP="00166DB1">
      <w:pPr>
        <w:spacing w:before="85" w:after="85"/>
        <w:ind w:left="284" w:right="284"/>
        <w:rPr>
          <w:rFonts w:ascii="Times New Roman" w:eastAsia="Garamond" w:hAnsi="Times New Roman"/>
          <w:i/>
          <w:iCs/>
          <w:color w:val="000000"/>
          <w:sz w:val="20"/>
        </w:rPr>
      </w:pPr>
      <w:r w:rsidRPr="00166DB1">
        <w:rPr>
          <w:rFonts w:ascii="Times New Roman" w:eastAsia="Garamond" w:hAnsi="Times New Roman"/>
          <w:i/>
          <w:iCs/>
          <w:color w:val="000000"/>
          <w:sz w:val="20"/>
        </w:rPr>
        <w:t>‘increase access to community pharmacies for persons in rural and remote regions of Australia’</w:t>
      </w:r>
    </w:p>
    <w:p w14:paraId="1EF9B98A"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In order to achieve this objective, the Rural Pharmacy Workforce Development Program was established. It was stated in the 3CPA that:</w:t>
      </w:r>
    </w:p>
    <w:p w14:paraId="6D4F9B8D" w14:textId="77777777" w:rsidR="00166DB1" w:rsidRPr="00166DB1" w:rsidRDefault="00166DB1" w:rsidP="00166DB1">
      <w:pPr>
        <w:spacing w:before="85" w:after="85"/>
        <w:ind w:left="284" w:right="284"/>
        <w:rPr>
          <w:rFonts w:ascii="Times New Roman" w:eastAsia="Garamond" w:hAnsi="Times New Roman"/>
          <w:i/>
          <w:iCs/>
          <w:color w:val="000000"/>
          <w:sz w:val="20"/>
        </w:rPr>
      </w:pPr>
      <w:r w:rsidRPr="00166DB1">
        <w:rPr>
          <w:rFonts w:ascii="Times New Roman" w:eastAsia="Garamond" w:hAnsi="Times New Roman"/>
          <w:i/>
          <w:iCs/>
          <w:color w:val="000000"/>
          <w:sz w:val="20"/>
        </w:rPr>
        <w:t>‘A range of initiatives [will be implemented]</w:t>
      </w:r>
      <w:r w:rsidRPr="00166DB1">
        <w:rPr>
          <w:rFonts w:ascii="Times New Roman" w:eastAsia="Garamond" w:hAnsi="Times New Roman"/>
          <w:b/>
          <w:i/>
          <w:iCs/>
          <w:color w:val="000000"/>
          <w:sz w:val="20"/>
        </w:rPr>
        <w:t xml:space="preserve"> to address the shortage of pharmacists in rural areas</w:t>
      </w:r>
      <w:r w:rsidRPr="00166DB1">
        <w:rPr>
          <w:rFonts w:ascii="Times New Roman" w:eastAsia="Garamond" w:hAnsi="Times New Roman"/>
          <w:i/>
          <w:iCs/>
          <w:color w:val="000000"/>
          <w:sz w:val="20"/>
        </w:rPr>
        <w:t xml:space="preserve"> [including] an emergency locum scheme; a rural and remote pharmacy infrastructure scheme; an increase in scholarships for pharmacy students from rural and remote areas; funding for pharmacy academic positions in university Departments of Rural Health; expansion of the existing scheme of Continuing Pharmacy Education to improve access for rural and remote pharmacists</w:t>
      </w:r>
      <w:r w:rsidRPr="00166DB1">
        <w:rPr>
          <w:rFonts w:ascii="Times New Roman" w:eastAsia="Garamond" w:hAnsi="Times New Roman"/>
          <w:b/>
          <w:i/>
          <w:iCs/>
          <w:color w:val="000000"/>
          <w:sz w:val="20"/>
        </w:rPr>
        <w:t>; and the identification and recruitment of pharmacists with an Aboriginal or Torres Strait Island background</w:t>
      </w:r>
      <w:r w:rsidRPr="00166DB1">
        <w:rPr>
          <w:rFonts w:ascii="Times New Roman" w:eastAsia="Garamond" w:hAnsi="Times New Roman"/>
          <w:i/>
          <w:iCs/>
          <w:color w:val="000000"/>
          <w:sz w:val="20"/>
        </w:rPr>
        <w:t>.’ [HMA bolding emphasis]</w:t>
      </w:r>
    </w:p>
    <w:p w14:paraId="220F67CF" w14:textId="77777777" w:rsidR="00166DB1" w:rsidRPr="00166DB1" w:rsidRDefault="00166DB1" w:rsidP="00166DB1">
      <w:pPr>
        <w:keepNext/>
        <w:spacing w:before="85" w:after="85"/>
        <w:rPr>
          <w:rFonts w:ascii="Garamond" w:eastAsia="Garamond" w:hAnsi="Garamond"/>
          <w:color w:val="000000"/>
        </w:rPr>
      </w:pPr>
      <w:r w:rsidRPr="00166DB1">
        <w:rPr>
          <w:rFonts w:ascii="Garamond" w:eastAsia="Garamond" w:hAnsi="Garamond"/>
          <w:color w:val="000000"/>
        </w:rPr>
        <w:t xml:space="preserve">The 3CPA did not contain objectives for the individual programs. </w:t>
      </w:r>
    </w:p>
    <w:p w14:paraId="440E4624" w14:textId="77777777" w:rsidR="00166DB1" w:rsidRPr="00166DB1" w:rsidRDefault="00166DB1" w:rsidP="00166DB1">
      <w:pPr>
        <w:keepNext/>
        <w:spacing w:before="85" w:after="85"/>
        <w:rPr>
          <w:rFonts w:ascii="Garamond" w:eastAsia="Garamond" w:hAnsi="Garamond"/>
          <w:color w:val="000000"/>
        </w:rPr>
      </w:pPr>
      <w:r w:rsidRPr="00166DB1">
        <w:rPr>
          <w:rFonts w:ascii="Garamond" w:eastAsia="Garamond" w:hAnsi="Garamond"/>
          <w:color w:val="000000"/>
        </w:rPr>
        <w:t xml:space="preserve">This situation continued for the Fourth and Fifth Agreements, but with a refinement at the package level that referred to increasing access to community pharmacy services. In 2005, the 4CPA Rural Pharmacy Workforce Programs were a </w:t>
      </w:r>
      <w:r w:rsidRPr="00166DB1">
        <w:rPr>
          <w:rFonts w:ascii="Garamond" w:eastAsia="Garamond" w:hAnsi="Garamond"/>
          <w:color w:val="000000"/>
        </w:rPr>
        <w:t>priority under the Rural Pharmacy Allowance and Support component of the Agreement. The aim was described as to:</w:t>
      </w:r>
    </w:p>
    <w:p w14:paraId="72A5BA07" w14:textId="77777777" w:rsidR="00166DB1" w:rsidRPr="00166DB1" w:rsidRDefault="00166DB1" w:rsidP="00166DB1">
      <w:pPr>
        <w:spacing w:before="85" w:after="85"/>
        <w:ind w:left="284" w:right="284"/>
        <w:rPr>
          <w:rFonts w:ascii="Times New Roman" w:eastAsia="Garamond" w:hAnsi="Times New Roman"/>
          <w:i/>
          <w:iCs/>
          <w:color w:val="000000"/>
          <w:sz w:val="20"/>
        </w:rPr>
      </w:pPr>
      <w:r w:rsidRPr="00166DB1">
        <w:rPr>
          <w:rFonts w:ascii="Times New Roman" w:eastAsia="Garamond" w:hAnsi="Times New Roman"/>
          <w:i/>
          <w:iCs/>
          <w:color w:val="000000"/>
          <w:sz w:val="20"/>
        </w:rPr>
        <w:t>‘</w:t>
      </w:r>
      <w:r w:rsidRPr="00166DB1">
        <w:rPr>
          <w:rFonts w:ascii="Times New Roman" w:eastAsia="Garamond" w:hAnsi="Times New Roman"/>
          <w:b/>
          <w:i/>
          <w:iCs/>
          <w:color w:val="000000"/>
          <w:sz w:val="20"/>
        </w:rPr>
        <w:t>Maintain and improve access to quality community pharmacy services for the community in rural and remote areas of Australia</w:t>
      </w:r>
      <w:r w:rsidRPr="00166DB1">
        <w:rPr>
          <w:rFonts w:ascii="Times New Roman" w:eastAsia="Garamond" w:hAnsi="Times New Roman"/>
          <w:i/>
          <w:iCs/>
          <w:color w:val="000000"/>
          <w:sz w:val="20"/>
        </w:rPr>
        <w:t xml:space="preserve"> and to </w:t>
      </w:r>
      <w:r w:rsidRPr="00166DB1">
        <w:rPr>
          <w:rFonts w:ascii="Times New Roman" w:eastAsia="Garamond" w:hAnsi="Times New Roman"/>
          <w:b/>
          <w:i/>
          <w:iCs/>
          <w:color w:val="000000"/>
          <w:sz w:val="20"/>
        </w:rPr>
        <w:t>increase the proportion of the total pharmacy workforce starting practice</w:t>
      </w:r>
      <w:r w:rsidRPr="00166DB1">
        <w:rPr>
          <w:rFonts w:ascii="Times New Roman" w:eastAsia="Garamond" w:hAnsi="Times New Roman"/>
          <w:i/>
          <w:iCs/>
          <w:color w:val="000000"/>
          <w:sz w:val="20"/>
        </w:rPr>
        <w:t xml:space="preserve"> in rural and remote Australia and </w:t>
      </w:r>
      <w:r w:rsidRPr="00166DB1">
        <w:rPr>
          <w:rFonts w:ascii="Times New Roman" w:eastAsia="Garamond" w:hAnsi="Times New Roman"/>
          <w:b/>
          <w:i/>
          <w:iCs/>
          <w:color w:val="000000"/>
          <w:sz w:val="20"/>
        </w:rPr>
        <w:t>staying in rural and remote practice</w:t>
      </w:r>
      <w:r w:rsidRPr="00166DB1">
        <w:rPr>
          <w:rFonts w:ascii="Times New Roman" w:eastAsia="Garamond" w:hAnsi="Times New Roman"/>
          <w:i/>
          <w:iCs/>
          <w:color w:val="000000"/>
          <w:sz w:val="20"/>
        </w:rPr>
        <w:t xml:space="preserve"> for at least five years.’ [HMA bolding emphasis]</w:t>
      </w:r>
    </w:p>
    <w:p w14:paraId="5ADE8E69"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This objective was maintained without change in the 5CPA in 2010. </w:t>
      </w:r>
    </w:p>
    <w:p w14:paraId="270A3354"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In 2015, the 6CPA objectives for the Rural Workforce Package was to:</w:t>
      </w:r>
    </w:p>
    <w:p w14:paraId="4D5FE78B" w14:textId="77777777" w:rsidR="00166DB1" w:rsidRPr="00166DB1" w:rsidRDefault="00166DB1" w:rsidP="00166DB1">
      <w:pPr>
        <w:spacing w:before="85" w:after="85"/>
        <w:ind w:left="284" w:right="284"/>
        <w:rPr>
          <w:rFonts w:ascii="Times New Roman" w:eastAsia="Garamond" w:hAnsi="Times New Roman"/>
          <w:i/>
          <w:iCs/>
          <w:color w:val="000000"/>
          <w:sz w:val="20"/>
        </w:rPr>
      </w:pPr>
      <w:r w:rsidRPr="00166DB1" w:rsidDel="003D4B1E">
        <w:rPr>
          <w:rFonts w:ascii="Times New Roman" w:eastAsia="Garamond" w:hAnsi="Times New Roman"/>
          <w:i/>
          <w:iCs/>
          <w:color w:val="000000"/>
          <w:sz w:val="20"/>
        </w:rPr>
        <w:t xml:space="preserve"> </w:t>
      </w:r>
      <w:r w:rsidRPr="00166DB1">
        <w:rPr>
          <w:rFonts w:ascii="Times New Roman" w:eastAsia="Garamond" w:hAnsi="Times New Roman"/>
          <w:i/>
          <w:iCs/>
          <w:color w:val="000000"/>
          <w:sz w:val="20"/>
        </w:rPr>
        <w:t>‘fund a range of initiatives designed to</w:t>
      </w:r>
      <w:r w:rsidRPr="00166DB1">
        <w:rPr>
          <w:rFonts w:ascii="Times New Roman" w:eastAsia="Garamond" w:hAnsi="Times New Roman"/>
          <w:b/>
          <w:i/>
          <w:iCs/>
          <w:color w:val="000000"/>
          <w:sz w:val="20"/>
        </w:rPr>
        <w:t xml:space="preserve"> strengthen and support the rural pharmacy workforce</w:t>
      </w:r>
      <w:r w:rsidRPr="00166DB1">
        <w:rPr>
          <w:rFonts w:ascii="Times New Roman" w:eastAsia="Garamond" w:hAnsi="Times New Roman"/>
          <w:i/>
          <w:iCs/>
          <w:color w:val="000000"/>
          <w:sz w:val="20"/>
        </w:rPr>
        <w:t xml:space="preserve">, in turn </w:t>
      </w:r>
      <w:r w:rsidRPr="00166DB1">
        <w:rPr>
          <w:rFonts w:ascii="Times New Roman" w:eastAsia="Garamond" w:hAnsi="Times New Roman"/>
          <w:b/>
          <w:i/>
          <w:iCs/>
          <w:color w:val="000000"/>
          <w:sz w:val="20"/>
        </w:rPr>
        <w:t>to provide increased access to quality pharmacy services for consumers residing in rural and remote regions</w:t>
      </w:r>
      <w:r w:rsidRPr="00166DB1">
        <w:rPr>
          <w:rFonts w:ascii="Times New Roman" w:eastAsia="Garamond" w:hAnsi="Times New Roman"/>
          <w:i/>
          <w:iCs/>
          <w:color w:val="000000"/>
          <w:sz w:val="20"/>
        </w:rPr>
        <w:t xml:space="preserve"> of Australia’. </w:t>
      </w:r>
    </w:p>
    <w:p w14:paraId="7342AB04" w14:textId="77777777" w:rsidR="00166DB1" w:rsidRPr="00166DB1" w:rsidRDefault="00166DB1" w:rsidP="0006633E">
      <w:pPr>
        <w:pStyle w:val="ESHeading3"/>
        <w:spacing w:before="240"/>
      </w:pPr>
      <w:r w:rsidRPr="00166DB1">
        <w:t xml:space="preserve">Objectives of the Aboriginal and Torres Strait Islander Specific Package – Historical evolution </w:t>
      </w:r>
    </w:p>
    <w:p w14:paraId="5FA7AB64"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In 2000, the 3CPA stated the following objective for the Aboriginal and Torres Strait Islander Specific Package components: </w:t>
      </w:r>
    </w:p>
    <w:p w14:paraId="3E670DBE" w14:textId="77777777" w:rsidR="00166DB1" w:rsidRPr="00166DB1" w:rsidRDefault="00166DB1" w:rsidP="00166DB1">
      <w:pPr>
        <w:spacing w:before="85" w:after="85"/>
        <w:ind w:left="284" w:right="284"/>
        <w:rPr>
          <w:rFonts w:ascii="Times New Roman" w:eastAsia="Garamond" w:hAnsi="Times New Roman"/>
          <w:i/>
          <w:iCs/>
          <w:color w:val="000000"/>
          <w:sz w:val="20"/>
        </w:rPr>
      </w:pPr>
      <w:r w:rsidRPr="00166DB1">
        <w:rPr>
          <w:rFonts w:ascii="Times New Roman" w:eastAsia="Garamond" w:hAnsi="Times New Roman"/>
          <w:i/>
          <w:iCs/>
          <w:color w:val="000000"/>
          <w:sz w:val="20"/>
        </w:rPr>
        <w:t>‘a focus on achieving continued improvement in community pharmacy services provided to Aboriginal and Torres Strait Islander people’.</w:t>
      </w:r>
    </w:p>
    <w:p w14:paraId="128719E1"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In 2005, the 4CPA introduced </w:t>
      </w:r>
      <w:r w:rsidRPr="00166DB1">
        <w:rPr>
          <w:rFonts w:ascii="Garamond" w:eastAsia="Garamond" w:hAnsi="Garamond"/>
          <w:i/>
          <w:color w:val="000000"/>
        </w:rPr>
        <w:t>Aboriginal and Torres Strait Islander</w:t>
      </w:r>
      <w:r w:rsidRPr="00166DB1">
        <w:rPr>
          <w:rFonts w:ascii="Garamond" w:eastAsia="Garamond" w:hAnsi="Garamond"/>
          <w:color w:val="000000"/>
        </w:rPr>
        <w:t xml:space="preserve"> </w:t>
      </w:r>
      <w:r w:rsidRPr="00166DB1">
        <w:rPr>
          <w:rFonts w:ascii="Garamond" w:eastAsia="Garamond" w:hAnsi="Garamond"/>
          <w:i/>
          <w:color w:val="000000"/>
        </w:rPr>
        <w:t>Access</w:t>
      </w:r>
      <w:r w:rsidRPr="00166DB1">
        <w:rPr>
          <w:rFonts w:ascii="Garamond" w:eastAsia="Garamond" w:hAnsi="Garamond"/>
          <w:color w:val="000000"/>
        </w:rPr>
        <w:t xml:space="preserve"> as a priority area, which aimed to </w:t>
      </w:r>
    </w:p>
    <w:p w14:paraId="63F876C5" w14:textId="77777777" w:rsidR="00166DB1" w:rsidRPr="00166DB1" w:rsidRDefault="00166DB1" w:rsidP="00166DB1">
      <w:pPr>
        <w:spacing w:before="85" w:after="85"/>
        <w:ind w:left="284" w:right="284"/>
        <w:rPr>
          <w:rFonts w:ascii="Times New Roman" w:eastAsia="Garamond" w:hAnsi="Times New Roman"/>
          <w:i/>
          <w:iCs/>
          <w:color w:val="000000"/>
          <w:sz w:val="20"/>
        </w:rPr>
      </w:pPr>
      <w:r w:rsidRPr="00166DB1">
        <w:rPr>
          <w:rFonts w:ascii="Times New Roman" w:eastAsia="Garamond" w:hAnsi="Times New Roman"/>
          <w:i/>
          <w:iCs/>
          <w:color w:val="000000"/>
          <w:sz w:val="20"/>
        </w:rPr>
        <w:t>improve access to community pharmacy services by Indigenous Australians by taking account of cultural issues in meeting Indigenous health needs.</w:t>
      </w:r>
    </w:p>
    <w:p w14:paraId="4DF15FF2"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This saw the introduction of the Aboriginal and Torres Strait Islander Undergraduate Pharmacy Scholarship Scheme and the Aboriginal and Torres Strait Islander Pharmacy Assistant Scholarship Scheme.</w:t>
      </w:r>
    </w:p>
    <w:p w14:paraId="3FFAB4D6"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In 2010, the 5 CPA maintained the objectives for </w:t>
      </w:r>
      <w:r w:rsidRPr="00166DB1">
        <w:rPr>
          <w:rFonts w:ascii="Garamond" w:eastAsia="Garamond" w:hAnsi="Garamond"/>
          <w:i/>
          <w:color w:val="000000"/>
        </w:rPr>
        <w:t>Aboriginal and Torres Strait Islander</w:t>
      </w:r>
      <w:r w:rsidRPr="00166DB1">
        <w:rPr>
          <w:rFonts w:ascii="Garamond" w:eastAsia="Garamond" w:hAnsi="Garamond"/>
          <w:color w:val="000000"/>
        </w:rPr>
        <w:t xml:space="preserve"> </w:t>
      </w:r>
      <w:r w:rsidRPr="00166DB1">
        <w:rPr>
          <w:rFonts w:ascii="Garamond" w:eastAsia="Garamond" w:hAnsi="Garamond"/>
          <w:i/>
          <w:color w:val="000000"/>
        </w:rPr>
        <w:t xml:space="preserve">Programs </w:t>
      </w:r>
      <w:r w:rsidRPr="00166DB1">
        <w:rPr>
          <w:rFonts w:ascii="Garamond" w:eastAsia="Garamond" w:hAnsi="Garamond"/>
          <w:color w:val="000000"/>
        </w:rPr>
        <w:t xml:space="preserve">and maintained </w:t>
      </w:r>
      <w:r w:rsidRPr="00166DB1">
        <w:rPr>
          <w:rFonts w:ascii="Garamond" w:eastAsia="Garamond" w:hAnsi="Garamond"/>
          <w:i/>
          <w:color w:val="000000"/>
        </w:rPr>
        <w:t>Aboriginal and Torres Strait Islander Workforce</w:t>
      </w:r>
      <w:r w:rsidRPr="00166DB1">
        <w:rPr>
          <w:rFonts w:ascii="Garamond" w:eastAsia="Garamond" w:hAnsi="Garamond"/>
          <w:color w:val="000000"/>
        </w:rPr>
        <w:t xml:space="preserve"> as a priority alongside Section 100 and QUM programs. </w:t>
      </w:r>
    </w:p>
    <w:p w14:paraId="0FF83B21"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lastRenderedPageBreak/>
        <w:t>In 2015, the 6CPA objectives for the Aboriginal and Torres Strait Islander Workforce Package was to:</w:t>
      </w:r>
    </w:p>
    <w:p w14:paraId="4D30970A" w14:textId="633ADA88" w:rsidR="00166DB1" w:rsidRDefault="00166DB1" w:rsidP="005A6C5B">
      <w:pPr>
        <w:spacing w:before="85" w:after="85"/>
        <w:ind w:left="284" w:right="284"/>
        <w:rPr>
          <w:rFonts w:ascii="Times New Roman" w:eastAsia="Garamond" w:hAnsi="Times New Roman"/>
          <w:i/>
          <w:iCs/>
          <w:color w:val="000000"/>
          <w:sz w:val="20"/>
        </w:rPr>
      </w:pPr>
      <w:r w:rsidRPr="00166DB1">
        <w:rPr>
          <w:rFonts w:ascii="Times New Roman" w:eastAsia="Garamond" w:hAnsi="Times New Roman"/>
          <w:i/>
          <w:iCs/>
          <w:color w:val="000000"/>
          <w:sz w:val="20"/>
        </w:rPr>
        <w:t>‘fund a range of initiatives designed to strengthen and support the [Aboriginal and Torres Strait Islander] pharmacy workforce, which in turn will provide improved, culturally-appropriate pharmacy services for [Aboriginal and Torres Strait Islander] consumers’.</w:t>
      </w:r>
    </w:p>
    <w:p w14:paraId="63DE77A9" w14:textId="77777777" w:rsidR="005A6C5B" w:rsidRPr="005A6C5B" w:rsidRDefault="005A6C5B" w:rsidP="005A6C5B">
      <w:pPr>
        <w:spacing w:before="85" w:after="85"/>
        <w:ind w:left="284" w:right="284"/>
        <w:rPr>
          <w:rFonts w:ascii="Times New Roman" w:eastAsia="Garamond" w:hAnsi="Times New Roman"/>
          <w:i/>
          <w:iCs/>
          <w:color w:val="000000"/>
          <w:sz w:val="20"/>
        </w:rPr>
      </w:pPr>
    </w:p>
    <w:p w14:paraId="45665FD0" w14:textId="527FCA57" w:rsidR="005A6C5B" w:rsidRDefault="005A6C5B" w:rsidP="00166DB1">
      <w:pPr>
        <w:spacing w:before="85" w:after="85"/>
        <w:rPr>
          <w:rFonts w:ascii="Garamond" w:eastAsia="Garamond" w:hAnsi="Garamond"/>
          <w:color w:val="000000"/>
        </w:rPr>
      </w:pPr>
    </w:p>
    <w:p w14:paraId="22560A32" w14:textId="77777777" w:rsidR="005A6C5B" w:rsidRDefault="005A6C5B" w:rsidP="00166DB1">
      <w:pPr>
        <w:spacing w:before="85" w:after="85"/>
        <w:rPr>
          <w:rFonts w:ascii="Garamond" w:eastAsia="Garamond" w:hAnsi="Garamond"/>
          <w:color w:val="000000"/>
        </w:rPr>
        <w:sectPr w:rsidR="005A6C5B" w:rsidSect="00072DFC">
          <w:headerReference w:type="default" r:id="rId40"/>
          <w:pgSz w:w="16839" w:h="11907" w:orient="landscape" w:code="9"/>
          <w:pgMar w:top="2268" w:right="1304" w:bottom="850" w:left="737" w:header="567" w:footer="284" w:gutter="0"/>
          <w:cols w:num="2" w:space="709"/>
          <w:titlePg/>
          <w:docGrid w:linePitch="360"/>
        </w:sectPr>
      </w:pPr>
    </w:p>
    <w:p w14:paraId="33A0AA28" w14:textId="4BB4D718" w:rsidR="00166DB1" w:rsidRPr="00166DB1" w:rsidRDefault="00166DB1" w:rsidP="009F66FB">
      <w:pPr>
        <w:pStyle w:val="HeadingAppendix2"/>
      </w:pPr>
      <w:bookmarkStart w:id="139" w:name="_Toc490574957"/>
      <w:bookmarkStart w:id="140" w:name="_Toc523322089"/>
      <w:r w:rsidRPr="00166DB1">
        <w:lastRenderedPageBreak/>
        <w:t>Other influencing programs</w:t>
      </w:r>
      <w:bookmarkEnd w:id="136"/>
      <w:bookmarkEnd w:id="139"/>
      <w:bookmarkEnd w:id="140"/>
    </w:p>
    <w:p w14:paraId="35AC8E9C" w14:textId="77777777" w:rsidR="00166DB1" w:rsidRPr="00166DB1" w:rsidRDefault="00166DB1" w:rsidP="009F66FB">
      <w:pPr>
        <w:pStyle w:val="ESHeading3"/>
      </w:pPr>
      <w:r w:rsidRPr="00166DB1">
        <w:t>Rural Pharmacy Maintenance Allowance</w:t>
      </w:r>
    </w:p>
    <w:p w14:paraId="37E7B47D"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Rural Pharmacy Maintenance Allowance (RPMA) recognises the additional financial burden of maintaining a pharmacy in rural and remote areas of Australia. A monthly allowance is paid to eligible pharmacy owners. The amount of the allowance ranges from approximately </w:t>
      </w:r>
      <w:r w:rsidRPr="00166DB1">
        <w:rPr>
          <w:rFonts w:ascii="Times New Roman" w:eastAsia="Garamond" w:hAnsi="Times New Roman"/>
          <w:color w:val="000000"/>
        </w:rPr>
        <w:t>$</w:t>
      </w:r>
      <w:r w:rsidRPr="00166DB1">
        <w:rPr>
          <w:rFonts w:ascii="Garamond" w:eastAsia="Garamond" w:hAnsi="Garamond"/>
          <w:color w:val="000000"/>
        </w:rPr>
        <w:t xml:space="preserve">5,000 to over </w:t>
      </w:r>
      <w:r w:rsidRPr="00166DB1">
        <w:rPr>
          <w:rFonts w:ascii="Times New Roman" w:eastAsia="Garamond" w:hAnsi="Times New Roman"/>
          <w:color w:val="000000"/>
        </w:rPr>
        <w:t>$</w:t>
      </w:r>
      <w:r w:rsidRPr="00166DB1">
        <w:rPr>
          <w:rFonts w:ascii="Garamond" w:eastAsia="Garamond" w:hAnsi="Garamond"/>
          <w:color w:val="000000"/>
        </w:rPr>
        <w:t>45,000 per annum, calculated annually, based on the remoteness of the pharmacy (according to the Pharmacy Accessibility Remoteness Index of Australia, PhARIA), and the volume of prescriptions processed. The allowance is payable to eligible proprietors of pharmacies approved under section 90 of the National Health Act 1953.</w:t>
      </w:r>
      <w:sdt>
        <w:sdtPr>
          <w:rPr>
            <w:rFonts w:ascii="Garamond" w:eastAsia="Garamond" w:hAnsi="Garamond"/>
            <w:color w:val="000000"/>
          </w:rPr>
          <w:id w:val="760645931"/>
          <w:citation/>
        </w:sdtPr>
        <w:sdtEndPr/>
        <w:sdtContent>
          <w:r w:rsidRPr="00166DB1">
            <w:rPr>
              <w:rFonts w:ascii="Garamond" w:eastAsia="Garamond" w:hAnsi="Garamond"/>
              <w:color w:val="000000"/>
            </w:rPr>
            <w:fldChar w:fldCharType="begin"/>
          </w:r>
          <w:r w:rsidRPr="00166DB1">
            <w:rPr>
              <w:rFonts w:ascii="Garamond" w:eastAsia="Garamond" w:hAnsi="Garamond"/>
              <w:color w:val="000000"/>
            </w:rPr>
            <w:instrText xml:space="preserve">CITATION Dep16 \l 3081 </w:instrText>
          </w:r>
          <w:r w:rsidRPr="00166DB1">
            <w:rPr>
              <w:rFonts w:ascii="Garamond" w:eastAsia="Garamond" w:hAnsi="Garamond"/>
              <w:color w:val="000000"/>
            </w:rPr>
            <w:fldChar w:fldCharType="separate"/>
          </w:r>
          <w:r w:rsidRPr="00166DB1">
            <w:rPr>
              <w:rFonts w:ascii="Garamond" w:eastAsia="Garamond" w:hAnsi="Garamond"/>
              <w:noProof/>
              <w:color w:val="000000"/>
            </w:rPr>
            <w:t xml:space="preserve"> [10]</w:t>
          </w:r>
          <w:r w:rsidRPr="00166DB1">
            <w:rPr>
              <w:rFonts w:ascii="Garamond" w:eastAsia="Garamond" w:hAnsi="Garamond"/>
              <w:color w:val="000000"/>
            </w:rPr>
            <w:fldChar w:fldCharType="end"/>
          </w:r>
        </w:sdtContent>
      </w:sdt>
    </w:p>
    <w:p w14:paraId="4F03F3A1" w14:textId="77777777" w:rsidR="00166DB1" w:rsidRPr="00166DB1" w:rsidRDefault="00166DB1" w:rsidP="00E45E42">
      <w:pPr>
        <w:pStyle w:val="ESHeading3"/>
      </w:pPr>
      <w:r w:rsidRPr="00166DB1">
        <w:t>QUMAX</w:t>
      </w:r>
    </w:p>
    <w:p w14:paraId="65A6479F"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Quality Use of Medicines Maximised for Aboriginal and Torres Strait Islander Peoples (QUMAX) Program is a support initiative that aims to improve health outcomes for Aboriginal and Torres Strait Islander people at participating Aboriginal Community Controlled Health Services (ACCHSs). The QUMAX Program focuses on QUM support services provided by participating ACCHS and community pharmacies in rural and urban Australia. The support services include:</w:t>
      </w:r>
    </w:p>
    <w:p w14:paraId="37167A53" w14:textId="77777777" w:rsidR="00166DB1" w:rsidRPr="00BF753C" w:rsidRDefault="00166DB1" w:rsidP="009F66FB">
      <w:pPr>
        <w:pStyle w:val="ListParagraph"/>
        <w:numPr>
          <w:ilvl w:val="0"/>
          <w:numId w:val="27"/>
        </w:numPr>
        <w:tabs>
          <w:tab w:val="num" w:pos="426"/>
        </w:tabs>
        <w:spacing w:before="20" w:after="20"/>
        <w:ind w:left="426" w:hanging="426"/>
        <w:rPr>
          <w:rFonts w:ascii="Garamond" w:eastAsia="Times New Roman" w:hAnsi="Garamond"/>
          <w:color w:val="000000"/>
        </w:rPr>
      </w:pPr>
      <w:r w:rsidRPr="00BF753C">
        <w:rPr>
          <w:rFonts w:ascii="Garamond" w:eastAsia="Times New Roman" w:hAnsi="Garamond"/>
          <w:color w:val="000000"/>
        </w:rPr>
        <w:t>dose administration aids arrangements with participating community pharmacies</w:t>
      </w:r>
    </w:p>
    <w:p w14:paraId="745F9AA4" w14:textId="77777777" w:rsidR="00166DB1" w:rsidRPr="00BF753C" w:rsidRDefault="00166DB1" w:rsidP="009F66FB">
      <w:pPr>
        <w:pStyle w:val="ListParagraph"/>
        <w:numPr>
          <w:ilvl w:val="0"/>
          <w:numId w:val="27"/>
        </w:numPr>
        <w:tabs>
          <w:tab w:val="num" w:pos="426"/>
        </w:tabs>
        <w:spacing w:before="20" w:after="20"/>
        <w:ind w:left="426" w:hanging="426"/>
        <w:rPr>
          <w:rFonts w:ascii="Garamond" w:eastAsia="Times New Roman" w:hAnsi="Garamond"/>
          <w:color w:val="000000"/>
        </w:rPr>
      </w:pPr>
      <w:r w:rsidRPr="00BF753C">
        <w:rPr>
          <w:rFonts w:ascii="Garamond" w:eastAsia="Times New Roman" w:hAnsi="Garamond"/>
          <w:color w:val="000000"/>
        </w:rPr>
        <w:t>pharmacy support, e.g. QUM planning, policies, protocol development, medicine quality assurance and appropriate Safety Net utilisation</w:t>
      </w:r>
    </w:p>
    <w:p w14:paraId="12BC7347" w14:textId="77777777" w:rsidR="00166DB1" w:rsidRPr="00BF753C" w:rsidRDefault="00166DB1" w:rsidP="009F66FB">
      <w:pPr>
        <w:pStyle w:val="ListParagraph"/>
        <w:numPr>
          <w:ilvl w:val="0"/>
          <w:numId w:val="27"/>
        </w:numPr>
        <w:tabs>
          <w:tab w:val="num" w:pos="426"/>
        </w:tabs>
        <w:spacing w:before="20" w:after="20"/>
        <w:ind w:left="426" w:hanging="426"/>
        <w:rPr>
          <w:rFonts w:ascii="Garamond" w:eastAsia="Times New Roman" w:hAnsi="Garamond"/>
          <w:color w:val="000000"/>
        </w:rPr>
      </w:pPr>
      <w:r w:rsidRPr="00BF753C">
        <w:rPr>
          <w:rFonts w:ascii="Garamond" w:eastAsia="Times New Roman" w:hAnsi="Garamond"/>
          <w:color w:val="000000"/>
        </w:rPr>
        <w:t>reducing the cultural and logistical barriers to accessing home medication reviews for ACCHS clients</w:t>
      </w:r>
    </w:p>
    <w:p w14:paraId="629F1B45" w14:textId="77777777" w:rsidR="00166DB1" w:rsidRPr="00BF753C" w:rsidRDefault="00166DB1" w:rsidP="009F66FB">
      <w:pPr>
        <w:pStyle w:val="ListParagraph"/>
        <w:numPr>
          <w:ilvl w:val="0"/>
          <w:numId w:val="27"/>
        </w:numPr>
        <w:tabs>
          <w:tab w:val="num" w:pos="426"/>
        </w:tabs>
        <w:spacing w:before="20" w:after="20"/>
        <w:ind w:left="426" w:hanging="426"/>
        <w:rPr>
          <w:rFonts w:ascii="Garamond" w:eastAsia="Times New Roman" w:hAnsi="Garamond"/>
          <w:color w:val="000000"/>
        </w:rPr>
      </w:pPr>
      <w:r w:rsidRPr="00BF753C">
        <w:rPr>
          <w:rFonts w:ascii="Garamond" w:eastAsia="Times New Roman" w:hAnsi="Garamond"/>
          <w:color w:val="000000"/>
        </w:rPr>
        <w:t>QUM devices</w:t>
      </w:r>
    </w:p>
    <w:p w14:paraId="0CE613EA" w14:textId="77777777" w:rsidR="00166DB1" w:rsidRPr="00BF753C" w:rsidRDefault="00166DB1" w:rsidP="009F66FB">
      <w:pPr>
        <w:pStyle w:val="ListParagraph"/>
        <w:numPr>
          <w:ilvl w:val="0"/>
          <w:numId w:val="27"/>
        </w:numPr>
        <w:tabs>
          <w:tab w:val="num" w:pos="426"/>
        </w:tabs>
        <w:spacing w:before="20" w:after="20"/>
        <w:ind w:left="426" w:hanging="426"/>
        <w:rPr>
          <w:rFonts w:ascii="Garamond" w:eastAsia="Times New Roman" w:hAnsi="Garamond"/>
          <w:color w:val="000000"/>
        </w:rPr>
      </w:pPr>
      <w:r w:rsidRPr="00BF753C">
        <w:rPr>
          <w:rFonts w:ascii="Garamond" w:eastAsia="Times New Roman" w:hAnsi="Garamond"/>
          <w:color w:val="000000"/>
        </w:rPr>
        <w:t>education and training for ACCHS employees</w:t>
      </w:r>
    </w:p>
    <w:p w14:paraId="7196B66C" w14:textId="77777777" w:rsidR="00166DB1" w:rsidRPr="00BF753C" w:rsidRDefault="00166DB1" w:rsidP="00AB00DC">
      <w:pPr>
        <w:pStyle w:val="ListParagraph"/>
        <w:keepNext/>
        <w:numPr>
          <w:ilvl w:val="0"/>
          <w:numId w:val="27"/>
        </w:numPr>
        <w:tabs>
          <w:tab w:val="num" w:pos="426"/>
        </w:tabs>
        <w:spacing w:before="20" w:after="20"/>
        <w:ind w:left="425" w:hanging="425"/>
        <w:rPr>
          <w:rFonts w:ascii="Garamond" w:eastAsia="Times New Roman" w:hAnsi="Garamond"/>
          <w:color w:val="000000"/>
        </w:rPr>
      </w:pPr>
      <w:r w:rsidRPr="00BF753C">
        <w:rPr>
          <w:rFonts w:ascii="Garamond" w:eastAsia="Times New Roman" w:hAnsi="Garamond"/>
          <w:color w:val="000000"/>
        </w:rPr>
        <w:t xml:space="preserve">cultural awareness training for community pharmacists and other community pharmacy staff, and </w:t>
      </w:r>
    </w:p>
    <w:p w14:paraId="3DE132D6" w14:textId="77777777" w:rsidR="00166DB1" w:rsidRPr="00BF753C" w:rsidRDefault="00166DB1" w:rsidP="009F66FB">
      <w:pPr>
        <w:pStyle w:val="ListParagraph"/>
        <w:numPr>
          <w:ilvl w:val="0"/>
          <w:numId w:val="27"/>
        </w:numPr>
        <w:tabs>
          <w:tab w:val="num" w:pos="426"/>
        </w:tabs>
        <w:spacing w:before="20" w:after="20"/>
        <w:ind w:left="426" w:hanging="426"/>
        <w:rPr>
          <w:rFonts w:ascii="Garamond" w:eastAsia="Times New Roman" w:hAnsi="Garamond"/>
          <w:color w:val="000000"/>
        </w:rPr>
      </w:pPr>
      <w:r w:rsidRPr="00BF753C">
        <w:rPr>
          <w:rFonts w:ascii="Garamond" w:eastAsia="Times New Roman" w:hAnsi="Garamond"/>
          <w:color w:val="000000"/>
        </w:rPr>
        <w:t>transport support to access medicines and community pharmacy services.</w:t>
      </w:r>
      <w:sdt>
        <w:sdtPr>
          <w:id w:val="-1700928098"/>
          <w:citation/>
        </w:sdtPr>
        <w:sdtEndPr/>
        <w:sdtContent>
          <w:r w:rsidRPr="00BF753C">
            <w:rPr>
              <w:rFonts w:ascii="Garamond" w:eastAsia="Times New Roman" w:hAnsi="Garamond"/>
              <w:color w:val="000000"/>
            </w:rPr>
            <w:fldChar w:fldCharType="begin"/>
          </w:r>
          <w:r w:rsidRPr="00BF753C">
            <w:rPr>
              <w:rFonts w:ascii="Garamond" w:eastAsia="Times New Roman" w:hAnsi="Garamond"/>
              <w:color w:val="000000"/>
            </w:rPr>
            <w:instrText xml:space="preserve">CITATION Dep16 \l 3081 </w:instrText>
          </w:r>
          <w:r w:rsidRPr="00BF753C">
            <w:rPr>
              <w:rFonts w:ascii="Garamond" w:eastAsia="Times New Roman" w:hAnsi="Garamond"/>
              <w:color w:val="000000"/>
            </w:rPr>
            <w:fldChar w:fldCharType="separate"/>
          </w:r>
          <w:r w:rsidRPr="00BF753C">
            <w:rPr>
              <w:rFonts w:ascii="Garamond" w:eastAsia="Times New Roman" w:hAnsi="Garamond"/>
              <w:noProof/>
              <w:color w:val="000000"/>
            </w:rPr>
            <w:t xml:space="preserve"> [10]</w:t>
          </w:r>
          <w:r w:rsidRPr="00BF753C">
            <w:rPr>
              <w:rFonts w:ascii="Garamond" w:eastAsia="Times New Roman" w:hAnsi="Garamond"/>
              <w:color w:val="000000"/>
            </w:rPr>
            <w:fldChar w:fldCharType="end"/>
          </w:r>
        </w:sdtContent>
      </w:sdt>
    </w:p>
    <w:p w14:paraId="03682146" w14:textId="77777777" w:rsidR="00166DB1" w:rsidRPr="00166DB1" w:rsidRDefault="00166DB1" w:rsidP="00E45E42">
      <w:pPr>
        <w:pStyle w:val="ESHeading3"/>
      </w:pPr>
      <w:r w:rsidRPr="00166DB1">
        <w:t xml:space="preserve">Remote Area Aboriginal Health Service </w:t>
      </w:r>
    </w:p>
    <w:p w14:paraId="4CD132A0" w14:textId="711C3A3F" w:rsidR="00166DB1" w:rsidRPr="00166DB1" w:rsidRDefault="00166DB1" w:rsidP="00E45E42">
      <w:pPr>
        <w:spacing w:before="85" w:after="120"/>
        <w:rPr>
          <w:rFonts w:ascii="Garamond" w:eastAsia="Garamond" w:hAnsi="Garamond"/>
          <w:color w:val="000000"/>
        </w:rPr>
      </w:pPr>
      <w:r w:rsidRPr="00166DB1">
        <w:rPr>
          <w:rFonts w:ascii="Garamond" w:eastAsia="Garamond" w:hAnsi="Garamond"/>
          <w:color w:val="000000"/>
        </w:rPr>
        <w:t xml:space="preserve">The Remote Area Aboriginal Health Service (RAAHS) Program is administered under Section 100 of the National Health Act 1953. RAAHS allows for the supply of PBS medicines to clients of eligible remote area Aboriginal and Torres Strait Islander </w:t>
      </w:r>
      <w:r w:rsidR="00D65552" w:rsidRPr="00166DB1">
        <w:rPr>
          <w:rFonts w:ascii="Garamond" w:eastAsia="Garamond" w:hAnsi="Garamond"/>
          <w:color w:val="000000"/>
        </w:rPr>
        <w:t>community-controlled</w:t>
      </w:r>
      <w:r w:rsidRPr="00166DB1">
        <w:rPr>
          <w:rFonts w:ascii="Garamond" w:eastAsia="Garamond" w:hAnsi="Garamond"/>
          <w:color w:val="000000"/>
        </w:rPr>
        <w:t xml:space="preserve"> health organisations (ACHHOs) at the time of medical consultation without the need for a normal prescription form, and without charge. The Program aims to address identified barriers experienced by Aboriginal and Torres Strait Islander people living in remote areas of Australia in accessing essential medicines through the PBS.</w:t>
      </w:r>
      <w:sdt>
        <w:sdtPr>
          <w:rPr>
            <w:rFonts w:ascii="Garamond" w:eastAsia="Garamond" w:hAnsi="Garamond"/>
            <w:color w:val="000000"/>
          </w:rPr>
          <w:id w:val="1168746056"/>
          <w:citation/>
        </w:sdtPr>
        <w:sdtEndPr/>
        <w:sdtContent>
          <w:r w:rsidRPr="00166DB1">
            <w:rPr>
              <w:rFonts w:ascii="Garamond" w:eastAsia="Garamond" w:hAnsi="Garamond"/>
              <w:color w:val="000000"/>
            </w:rPr>
            <w:fldChar w:fldCharType="begin"/>
          </w:r>
          <w:r w:rsidRPr="00166DB1">
            <w:rPr>
              <w:rFonts w:ascii="Garamond" w:eastAsia="Garamond" w:hAnsi="Garamond"/>
              <w:color w:val="000000"/>
            </w:rPr>
            <w:instrText xml:space="preserve"> CITATION Dep13 \l 3081 </w:instrText>
          </w:r>
          <w:r w:rsidRPr="00166DB1">
            <w:rPr>
              <w:rFonts w:ascii="Garamond" w:eastAsia="Garamond" w:hAnsi="Garamond"/>
              <w:color w:val="000000"/>
            </w:rPr>
            <w:fldChar w:fldCharType="separate"/>
          </w:r>
          <w:r w:rsidRPr="00166DB1">
            <w:rPr>
              <w:rFonts w:ascii="Garamond" w:eastAsia="Garamond" w:hAnsi="Garamond"/>
              <w:noProof/>
              <w:color w:val="000000"/>
            </w:rPr>
            <w:t xml:space="preserve"> [11]</w:t>
          </w:r>
          <w:r w:rsidRPr="00166DB1">
            <w:rPr>
              <w:rFonts w:ascii="Garamond" w:eastAsia="Garamond" w:hAnsi="Garamond"/>
              <w:color w:val="000000"/>
            </w:rPr>
            <w:fldChar w:fldCharType="end"/>
          </w:r>
        </w:sdtContent>
      </w:sdt>
    </w:p>
    <w:p w14:paraId="109006CF" w14:textId="77777777" w:rsidR="00166DB1" w:rsidRPr="00166DB1" w:rsidRDefault="00166DB1" w:rsidP="00E45E42">
      <w:pPr>
        <w:pStyle w:val="ESHeading3"/>
      </w:pPr>
      <w:r w:rsidRPr="00166DB1">
        <w:t xml:space="preserve">Section 100 Support Allowance </w:t>
      </w:r>
    </w:p>
    <w:p w14:paraId="0061EF25"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Section 100 (s100) Support Allowance Program aims to improve health outcomes for clients of remote area Aboriginal Health Services (AHS) who participate in the special PBS medicines supply arrangements approved under Section 100 of the National Health Act 1953. </w:t>
      </w:r>
      <w:sdt>
        <w:sdtPr>
          <w:rPr>
            <w:rFonts w:ascii="Garamond" w:eastAsia="Garamond" w:hAnsi="Garamond"/>
            <w:color w:val="000000"/>
          </w:rPr>
          <w:id w:val="1985431472"/>
          <w:citation/>
        </w:sdtPr>
        <w:sdtEndPr/>
        <w:sdtContent>
          <w:r w:rsidRPr="00166DB1">
            <w:rPr>
              <w:rFonts w:ascii="Garamond" w:eastAsia="Garamond" w:hAnsi="Garamond"/>
              <w:color w:val="000000"/>
            </w:rPr>
            <w:fldChar w:fldCharType="begin"/>
          </w:r>
          <w:r w:rsidRPr="00166DB1">
            <w:rPr>
              <w:rFonts w:ascii="Garamond" w:eastAsia="Garamond" w:hAnsi="Garamond"/>
              <w:color w:val="000000"/>
            </w:rPr>
            <w:instrText xml:space="preserve">CITATION Dep16 \l 3081 </w:instrText>
          </w:r>
          <w:r w:rsidRPr="00166DB1">
            <w:rPr>
              <w:rFonts w:ascii="Garamond" w:eastAsia="Garamond" w:hAnsi="Garamond"/>
              <w:color w:val="000000"/>
            </w:rPr>
            <w:fldChar w:fldCharType="separate"/>
          </w:r>
          <w:r w:rsidRPr="00166DB1">
            <w:rPr>
              <w:rFonts w:ascii="Garamond" w:eastAsia="Garamond" w:hAnsi="Garamond"/>
              <w:noProof/>
              <w:color w:val="000000"/>
            </w:rPr>
            <w:t>[10]</w:t>
          </w:r>
          <w:r w:rsidRPr="00166DB1">
            <w:rPr>
              <w:rFonts w:ascii="Garamond" w:eastAsia="Garamond" w:hAnsi="Garamond"/>
              <w:color w:val="000000"/>
            </w:rPr>
            <w:fldChar w:fldCharType="end"/>
          </w:r>
        </w:sdtContent>
      </w:sdt>
      <w:r w:rsidRPr="00166DB1">
        <w:rPr>
          <w:rFonts w:ascii="Garamond" w:eastAsia="Garamond" w:hAnsi="Garamond"/>
          <w:color w:val="000000"/>
        </w:rPr>
        <w:t xml:space="preserve"> The allowance supports visits by pharmacists to provide a range of targeted QUM and medication management support services to remote area AHSs who participate in the RAAHS Program. The Program aims to improve QUM through pharmacist visits and advice.</w:t>
      </w:r>
      <w:sdt>
        <w:sdtPr>
          <w:rPr>
            <w:rFonts w:ascii="Garamond" w:eastAsia="Garamond" w:hAnsi="Garamond"/>
            <w:color w:val="000000"/>
          </w:rPr>
          <w:id w:val="-1927489100"/>
          <w:citation/>
        </w:sdtPr>
        <w:sdtEndPr/>
        <w:sdtContent>
          <w:r w:rsidRPr="00166DB1">
            <w:rPr>
              <w:rFonts w:ascii="Garamond" w:eastAsia="Garamond" w:hAnsi="Garamond"/>
              <w:color w:val="000000"/>
            </w:rPr>
            <w:fldChar w:fldCharType="begin"/>
          </w:r>
          <w:r w:rsidRPr="00166DB1">
            <w:rPr>
              <w:rFonts w:ascii="Garamond" w:eastAsia="Garamond" w:hAnsi="Garamond"/>
              <w:color w:val="000000"/>
            </w:rPr>
            <w:instrText xml:space="preserve"> CITATION Dep13 \l 3081 </w:instrText>
          </w:r>
          <w:r w:rsidRPr="00166DB1">
            <w:rPr>
              <w:rFonts w:ascii="Garamond" w:eastAsia="Garamond" w:hAnsi="Garamond"/>
              <w:color w:val="000000"/>
            </w:rPr>
            <w:fldChar w:fldCharType="separate"/>
          </w:r>
          <w:r w:rsidRPr="00166DB1">
            <w:rPr>
              <w:rFonts w:ascii="Garamond" w:eastAsia="Garamond" w:hAnsi="Garamond"/>
              <w:noProof/>
              <w:color w:val="000000"/>
            </w:rPr>
            <w:t xml:space="preserve"> [11]</w:t>
          </w:r>
          <w:r w:rsidRPr="00166DB1">
            <w:rPr>
              <w:rFonts w:ascii="Garamond" w:eastAsia="Garamond" w:hAnsi="Garamond"/>
              <w:color w:val="000000"/>
            </w:rPr>
            <w:fldChar w:fldCharType="end"/>
          </w:r>
        </w:sdtContent>
      </w:sdt>
    </w:p>
    <w:p w14:paraId="48201DE8" w14:textId="77777777" w:rsidR="00166DB1" w:rsidRPr="00166DB1" w:rsidRDefault="00166DB1" w:rsidP="00166DB1">
      <w:pPr>
        <w:spacing w:before="85" w:after="85"/>
        <w:rPr>
          <w:rFonts w:ascii="Garamond" w:eastAsia="Garamond" w:hAnsi="Garamond"/>
          <w:color w:val="000000"/>
        </w:rPr>
        <w:sectPr w:rsidR="00166DB1" w:rsidRPr="00166DB1" w:rsidSect="00720069">
          <w:pgSz w:w="16839" w:h="11907" w:orient="landscape" w:code="9"/>
          <w:pgMar w:top="2268" w:right="1304" w:bottom="850" w:left="737" w:header="567" w:footer="284" w:gutter="0"/>
          <w:cols w:num="2" w:space="709"/>
          <w:docGrid w:linePitch="360"/>
        </w:sectPr>
      </w:pPr>
    </w:p>
    <w:p w14:paraId="1328215B" w14:textId="6B6F8F0A" w:rsidR="00166DB1" w:rsidRPr="00166DB1" w:rsidRDefault="00166DB1" w:rsidP="009F66FB">
      <w:pPr>
        <w:pStyle w:val="HeadingAppendix2"/>
      </w:pPr>
      <w:bookmarkStart w:id="141" w:name="_Toc490574958"/>
      <w:bookmarkStart w:id="142" w:name="_Toc523322090"/>
      <w:r w:rsidRPr="00166DB1">
        <w:lastRenderedPageBreak/>
        <w:t>Additional pharmacists required in regional areas to achieve parity – magnitude estimation technique</w:t>
      </w:r>
      <w:bookmarkEnd w:id="141"/>
      <w:bookmarkEnd w:id="142"/>
    </w:p>
    <w:p w14:paraId="05945A48" w14:textId="77777777" w:rsidR="00166DB1" w:rsidRPr="00166DB1" w:rsidRDefault="00166DB1" w:rsidP="00483C21">
      <w:pPr>
        <w:pStyle w:val="Caption"/>
      </w:pPr>
      <w:bookmarkStart w:id="143" w:name="_Ref487723710"/>
      <w:r w:rsidRPr="00166DB1">
        <w:t xml:space="preserve">Table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8</w:t>
      </w:r>
      <w:r w:rsidRPr="00166DB1">
        <w:rPr>
          <w:noProof/>
        </w:rPr>
        <w:fldChar w:fldCharType="end"/>
      </w:r>
      <w:r w:rsidRPr="00166DB1">
        <w:t>.</w:t>
      </w:r>
      <w:r w:rsidRPr="00166DB1">
        <w:rPr>
          <w:noProof/>
        </w:rPr>
        <w:fldChar w:fldCharType="begin"/>
      </w:r>
      <w:r w:rsidRPr="00166DB1">
        <w:rPr>
          <w:noProof/>
        </w:rPr>
        <w:instrText xml:space="preserve"> SEQ Table \* ARABIC \s 1 </w:instrText>
      </w:r>
      <w:r w:rsidRPr="00166DB1">
        <w:rPr>
          <w:noProof/>
        </w:rPr>
        <w:fldChar w:fldCharType="separate"/>
      </w:r>
      <w:r w:rsidRPr="00166DB1">
        <w:rPr>
          <w:noProof/>
        </w:rPr>
        <w:t>1</w:t>
      </w:r>
      <w:r w:rsidRPr="00166DB1">
        <w:rPr>
          <w:noProof/>
        </w:rPr>
        <w:fldChar w:fldCharType="end"/>
      </w:r>
      <w:bookmarkEnd w:id="143"/>
      <w:r w:rsidRPr="00166DB1">
        <w:t>: Average FTE rate (per 100,000 population) of total and community pharmacists by location type, 2013–15</w:t>
      </w:r>
    </w:p>
    <w:tbl>
      <w:tblPr>
        <w:tblStyle w:val="HMATable"/>
        <w:tblW w:w="5000" w:type="pct"/>
        <w:shd w:val="clear" w:color="auto" w:fill="F2F2F2" w:themeFill="background1" w:themeFillShade="F2"/>
        <w:tblLayout w:type="fixed"/>
        <w:tblLook w:val="04A0" w:firstRow="1" w:lastRow="0" w:firstColumn="1" w:lastColumn="0" w:noHBand="0" w:noVBand="1"/>
        <w:tblCaption w:val="Table 8.1: Average FTE rate (per 100,000 population) of total and community pharmacists by location type, 2013-15"/>
        <w:tblDescription w:val="Table 8.1: Average FTE rate (per 100,000 population) of total and community pharmacists by location type, 2013-15"/>
      </w:tblPr>
      <w:tblGrid>
        <w:gridCol w:w="1337"/>
        <w:gridCol w:w="1635"/>
        <w:gridCol w:w="1277"/>
        <w:gridCol w:w="1557"/>
        <w:gridCol w:w="1228"/>
      </w:tblGrid>
      <w:tr w:rsidR="00367717" w:rsidRPr="00166DB1" w14:paraId="3E3457E8" w14:textId="77777777" w:rsidTr="0036771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950" w:type="pct"/>
            <w:shd w:val="clear" w:color="auto" w:fill="F2F2F2" w:themeFill="background1" w:themeFillShade="F2"/>
            <w:noWrap/>
            <w:vAlign w:val="center"/>
          </w:tcPr>
          <w:p w14:paraId="275834CE" w14:textId="77777777" w:rsidR="00367717" w:rsidRPr="00166DB1" w:rsidRDefault="00367717" w:rsidP="00E45E42">
            <w:pPr>
              <w:pStyle w:val="TableColumnHeading"/>
            </w:pPr>
            <w:r w:rsidRPr="00166DB1">
              <w:t xml:space="preserve">Location type </w:t>
            </w:r>
          </w:p>
        </w:tc>
        <w:tc>
          <w:tcPr>
            <w:tcW w:w="1162" w:type="pct"/>
            <w:tcBorders>
              <w:right w:val="nil"/>
            </w:tcBorders>
            <w:shd w:val="clear" w:color="auto" w:fill="F2F2F2" w:themeFill="background1" w:themeFillShade="F2"/>
            <w:noWrap/>
            <w:vAlign w:val="center"/>
          </w:tcPr>
          <w:p w14:paraId="77C6C7A8" w14:textId="77777777" w:rsidR="00367717" w:rsidRPr="00166DB1" w:rsidRDefault="00367717" w:rsidP="00E45E42">
            <w:pPr>
              <w:pStyle w:val="TableColumnHeading"/>
              <w:cnfStyle w:val="100000000000" w:firstRow="1" w:lastRow="0" w:firstColumn="0" w:lastColumn="0" w:oddVBand="0" w:evenVBand="0" w:oddHBand="0" w:evenHBand="0" w:firstRowFirstColumn="0" w:firstRowLastColumn="0" w:lastRowFirstColumn="0" w:lastRowLastColumn="0"/>
            </w:pPr>
            <w:r w:rsidRPr="00166DB1">
              <w:t>Total Pharmacists</w:t>
            </w:r>
          </w:p>
        </w:tc>
        <w:tc>
          <w:tcPr>
            <w:tcW w:w="908" w:type="pct"/>
            <w:tcBorders>
              <w:left w:val="nil"/>
            </w:tcBorders>
            <w:shd w:val="clear" w:color="auto" w:fill="F2F2F2" w:themeFill="background1" w:themeFillShade="F2"/>
            <w:vAlign w:val="center"/>
          </w:tcPr>
          <w:p w14:paraId="7DEE8299" w14:textId="7DB73059" w:rsidR="00367717" w:rsidRPr="00166DB1" w:rsidRDefault="00367717" w:rsidP="00E45E42">
            <w:pPr>
              <w:pStyle w:val="TableColumnHeading"/>
              <w:cnfStyle w:val="100000000000" w:firstRow="1" w:lastRow="0" w:firstColumn="0" w:lastColumn="0" w:oddVBand="0" w:evenVBand="0" w:oddHBand="0" w:evenHBand="0" w:firstRowFirstColumn="0" w:firstRowLastColumn="0" w:lastRowFirstColumn="0" w:lastRowLastColumn="0"/>
            </w:pPr>
          </w:p>
        </w:tc>
        <w:tc>
          <w:tcPr>
            <w:tcW w:w="1107" w:type="pct"/>
            <w:tcBorders>
              <w:right w:val="nil"/>
            </w:tcBorders>
            <w:shd w:val="clear" w:color="auto" w:fill="F2F2F2" w:themeFill="background1" w:themeFillShade="F2"/>
            <w:vAlign w:val="center"/>
          </w:tcPr>
          <w:p w14:paraId="2264D14C" w14:textId="77777777" w:rsidR="00367717" w:rsidRPr="00166DB1" w:rsidRDefault="00367717" w:rsidP="00367717">
            <w:pPr>
              <w:pStyle w:val="TableColumnHeading"/>
              <w:jc w:val="right"/>
              <w:cnfStyle w:val="100000000000" w:firstRow="1" w:lastRow="0" w:firstColumn="0" w:lastColumn="0" w:oddVBand="0" w:evenVBand="0" w:oddHBand="0" w:evenHBand="0" w:firstRowFirstColumn="0" w:firstRowLastColumn="0" w:lastRowFirstColumn="0" w:lastRowLastColumn="0"/>
            </w:pPr>
            <w:r w:rsidRPr="00166DB1">
              <w:t>Community Pharmacists</w:t>
            </w:r>
          </w:p>
        </w:tc>
        <w:tc>
          <w:tcPr>
            <w:tcW w:w="872" w:type="pct"/>
            <w:tcBorders>
              <w:left w:val="nil"/>
            </w:tcBorders>
            <w:shd w:val="clear" w:color="auto" w:fill="F2F2F2" w:themeFill="background1" w:themeFillShade="F2"/>
            <w:vAlign w:val="center"/>
          </w:tcPr>
          <w:p w14:paraId="42151786" w14:textId="5279B6C0" w:rsidR="00367717" w:rsidRPr="00166DB1" w:rsidRDefault="00367717" w:rsidP="00E45E42">
            <w:pPr>
              <w:pStyle w:val="TableColumnHeading"/>
              <w:cnfStyle w:val="100000000000" w:firstRow="1" w:lastRow="0" w:firstColumn="0" w:lastColumn="0" w:oddVBand="0" w:evenVBand="0" w:oddHBand="0" w:evenHBand="0" w:firstRowFirstColumn="0" w:firstRowLastColumn="0" w:lastRowFirstColumn="0" w:lastRowLastColumn="0"/>
            </w:pPr>
          </w:p>
        </w:tc>
      </w:tr>
      <w:tr w:rsidR="00166DB1" w:rsidRPr="00166DB1" w14:paraId="29E61DFC" w14:textId="77777777" w:rsidTr="0036771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950" w:type="pct"/>
            <w:shd w:val="clear" w:color="auto" w:fill="F2F2F2" w:themeFill="background1" w:themeFillShade="F2"/>
            <w:noWrap/>
            <w:vAlign w:val="center"/>
          </w:tcPr>
          <w:p w14:paraId="791D2C28" w14:textId="77777777" w:rsidR="00166DB1" w:rsidRPr="00166DB1" w:rsidRDefault="00166DB1" w:rsidP="00E45E42">
            <w:pPr>
              <w:pStyle w:val="TableColumnHeading"/>
            </w:pPr>
          </w:p>
        </w:tc>
        <w:tc>
          <w:tcPr>
            <w:tcW w:w="1162" w:type="pct"/>
            <w:shd w:val="clear" w:color="auto" w:fill="F2F2F2" w:themeFill="background1" w:themeFillShade="F2"/>
            <w:noWrap/>
            <w:vAlign w:val="center"/>
          </w:tcPr>
          <w:p w14:paraId="6F33E24E"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pPr>
            <w:r w:rsidRPr="00166DB1">
              <w:t>Avg FTE rate (2013–15)</w:t>
            </w:r>
          </w:p>
        </w:tc>
        <w:tc>
          <w:tcPr>
            <w:tcW w:w="908" w:type="pct"/>
            <w:shd w:val="clear" w:color="auto" w:fill="F2F2F2" w:themeFill="background1" w:themeFillShade="F2"/>
            <w:noWrap/>
            <w:vAlign w:val="center"/>
          </w:tcPr>
          <w:p w14:paraId="347DBA34"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pPr>
            <w:r w:rsidRPr="00166DB1">
              <w:t>Ratio to major city</w:t>
            </w:r>
          </w:p>
        </w:tc>
        <w:tc>
          <w:tcPr>
            <w:tcW w:w="1107" w:type="pct"/>
            <w:shd w:val="clear" w:color="auto" w:fill="F2F2F2" w:themeFill="background1" w:themeFillShade="F2"/>
            <w:vAlign w:val="center"/>
          </w:tcPr>
          <w:p w14:paraId="565D3E12"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pPr>
            <w:r w:rsidRPr="00166DB1">
              <w:t>Avg FTE rate (2013–15)</w:t>
            </w:r>
          </w:p>
        </w:tc>
        <w:tc>
          <w:tcPr>
            <w:tcW w:w="873" w:type="pct"/>
            <w:shd w:val="clear" w:color="auto" w:fill="F2F2F2" w:themeFill="background1" w:themeFillShade="F2"/>
            <w:vAlign w:val="center"/>
          </w:tcPr>
          <w:p w14:paraId="522328EE"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pPr>
            <w:r w:rsidRPr="00166DB1">
              <w:t>Ratio to major city</w:t>
            </w:r>
          </w:p>
        </w:tc>
      </w:tr>
      <w:tr w:rsidR="00166DB1" w:rsidRPr="00166DB1" w14:paraId="67B7406B" w14:textId="77777777" w:rsidTr="00E45E42">
        <w:trPr>
          <w:trHeight w:val="420"/>
        </w:trPr>
        <w:tc>
          <w:tcPr>
            <w:cnfStyle w:val="001000000000" w:firstRow="0" w:lastRow="0" w:firstColumn="1" w:lastColumn="0" w:oddVBand="0" w:evenVBand="0" w:oddHBand="0" w:evenHBand="0" w:firstRowFirstColumn="0" w:firstRowLastColumn="0" w:lastRowFirstColumn="0" w:lastRowLastColumn="0"/>
            <w:tcW w:w="950" w:type="pct"/>
            <w:shd w:val="clear" w:color="auto" w:fill="F2F2F2" w:themeFill="background1" w:themeFillShade="F2"/>
            <w:vAlign w:val="center"/>
            <w:hideMark/>
          </w:tcPr>
          <w:p w14:paraId="7C19191F" w14:textId="77777777" w:rsidR="00166DB1" w:rsidRPr="00166DB1" w:rsidRDefault="00166DB1" w:rsidP="00E45E42">
            <w:pPr>
              <w:pStyle w:val="TableCopy"/>
            </w:pPr>
            <w:r w:rsidRPr="00166DB1">
              <w:t>Major cities</w:t>
            </w:r>
          </w:p>
        </w:tc>
        <w:tc>
          <w:tcPr>
            <w:tcW w:w="1162" w:type="pct"/>
            <w:shd w:val="clear" w:color="auto" w:fill="F2F2F2" w:themeFill="background1" w:themeFillShade="F2"/>
            <w:noWrap/>
            <w:hideMark/>
          </w:tcPr>
          <w:p w14:paraId="69E5AC86"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78.6</w:t>
            </w:r>
          </w:p>
        </w:tc>
        <w:tc>
          <w:tcPr>
            <w:tcW w:w="908" w:type="pct"/>
            <w:shd w:val="clear" w:color="auto" w:fill="F2F2F2" w:themeFill="background1" w:themeFillShade="F2"/>
            <w:noWrap/>
            <w:vAlign w:val="center"/>
            <w:hideMark/>
          </w:tcPr>
          <w:p w14:paraId="2B189109"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1.0</w:t>
            </w:r>
          </w:p>
        </w:tc>
        <w:tc>
          <w:tcPr>
            <w:tcW w:w="1107" w:type="pct"/>
            <w:shd w:val="clear" w:color="auto" w:fill="F2F2F2" w:themeFill="background1" w:themeFillShade="F2"/>
          </w:tcPr>
          <w:p w14:paraId="6880BF83"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54.1</w:t>
            </w:r>
          </w:p>
        </w:tc>
        <w:tc>
          <w:tcPr>
            <w:tcW w:w="873" w:type="pct"/>
            <w:shd w:val="clear" w:color="auto" w:fill="F2F2F2" w:themeFill="background1" w:themeFillShade="F2"/>
            <w:vAlign w:val="center"/>
          </w:tcPr>
          <w:p w14:paraId="2E3FFC1A"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1.0</w:t>
            </w:r>
          </w:p>
        </w:tc>
      </w:tr>
      <w:tr w:rsidR="00166DB1" w:rsidRPr="00166DB1" w14:paraId="4C10DBFA" w14:textId="77777777" w:rsidTr="00E45E42">
        <w:trPr>
          <w:trHeight w:val="420"/>
        </w:trPr>
        <w:tc>
          <w:tcPr>
            <w:cnfStyle w:val="001000000000" w:firstRow="0" w:lastRow="0" w:firstColumn="1" w:lastColumn="0" w:oddVBand="0" w:evenVBand="0" w:oddHBand="0" w:evenHBand="0" w:firstRowFirstColumn="0" w:firstRowLastColumn="0" w:lastRowFirstColumn="0" w:lastRowLastColumn="0"/>
            <w:tcW w:w="950" w:type="pct"/>
            <w:shd w:val="clear" w:color="auto" w:fill="F2F2F2" w:themeFill="background1" w:themeFillShade="F2"/>
            <w:vAlign w:val="center"/>
            <w:hideMark/>
          </w:tcPr>
          <w:p w14:paraId="7C2F33F1" w14:textId="77777777" w:rsidR="00166DB1" w:rsidRPr="00166DB1" w:rsidRDefault="00166DB1" w:rsidP="00E45E42">
            <w:pPr>
              <w:pStyle w:val="TableCopy"/>
            </w:pPr>
            <w:r w:rsidRPr="00166DB1">
              <w:t>Inner regional</w:t>
            </w:r>
          </w:p>
        </w:tc>
        <w:tc>
          <w:tcPr>
            <w:tcW w:w="1162" w:type="pct"/>
            <w:shd w:val="clear" w:color="auto" w:fill="F2F2F2" w:themeFill="background1" w:themeFillShade="F2"/>
            <w:noWrap/>
            <w:hideMark/>
          </w:tcPr>
          <w:p w14:paraId="39E8940B"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51.8</w:t>
            </w:r>
          </w:p>
        </w:tc>
        <w:tc>
          <w:tcPr>
            <w:tcW w:w="908" w:type="pct"/>
            <w:shd w:val="clear" w:color="auto" w:fill="F2F2F2" w:themeFill="background1" w:themeFillShade="F2"/>
            <w:noWrap/>
            <w:vAlign w:val="center"/>
            <w:hideMark/>
          </w:tcPr>
          <w:p w14:paraId="2A844EA0"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0.96</w:t>
            </w:r>
          </w:p>
        </w:tc>
        <w:tc>
          <w:tcPr>
            <w:tcW w:w="1107" w:type="pct"/>
            <w:shd w:val="clear" w:color="auto" w:fill="F2F2F2" w:themeFill="background1" w:themeFillShade="F2"/>
          </w:tcPr>
          <w:p w14:paraId="30C927CB"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51.8</w:t>
            </w:r>
          </w:p>
        </w:tc>
        <w:tc>
          <w:tcPr>
            <w:tcW w:w="873" w:type="pct"/>
            <w:shd w:val="clear" w:color="auto" w:fill="F2F2F2" w:themeFill="background1" w:themeFillShade="F2"/>
            <w:vAlign w:val="center"/>
          </w:tcPr>
          <w:p w14:paraId="30085E27"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0.96</w:t>
            </w:r>
          </w:p>
        </w:tc>
      </w:tr>
      <w:tr w:rsidR="00166DB1" w:rsidRPr="00166DB1" w14:paraId="154F88A1" w14:textId="77777777" w:rsidTr="00E45E42">
        <w:trPr>
          <w:trHeight w:val="420"/>
        </w:trPr>
        <w:tc>
          <w:tcPr>
            <w:cnfStyle w:val="001000000000" w:firstRow="0" w:lastRow="0" w:firstColumn="1" w:lastColumn="0" w:oddVBand="0" w:evenVBand="0" w:oddHBand="0" w:evenHBand="0" w:firstRowFirstColumn="0" w:firstRowLastColumn="0" w:lastRowFirstColumn="0" w:lastRowLastColumn="0"/>
            <w:tcW w:w="950" w:type="pct"/>
            <w:shd w:val="clear" w:color="auto" w:fill="F2F2F2" w:themeFill="background1" w:themeFillShade="F2"/>
            <w:vAlign w:val="center"/>
            <w:hideMark/>
          </w:tcPr>
          <w:p w14:paraId="3DD3EF8B" w14:textId="77777777" w:rsidR="00166DB1" w:rsidRPr="00166DB1" w:rsidRDefault="00166DB1" w:rsidP="00E45E42">
            <w:pPr>
              <w:pStyle w:val="TableCopy"/>
            </w:pPr>
            <w:r w:rsidRPr="00166DB1">
              <w:t>Outer regional</w:t>
            </w:r>
          </w:p>
        </w:tc>
        <w:tc>
          <w:tcPr>
            <w:tcW w:w="1162" w:type="pct"/>
            <w:shd w:val="clear" w:color="auto" w:fill="F2F2F2" w:themeFill="background1" w:themeFillShade="F2"/>
            <w:noWrap/>
            <w:hideMark/>
          </w:tcPr>
          <w:p w14:paraId="06998CA7"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50.6</w:t>
            </w:r>
          </w:p>
        </w:tc>
        <w:tc>
          <w:tcPr>
            <w:tcW w:w="908" w:type="pct"/>
            <w:shd w:val="clear" w:color="auto" w:fill="F2F2F2" w:themeFill="background1" w:themeFillShade="F2"/>
            <w:noWrap/>
            <w:vAlign w:val="center"/>
            <w:hideMark/>
          </w:tcPr>
          <w:p w14:paraId="4BB59E63"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0.94</w:t>
            </w:r>
          </w:p>
        </w:tc>
        <w:tc>
          <w:tcPr>
            <w:tcW w:w="1107" w:type="pct"/>
            <w:shd w:val="clear" w:color="auto" w:fill="F2F2F2" w:themeFill="background1" w:themeFillShade="F2"/>
          </w:tcPr>
          <w:p w14:paraId="118A0CE4"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50.6</w:t>
            </w:r>
          </w:p>
        </w:tc>
        <w:tc>
          <w:tcPr>
            <w:tcW w:w="873" w:type="pct"/>
            <w:shd w:val="clear" w:color="auto" w:fill="F2F2F2" w:themeFill="background1" w:themeFillShade="F2"/>
            <w:vAlign w:val="center"/>
          </w:tcPr>
          <w:p w14:paraId="781D40E5"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0.94</w:t>
            </w:r>
          </w:p>
        </w:tc>
      </w:tr>
      <w:tr w:rsidR="00166DB1" w:rsidRPr="00166DB1" w14:paraId="3C83FEDA" w14:textId="77777777" w:rsidTr="00E45E42">
        <w:trPr>
          <w:trHeight w:val="290"/>
        </w:trPr>
        <w:tc>
          <w:tcPr>
            <w:cnfStyle w:val="001000000000" w:firstRow="0" w:lastRow="0" w:firstColumn="1" w:lastColumn="0" w:oddVBand="0" w:evenVBand="0" w:oddHBand="0" w:evenHBand="0" w:firstRowFirstColumn="0" w:firstRowLastColumn="0" w:lastRowFirstColumn="0" w:lastRowLastColumn="0"/>
            <w:tcW w:w="950" w:type="pct"/>
            <w:shd w:val="clear" w:color="auto" w:fill="F2F2F2" w:themeFill="background1" w:themeFillShade="F2"/>
            <w:vAlign w:val="center"/>
            <w:hideMark/>
          </w:tcPr>
          <w:p w14:paraId="273950A5" w14:textId="77777777" w:rsidR="00166DB1" w:rsidRPr="00166DB1" w:rsidRDefault="00166DB1" w:rsidP="00E45E42">
            <w:pPr>
              <w:pStyle w:val="TableCopy"/>
            </w:pPr>
            <w:r w:rsidRPr="00166DB1">
              <w:t>Remote</w:t>
            </w:r>
          </w:p>
        </w:tc>
        <w:tc>
          <w:tcPr>
            <w:tcW w:w="1162" w:type="pct"/>
            <w:shd w:val="clear" w:color="auto" w:fill="F2F2F2" w:themeFill="background1" w:themeFillShade="F2"/>
            <w:noWrap/>
            <w:hideMark/>
          </w:tcPr>
          <w:p w14:paraId="5CD7A0B5"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41.6</w:t>
            </w:r>
          </w:p>
        </w:tc>
        <w:tc>
          <w:tcPr>
            <w:tcW w:w="908" w:type="pct"/>
            <w:shd w:val="clear" w:color="auto" w:fill="F2F2F2" w:themeFill="background1" w:themeFillShade="F2"/>
            <w:noWrap/>
            <w:vAlign w:val="center"/>
            <w:hideMark/>
          </w:tcPr>
          <w:p w14:paraId="573D26A1"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0.77</w:t>
            </w:r>
          </w:p>
        </w:tc>
        <w:tc>
          <w:tcPr>
            <w:tcW w:w="1107" w:type="pct"/>
            <w:shd w:val="clear" w:color="auto" w:fill="F2F2F2" w:themeFill="background1" w:themeFillShade="F2"/>
          </w:tcPr>
          <w:p w14:paraId="5FFFD763"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41.6</w:t>
            </w:r>
          </w:p>
        </w:tc>
        <w:tc>
          <w:tcPr>
            <w:tcW w:w="873" w:type="pct"/>
            <w:shd w:val="clear" w:color="auto" w:fill="F2F2F2" w:themeFill="background1" w:themeFillShade="F2"/>
            <w:vAlign w:val="center"/>
          </w:tcPr>
          <w:p w14:paraId="74F6D631"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0.77</w:t>
            </w:r>
          </w:p>
        </w:tc>
      </w:tr>
      <w:tr w:rsidR="00166DB1" w:rsidRPr="00166DB1" w14:paraId="21DF946E" w14:textId="77777777" w:rsidTr="00E45E42">
        <w:trPr>
          <w:trHeight w:val="420"/>
        </w:trPr>
        <w:tc>
          <w:tcPr>
            <w:cnfStyle w:val="001000000000" w:firstRow="0" w:lastRow="0" w:firstColumn="1" w:lastColumn="0" w:oddVBand="0" w:evenVBand="0" w:oddHBand="0" w:evenHBand="0" w:firstRowFirstColumn="0" w:firstRowLastColumn="0" w:lastRowFirstColumn="0" w:lastRowLastColumn="0"/>
            <w:tcW w:w="950" w:type="pct"/>
            <w:shd w:val="clear" w:color="auto" w:fill="F2F2F2" w:themeFill="background1" w:themeFillShade="F2"/>
            <w:vAlign w:val="center"/>
            <w:hideMark/>
          </w:tcPr>
          <w:p w14:paraId="2ED4BE26" w14:textId="77777777" w:rsidR="00166DB1" w:rsidRPr="00166DB1" w:rsidRDefault="00166DB1" w:rsidP="00E45E42">
            <w:pPr>
              <w:pStyle w:val="TableCopy"/>
            </w:pPr>
            <w:r w:rsidRPr="00166DB1">
              <w:t>Very remote</w:t>
            </w:r>
          </w:p>
        </w:tc>
        <w:tc>
          <w:tcPr>
            <w:tcW w:w="1162" w:type="pct"/>
            <w:shd w:val="clear" w:color="auto" w:fill="F2F2F2" w:themeFill="background1" w:themeFillShade="F2"/>
            <w:noWrap/>
            <w:hideMark/>
          </w:tcPr>
          <w:p w14:paraId="328F8030"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26.4</w:t>
            </w:r>
          </w:p>
        </w:tc>
        <w:tc>
          <w:tcPr>
            <w:tcW w:w="908" w:type="pct"/>
            <w:shd w:val="clear" w:color="auto" w:fill="F2F2F2" w:themeFill="background1" w:themeFillShade="F2"/>
            <w:noWrap/>
            <w:vAlign w:val="center"/>
            <w:hideMark/>
          </w:tcPr>
          <w:p w14:paraId="463576BF"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0.49</w:t>
            </w:r>
          </w:p>
        </w:tc>
        <w:tc>
          <w:tcPr>
            <w:tcW w:w="1107" w:type="pct"/>
            <w:shd w:val="clear" w:color="auto" w:fill="F2F2F2" w:themeFill="background1" w:themeFillShade="F2"/>
          </w:tcPr>
          <w:p w14:paraId="0C1957E7"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26.4</w:t>
            </w:r>
          </w:p>
        </w:tc>
        <w:tc>
          <w:tcPr>
            <w:tcW w:w="873" w:type="pct"/>
            <w:shd w:val="clear" w:color="auto" w:fill="F2F2F2" w:themeFill="background1" w:themeFillShade="F2"/>
            <w:vAlign w:val="center"/>
          </w:tcPr>
          <w:p w14:paraId="434DFC94"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0.49</w:t>
            </w:r>
          </w:p>
        </w:tc>
      </w:tr>
    </w:tbl>
    <w:p w14:paraId="194E118F" w14:textId="77777777" w:rsidR="00166DB1" w:rsidRPr="00166DB1" w:rsidRDefault="00166DB1" w:rsidP="00BF753C">
      <w:pPr>
        <w:pStyle w:val="TableNotes"/>
      </w:pPr>
      <w:r w:rsidRPr="00166DB1">
        <w:t>Source: National Health Workforce Dataset (NHWDS) 2013–2015, averaged over the three years</w:t>
      </w:r>
    </w:p>
    <w:p w14:paraId="63046D5E" w14:textId="77777777" w:rsidR="00166DB1" w:rsidRPr="00166DB1" w:rsidRDefault="00166DB1" w:rsidP="00483C21">
      <w:pPr>
        <w:pStyle w:val="Caption"/>
      </w:pPr>
      <w:bookmarkStart w:id="144" w:name="_Ref487722039"/>
      <w:r w:rsidRPr="00166DB1">
        <w:t xml:space="preserve">Table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8</w:t>
      </w:r>
      <w:r w:rsidRPr="00166DB1">
        <w:rPr>
          <w:noProof/>
        </w:rPr>
        <w:fldChar w:fldCharType="end"/>
      </w:r>
      <w:r w:rsidRPr="00166DB1">
        <w:t>.</w:t>
      </w:r>
      <w:r w:rsidRPr="00166DB1">
        <w:rPr>
          <w:noProof/>
        </w:rPr>
        <w:fldChar w:fldCharType="begin"/>
      </w:r>
      <w:r w:rsidRPr="00166DB1">
        <w:rPr>
          <w:noProof/>
        </w:rPr>
        <w:instrText xml:space="preserve"> SEQ Table \* ARABIC \s 1 </w:instrText>
      </w:r>
      <w:r w:rsidRPr="00166DB1">
        <w:rPr>
          <w:noProof/>
        </w:rPr>
        <w:fldChar w:fldCharType="separate"/>
      </w:r>
      <w:r w:rsidRPr="00166DB1">
        <w:rPr>
          <w:noProof/>
        </w:rPr>
        <w:t>2</w:t>
      </w:r>
      <w:r w:rsidRPr="00166DB1">
        <w:rPr>
          <w:noProof/>
        </w:rPr>
        <w:fldChar w:fldCharType="end"/>
      </w:r>
      <w:bookmarkEnd w:id="144"/>
      <w:r w:rsidRPr="00166DB1">
        <w:t xml:space="preserve">: Average FTE rate (2013–15) and calculations to bring non-metropolitan areas to parity with major cities – total pharmacists  </w:t>
      </w:r>
    </w:p>
    <w:tbl>
      <w:tblPr>
        <w:tblStyle w:val="HMATable"/>
        <w:tblW w:w="5000" w:type="pct"/>
        <w:tblInd w:w="10" w:type="dxa"/>
        <w:shd w:val="clear" w:color="auto" w:fill="F2F2F2" w:themeFill="background1" w:themeFillShade="F2"/>
        <w:tblLayout w:type="fixed"/>
        <w:tblLook w:val="04E0" w:firstRow="1" w:lastRow="1" w:firstColumn="1" w:lastColumn="0" w:noHBand="0" w:noVBand="1"/>
        <w:tblCaption w:val="Table 8.2: Average FTE rate (2013-15) and calculations to bring non-metropolitan areas to parity with major cities - total pharmacists"/>
        <w:tblDescription w:val="Table 8.2: Average FTE rate (2013-15) and calculations to bring non-metropolitan areas to parity with major cities - total pharmacists"/>
      </w:tblPr>
      <w:tblGrid>
        <w:gridCol w:w="978"/>
        <w:gridCol w:w="1391"/>
        <w:gridCol w:w="1555"/>
        <w:gridCol w:w="1555"/>
        <w:gridCol w:w="1555"/>
      </w:tblGrid>
      <w:tr w:rsidR="00166DB1" w:rsidRPr="00166DB1" w14:paraId="021240AF" w14:textId="77777777" w:rsidTr="0036771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695" w:type="pct"/>
            <w:shd w:val="clear" w:color="auto" w:fill="F2F2F2" w:themeFill="background1" w:themeFillShade="F2"/>
            <w:noWrap/>
            <w:vAlign w:val="center"/>
            <w:hideMark/>
          </w:tcPr>
          <w:p w14:paraId="3BE4A7DC" w14:textId="77777777" w:rsidR="00166DB1" w:rsidRPr="00166DB1" w:rsidRDefault="00166DB1" w:rsidP="00E45E42">
            <w:pPr>
              <w:pStyle w:val="TableColumnHeading"/>
              <w:rPr>
                <w:lang w:eastAsia="en-AU"/>
              </w:rPr>
            </w:pPr>
            <w:r w:rsidRPr="00166DB1">
              <w:t>Location type</w:t>
            </w:r>
          </w:p>
        </w:tc>
        <w:tc>
          <w:tcPr>
            <w:tcW w:w="989" w:type="pct"/>
            <w:shd w:val="clear" w:color="auto" w:fill="F2F2F2" w:themeFill="background1" w:themeFillShade="F2"/>
            <w:noWrap/>
            <w:vAlign w:val="center"/>
            <w:hideMark/>
          </w:tcPr>
          <w:p w14:paraId="4E086E4D"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A: FTE rate per 100,000 population*</w:t>
            </w:r>
          </w:p>
        </w:tc>
        <w:tc>
          <w:tcPr>
            <w:tcW w:w="1105" w:type="pct"/>
            <w:shd w:val="clear" w:color="auto" w:fill="F2F2F2" w:themeFill="background1" w:themeFillShade="F2"/>
            <w:noWrap/>
            <w:vAlign w:val="center"/>
            <w:hideMark/>
          </w:tcPr>
          <w:p w14:paraId="347C4F79"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B: Calculated FTE rate required for parity</w:t>
            </w:r>
          </w:p>
        </w:tc>
        <w:tc>
          <w:tcPr>
            <w:tcW w:w="1105" w:type="pct"/>
            <w:shd w:val="clear" w:color="auto" w:fill="F2F2F2" w:themeFill="background1" w:themeFillShade="F2"/>
            <w:vAlign w:val="center"/>
          </w:tcPr>
          <w:p w14:paraId="2001A415"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pPr>
            <w:r w:rsidRPr="00166DB1">
              <w:t>C: Population^</w:t>
            </w:r>
          </w:p>
        </w:tc>
        <w:tc>
          <w:tcPr>
            <w:tcW w:w="1105" w:type="pct"/>
            <w:shd w:val="clear" w:color="auto" w:fill="F2F2F2" w:themeFill="background1" w:themeFillShade="F2"/>
            <w:noWrap/>
            <w:vAlign w:val="center"/>
            <w:hideMark/>
          </w:tcPr>
          <w:p w14:paraId="7A008C46"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t>D: Calculated FTE required for parity (total pharmacists)</w:t>
            </w:r>
          </w:p>
        </w:tc>
      </w:tr>
      <w:tr w:rsidR="00166DB1" w:rsidRPr="00166DB1" w14:paraId="5CEE29B1" w14:textId="77777777" w:rsidTr="00E45E42">
        <w:trPr>
          <w:trHeight w:val="290"/>
        </w:trPr>
        <w:tc>
          <w:tcPr>
            <w:cnfStyle w:val="001000000000" w:firstRow="0" w:lastRow="0" w:firstColumn="1" w:lastColumn="0" w:oddVBand="0" w:evenVBand="0" w:oddHBand="0" w:evenHBand="0" w:firstRowFirstColumn="0" w:firstRowLastColumn="0" w:lastRowFirstColumn="0" w:lastRowLastColumn="0"/>
            <w:tcW w:w="695" w:type="pct"/>
            <w:shd w:val="clear" w:color="auto" w:fill="F2F2F2" w:themeFill="background1" w:themeFillShade="F2"/>
            <w:noWrap/>
            <w:vAlign w:val="center"/>
          </w:tcPr>
          <w:p w14:paraId="114838BE" w14:textId="77777777" w:rsidR="00166DB1" w:rsidRPr="00166DB1" w:rsidRDefault="00166DB1" w:rsidP="00E45E42">
            <w:pPr>
              <w:pStyle w:val="TableColumnHeading"/>
              <w:rPr>
                <w:lang w:eastAsia="en-AU"/>
              </w:rPr>
            </w:pPr>
          </w:p>
        </w:tc>
        <w:tc>
          <w:tcPr>
            <w:tcW w:w="989" w:type="pct"/>
            <w:shd w:val="clear" w:color="auto" w:fill="F2F2F2" w:themeFill="background1" w:themeFillShade="F2"/>
            <w:noWrap/>
            <w:vAlign w:val="center"/>
          </w:tcPr>
          <w:p w14:paraId="1AB58939" w14:textId="77777777" w:rsidR="00166DB1" w:rsidRPr="00166DB1" w:rsidRDefault="00166DB1" w:rsidP="00E45E42">
            <w:pPr>
              <w:pStyle w:val="TableColumnHeading"/>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w:t>
            </w:r>
          </w:p>
        </w:tc>
        <w:tc>
          <w:tcPr>
            <w:tcW w:w="1105" w:type="pct"/>
            <w:shd w:val="clear" w:color="auto" w:fill="F2F2F2" w:themeFill="background1" w:themeFillShade="F2"/>
            <w:noWrap/>
            <w:vAlign w:val="center"/>
          </w:tcPr>
          <w:p w14:paraId="415E2307" w14:textId="77777777" w:rsidR="00166DB1" w:rsidRPr="00166DB1" w:rsidRDefault="00166DB1" w:rsidP="00E45E42">
            <w:pPr>
              <w:pStyle w:val="TableColumnHeading"/>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A1 - Ax</w:t>
            </w:r>
          </w:p>
        </w:tc>
        <w:tc>
          <w:tcPr>
            <w:tcW w:w="1105" w:type="pct"/>
            <w:shd w:val="clear" w:color="auto" w:fill="F2F2F2" w:themeFill="background1" w:themeFillShade="F2"/>
            <w:vAlign w:val="center"/>
          </w:tcPr>
          <w:p w14:paraId="53729CC8" w14:textId="77777777" w:rsidR="00166DB1" w:rsidRPr="00166DB1" w:rsidRDefault="00166DB1" w:rsidP="00E45E42">
            <w:pPr>
              <w:pStyle w:val="TableColumnHeading"/>
              <w:cnfStyle w:val="000000000000" w:firstRow="0" w:lastRow="0" w:firstColumn="0" w:lastColumn="0" w:oddVBand="0" w:evenVBand="0" w:oddHBand="0" w:evenHBand="0" w:firstRowFirstColumn="0" w:firstRowLastColumn="0" w:lastRowFirstColumn="0" w:lastRowLastColumn="0"/>
            </w:pPr>
            <w:r w:rsidRPr="00166DB1">
              <w:t>-</w:t>
            </w:r>
          </w:p>
        </w:tc>
        <w:tc>
          <w:tcPr>
            <w:tcW w:w="1105" w:type="pct"/>
            <w:shd w:val="clear" w:color="auto" w:fill="F2F2F2" w:themeFill="background1" w:themeFillShade="F2"/>
            <w:noWrap/>
            <w:vAlign w:val="center"/>
          </w:tcPr>
          <w:p w14:paraId="6EF58B4E" w14:textId="77777777" w:rsidR="00166DB1" w:rsidRPr="00166DB1" w:rsidRDefault="00166DB1" w:rsidP="00E45E42">
            <w:pPr>
              <w:pStyle w:val="TableColumnHeading"/>
              <w:cnfStyle w:val="000000000000" w:firstRow="0" w:lastRow="0" w:firstColumn="0" w:lastColumn="0" w:oddVBand="0" w:evenVBand="0" w:oddHBand="0" w:evenHBand="0" w:firstRowFirstColumn="0" w:firstRowLastColumn="0" w:lastRowFirstColumn="0" w:lastRowLastColumn="0"/>
              <w:rPr>
                <w:lang w:eastAsia="en-AU"/>
              </w:rPr>
            </w:pPr>
            <w:r w:rsidRPr="00166DB1">
              <w:t>B*C/100,000</w:t>
            </w:r>
            <w:r w:rsidRPr="00166DB1">
              <w:rPr>
                <w:vertAlign w:val="superscript"/>
              </w:rPr>
              <w:t>#</w:t>
            </w:r>
          </w:p>
        </w:tc>
      </w:tr>
      <w:tr w:rsidR="00166DB1" w:rsidRPr="00166DB1" w14:paraId="387B83A8" w14:textId="77777777" w:rsidTr="00E45E42">
        <w:trPr>
          <w:trHeight w:val="420"/>
        </w:trPr>
        <w:tc>
          <w:tcPr>
            <w:cnfStyle w:val="001000000000" w:firstRow="0" w:lastRow="0" w:firstColumn="1" w:lastColumn="0" w:oddVBand="0" w:evenVBand="0" w:oddHBand="0" w:evenHBand="0" w:firstRowFirstColumn="0" w:firstRowLastColumn="0" w:lastRowFirstColumn="0" w:lastRowLastColumn="0"/>
            <w:tcW w:w="695" w:type="pct"/>
            <w:shd w:val="clear" w:color="auto" w:fill="F2F2F2" w:themeFill="background1" w:themeFillShade="F2"/>
            <w:vAlign w:val="center"/>
            <w:hideMark/>
          </w:tcPr>
          <w:p w14:paraId="37C25CF8" w14:textId="77777777" w:rsidR="00166DB1" w:rsidRPr="00166DB1" w:rsidRDefault="00166DB1" w:rsidP="00E45E42">
            <w:pPr>
              <w:pStyle w:val="TableCopy"/>
            </w:pPr>
            <w:r w:rsidRPr="00166DB1">
              <w:t>Major cities</w:t>
            </w:r>
          </w:p>
        </w:tc>
        <w:tc>
          <w:tcPr>
            <w:tcW w:w="989" w:type="pct"/>
            <w:shd w:val="clear" w:color="auto" w:fill="F2F2F2" w:themeFill="background1" w:themeFillShade="F2"/>
            <w:noWrap/>
            <w:vAlign w:val="center"/>
            <w:hideMark/>
          </w:tcPr>
          <w:p w14:paraId="36755EA0"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78.6</w:t>
            </w:r>
          </w:p>
        </w:tc>
        <w:tc>
          <w:tcPr>
            <w:tcW w:w="1105" w:type="pct"/>
            <w:shd w:val="clear" w:color="auto" w:fill="F2F2F2" w:themeFill="background1" w:themeFillShade="F2"/>
            <w:noWrap/>
            <w:vAlign w:val="center"/>
            <w:hideMark/>
          </w:tcPr>
          <w:p w14:paraId="4FBBF35F"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0.0</w:t>
            </w:r>
          </w:p>
        </w:tc>
        <w:tc>
          <w:tcPr>
            <w:tcW w:w="1105" w:type="pct"/>
            <w:shd w:val="clear" w:color="auto" w:fill="F2F2F2" w:themeFill="background1" w:themeFillShade="F2"/>
            <w:vAlign w:val="center"/>
          </w:tcPr>
          <w:p w14:paraId="787455C8"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16,586,819</w:t>
            </w:r>
          </w:p>
        </w:tc>
        <w:tc>
          <w:tcPr>
            <w:tcW w:w="1105" w:type="pct"/>
            <w:shd w:val="clear" w:color="auto" w:fill="F2F2F2" w:themeFill="background1" w:themeFillShade="F2"/>
            <w:noWrap/>
            <w:vAlign w:val="center"/>
          </w:tcPr>
          <w:p w14:paraId="220BC46E"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0.0</w:t>
            </w:r>
          </w:p>
        </w:tc>
      </w:tr>
      <w:tr w:rsidR="00166DB1" w:rsidRPr="00166DB1" w14:paraId="1A01D0CE" w14:textId="77777777" w:rsidTr="00E45E42">
        <w:trPr>
          <w:trHeight w:val="420"/>
        </w:trPr>
        <w:tc>
          <w:tcPr>
            <w:cnfStyle w:val="001000000000" w:firstRow="0" w:lastRow="0" w:firstColumn="1" w:lastColumn="0" w:oddVBand="0" w:evenVBand="0" w:oddHBand="0" w:evenHBand="0" w:firstRowFirstColumn="0" w:firstRowLastColumn="0" w:lastRowFirstColumn="0" w:lastRowLastColumn="0"/>
            <w:tcW w:w="695" w:type="pct"/>
            <w:shd w:val="clear" w:color="auto" w:fill="F2F2F2" w:themeFill="background1" w:themeFillShade="F2"/>
            <w:vAlign w:val="center"/>
            <w:hideMark/>
          </w:tcPr>
          <w:p w14:paraId="757699BF" w14:textId="77777777" w:rsidR="00166DB1" w:rsidRPr="00166DB1" w:rsidRDefault="00166DB1" w:rsidP="00E45E42">
            <w:pPr>
              <w:pStyle w:val="TableCopy"/>
            </w:pPr>
            <w:r w:rsidRPr="00166DB1">
              <w:t>Inner regional</w:t>
            </w:r>
          </w:p>
        </w:tc>
        <w:tc>
          <w:tcPr>
            <w:tcW w:w="989" w:type="pct"/>
            <w:shd w:val="clear" w:color="auto" w:fill="F2F2F2" w:themeFill="background1" w:themeFillShade="F2"/>
            <w:noWrap/>
            <w:vAlign w:val="center"/>
            <w:hideMark/>
          </w:tcPr>
          <w:p w14:paraId="61F52CCB"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65.1</w:t>
            </w:r>
          </w:p>
        </w:tc>
        <w:tc>
          <w:tcPr>
            <w:tcW w:w="1105" w:type="pct"/>
            <w:shd w:val="clear" w:color="auto" w:fill="F2F2F2" w:themeFill="background1" w:themeFillShade="F2"/>
            <w:noWrap/>
            <w:vAlign w:val="center"/>
            <w:hideMark/>
          </w:tcPr>
          <w:p w14:paraId="15C4640E"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13.5</w:t>
            </w:r>
          </w:p>
        </w:tc>
        <w:tc>
          <w:tcPr>
            <w:tcW w:w="1105" w:type="pct"/>
            <w:shd w:val="clear" w:color="auto" w:fill="F2F2F2" w:themeFill="background1" w:themeFillShade="F2"/>
            <w:vAlign w:val="center"/>
          </w:tcPr>
          <w:p w14:paraId="2A3F2DAD"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4,259,400</w:t>
            </w:r>
          </w:p>
        </w:tc>
        <w:tc>
          <w:tcPr>
            <w:tcW w:w="1105" w:type="pct"/>
            <w:shd w:val="clear" w:color="auto" w:fill="F2F2F2" w:themeFill="background1" w:themeFillShade="F2"/>
            <w:noWrap/>
            <w:vAlign w:val="center"/>
          </w:tcPr>
          <w:p w14:paraId="54C80F5A"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13.5</w:t>
            </w:r>
          </w:p>
        </w:tc>
      </w:tr>
      <w:tr w:rsidR="00166DB1" w:rsidRPr="00166DB1" w14:paraId="2CC8D59C" w14:textId="77777777" w:rsidTr="00E45E42">
        <w:trPr>
          <w:trHeight w:val="420"/>
        </w:trPr>
        <w:tc>
          <w:tcPr>
            <w:cnfStyle w:val="001000000000" w:firstRow="0" w:lastRow="0" w:firstColumn="1" w:lastColumn="0" w:oddVBand="0" w:evenVBand="0" w:oddHBand="0" w:evenHBand="0" w:firstRowFirstColumn="0" w:firstRowLastColumn="0" w:lastRowFirstColumn="0" w:lastRowLastColumn="0"/>
            <w:tcW w:w="695" w:type="pct"/>
            <w:shd w:val="clear" w:color="auto" w:fill="F2F2F2" w:themeFill="background1" w:themeFillShade="F2"/>
            <w:vAlign w:val="center"/>
            <w:hideMark/>
          </w:tcPr>
          <w:p w14:paraId="52B431E5" w14:textId="77777777" w:rsidR="00166DB1" w:rsidRPr="00166DB1" w:rsidRDefault="00166DB1" w:rsidP="00E45E42">
            <w:pPr>
              <w:pStyle w:val="TableCopy"/>
            </w:pPr>
            <w:r w:rsidRPr="00166DB1">
              <w:t>Outer regional</w:t>
            </w:r>
          </w:p>
        </w:tc>
        <w:tc>
          <w:tcPr>
            <w:tcW w:w="989" w:type="pct"/>
            <w:shd w:val="clear" w:color="auto" w:fill="F2F2F2" w:themeFill="background1" w:themeFillShade="F2"/>
            <w:noWrap/>
            <w:vAlign w:val="center"/>
            <w:hideMark/>
          </w:tcPr>
          <w:p w14:paraId="65EB0DD5"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63.3</w:t>
            </w:r>
          </w:p>
        </w:tc>
        <w:tc>
          <w:tcPr>
            <w:tcW w:w="1105" w:type="pct"/>
            <w:shd w:val="clear" w:color="auto" w:fill="F2F2F2" w:themeFill="background1" w:themeFillShade="F2"/>
            <w:noWrap/>
            <w:vAlign w:val="center"/>
            <w:hideMark/>
          </w:tcPr>
          <w:p w14:paraId="057E96F3"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16.0</w:t>
            </w:r>
          </w:p>
        </w:tc>
        <w:tc>
          <w:tcPr>
            <w:tcW w:w="1105" w:type="pct"/>
            <w:shd w:val="clear" w:color="auto" w:fill="F2F2F2" w:themeFill="background1" w:themeFillShade="F2"/>
            <w:vAlign w:val="center"/>
          </w:tcPr>
          <w:p w14:paraId="64719156"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2,077,110</w:t>
            </w:r>
          </w:p>
        </w:tc>
        <w:tc>
          <w:tcPr>
            <w:tcW w:w="1105" w:type="pct"/>
            <w:shd w:val="clear" w:color="auto" w:fill="F2F2F2" w:themeFill="background1" w:themeFillShade="F2"/>
            <w:noWrap/>
            <w:vAlign w:val="center"/>
          </w:tcPr>
          <w:p w14:paraId="73E17EC2"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16.0</w:t>
            </w:r>
          </w:p>
        </w:tc>
      </w:tr>
      <w:tr w:rsidR="00166DB1" w:rsidRPr="00166DB1" w14:paraId="505D50B8" w14:textId="77777777" w:rsidTr="00E45E42">
        <w:trPr>
          <w:trHeight w:val="290"/>
        </w:trPr>
        <w:tc>
          <w:tcPr>
            <w:cnfStyle w:val="001000000000" w:firstRow="0" w:lastRow="0" w:firstColumn="1" w:lastColumn="0" w:oddVBand="0" w:evenVBand="0" w:oddHBand="0" w:evenHBand="0" w:firstRowFirstColumn="0" w:firstRowLastColumn="0" w:lastRowFirstColumn="0" w:lastRowLastColumn="0"/>
            <w:tcW w:w="695" w:type="pct"/>
            <w:shd w:val="clear" w:color="auto" w:fill="F2F2F2" w:themeFill="background1" w:themeFillShade="F2"/>
            <w:vAlign w:val="center"/>
            <w:hideMark/>
          </w:tcPr>
          <w:p w14:paraId="2FB78256" w14:textId="77777777" w:rsidR="00166DB1" w:rsidRPr="00166DB1" w:rsidRDefault="00166DB1" w:rsidP="00E45E42">
            <w:pPr>
              <w:pStyle w:val="TableCopy"/>
            </w:pPr>
            <w:r w:rsidRPr="00166DB1">
              <w:t>Remote</w:t>
            </w:r>
          </w:p>
        </w:tc>
        <w:tc>
          <w:tcPr>
            <w:tcW w:w="989" w:type="pct"/>
            <w:shd w:val="clear" w:color="auto" w:fill="F2F2F2" w:themeFill="background1" w:themeFillShade="F2"/>
            <w:noWrap/>
            <w:vAlign w:val="center"/>
            <w:hideMark/>
          </w:tcPr>
          <w:p w14:paraId="2E0FEDB7"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54.6</w:t>
            </w:r>
          </w:p>
        </w:tc>
        <w:tc>
          <w:tcPr>
            <w:tcW w:w="1105" w:type="pct"/>
            <w:shd w:val="clear" w:color="auto" w:fill="F2F2F2" w:themeFill="background1" w:themeFillShade="F2"/>
            <w:noWrap/>
            <w:vAlign w:val="center"/>
            <w:hideMark/>
          </w:tcPr>
          <w:p w14:paraId="341F6278"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24.0</w:t>
            </w:r>
          </w:p>
        </w:tc>
        <w:tc>
          <w:tcPr>
            <w:tcW w:w="1105" w:type="pct"/>
            <w:shd w:val="clear" w:color="auto" w:fill="F2F2F2" w:themeFill="background1" w:themeFillShade="F2"/>
            <w:vAlign w:val="center"/>
          </w:tcPr>
          <w:p w14:paraId="33115908"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321,789</w:t>
            </w:r>
          </w:p>
        </w:tc>
        <w:tc>
          <w:tcPr>
            <w:tcW w:w="1105" w:type="pct"/>
            <w:shd w:val="clear" w:color="auto" w:fill="F2F2F2" w:themeFill="background1" w:themeFillShade="F2"/>
            <w:noWrap/>
            <w:vAlign w:val="center"/>
          </w:tcPr>
          <w:p w14:paraId="3B914DAA"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24.0</w:t>
            </w:r>
          </w:p>
        </w:tc>
      </w:tr>
      <w:tr w:rsidR="00166DB1" w:rsidRPr="00166DB1" w14:paraId="7C1E1BAE" w14:textId="77777777" w:rsidTr="00E45E42">
        <w:trPr>
          <w:trHeight w:val="420"/>
        </w:trPr>
        <w:tc>
          <w:tcPr>
            <w:cnfStyle w:val="001000000000" w:firstRow="0" w:lastRow="0" w:firstColumn="1" w:lastColumn="0" w:oddVBand="0" w:evenVBand="0" w:oddHBand="0" w:evenHBand="0" w:firstRowFirstColumn="0" w:firstRowLastColumn="0" w:lastRowFirstColumn="0" w:lastRowLastColumn="0"/>
            <w:tcW w:w="695" w:type="pct"/>
            <w:shd w:val="clear" w:color="auto" w:fill="F2F2F2" w:themeFill="background1" w:themeFillShade="F2"/>
            <w:vAlign w:val="center"/>
            <w:hideMark/>
          </w:tcPr>
          <w:p w14:paraId="26EE7425" w14:textId="77777777" w:rsidR="00166DB1" w:rsidRPr="00166DB1" w:rsidRDefault="00166DB1" w:rsidP="00E45E42">
            <w:pPr>
              <w:pStyle w:val="TableCopy"/>
            </w:pPr>
            <w:r w:rsidRPr="00166DB1">
              <w:t>Very remote</w:t>
            </w:r>
          </w:p>
        </w:tc>
        <w:tc>
          <w:tcPr>
            <w:tcW w:w="989" w:type="pct"/>
            <w:shd w:val="clear" w:color="auto" w:fill="F2F2F2" w:themeFill="background1" w:themeFillShade="F2"/>
            <w:noWrap/>
            <w:vAlign w:val="center"/>
            <w:hideMark/>
          </w:tcPr>
          <w:p w14:paraId="24EA65FE"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34.1</w:t>
            </w:r>
          </w:p>
        </w:tc>
        <w:tc>
          <w:tcPr>
            <w:tcW w:w="1105" w:type="pct"/>
            <w:shd w:val="clear" w:color="auto" w:fill="F2F2F2" w:themeFill="background1" w:themeFillShade="F2"/>
            <w:noWrap/>
            <w:vAlign w:val="center"/>
            <w:hideMark/>
          </w:tcPr>
          <w:p w14:paraId="4F577DBD"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45.0</w:t>
            </w:r>
          </w:p>
        </w:tc>
        <w:tc>
          <w:tcPr>
            <w:tcW w:w="1105" w:type="pct"/>
            <w:shd w:val="clear" w:color="auto" w:fill="F2F2F2" w:themeFill="background1" w:themeFillShade="F2"/>
            <w:vAlign w:val="center"/>
          </w:tcPr>
          <w:p w14:paraId="6A7FABE7"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206,823</w:t>
            </w:r>
          </w:p>
        </w:tc>
        <w:tc>
          <w:tcPr>
            <w:tcW w:w="1105" w:type="pct"/>
            <w:shd w:val="clear" w:color="auto" w:fill="F2F2F2" w:themeFill="background1" w:themeFillShade="F2"/>
            <w:noWrap/>
            <w:vAlign w:val="center"/>
          </w:tcPr>
          <w:p w14:paraId="3EF29A81"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45.0</w:t>
            </w:r>
          </w:p>
        </w:tc>
      </w:tr>
      <w:tr w:rsidR="00166DB1" w:rsidRPr="00166DB1" w14:paraId="030D06D9" w14:textId="77777777" w:rsidTr="00E45E42">
        <w:trPr>
          <w:cnfStyle w:val="010000000000" w:firstRow="0" w:lastRow="1"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95" w:type="pct"/>
            <w:shd w:val="clear" w:color="auto" w:fill="F2F2F2" w:themeFill="background1" w:themeFillShade="F2"/>
            <w:vAlign w:val="center"/>
          </w:tcPr>
          <w:p w14:paraId="2A18D3BB" w14:textId="77777777" w:rsidR="00166DB1" w:rsidRPr="00166DB1" w:rsidRDefault="00166DB1" w:rsidP="00E45E42">
            <w:pPr>
              <w:pStyle w:val="TableCopy"/>
            </w:pPr>
            <w:r w:rsidRPr="00166DB1">
              <w:t xml:space="preserve">Total </w:t>
            </w:r>
          </w:p>
        </w:tc>
        <w:tc>
          <w:tcPr>
            <w:tcW w:w="989" w:type="pct"/>
            <w:shd w:val="clear" w:color="auto" w:fill="F2F2F2" w:themeFill="background1" w:themeFillShade="F2"/>
            <w:noWrap/>
            <w:vAlign w:val="center"/>
          </w:tcPr>
          <w:p w14:paraId="157F679B" w14:textId="77777777" w:rsidR="00166DB1" w:rsidRPr="00166DB1" w:rsidRDefault="00166DB1" w:rsidP="00E45E42">
            <w:pPr>
              <w:pStyle w:val="TableCopy"/>
              <w:jc w:val="center"/>
              <w:cnfStyle w:val="010000000000" w:firstRow="0" w:lastRow="1" w:firstColumn="0" w:lastColumn="0" w:oddVBand="0" w:evenVBand="0" w:oddHBand="0" w:evenHBand="0" w:firstRowFirstColumn="0" w:firstRowLastColumn="0" w:lastRowFirstColumn="0" w:lastRowLastColumn="0"/>
              <w:rPr>
                <w:lang w:eastAsia="en-AU"/>
              </w:rPr>
            </w:pPr>
          </w:p>
        </w:tc>
        <w:tc>
          <w:tcPr>
            <w:tcW w:w="1105" w:type="pct"/>
            <w:shd w:val="clear" w:color="auto" w:fill="F2F2F2" w:themeFill="background1" w:themeFillShade="F2"/>
            <w:noWrap/>
            <w:vAlign w:val="center"/>
          </w:tcPr>
          <w:p w14:paraId="53B66166" w14:textId="77777777" w:rsidR="00166DB1" w:rsidRPr="00166DB1" w:rsidRDefault="00166DB1" w:rsidP="00E45E42">
            <w:pPr>
              <w:pStyle w:val="TableCopy"/>
              <w:jc w:val="center"/>
              <w:cnfStyle w:val="010000000000" w:firstRow="0" w:lastRow="1" w:firstColumn="0" w:lastColumn="0" w:oddVBand="0" w:evenVBand="0" w:oddHBand="0" w:evenHBand="0" w:firstRowFirstColumn="0" w:firstRowLastColumn="0" w:lastRowFirstColumn="0" w:lastRowLastColumn="0"/>
              <w:rPr>
                <w:lang w:eastAsia="en-AU"/>
              </w:rPr>
            </w:pPr>
          </w:p>
        </w:tc>
        <w:tc>
          <w:tcPr>
            <w:tcW w:w="1105" w:type="pct"/>
            <w:shd w:val="clear" w:color="auto" w:fill="F2F2F2" w:themeFill="background1" w:themeFillShade="F2"/>
            <w:vAlign w:val="center"/>
          </w:tcPr>
          <w:p w14:paraId="16C379D2" w14:textId="77777777" w:rsidR="00166DB1" w:rsidRPr="00166DB1" w:rsidRDefault="00166DB1" w:rsidP="00E45E42">
            <w:pPr>
              <w:pStyle w:val="TableCopy"/>
              <w:jc w:val="center"/>
              <w:cnfStyle w:val="010000000000" w:firstRow="0" w:lastRow="1" w:firstColumn="0" w:lastColumn="0" w:oddVBand="0" w:evenVBand="0" w:oddHBand="0" w:evenHBand="0" w:firstRowFirstColumn="0" w:firstRowLastColumn="0" w:lastRowFirstColumn="0" w:lastRowLastColumn="0"/>
            </w:pPr>
          </w:p>
        </w:tc>
        <w:tc>
          <w:tcPr>
            <w:tcW w:w="1105" w:type="pct"/>
            <w:shd w:val="clear" w:color="auto" w:fill="F2F2F2" w:themeFill="background1" w:themeFillShade="F2"/>
            <w:noWrap/>
            <w:vAlign w:val="center"/>
          </w:tcPr>
          <w:p w14:paraId="6425391D" w14:textId="77777777" w:rsidR="00166DB1" w:rsidRPr="00166DB1" w:rsidRDefault="00166DB1" w:rsidP="00E45E42">
            <w:pPr>
              <w:pStyle w:val="TableCopy"/>
              <w:jc w:val="center"/>
              <w:cnfStyle w:val="010000000000" w:firstRow="0" w:lastRow="1" w:firstColumn="0" w:lastColumn="0" w:oddVBand="0" w:evenVBand="0" w:oddHBand="0" w:evenHBand="0" w:firstRowFirstColumn="0" w:firstRowLastColumn="0" w:lastRowFirstColumn="0" w:lastRowLastColumn="0"/>
              <w:rPr>
                <w:lang w:eastAsia="en-AU"/>
              </w:rPr>
            </w:pPr>
            <w:r w:rsidRPr="00166DB1">
              <w:rPr>
                <w:lang w:eastAsia="en-AU"/>
              </w:rPr>
              <w:t>1,078</w:t>
            </w:r>
          </w:p>
        </w:tc>
      </w:tr>
    </w:tbl>
    <w:p w14:paraId="25CC693B" w14:textId="77777777" w:rsidR="00166DB1" w:rsidRPr="00166DB1" w:rsidRDefault="00166DB1" w:rsidP="00BF753C">
      <w:pPr>
        <w:pStyle w:val="TableNotes"/>
      </w:pPr>
      <w:r w:rsidRPr="00166DB1">
        <w:t>*Source: National Health Workforce Dataset (NHWDS) 2013–2015, averaged over the three years</w:t>
      </w:r>
    </w:p>
    <w:p w14:paraId="2DEDD155" w14:textId="77777777" w:rsidR="00166DB1" w:rsidRPr="00166DB1" w:rsidRDefault="00166DB1" w:rsidP="00BF753C">
      <w:pPr>
        <w:pStyle w:val="TableNotes"/>
      </w:pPr>
      <w:r w:rsidRPr="00166DB1">
        <w:t>^Source: ABS - 3218.0 - Regional Population Growth (2013–2015), averaged over the three years</w:t>
      </w:r>
    </w:p>
    <w:p w14:paraId="17846CA5" w14:textId="77777777" w:rsidR="00166DB1" w:rsidRPr="00166DB1" w:rsidRDefault="00166DB1" w:rsidP="00BF753C">
      <w:pPr>
        <w:pStyle w:val="TableNotes"/>
      </w:pPr>
      <w:r w:rsidRPr="00166DB1">
        <w:t>#Rounding error: Rounding of numbers in columns A and B may cause calculations in Column D to appear over or under estimated, as calculations have been executed in excel to numerous decimal points.</w:t>
      </w:r>
    </w:p>
    <w:p w14:paraId="4E48A359" w14:textId="77777777" w:rsidR="00166DB1" w:rsidRPr="00166DB1" w:rsidRDefault="00166DB1" w:rsidP="00483C21">
      <w:pPr>
        <w:pStyle w:val="Caption"/>
      </w:pPr>
      <w:r w:rsidRPr="00166DB1">
        <w:t xml:space="preserve">Table </w:t>
      </w:r>
      <w:r w:rsidRPr="00166DB1">
        <w:rPr>
          <w:noProof/>
        </w:rPr>
        <w:fldChar w:fldCharType="begin"/>
      </w:r>
      <w:r w:rsidRPr="00166DB1">
        <w:rPr>
          <w:noProof/>
        </w:rPr>
        <w:instrText xml:space="preserve"> STYLEREF 1 \s </w:instrText>
      </w:r>
      <w:r w:rsidRPr="00166DB1">
        <w:rPr>
          <w:noProof/>
        </w:rPr>
        <w:fldChar w:fldCharType="separate"/>
      </w:r>
      <w:r w:rsidRPr="00166DB1">
        <w:rPr>
          <w:noProof/>
        </w:rPr>
        <w:t>8</w:t>
      </w:r>
      <w:r w:rsidRPr="00166DB1">
        <w:rPr>
          <w:noProof/>
        </w:rPr>
        <w:fldChar w:fldCharType="end"/>
      </w:r>
      <w:r w:rsidRPr="00166DB1">
        <w:t>.</w:t>
      </w:r>
      <w:r w:rsidRPr="00166DB1">
        <w:rPr>
          <w:noProof/>
        </w:rPr>
        <w:fldChar w:fldCharType="begin"/>
      </w:r>
      <w:r w:rsidRPr="00166DB1">
        <w:rPr>
          <w:noProof/>
        </w:rPr>
        <w:instrText xml:space="preserve"> SEQ Table \* ARABIC \s 1 </w:instrText>
      </w:r>
      <w:r w:rsidRPr="00166DB1">
        <w:rPr>
          <w:noProof/>
        </w:rPr>
        <w:fldChar w:fldCharType="separate"/>
      </w:r>
      <w:r w:rsidRPr="00166DB1">
        <w:rPr>
          <w:noProof/>
        </w:rPr>
        <w:t>3</w:t>
      </w:r>
      <w:r w:rsidRPr="00166DB1">
        <w:rPr>
          <w:noProof/>
        </w:rPr>
        <w:fldChar w:fldCharType="end"/>
      </w:r>
      <w:r w:rsidRPr="00166DB1">
        <w:t xml:space="preserve">: Average FTE rate (2013–15) and calculations to bring non-metropolitan areas to parity with major cities – community pharmacists </w:t>
      </w:r>
    </w:p>
    <w:tbl>
      <w:tblPr>
        <w:tblStyle w:val="HMATable"/>
        <w:tblW w:w="5000" w:type="pct"/>
        <w:tblInd w:w="10" w:type="dxa"/>
        <w:shd w:val="clear" w:color="auto" w:fill="F2F2F2" w:themeFill="background1" w:themeFillShade="F2"/>
        <w:tblLayout w:type="fixed"/>
        <w:tblLook w:val="04E0" w:firstRow="1" w:lastRow="1" w:firstColumn="1" w:lastColumn="0" w:noHBand="0" w:noVBand="1"/>
        <w:tblCaption w:val="Table 8.3: Average FTE rate (2013-15) and calculations to bring non-metropolitan areas to parity with major cities - community pharmacists"/>
        <w:tblDescription w:val="Table 8.3: Average FTE rate (2013-15) and calculations to bring non-metropolitan areas to parity with major cities - community pharmacists"/>
      </w:tblPr>
      <w:tblGrid>
        <w:gridCol w:w="978"/>
        <w:gridCol w:w="1391"/>
        <w:gridCol w:w="1555"/>
        <w:gridCol w:w="1555"/>
        <w:gridCol w:w="1555"/>
      </w:tblGrid>
      <w:tr w:rsidR="00166DB1" w:rsidRPr="00166DB1" w14:paraId="3198B72F" w14:textId="77777777" w:rsidTr="0036771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695" w:type="pct"/>
            <w:shd w:val="clear" w:color="auto" w:fill="F2F2F2" w:themeFill="background1" w:themeFillShade="F2"/>
            <w:noWrap/>
            <w:vAlign w:val="center"/>
            <w:hideMark/>
          </w:tcPr>
          <w:p w14:paraId="53AF6A04" w14:textId="77777777" w:rsidR="00166DB1" w:rsidRPr="00166DB1" w:rsidRDefault="00166DB1" w:rsidP="00E45E42">
            <w:pPr>
              <w:pStyle w:val="TableColumnHeading"/>
              <w:rPr>
                <w:lang w:eastAsia="en-AU"/>
              </w:rPr>
            </w:pPr>
            <w:r w:rsidRPr="00166DB1">
              <w:t>Location type</w:t>
            </w:r>
          </w:p>
        </w:tc>
        <w:tc>
          <w:tcPr>
            <w:tcW w:w="989" w:type="pct"/>
            <w:shd w:val="clear" w:color="auto" w:fill="F2F2F2" w:themeFill="background1" w:themeFillShade="F2"/>
            <w:noWrap/>
            <w:vAlign w:val="center"/>
            <w:hideMark/>
          </w:tcPr>
          <w:p w14:paraId="0B830FBF"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A: Community pharmacist FTE rate per 100,000 population*</w:t>
            </w:r>
          </w:p>
        </w:tc>
        <w:tc>
          <w:tcPr>
            <w:tcW w:w="1105" w:type="pct"/>
            <w:shd w:val="clear" w:color="auto" w:fill="F2F2F2" w:themeFill="background1" w:themeFillShade="F2"/>
            <w:noWrap/>
            <w:vAlign w:val="center"/>
            <w:hideMark/>
          </w:tcPr>
          <w:p w14:paraId="3DFFC244"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B: Calculated community pharmacist FTE rate required for parity</w:t>
            </w:r>
          </w:p>
        </w:tc>
        <w:tc>
          <w:tcPr>
            <w:tcW w:w="1105" w:type="pct"/>
            <w:shd w:val="clear" w:color="auto" w:fill="F2F2F2" w:themeFill="background1" w:themeFillShade="F2"/>
            <w:vAlign w:val="center"/>
          </w:tcPr>
          <w:p w14:paraId="17CC872B"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pPr>
            <w:r w:rsidRPr="00166DB1">
              <w:t>C: Population^</w:t>
            </w:r>
          </w:p>
        </w:tc>
        <w:tc>
          <w:tcPr>
            <w:tcW w:w="1105" w:type="pct"/>
            <w:shd w:val="clear" w:color="auto" w:fill="F2F2F2" w:themeFill="background1" w:themeFillShade="F2"/>
            <w:noWrap/>
            <w:vAlign w:val="center"/>
            <w:hideMark/>
          </w:tcPr>
          <w:p w14:paraId="1C6A35A5"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t xml:space="preserve">D: Calculated community pharmacist FTE required for parity </w:t>
            </w:r>
          </w:p>
        </w:tc>
      </w:tr>
      <w:tr w:rsidR="00166DB1" w:rsidRPr="00166DB1" w14:paraId="3385D2C4" w14:textId="77777777" w:rsidTr="00E45E42">
        <w:trPr>
          <w:trHeight w:val="290"/>
        </w:trPr>
        <w:tc>
          <w:tcPr>
            <w:cnfStyle w:val="001000000000" w:firstRow="0" w:lastRow="0" w:firstColumn="1" w:lastColumn="0" w:oddVBand="0" w:evenVBand="0" w:oddHBand="0" w:evenHBand="0" w:firstRowFirstColumn="0" w:firstRowLastColumn="0" w:lastRowFirstColumn="0" w:lastRowLastColumn="0"/>
            <w:tcW w:w="695" w:type="pct"/>
            <w:shd w:val="clear" w:color="auto" w:fill="F2F2F2" w:themeFill="background1" w:themeFillShade="F2"/>
            <w:noWrap/>
            <w:vAlign w:val="center"/>
          </w:tcPr>
          <w:p w14:paraId="4AB86169" w14:textId="77777777" w:rsidR="00166DB1" w:rsidRPr="00166DB1" w:rsidRDefault="00166DB1" w:rsidP="00E45E42">
            <w:pPr>
              <w:pStyle w:val="TableColumnHeading"/>
              <w:rPr>
                <w:lang w:eastAsia="en-AU"/>
              </w:rPr>
            </w:pPr>
          </w:p>
        </w:tc>
        <w:tc>
          <w:tcPr>
            <w:tcW w:w="989" w:type="pct"/>
            <w:shd w:val="clear" w:color="auto" w:fill="F2F2F2" w:themeFill="background1" w:themeFillShade="F2"/>
            <w:noWrap/>
            <w:vAlign w:val="center"/>
          </w:tcPr>
          <w:p w14:paraId="1E7DE318" w14:textId="77777777" w:rsidR="00166DB1" w:rsidRPr="00166DB1" w:rsidRDefault="00166DB1" w:rsidP="00E45E42">
            <w:pPr>
              <w:pStyle w:val="TableColumnHeading"/>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w:t>
            </w:r>
          </w:p>
        </w:tc>
        <w:tc>
          <w:tcPr>
            <w:tcW w:w="1105" w:type="pct"/>
            <w:shd w:val="clear" w:color="auto" w:fill="F2F2F2" w:themeFill="background1" w:themeFillShade="F2"/>
            <w:noWrap/>
            <w:vAlign w:val="center"/>
          </w:tcPr>
          <w:p w14:paraId="5E7DE36A" w14:textId="77777777" w:rsidR="00166DB1" w:rsidRPr="00166DB1" w:rsidRDefault="00166DB1" w:rsidP="00E45E42">
            <w:pPr>
              <w:pStyle w:val="TableColumnHeading"/>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A1 - Ax</w:t>
            </w:r>
          </w:p>
        </w:tc>
        <w:tc>
          <w:tcPr>
            <w:tcW w:w="1105" w:type="pct"/>
            <w:shd w:val="clear" w:color="auto" w:fill="F2F2F2" w:themeFill="background1" w:themeFillShade="F2"/>
            <w:vAlign w:val="center"/>
          </w:tcPr>
          <w:p w14:paraId="1E8A2F3A" w14:textId="77777777" w:rsidR="00166DB1" w:rsidRPr="00166DB1" w:rsidRDefault="00166DB1" w:rsidP="00E45E42">
            <w:pPr>
              <w:pStyle w:val="TableColumnHeading"/>
              <w:cnfStyle w:val="000000000000" w:firstRow="0" w:lastRow="0" w:firstColumn="0" w:lastColumn="0" w:oddVBand="0" w:evenVBand="0" w:oddHBand="0" w:evenHBand="0" w:firstRowFirstColumn="0" w:firstRowLastColumn="0" w:lastRowFirstColumn="0" w:lastRowLastColumn="0"/>
            </w:pPr>
            <w:r w:rsidRPr="00166DB1">
              <w:t>-</w:t>
            </w:r>
          </w:p>
        </w:tc>
        <w:tc>
          <w:tcPr>
            <w:tcW w:w="1105" w:type="pct"/>
            <w:shd w:val="clear" w:color="auto" w:fill="F2F2F2" w:themeFill="background1" w:themeFillShade="F2"/>
            <w:noWrap/>
            <w:vAlign w:val="center"/>
          </w:tcPr>
          <w:p w14:paraId="3642961E" w14:textId="77777777" w:rsidR="00166DB1" w:rsidRPr="00166DB1" w:rsidRDefault="00166DB1" w:rsidP="00E45E42">
            <w:pPr>
              <w:pStyle w:val="TableColumnHeading"/>
              <w:cnfStyle w:val="000000000000" w:firstRow="0" w:lastRow="0" w:firstColumn="0" w:lastColumn="0" w:oddVBand="0" w:evenVBand="0" w:oddHBand="0" w:evenHBand="0" w:firstRowFirstColumn="0" w:firstRowLastColumn="0" w:lastRowFirstColumn="0" w:lastRowLastColumn="0"/>
              <w:rPr>
                <w:lang w:eastAsia="en-AU"/>
              </w:rPr>
            </w:pPr>
            <w:r w:rsidRPr="00166DB1">
              <w:t>B*C/100,000</w:t>
            </w:r>
            <w:r w:rsidRPr="00166DB1">
              <w:rPr>
                <w:vertAlign w:val="superscript"/>
              </w:rPr>
              <w:t>#</w:t>
            </w:r>
          </w:p>
        </w:tc>
      </w:tr>
      <w:tr w:rsidR="00166DB1" w:rsidRPr="00166DB1" w14:paraId="2343C885" w14:textId="77777777" w:rsidTr="00E45E42">
        <w:trPr>
          <w:trHeight w:val="420"/>
        </w:trPr>
        <w:tc>
          <w:tcPr>
            <w:cnfStyle w:val="001000000000" w:firstRow="0" w:lastRow="0" w:firstColumn="1" w:lastColumn="0" w:oddVBand="0" w:evenVBand="0" w:oddHBand="0" w:evenHBand="0" w:firstRowFirstColumn="0" w:firstRowLastColumn="0" w:lastRowFirstColumn="0" w:lastRowLastColumn="0"/>
            <w:tcW w:w="695" w:type="pct"/>
            <w:shd w:val="clear" w:color="auto" w:fill="F2F2F2" w:themeFill="background1" w:themeFillShade="F2"/>
            <w:vAlign w:val="center"/>
            <w:hideMark/>
          </w:tcPr>
          <w:p w14:paraId="2FF38930" w14:textId="77777777" w:rsidR="00166DB1" w:rsidRPr="00166DB1" w:rsidRDefault="00166DB1" w:rsidP="00E45E42">
            <w:pPr>
              <w:pStyle w:val="TableCopy"/>
            </w:pPr>
            <w:r w:rsidRPr="00166DB1">
              <w:t>Major cities</w:t>
            </w:r>
          </w:p>
        </w:tc>
        <w:tc>
          <w:tcPr>
            <w:tcW w:w="989" w:type="pct"/>
            <w:shd w:val="clear" w:color="auto" w:fill="F2F2F2" w:themeFill="background1" w:themeFillShade="F2"/>
            <w:noWrap/>
            <w:vAlign w:val="center"/>
            <w:hideMark/>
          </w:tcPr>
          <w:p w14:paraId="2CE2C411"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54.1</w:t>
            </w:r>
          </w:p>
        </w:tc>
        <w:tc>
          <w:tcPr>
            <w:tcW w:w="1105" w:type="pct"/>
            <w:shd w:val="clear" w:color="auto" w:fill="F2F2F2" w:themeFill="background1" w:themeFillShade="F2"/>
            <w:noWrap/>
            <w:vAlign w:val="center"/>
            <w:hideMark/>
          </w:tcPr>
          <w:p w14:paraId="12887A8C"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0.0</w:t>
            </w:r>
          </w:p>
        </w:tc>
        <w:tc>
          <w:tcPr>
            <w:tcW w:w="1105" w:type="pct"/>
            <w:shd w:val="clear" w:color="auto" w:fill="F2F2F2" w:themeFill="background1" w:themeFillShade="F2"/>
            <w:vAlign w:val="center"/>
          </w:tcPr>
          <w:p w14:paraId="18D21372"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16,586,819</w:t>
            </w:r>
          </w:p>
        </w:tc>
        <w:tc>
          <w:tcPr>
            <w:tcW w:w="1105" w:type="pct"/>
            <w:shd w:val="clear" w:color="auto" w:fill="F2F2F2" w:themeFill="background1" w:themeFillShade="F2"/>
            <w:noWrap/>
            <w:vAlign w:val="center"/>
          </w:tcPr>
          <w:p w14:paraId="4E40B3EF"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0.0</w:t>
            </w:r>
          </w:p>
        </w:tc>
      </w:tr>
      <w:tr w:rsidR="00166DB1" w:rsidRPr="00166DB1" w14:paraId="0D6D115E" w14:textId="77777777" w:rsidTr="00E45E42">
        <w:trPr>
          <w:trHeight w:val="420"/>
        </w:trPr>
        <w:tc>
          <w:tcPr>
            <w:cnfStyle w:val="001000000000" w:firstRow="0" w:lastRow="0" w:firstColumn="1" w:lastColumn="0" w:oddVBand="0" w:evenVBand="0" w:oddHBand="0" w:evenHBand="0" w:firstRowFirstColumn="0" w:firstRowLastColumn="0" w:lastRowFirstColumn="0" w:lastRowLastColumn="0"/>
            <w:tcW w:w="695" w:type="pct"/>
            <w:shd w:val="clear" w:color="auto" w:fill="F2F2F2" w:themeFill="background1" w:themeFillShade="F2"/>
            <w:vAlign w:val="center"/>
            <w:hideMark/>
          </w:tcPr>
          <w:p w14:paraId="7A7050FB" w14:textId="77777777" w:rsidR="00166DB1" w:rsidRPr="00166DB1" w:rsidRDefault="00166DB1" w:rsidP="00E45E42">
            <w:pPr>
              <w:pStyle w:val="TableCopy"/>
            </w:pPr>
            <w:r w:rsidRPr="00166DB1">
              <w:t>Inner regional</w:t>
            </w:r>
          </w:p>
        </w:tc>
        <w:tc>
          <w:tcPr>
            <w:tcW w:w="989" w:type="pct"/>
            <w:shd w:val="clear" w:color="auto" w:fill="F2F2F2" w:themeFill="background1" w:themeFillShade="F2"/>
            <w:noWrap/>
            <w:vAlign w:val="center"/>
            <w:hideMark/>
          </w:tcPr>
          <w:p w14:paraId="41DFB601"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51.8</w:t>
            </w:r>
          </w:p>
        </w:tc>
        <w:tc>
          <w:tcPr>
            <w:tcW w:w="1105" w:type="pct"/>
            <w:shd w:val="clear" w:color="auto" w:fill="F2F2F2" w:themeFill="background1" w:themeFillShade="F2"/>
            <w:noWrap/>
            <w:vAlign w:val="center"/>
            <w:hideMark/>
          </w:tcPr>
          <w:p w14:paraId="3E5611EA"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2.3</w:t>
            </w:r>
          </w:p>
        </w:tc>
        <w:tc>
          <w:tcPr>
            <w:tcW w:w="1105" w:type="pct"/>
            <w:shd w:val="clear" w:color="auto" w:fill="F2F2F2" w:themeFill="background1" w:themeFillShade="F2"/>
            <w:vAlign w:val="center"/>
          </w:tcPr>
          <w:p w14:paraId="06FA17C7"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4,259,400</w:t>
            </w:r>
          </w:p>
        </w:tc>
        <w:tc>
          <w:tcPr>
            <w:tcW w:w="1105" w:type="pct"/>
            <w:shd w:val="clear" w:color="auto" w:fill="F2F2F2" w:themeFill="background1" w:themeFillShade="F2"/>
            <w:noWrap/>
            <w:vAlign w:val="center"/>
          </w:tcPr>
          <w:p w14:paraId="436ED1A2"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96.5</w:t>
            </w:r>
          </w:p>
        </w:tc>
      </w:tr>
      <w:tr w:rsidR="00166DB1" w:rsidRPr="00166DB1" w14:paraId="4E870D1A" w14:textId="77777777" w:rsidTr="00E45E42">
        <w:trPr>
          <w:trHeight w:val="420"/>
        </w:trPr>
        <w:tc>
          <w:tcPr>
            <w:cnfStyle w:val="001000000000" w:firstRow="0" w:lastRow="0" w:firstColumn="1" w:lastColumn="0" w:oddVBand="0" w:evenVBand="0" w:oddHBand="0" w:evenHBand="0" w:firstRowFirstColumn="0" w:firstRowLastColumn="0" w:lastRowFirstColumn="0" w:lastRowLastColumn="0"/>
            <w:tcW w:w="695" w:type="pct"/>
            <w:shd w:val="clear" w:color="auto" w:fill="F2F2F2" w:themeFill="background1" w:themeFillShade="F2"/>
            <w:vAlign w:val="center"/>
            <w:hideMark/>
          </w:tcPr>
          <w:p w14:paraId="2C3FEAA3" w14:textId="77777777" w:rsidR="00166DB1" w:rsidRPr="00166DB1" w:rsidRDefault="00166DB1" w:rsidP="00E45E42">
            <w:pPr>
              <w:pStyle w:val="TableCopy"/>
            </w:pPr>
            <w:r w:rsidRPr="00166DB1">
              <w:t>Outer regional</w:t>
            </w:r>
          </w:p>
        </w:tc>
        <w:tc>
          <w:tcPr>
            <w:tcW w:w="989" w:type="pct"/>
            <w:shd w:val="clear" w:color="auto" w:fill="F2F2F2" w:themeFill="background1" w:themeFillShade="F2"/>
            <w:noWrap/>
            <w:vAlign w:val="center"/>
            <w:hideMark/>
          </w:tcPr>
          <w:p w14:paraId="2B193E7E"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50.6</w:t>
            </w:r>
          </w:p>
        </w:tc>
        <w:tc>
          <w:tcPr>
            <w:tcW w:w="1105" w:type="pct"/>
            <w:shd w:val="clear" w:color="auto" w:fill="F2F2F2" w:themeFill="background1" w:themeFillShade="F2"/>
            <w:noWrap/>
            <w:vAlign w:val="center"/>
            <w:hideMark/>
          </w:tcPr>
          <w:p w14:paraId="027F21FF"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3.5</w:t>
            </w:r>
          </w:p>
        </w:tc>
        <w:tc>
          <w:tcPr>
            <w:tcW w:w="1105" w:type="pct"/>
            <w:shd w:val="clear" w:color="auto" w:fill="F2F2F2" w:themeFill="background1" w:themeFillShade="F2"/>
            <w:vAlign w:val="center"/>
          </w:tcPr>
          <w:p w14:paraId="6247EC48"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2,077,110</w:t>
            </w:r>
          </w:p>
        </w:tc>
        <w:tc>
          <w:tcPr>
            <w:tcW w:w="1105" w:type="pct"/>
            <w:shd w:val="clear" w:color="auto" w:fill="F2F2F2" w:themeFill="background1" w:themeFillShade="F2"/>
            <w:noWrap/>
            <w:vAlign w:val="center"/>
          </w:tcPr>
          <w:p w14:paraId="7C406C48"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72.7</w:t>
            </w:r>
          </w:p>
        </w:tc>
      </w:tr>
      <w:tr w:rsidR="00166DB1" w:rsidRPr="00166DB1" w14:paraId="25F1AD6E" w14:textId="77777777" w:rsidTr="00E45E42">
        <w:trPr>
          <w:trHeight w:val="290"/>
        </w:trPr>
        <w:tc>
          <w:tcPr>
            <w:cnfStyle w:val="001000000000" w:firstRow="0" w:lastRow="0" w:firstColumn="1" w:lastColumn="0" w:oddVBand="0" w:evenVBand="0" w:oddHBand="0" w:evenHBand="0" w:firstRowFirstColumn="0" w:firstRowLastColumn="0" w:lastRowFirstColumn="0" w:lastRowLastColumn="0"/>
            <w:tcW w:w="695" w:type="pct"/>
            <w:shd w:val="clear" w:color="auto" w:fill="F2F2F2" w:themeFill="background1" w:themeFillShade="F2"/>
            <w:vAlign w:val="center"/>
            <w:hideMark/>
          </w:tcPr>
          <w:p w14:paraId="2E0E7D88" w14:textId="77777777" w:rsidR="00166DB1" w:rsidRPr="00166DB1" w:rsidRDefault="00166DB1" w:rsidP="00E45E42">
            <w:pPr>
              <w:pStyle w:val="TableCopy"/>
            </w:pPr>
            <w:r w:rsidRPr="00166DB1">
              <w:t>Remote</w:t>
            </w:r>
          </w:p>
        </w:tc>
        <w:tc>
          <w:tcPr>
            <w:tcW w:w="989" w:type="pct"/>
            <w:shd w:val="clear" w:color="auto" w:fill="F2F2F2" w:themeFill="background1" w:themeFillShade="F2"/>
            <w:noWrap/>
            <w:vAlign w:val="center"/>
            <w:hideMark/>
          </w:tcPr>
          <w:p w14:paraId="7CF29123"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41.6</w:t>
            </w:r>
          </w:p>
        </w:tc>
        <w:tc>
          <w:tcPr>
            <w:tcW w:w="1105" w:type="pct"/>
            <w:shd w:val="clear" w:color="auto" w:fill="F2F2F2" w:themeFill="background1" w:themeFillShade="F2"/>
            <w:noWrap/>
            <w:vAlign w:val="center"/>
            <w:hideMark/>
          </w:tcPr>
          <w:p w14:paraId="00B6D78A"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12.5</w:t>
            </w:r>
          </w:p>
        </w:tc>
        <w:tc>
          <w:tcPr>
            <w:tcW w:w="1105" w:type="pct"/>
            <w:shd w:val="clear" w:color="auto" w:fill="F2F2F2" w:themeFill="background1" w:themeFillShade="F2"/>
            <w:vAlign w:val="center"/>
          </w:tcPr>
          <w:p w14:paraId="01778B4C"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321,789</w:t>
            </w:r>
          </w:p>
        </w:tc>
        <w:tc>
          <w:tcPr>
            <w:tcW w:w="1105" w:type="pct"/>
            <w:shd w:val="clear" w:color="auto" w:fill="F2F2F2" w:themeFill="background1" w:themeFillShade="F2"/>
            <w:noWrap/>
            <w:vAlign w:val="center"/>
          </w:tcPr>
          <w:p w14:paraId="6227A4FF"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40.1</w:t>
            </w:r>
          </w:p>
        </w:tc>
      </w:tr>
      <w:tr w:rsidR="00166DB1" w:rsidRPr="00166DB1" w14:paraId="2731CFDF" w14:textId="77777777" w:rsidTr="00E45E42">
        <w:trPr>
          <w:trHeight w:val="420"/>
        </w:trPr>
        <w:tc>
          <w:tcPr>
            <w:cnfStyle w:val="001000000000" w:firstRow="0" w:lastRow="0" w:firstColumn="1" w:lastColumn="0" w:oddVBand="0" w:evenVBand="0" w:oddHBand="0" w:evenHBand="0" w:firstRowFirstColumn="0" w:firstRowLastColumn="0" w:lastRowFirstColumn="0" w:lastRowLastColumn="0"/>
            <w:tcW w:w="695" w:type="pct"/>
            <w:shd w:val="clear" w:color="auto" w:fill="F2F2F2" w:themeFill="background1" w:themeFillShade="F2"/>
            <w:vAlign w:val="center"/>
            <w:hideMark/>
          </w:tcPr>
          <w:p w14:paraId="43971793" w14:textId="77777777" w:rsidR="00166DB1" w:rsidRPr="00166DB1" w:rsidRDefault="00166DB1" w:rsidP="00E45E42">
            <w:pPr>
              <w:pStyle w:val="TableCopy"/>
            </w:pPr>
            <w:r w:rsidRPr="00166DB1">
              <w:t>Very remote</w:t>
            </w:r>
          </w:p>
        </w:tc>
        <w:tc>
          <w:tcPr>
            <w:tcW w:w="989" w:type="pct"/>
            <w:shd w:val="clear" w:color="auto" w:fill="F2F2F2" w:themeFill="background1" w:themeFillShade="F2"/>
            <w:noWrap/>
            <w:vAlign w:val="center"/>
            <w:hideMark/>
          </w:tcPr>
          <w:p w14:paraId="1670283D"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26.4</w:t>
            </w:r>
          </w:p>
        </w:tc>
        <w:tc>
          <w:tcPr>
            <w:tcW w:w="1105" w:type="pct"/>
            <w:shd w:val="clear" w:color="auto" w:fill="F2F2F2" w:themeFill="background1" w:themeFillShade="F2"/>
            <w:noWrap/>
            <w:vAlign w:val="center"/>
            <w:hideMark/>
          </w:tcPr>
          <w:p w14:paraId="67C46AB9"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27.7</w:t>
            </w:r>
          </w:p>
        </w:tc>
        <w:tc>
          <w:tcPr>
            <w:tcW w:w="1105" w:type="pct"/>
            <w:shd w:val="clear" w:color="auto" w:fill="F2F2F2" w:themeFill="background1" w:themeFillShade="F2"/>
            <w:vAlign w:val="center"/>
          </w:tcPr>
          <w:p w14:paraId="753F2EBE"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pPr>
            <w:r w:rsidRPr="00166DB1">
              <w:t>206,823</w:t>
            </w:r>
          </w:p>
        </w:tc>
        <w:tc>
          <w:tcPr>
            <w:tcW w:w="1105" w:type="pct"/>
            <w:shd w:val="clear" w:color="auto" w:fill="F2F2F2" w:themeFill="background1" w:themeFillShade="F2"/>
            <w:noWrap/>
            <w:vAlign w:val="center"/>
          </w:tcPr>
          <w:p w14:paraId="13F132AD" w14:textId="77777777" w:rsidR="00166DB1" w:rsidRPr="00166DB1" w:rsidRDefault="00166DB1" w:rsidP="00E45E42">
            <w:pPr>
              <w:pStyle w:val="TableCopy"/>
              <w:jc w:val="center"/>
              <w:cnfStyle w:val="000000000000" w:firstRow="0" w:lastRow="0" w:firstColumn="0" w:lastColumn="0" w:oddVBand="0" w:evenVBand="0" w:oddHBand="0" w:evenHBand="0" w:firstRowFirstColumn="0" w:firstRowLastColumn="0" w:lastRowFirstColumn="0" w:lastRowLastColumn="0"/>
              <w:rPr>
                <w:lang w:eastAsia="en-AU"/>
              </w:rPr>
            </w:pPr>
            <w:r w:rsidRPr="00166DB1">
              <w:t>57.4</w:t>
            </w:r>
          </w:p>
        </w:tc>
      </w:tr>
      <w:tr w:rsidR="00166DB1" w:rsidRPr="00166DB1" w14:paraId="4931C5C8" w14:textId="77777777" w:rsidTr="00E45E42">
        <w:trPr>
          <w:cnfStyle w:val="010000000000" w:firstRow="0" w:lastRow="1"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95" w:type="pct"/>
            <w:shd w:val="clear" w:color="auto" w:fill="F2F2F2" w:themeFill="background1" w:themeFillShade="F2"/>
            <w:vAlign w:val="center"/>
          </w:tcPr>
          <w:p w14:paraId="3D005A41" w14:textId="77777777" w:rsidR="00166DB1" w:rsidRPr="00166DB1" w:rsidRDefault="00166DB1" w:rsidP="00E45E42">
            <w:pPr>
              <w:pStyle w:val="TableCopy"/>
            </w:pPr>
            <w:r w:rsidRPr="00166DB1">
              <w:t xml:space="preserve">Total </w:t>
            </w:r>
          </w:p>
        </w:tc>
        <w:tc>
          <w:tcPr>
            <w:tcW w:w="989" w:type="pct"/>
            <w:shd w:val="clear" w:color="auto" w:fill="F2F2F2" w:themeFill="background1" w:themeFillShade="F2"/>
            <w:noWrap/>
            <w:vAlign w:val="center"/>
          </w:tcPr>
          <w:p w14:paraId="51934AF3" w14:textId="77777777" w:rsidR="00166DB1" w:rsidRPr="00166DB1" w:rsidRDefault="00166DB1" w:rsidP="00E45E42">
            <w:pPr>
              <w:pStyle w:val="TableCopy"/>
              <w:jc w:val="center"/>
              <w:cnfStyle w:val="010000000000" w:firstRow="0" w:lastRow="1" w:firstColumn="0" w:lastColumn="0" w:oddVBand="0" w:evenVBand="0" w:oddHBand="0" w:evenHBand="0" w:firstRowFirstColumn="0" w:firstRowLastColumn="0" w:lastRowFirstColumn="0" w:lastRowLastColumn="0"/>
              <w:rPr>
                <w:lang w:eastAsia="en-AU"/>
              </w:rPr>
            </w:pPr>
          </w:p>
        </w:tc>
        <w:tc>
          <w:tcPr>
            <w:tcW w:w="1105" w:type="pct"/>
            <w:shd w:val="clear" w:color="auto" w:fill="F2F2F2" w:themeFill="background1" w:themeFillShade="F2"/>
            <w:noWrap/>
            <w:vAlign w:val="center"/>
          </w:tcPr>
          <w:p w14:paraId="1AAF363B" w14:textId="77777777" w:rsidR="00166DB1" w:rsidRPr="00166DB1" w:rsidRDefault="00166DB1" w:rsidP="00E45E42">
            <w:pPr>
              <w:pStyle w:val="TableCopy"/>
              <w:jc w:val="center"/>
              <w:cnfStyle w:val="010000000000" w:firstRow="0" w:lastRow="1" w:firstColumn="0" w:lastColumn="0" w:oddVBand="0" w:evenVBand="0" w:oddHBand="0" w:evenHBand="0" w:firstRowFirstColumn="0" w:firstRowLastColumn="0" w:lastRowFirstColumn="0" w:lastRowLastColumn="0"/>
              <w:rPr>
                <w:lang w:eastAsia="en-AU"/>
              </w:rPr>
            </w:pPr>
          </w:p>
        </w:tc>
        <w:tc>
          <w:tcPr>
            <w:tcW w:w="1105" w:type="pct"/>
            <w:shd w:val="clear" w:color="auto" w:fill="F2F2F2" w:themeFill="background1" w:themeFillShade="F2"/>
            <w:vAlign w:val="center"/>
          </w:tcPr>
          <w:p w14:paraId="4EC022C4" w14:textId="77777777" w:rsidR="00166DB1" w:rsidRPr="00166DB1" w:rsidRDefault="00166DB1" w:rsidP="00E45E42">
            <w:pPr>
              <w:pStyle w:val="TableCopy"/>
              <w:jc w:val="center"/>
              <w:cnfStyle w:val="010000000000" w:firstRow="0" w:lastRow="1" w:firstColumn="0" w:lastColumn="0" w:oddVBand="0" w:evenVBand="0" w:oddHBand="0" w:evenHBand="0" w:firstRowFirstColumn="0" w:firstRowLastColumn="0" w:lastRowFirstColumn="0" w:lastRowLastColumn="0"/>
            </w:pPr>
          </w:p>
        </w:tc>
        <w:tc>
          <w:tcPr>
            <w:tcW w:w="1105" w:type="pct"/>
            <w:shd w:val="clear" w:color="auto" w:fill="F2F2F2" w:themeFill="background1" w:themeFillShade="F2"/>
            <w:noWrap/>
            <w:vAlign w:val="center"/>
          </w:tcPr>
          <w:p w14:paraId="3C028EEC" w14:textId="77777777" w:rsidR="00166DB1" w:rsidRPr="00166DB1" w:rsidRDefault="00166DB1" w:rsidP="00E45E42">
            <w:pPr>
              <w:pStyle w:val="TableCopy"/>
              <w:jc w:val="center"/>
              <w:cnfStyle w:val="010000000000" w:firstRow="0" w:lastRow="1" w:firstColumn="0" w:lastColumn="0" w:oddVBand="0" w:evenVBand="0" w:oddHBand="0" w:evenHBand="0" w:firstRowFirstColumn="0" w:firstRowLastColumn="0" w:lastRowFirstColumn="0" w:lastRowLastColumn="0"/>
              <w:rPr>
                <w:lang w:eastAsia="en-AU"/>
              </w:rPr>
            </w:pPr>
            <w:r w:rsidRPr="00166DB1">
              <w:t>266.7</w:t>
            </w:r>
          </w:p>
        </w:tc>
      </w:tr>
    </w:tbl>
    <w:p w14:paraId="157D5F87" w14:textId="77777777" w:rsidR="00166DB1" w:rsidRPr="00166DB1" w:rsidRDefault="00166DB1" w:rsidP="00BF753C">
      <w:pPr>
        <w:pStyle w:val="TableNotes"/>
      </w:pPr>
      <w:r w:rsidRPr="00166DB1">
        <w:t>*Source: National Health Workforce Dataset (NHWDS) 2013–2015, averaged over the three years</w:t>
      </w:r>
    </w:p>
    <w:p w14:paraId="05C677AB" w14:textId="77777777" w:rsidR="00166DB1" w:rsidRPr="00166DB1" w:rsidRDefault="00166DB1" w:rsidP="00BF753C">
      <w:pPr>
        <w:pStyle w:val="TableNotes"/>
      </w:pPr>
      <w:r w:rsidRPr="00166DB1">
        <w:lastRenderedPageBreak/>
        <w:t>^Source: ABS - 3218.0 - Regional Population Growth (2013–2015), averaged over the three years</w:t>
      </w:r>
    </w:p>
    <w:p w14:paraId="29E98263" w14:textId="77777777" w:rsidR="00166DB1" w:rsidRPr="00166DB1" w:rsidRDefault="00166DB1" w:rsidP="00BF753C">
      <w:pPr>
        <w:pStyle w:val="TableNotes"/>
      </w:pPr>
      <w:r w:rsidRPr="00166DB1">
        <w:t xml:space="preserve">#Rounding error: Rounding of numbers in columns A and B may cause calculations in Column D to appear over or under estimated, as calculations have been executed in excel to numerous decimal points. </w:t>
      </w:r>
    </w:p>
    <w:p w14:paraId="7E3BCA55" w14:textId="77777777" w:rsidR="00166DB1" w:rsidRPr="00166DB1" w:rsidRDefault="00166DB1" w:rsidP="00166DB1">
      <w:pPr>
        <w:spacing w:before="85" w:after="85"/>
        <w:rPr>
          <w:rFonts w:ascii="Garamond" w:eastAsia="Garamond" w:hAnsi="Garamond"/>
          <w:color w:val="000000"/>
        </w:rPr>
        <w:sectPr w:rsidR="00166DB1" w:rsidRPr="00166DB1" w:rsidSect="00720069">
          <w:pgSz w:w="16839" w:h="11907" w:orient="landscape" w:code="9"/>
          <w:pgMar w:top="2268" w:right="1304" w:bottom="850" w:left="737" w:header="567" w:footer="284" w:gutter="0"/>
          <w:cols w:num="2" w:space="709"/>
          <w:docGrid w:linePitch="360"/>
        </w:sectPr>
      </w:pPr>
    </w:p>
    <w:p w14:paraId="56CE0BD3" w14:textId="193CBED9" w:rsidR="00166DB1" w:rsidRPr="00166DB1" w:rsidRDefault="00166DB1" w:rsidP="004F0F6F">
      <w:pPr>
        <w:pStyle w:val="HeadingAppendix2"/>
      </w:pPr>
      <w:bookmarkStart w:id="145" w:name="_Ref488151626"/>
      <w:bookmarkStart w:id="146" w:name="_Toc490574959"/>
      <w:bookmarkStart w:id="147" w:name="_Toc523322091"/>
      <w:r w:rsidRPr="00166DB1">
        <w:lastRenderedPageBreak/>
        <w:t>Comparator Workforce Programs</w:t>
      </w:r>
      <w:bookmarkEnd w:id="145"/>
      <w:bookmarkEnd w:id="146"/>
      <w:bookmarkEnd w:id="147"/>
      <w:r w:rsidRPr="00166DB1">
        <w:t xml:space="preserve"> </w:t>
      </w:r>
    </w:p>
    <w:p w14:paraId="39A87BB0" w14:textId="77777777" w:rsidR="00166DB1" w:rsidRPr="00166DB1" w:rsidRDefault="00166DB1" w:rsidP="004F0F6F">
      <w:pPr>
        <w:pStyle w:val="ESHeading3"/>
      </w:pPr>
      <w:r w:rsidRPr="00166DB1">
        <w:t xml:space="preserve">GP Rural Workforce Program </w:t>
      </w:r>
    </w:p>
    <w:p w14:paraId="0F9DE735"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The GP workforce is well supported by several rural incentive schemes, which appear to have succeeded in increasing regional, rural and remote FTE rates. Rural GP incentives include:</w:t>
      </w:r>
    </w:p>
    <w:p w14:paraId="37BB8EAE" w14:textId="77777777" w:rsidR="00166DB1" w:rsidRPr="00E45E42" w:rsidRDefault="00166DB1" w:rsidP="009F66FB">
      <w:pPr>
        <w:pStyle w:val="ListParagraph"/>
        <w:numPr>
          <w:ilvl w:val="0"/>
          <w:numId w:val="26"/>
        </w:numPr>
        <w:tabs>
          <w:tab w:val="num" w:pos="426"/>
        </w:tabs>
        <w:spacing w:before="20" w:after="20"/>
        <w:rPr>
          <w:rFonts w:ascii="Garamond" w:eastAsia="Times New Roman" w:hAnsi="Garamond"/>
          <w:color w:val="000000"/>
        </w:rPr>
      </w:pPr>
      <w:r w:rsidRPr="00E45E42">
        <w:rPr>
          <w:rFonts w:ascii="Garamond" w:eastAsia="Times New Roman" w:hAnsi="Garamond"/>
          <w:b/>
          <w:color w:val="000000"/>
        </w:rPr>
        <w:t>GP Rural Incentive Program</w:t>
      </w:r>
      <w:r w:rsidRPr="00E45E42">
        <w:rPr>
          <w:rFonts w:ascii="Garamond" w:eastAsia="Times New Roman" w:hAnsi="Garamond"/>
          <w:color w:val="000000"/>
        </w:rPr>
        <w:t xml:space="preserve"> provides automatic top-ups to MBS billed items for GPs working in rural and remote areas. Top-ups are calculated on the remoteness of the area and the number of years spent working in the area. GPs who have worked in a rural and remote location for five or more years could receive maximum top-ups of </w:t>
      </w:r>
      <w:r w:rsidRPr="00E45E42">
        <w:rPr>
          <w:rFonts w:ascii="Times New Roman" w:eastAsia="Times New Roman" w:hAnsi="Times New Roman"/>
          <w:color w:val="000000"/>
        </w:rPr>
        <w:t>$</w:t>
      </w:r>
      <w:r w:rsidRPr="00E45E42">
        <w:rPr>
          <w:rFonts w:ascii="Garamond" w:eastAsia="Times New Roman" w:hAnsi="Garamond"/>
          <w:color w:val="000000"/>
        </w:rPr>
        <w:t xml:space="preserve">12,000 to </w:t>
      </w:r>
      <w:r w:rsidRPr="00E45E42">
        <w:rPr>
          <w:rFonts w:ascii="Times New Roman" w:eastAsia="Times New Roman" w:hAnsi="Times New Roman"/>
          <w:color w:val="000000"/>
        </w:rPr>
        <w:t>$</w:t>
      </w:r>
      <w:r w:rsidRPr="00E45E42">
        <w:rPr>
          <w:rFonts w:ascii="Garamond" w:eastAsia="Times New Roman" w:hAnsi="Garamond"/>
          <w:color w:val="000000"/>
        </w:rPr>
        <w:t>60,000 per annum, depending on remoteness.</w:t>
      </w:r>
      <w:sdt>
        <w:sdtPr>
          <w:id w:val="-1519691709"/>
          <w:citation/>
        </w:sdtPr>
        <w:sdtEndPr/>
        <w:sdtContent>
          <w:r w:rsidRPr="00E45E42">
            <w:rPr>
              <w:rFonts w:ascii="Garamond" w:eastAsia="Times New Roman" w:hAnsi="Garamond"/>
              <w:color w:val="000000"/>
            </w:rPr>
            <w:fldChar w:fldCharType="begin"/>
          </w:r>
          <w:r w:rsidRPr="00E45E42">
            <w:rPr>
              <w:rFonts w:ascii="Garamond" w:eastAsia="Times New Roman" w:hAnsi="Garamond"/>
              <w:color w:val="000000"/>
            </w:rPr>
            <w:instrText xml:space="preserve"> CITATION Dep17 \l 3081 </w:instrText>
          </w:r>
          <w:r w:rsidRPr="00E45E42">
            <w:rPr>
              <w:rFonts w:ascii="Garamond" w:eastAsia="Times New Roman" w:hAnsi="Garamond"/>
              <w:color w:val="000000"/>
            </w:rPr>
            <w:fldChar w:fldCharType="separate"/>
          </w:r>
          <w:r w:rsidRPr="00E45E42">
            <w:rPr>
              <w:rFonts w:ascii="Garamond" w:eastAsia="Times New Roman" w:hAnsi="Garamond"/>
              <w:noProof/>
              <w:color w:val="000000"/>
            </w:rPr>
            <w:t xml:space="preserve"> [12]</w:t>
          </w:r>
          <w:r w:rsidRPr="00E45E42">
            <w:rPr>
              <w:rFonts w:ascii="Garamond" w:eastAsia="Times New Roman" w:hAnsi="Garamond"/>
              <w:color w:val="000000"/>
            </w:rPr>
            <w:fldChar w:fldCharType="end"/>
          </w:r>
        </w:sdtContent>
      </w:sdt>
      <w:r w:rsidRPr="00E45E42">
        <w:rPr>
          <w:rFonts w:ascii="Garamond" w:eastAsia="Times New Roman" w:hAnsi="Garamond"/>
          <w:color w:val="000000"/>
        </w:rPr>
        <w:t xml:space="preserve"> </w:t>
      </w:r>
    </w:p>
    <w:p w14:paraId="315D8C6B" w14:textId="77777777" w:rsidR="00166DB1" w:rsidRPr="00E45E42" w:rsidRDefault="00166DB1" w:rsidP="009F66FB">
      <w:pPr>
        <w:pStyle w:val="ListParagraph"/>
        <w:numPr>
          <w:ilvl w:val="0"/>
          <w:numId w:val="26"/>
        </w:numPr>
        <w:tabs>
          <w:tab w:val="num" w:pos="426"/>
        </w:tabs>
        <w:spacing w:before="20" w:after="20"/>
        <w:rPr>
          <w:rFonts w:ascii="Garamond" w:eastAsia="Times New Roman" w:hAnsi="Garamond"/>
          <w:color w:val="000000"/>
        </w:rPr>
      </w:pPr>
      <w:r w:rsidRPr="00E45E42">
        <w:rPr>
          <w:rFonts w:ascii="Garamond" w:eastAsia="Times New Roman" w:hAnsi="Garamond"/>
          <w:b/>
          <w:color w:val="000000"/>
        </w:rPr>
        <w:t>Rural Relocation Incentive Grant</w:t>
      </w:r>
      <w:r w:rsidRPr="00E45E42">
        <w:rPr>
          <w:rFonts w:ascii="Garamond" w:eastAsia="Times New Roman" w:hAnsi="Garamond"/>
          <w:color w:val="000000"/>
        </w:rPr>
        <w:t xml:space="preserve"> (ceased in July 2015) provided </w:t>
      </w:r>
      <w:r w:rsidRPr="00E45E42">
        <w:rPr>
          <w:rFonts w:ascii="Times New Roman" w:eastAsia="Times New Roman" w:hAnsi="Times New Roman"/>
          <w:color w:val="000000"/>
        </w:rPr>
        <w:t>$</w:t>
      </w:r>
      <w:r w:rsidRPr="00E45E42">
        <w:rPr>
          <w:rFonts w:ascii="Garamond" w:eastAsia="Times New Roman" w:hAnsi="Garamond"/>
          <w:color w:val="000000"/>
        </w:rPr>
        <w:t xml:space="preserve">7,500 to </w:t>
      </w:r>
      <w:r w:rsidRPr="00E45E42">
        <w:rPr>
          <w:rFonts w:ascii="Times New Roman" w:eastAsia="Times New Roman" w:hAnsi="Times New Roman"/>
          <w:color w:val="000000"/>
        </w:rPr>
        <w:t>$</w:t>
      </w:r>
      <w:r w:rsidRPr="00E45E42">
        <w:rPr>
          <w:rFonts w:ascii="Garamond" w:eastAsia="Times New Roman" w:hAnsi="Garamond"/>
          <w:color w:val="000000"/>
        </w:rPr>
        <w:t>60,000 per annum for two years (depending on relocation distance).</w:t>
      </w:r>
      <w:sdt>
        <w:sdtPr>
          <w:id w:val="1601603283"/>
          <w:citation/>
        </w:sdtPr>
        <w:sdtEndPr/>
        <w:sdtContent>
          <w:r w:rsidRPr="00E45E42">
            <w:rPr>
              <w:rFonts w:ascii="Garamond" w:eastAsia="Times New Roman" w:hAnsi="Garamond"/>
              <w:color w:val="000000"/>
            </w:rPr>
            <w:fldChar w:fldCharType="begin"/>
          </w:r>
          <w:r w:rsidRPr="00E45E42">
            <w:rPr>
              <w:rFonts w:ascii="Garamond" w:eastAsia="Times New Roman" w:hAnsi="Garamond"/>
              <w:color w:val="000000"/>
            </w:rPr>
            <w:instrText xml:space="preserve"> CITATION ESS13 \l 3081 </w:instrText>
          </w:r>
          <w:r w:rsidRPr="00E45E42">
            <w:rPr>
              <w:rFonts w:ascii="Garamond" w:eastAsia="Times New Roman" w:hAnsi="Garamond"/>
              <w:color w:val="000000"/>
            </w:rPr>
            <w:fldChar w:fldCharType="separate"/>
          </w:r>
          <w:r w:rsidRPr="00E45E42">
            <w:rPr>
              <w:rFonts w:ascii="Garamond" w:eastAsia="Times New Roman" w:hAnsi="Garamond"/>
              <w:noProof/>
              <w:color w:val="000000"/>
            </w:rPr>
            <w:t xml:space="preserve"> [13]</w:t>
          </w:r>
          <w:r w:rsidRPr="00E45E42">
            <w:rPr>
              <w:rFonts w:ascii="Garamond" w:eastAsia="Times New Roman" w:hAnsi="Garamond"/>
              <w:color w:val="000000"/>
            </w:rPr>
            <w:fldChar w:fldCharType="end"/>
          </w:r>
        </w:sdtContent>
      </w:sdt>
      <w:r w:rsidRPr="00E45E42">
        <w:rPr>
          <w:rFonts w:ascii="Garamond" w:eastAsia="Times New Roman" w:hAnsi="Garamond"/>
          <w:color w:val="000000"/>
        </w:rPr>
        <w:t xml:space="preserve"> </w:t>
      </w:r>
    </w:p>
    <w:p w14:paraId="6CE0AB3A" w14:textId="77777777" w:rsidR="00166DB1" w:rsidRPr="00E45E42" w:rsidRDefault="00166DB1" w:rsidP="009F66FB">
      <w:pPr>
        <w:pStyle w:val="ListParagraph"/>
        <w:numPr>
          <w:ilvl w:val="0"/>
          <w:numId w:val="26"/>
        </w:numPr>
        <w:tabs>
          <w:tab w:val="num" w:pos="426"/>
        </w:tabs>
        <w:spacing w:before="20" w:after="20"/>
        <w:rPr>
          <w:rFonts w:ascii="Garamond" w:eastAsia="Times New Roman" w:hAnsi="Garamond"/>
          <w:color w:val="000000"/>
        </w:rPr>
      </w:pPr>
      <w:r w:rsidRPr="00E45E42">
        <w:rPr>
          <w:rFonts w:ascii="Garamond" w:eastAsia="Times New Roman" w:hAnsi="Garamond"/>
          <w:b/>
          <w:color w:val="000000"/>
        </w:rPr>
        <w:t>Bonded Medical Places Scheme</w:t>
      </w:r>
      <w:r w:rsidRPr="00E45E42">
        <w:rPr>
          <w:rFonts w:ascii="Garamond" w:eastAsia="Times New Roman" w:hAnsi="Garamond"/>
          <w:color w:val="000000"/>
        </w:rPr>
        <w:t xml:space="preserve"> provides subsidised medical undergraduate places for a ‘return of service’ period in rural and remote areas (valued at over </w:t>
      </w:r>
      <w:r w:rsidRPr="00E45E42">
        <w:rPr>
          <w:rFonts w:ascii="Times New Roman" w:eastAsia="Times New Roman" w:hAnsi="Times New Roman"/>
          <w:color w:val="000000"/>
        </w:rPr>
        <w:t>$</w:t>
      </w:r>
      <w:r w:rsidRPr="00E45E42">
        <w:rPr>
          <w:rFonts w:ascii="Garamond" w:eastAsia="Times New Roman" w:hAnsi="Garamond"/>
          <w:color w:val="000000"/>
        </w:rPr>
        <w:t>26,000 per annum</w:t>
      </w:r>
      <w:sdt>
        <w:sdtPr>
          <w:id w:val="-1219439738"/>
          <w:citation/>
        </w:sdtPr>
        <w:sdtEndPr/>
        <w:sdtContent>
          <w:r w:rsidRPr="00E45E42">
            <w:rPr>
              <w:rFonts w:ascii="Garamond" w:eastAsia="Times New Roman" w:hAnsi="Garamond"/>
              <w:color w:val="000000"/>
            </w:rPr>
            <w:fldChar w:fldCharType="begin"/>
          </w:r>
          <w:r w:rsidRPr="00E45E42">
            <w:rPr>
              <w:rFonts w:ascii="Garamond" w:eastAsia="Times New Roman" w:hAnsi="Garamond"/>
              <w:color w:val="000000"/>
            </w:rPr>
            <w:instrText xml:space="preserve"> CITATION Dep172 \l 3081 </w:instrText>
          </w:r>
          <w:r w:rsidRPr="00E45E42">
            <w:rPr>
              <w:rFonts w:ascii="Garamond" w:eastAsia="Times New Roman" w:hAnsi="Garamond"/>
              <w:color w:val="000000"/>
            </w:rPr>
            <w:fldChar w:fldCharType="separate"/>
          </w:r>
          <w:r w:rsidRPr="00E45E42">
            <w:rPr>
              <w:rFonts w:ascii="Garamond" w:eastAsia="Times New Roman" w:hAnsi="Garamond"/>
              <w:noProof/>
              <w:color w:val="000000"/>
            </w:rPr>
            <w:t xml:space="preserve"> [14]</w:t>
          </w:r>
          <w:r w:rsidRPr="00E45E42">
            <w:rPr>
              <w:rFonts w:ascii="Garamond" w:eastAsia="Times New Roman" w:hAnsi="Garamond"/>
              <w:color w:val="000000"/>
            </w:rPr>
            <w:fldChar w:fldCharType="end"/>
          </w:r>
        </w:sdtContent>
      </w:sdt>
      <w:r w:rsidRPr="00E45E42">
        <w:rPr>
          <w:rFonts w:ascii="Garamond" w:eastAsia="Times New Roman" w:hAnsi="Garamond"/>
          <w:color w:val="000000"/>
        </w:rPr>
        <w:t xml:space="preserve">). </w:t>
      </w:r>
    </w:p>
    <w:p w14:paraId="0215BF6B" w14:textId="77777777" w:rsidR="00166DB1" w:rsidRPr="00E45E42" w:rsidRDefault="00166DB1" w:rsidP="009F66FB">
      <w:pPr>
        <w:pStyle w:val="ListParagraph"/>
        <w:numPr>
          <w:ilvl w:val="0"/>
          <w:numId w:val="26"/>
        </w:numPr>
        <w:tabs>
          <w:tab w:val="num" w:pos="426"/>
        </w:tabs>
        <w:spacing w:before="20" w:after="20"/>
        <w:rPr>
          <w:rFonts w:ascii="Garamond" w:eastAsia="Times New Roman" w:hAnsi="Garamond"/>
          <w:color w:val="000000"/>
        </w:rPr>
      </w:pPr>
      <w:r w:rsidRPr="00E45E42">
        <w:rPr>
          <w:rFonts w:ascii="Garamond" w:eastAsia="Times New Roman" w:hAnsi="Garamond"/>
          <w:b/>
          <w:color w:val="000000"/>
        </w:rPr>
        <w:t>Five-Year Overseas Trained Doctor Scheme</w:t>
      </w:r>
      <w:r w:rsidRPr="00E45E42">
        <w:rPr>
          <w:rFonts w:ascii="Garamond" w:eastAsia="Times New Roman" w:hAnsi="Garamond"/>
          <w:color w:val="000000"/>
        </w:rPr>
        <w:t xml:space="preserve"> allows a reduction in the 10-year moratorium (to five years) for overseas trained doctors if they work in remote or difficult-to-recruit locations.</w:t>
      </w:r>
      <w:sdt>
        <w:sdtPr>
          <w:id w:val="583811805"/>
          <w:citation/>
        </w:sdtPr>
        <w:sdtEndPr/>
        <w:sdtContent>
          <w:r w:rsidRPr="00E45E42">
            <w:rPr>
              <w:rFonts w:ascii="Garamond" w:eastAsia="Times New Roman" w:hAnsi="Garamond"/>
              <w:color w:val="000000"/>
            </w:rPr>
            <w:fldChar w:fldCharType="begin"/>
          </w:r>
          <w:r w:rsidRPr="00E45E42">
            <w:rPr>
              <w:rFonts w:ascii="Garamond" w:eastAsia="Times New Roman" w:hAnsi="Garamond"/>
              <w:color w:val="000000"/>
            </w:rPr>
            <w:instrText xml:space="preserve"> CITATION Rur17 \l 3081 </w:instrText>
          </w:r>
          <w:r w:rsidRPr="00E45E42">
            <w:rPr>
              <w:rFonts w:ascii="Garamond" w:eastAsia="Times New Roman" w:hAnsi="Garamond"/>
              <w:color w:val="000000"/>
            </w:rPr>
            <w:fldChar w:fldCharType="separate"/>
          </w:r>
          <w:r w:rsidRPr="00E45E42">
            <w:rPr>
              <w:rFonts w:ascii="Garamond" w:eastAsia="Times New Roman" w:hAnsi="Garamond"/>
              <w:noProof/>
              <w:color w:val="000000"/>
            </w:rPr>
            <w:t xml:space="preserve"> [15]</w:t>
          </w:r>
          <w:r w:rsidRPr="00E45E42">
            <w:rPr>
              <w:rFonts w:ascii="Garamond" w:eastAsia="Times New Roman" w:hAnsi="Garamond"/>
              <w:color w:val="000000"/>
            </w:rPr>
            <w:fldChar w:fldCharType="end"/>
          </w:r>
        </w:sdtContent>
      </w:sdt>
    </w:p>
    <w:p w14:paraId="175D1C5A" w14:textId="77777777" w:rsidR="00166DB1" w:rsidRPr="00E45E42" w:rsidRDefault="00166DB1" w:rsidP="009F66FB">
      <w:pPr>
        <w:pStyle w:val="ListParagraph"/>
        <w:numPr>
          <w:ilvl w:val="0"/>
          <w:numId w:val="26"/>
        </w:numPr>
        <w:tabs>
          <w:tab w:val="num" w:pos="426"/>
        </w:tabs>
        <w:spacing w:before="20" w:after="20"/>
        <w:rPr>
          <w:rFonts w:ascii="Garamond" w:eastAsia="Times New Roman" w:hAnsi="Garamond"/>
          <w:color w:val="000000"/>
        </w:rPr>
      </w:pPr>
      <w:r w:rsidRPr="00E45E42">
        <w:rPr>
          <w:rFonts w:ascii="Garamond" w:eastAsia="Times New Roman" w:hAnsi="Garamond"/>
          <w:b/>
          <w:color w:val="000000"/>
        </w:rPr>
        <w:t>Rural and Remote General Practice Program</w:t>
      </w:r>
      <w:r w:rsidRPr="00E45E42">
        <w:rPr>
          <w:rFonts w:ascii="Garamond" w:eastAsia="Times New Roman" w:hAnsi="Garamond"/>
          <w:color w:val="000000"/>
        </w:rPr>
        <w:t xml:space="preserve"> provides funding to Rural Workforce Agencies in each state and the Northern Territory to provide a range of activities and support to improve the recruitment and retention of GPs to rural and remote areas.</w:t>
      </w:r>
      <w:sdt>
        <w:sdtPr>
          <w:id w:val="1615941517"/>
          <w:citation/>
        </w:sdtPr>
        <w:sdtEndPr/>
        <w:sdtContent>
          <w:r w:rsidRPr="00E45E42">
            <w:rPr>
              <w:rFonts w:ascii="Garamond" w:eastAsia="Times New Roman" w:hAnsi="Garamond"/>
              <w:color w:val="000000"/>
            </w:rPr>
            <w:fldChar w:fldCharType="begin"/>
          </w:r>
          <w:r w:rsidRPr="00E45E42">
            <w:rPr>
              <w:rFonts w:ascii="Garamond" w:eastAsia="Times New Roman" w:hAnsi="Garamond"/>
              <w:color w:val="000000"/>
            </w:rPr>
            <w:instrText xml:space="preserve"> CITATION Dep12 \l 3081 </w:instrText>
          </w:r>
          <w:r w:rsidRPr="00E45E42">
            <w:rPr>
              <w:rFonts w:ascii="Garamond" w:eastAsia="Times New Roman" w:hAnsi="Garamond"/>
              <w:color w:val="000000"/>
            </w:rPr>
            <w:fldChar w:fldCharType="separate"/>
          </w:r>
          <w:r w:rsidRPr="00E45E42">
            <w:rPr>
              <w:rFonts w:ascii="Garamond" w:eastAsia="Times New Roman" w:hAnsi="Garamond"/>
              <w:noProof/>
              <w:color w:val="000000"/>
            </w:rPr>
            <w:t xml:space="preserve"> [16]</w:t>
          </w:r>
          <w:r w:rsidRPr="00E45E42">
            <w:rPr>
              <w:rFonts w:ascii="Garamond" w:eastAsia="Times New Roman" w:hAnsi="Garamond"/>
              <w:color w:val="000000"/>
            </w:rPr>
            <w:fldChar w:fldCharType="end"/>
          </w:r>
        </w:sdtContent>
      </w:sdt>
    </w:p>
    <w:p w14:paraId="6A15702D" w14:textId="77777777" w:rsidR="00166DB1" w:rsidRPr="00E45E42" w:rsidRDefault="00166DB1" w:rsidP="00AB00DC">
      <w:pPr>
        <w:pStyle w:val="ListParagraph"/>
        <w:keepNext/>
        <w:numPr>
          <w:ilvl w:val="0"/>
          <w:numId w:val="26"/>
        </w:numPr>
        <w:tabs>
          <w:tab w:val="num" w:pos="426"/>
        </w:tabs>
        <w:spacing w:before="20" w:after="20"/>
        <w:ind w:left="357" w:hanging="357"/>
        <w:rPr>
          <w:rFonts w:ascii="Garamond" w:eastAsia="Times New Roman" w:hAnsi="Garamond"/>
          <w:color w:val="000000"/>
        </w:rPr>
      </w:pPr>
      <w:r w:rsidRPr="00E45E42">
        <w:rPr>
          <w:rFonts w:ascii="Garamond" w:eastAsia="Times New Roman" w:hAnsi="Garamond"/>
          <w:color w:val="000000"/>
        </w:rPr>
        <w:t>Grants to support training and education such as the Support for Rural Specialists in Australia and the Rural Locum Assistance Program.</w:t>
      </w:r>
      <w:r w:rsidRPr="00E45E42">
        <w:rPr>
          <w:rFonts w:ascii="Garamond" w:eastAsia="Times New Roman" w:hAnsi="Garamond"/>
          <w:color w:val="000000"/>
        </w:rPr>
        <w:fldChar w:fldCharType="begin"/>
      </w:r>
      <w:r w:rsidRPr="00E45E42">
        <w:rPr>
          <w:rFonts w:ascii="Garamond" w:eastAsia="Times New Roman" w:hAnsi="Garamond"/>
          <w:color w:val="000000"/>
        </w:rPr>
        <w:instrText xml:space="preserve"> CITATION Rur17 \l 3081 </w:instrText>
      </w:r>
      <w:r w:rsidRPr="00E45E42">
        <w:rPr>
          <w:rFonts w:ascii="Garamond" w:eastAsia="Times New Roman" w:hAnsi="Garamond"/>
          <w:color w:val="000000"/>
        </w:rPr>
        <w:fldChar w:fldCharType="separate"/>
      </w:r>
      <w:r w:rsidRPr="00E45E42">
        <w:rPr>
          <w:rFonts w:ascii="Garamond" w:eastAsia="Times New Roman" w:hAnsi="Garamond"/>
          <w:noProof/>
          <w:color w:val="000000"/>
        </w:rPr>
        <w:t xml:space="preserve"> [15]</w:t>
      </w:r>
      <w:r w:rsidRPr="00E45E42">
        <w:rPr>
          <w:rFonts w:ascii="Garamond" w:eastAsia="Times New Roman" w:hAnsi="Garamond"/>
          <w:color w:val="000000"/>
        </w:rPr>
        <w:fldChar w:fldCharType="end"/>
      </w:r>
      <w:r w:rsidRPr="00E45E42">
        <w:rPr>
          <w:rFonts w:ascii="Garamond" w:eastAsia="Times New Roman" w:hAnsi="Garamond"/>
          <w:color w:val="000000"/>
        </w:rPr>
        <w:t xml:space="preserve"> </w:t>
      </w:r>
    </w:p>
    <w:p w14:paraId="537D6A21" w14:textId="77777777" w:rsidR="00166DB1" w:rsidRPr="00E45E42" w:rsidRDefault="00166DB1" w:rsidP="009F66FB">
      <w:pPr>
        <w:pStyle w:val="ListParagraph"/>
        <w:numPr>
          <w:ilvl w:val="0"/>
          <w:numId w:val="26"/>
        </w:numPr>
        <w:tabs>
          <w:tab w:val="num" w:pos="426"/>
        </w:tabs>
        <w:spacing w:before="20" w:after="20"/>
        <w:rPr>
          <w:rFonts w:ascii="Garamond" w:eastAsia="Times New Roman" w:hAnsi="Garamond"/>
          <w:color w:val="000000"/>
        </w:rPr>
      </w:pPr>
      <w:r w:rsidRPr="00E45E42">
        <w:rPr>
          <w:rFonts w:ascii="Garamond" w:eastAsia="Times New Roman" w:hAnsi="Garamond"/>
          <w:color w:val="000000"/>
        </w:rPr>
        <w:t xml:space="preserve">Numerous scholarship or placement programs, such as the Rural Australia Medical Undergraduate Scholarship and the John Flynn Placement Program </w:t>
      </w:r>
      <w:sdt>
        <w:sdtPr>
          <w:id w:val="762957098"/>
          <w:citation/>
        </w:sdtPr>
        <w:sdtEndPr/>
        <w:sdtContent>
          <w:r w:rsidRPr="00E45E42">
            <w:rPr>
              <w:rFonts w:ascii="Garamond" w:eastAsia="Times New Roman" w:hAnsi="Garamond"/>
              <w:color w:val="000000"/>
            </w:rPr>
            <w:fldChar w:fldCharType="begin"/>
          </w:r>
          <w:r w:rsidRPr="00E45E42">
            <w:rPr>
              <w:rFonts w:ascii="Garamond" w:eastAsia="Times New Roman" w:hAnsi="Garamond"/>
              <w:color w:val="000000"/>
            </w:rPr>
            <w:instrText xml:space="preserve"> CITATION Joh17 \l 3081 </w:instrText>
          </w:r>
          <w:r w:rsidRPr="00E45E42">
            <w:rPr>
              <w:rFonts w:ascii="Garamond" w:eastAsia="Times New Roman" w:hAnsi="Garamond"/>
              <w:color w:val="000000"/>
            </w:rPr>
            <w:fldChar w:fldCharType="separate"/>
          </w:r>
          <w:r w:rsidRPr="00E45E42">
            <w:rPr>
              <w:rFonts w:ascii="Garamond" w:eastAsia="Times New Roman" w:hAnsi="Garamond"/>
              <w:noProof/>
              <w:color w:val="000000"/>
            </w:rPr>
            <w:t>[17]</w:t>
          </w:r>
          <w:r w:rsidRPr="00E45E42">
            <w:rPr>
              <w:rFonts w:ascii="Garamond" w:eastAsia="Times New Roman" w:hAnsi="Garamond"/>
              <w:color w:val="000000"/>
            </w:rPr>
            <w:fldChar w:fldCharType="end"/>
          </w:r>
        </w:sdtContent>
      </w:sdt>
      <w:r w:rsidRPr="00E45E42">
        <w:rPr>
          <w:rFonts w:ascii="Garamond" w:eastAsia="Times New Roman" w:hAnsi="Garamond"/>
          <w:color w:val="000000"/>
        </w:rPr>
        <w:t>.</w:t>
      </w:r>
    </w:p>
    <w:p w14:paraId="0D5D5087" w14:textId="77777777" w:rsidR="00166DB1" w:rsidRPr="00166DB1" w:rsidRDefault="00166DB1" w:rsidP="00E45E42">
      <w:pPr>
        <w:pStyle w:val="ESHeading3"/>
      </w:pPr>
      <w:r w:rsidRPr="00166DB1">
        <w:t xml:space="preserve">Dental Relocation and Incentive Support Scheme </w:t>
      </w:r>
    </w:p>
    <w:p w14:paraId="4FE70B08" w14:textId="77777777" w:rsidR="00166DB1" w:rsidRPr="00166DB1" w:rsidRDefault="00166DB1" w:rsidP="00166DB1">
      <w:pPr>
        <w:spacing w:before="85" w:after="85"/>
        <w:rPr>
          <w:rFonts w:ascii="Garamond" w:eastAsia="Garamond" w:hAnsi="Garamond"/>
          <w:color w:val="000000"/>
        </w:rPr>
      </w:pPr>
      <w:r w:rsidRPr="00166DB1">
        <w:rPr>
          <w:rFonts w:ascii="Garamond" w:eastAsia="Garamond" w:hAnsi="Garamond"/>
          <w:color w:val="000000"/>
        </w:rPr>
        <w:t xml:space="preserve">The National Dental Relocation Incentive and Support Scheme commenced in July 2013. The scheme offers relocation grants of up to </w:t>
      </w:r>
      <w:r w:rsidRPr="00166DB1">
        <w:rPr>
          <w:rFonts w:ascii="Times New Roman" w:eastAsia="Garamond" w:hAnsi="Times New Roman"/>
          <w:color w:val="000000"/>
        </w:rPr>
        <w:t>$</w:t>
      </w:r>
      <w:r w:rsidRPr="00166DB1">
        <w:rPr>
          <w:rFonts w:ascii="Garamond" w:eastAsia="Garamond" w:hAnsi="Garamond"/>
          <w:color w:val="000000"/>
        </w:rPr>
        <w:t xml:space="preserve">120,000 (based on distance relocated) and infrastructure grants of up to </w:t>
      </w:r>
      <w:r w:rsidRPr="00166DB1">
        <w:rPr>
          <w:rFonts w:ascii="Times New Roman" w:eastAsia="Garamond" w:hAnsi="Times New Roman"/>
          <w:color w:val="000000"/>
        </w:rPr>
        <w:t>$</w:t>
      </w:r>
      <w:r w:rsidRPr="00166DB1">
        <w:rPr>
          <w:rFonts w:ascii="Garamond" w:eastAsia="Garamond" w:hAnsi="Garamond"/>
          <w:color w:val="000000"/>
        </w:rPr>
        <w:t xml:space="preserve">250,000 to assist in the purchase and fit-out of dental facilities and equipment. The Department of Health has committed </w:t>
      </w:r>
      <w:r w:rsidRPr="00166DB1">
        <w:rPr>
          <w:rFonts w:ascii="Times New Roman" w:eastAsia="Garamond" w:hAnsi="Times New Roman"/>
          <w:color w:val="000000"/>
        </w:rPr>
        <w:t>$</w:t>
      </w:r>
      <w:r w:rsidRPr="00166DB1">
        <w:rPr>
          <w:rFonts w:ascii="Garamond" w:eastAsia="Garamond" w:hAnsi="Garamond"/>
          <w:color w:val="000000"/>
        </w:rPr>
        <w:t>57.5m over three financial years (2016–2019) for the scheme.</w:t>
      </w:r>
      <w:sdt>
        <w:sdtPr>
          <w:rPr>
            <w:rFonts w:ascii="Garamond" w:eastAsia="Garamond" w:hAnsi="Garamond"/>
            <w:color w:val="000000"/>
          </w:rPr>
          <w:id w:val="520207819"/>
          <w:citation/>
        </w:sdtPr>
        <w:sdtEndPr/>
        <w:sdtContent>
          <w:r w:rsidRPr="00166DB1">
            <w:rPr>
              <w:rFonts w:ascii="Garamond" w:eastAsia="Garamond" w:hAnsi="Garamond"/>
              <w:color w:val="000000"/>
            </w:rPr>
            <w:fldChar w:fldCharType="begin"/>
          </w:r>
          <w:r w:rsidRPr="00166DB1">
            <w:rPr>
              <w:rFonts w:ascii="Garamond" w:eastAsia="Garamond" w:hAnsi="Garamond"/>
              <w:color w:val="000000"/>
            </w:rPr>
            <w:instrText xml:space="preserve"> CITATION Dep161 \l 3081 </w:instrText>
          </w:r>
          <w:r w:rsidRPr="00166DB1">
            <w:rPr>
              <w:rFonts w:ascii="Garamond" w:eastAsia="Garamond" w:hAnsi="Garamond"/>
              <w:color w:val="000000"/>
            </w:rPr>
            <w:fldChar w:fldCharType="separate"/>
          </w:r>
          <w:r w:rsidRPr="00166DB1">
            <w:rPr>
              <w:rFonts w:ascii="Garamond" w:eastAsia="Garamond" w:hAnsi="Garamond"/>
              <w:noProof/>
              <w:color w:val="000000"/>
            </w:rPr>
            <w:t xml:space="preserve"> [18]</w:t>
          </w:r>
          <w:r w:rsidRPr="00166DB1">
            <w:rPr>
              <w:rFonts w:ascii="Garamond" w:eastAsia="Garamond" w:hAnsi="Garamond"/>
              <w:color w:val="000000"/>
            </w:rPr>
            <w:fldChar w:fldCharType="end"/>
          </w:r>
        </w:sdtContent>
      </w:sdt>
    </w:p>
    <w:p w14:paraId="6D9F1063" w14:textId="77777777" w:rsidR="00166DB1" w:rsidRPr="00166DB1" w:rsidRDefault="00166DB1" w:rsidP="00166DB1">
      <w:pPr>
        <w:spacing w:before="85" w:after="85"/>
        <w:rPr>
          <w:rFonts w:ascii="Garamond" w:eastAsia="Garamond" w:hAnsi="Garamond"/>
          <w:color w:val="000000"/>
        </w:rPr>
        <w:sectPr w:rsidR="00166DB1" w:rsidRPr="00166DB1" w:rsidSect="00720069">
          <w:pgSz w:w="16839" w:h="11907" w:orient="landscape" w:code="9"/>
          <w:pgMar w:top="2268" w:right="1304" w:bottom="850" w:left="737" w:header="567" w:footer="284" w:gutter="0"/>
          <w:cols w:num="2" w:space="709"/>
          <w:docGrid w:linePitch="360"/>
        </w:sectPr>
      </w:pPr>
    </w:p>
    <w:p w14:paraId="0A44A80B" w14:textId="098A1CE2" w:rsidR="00166DB1" w:rsidRPr="00166DB1" w:rsidRDefault="00166DB1" w:rsidP="004F0F6F">
      <w:pPr>
        <w:pStyle w:val="HeadingAppendix2"/>
      </w:pPr>
      <w:bookmarkStart w:id="148" w:name="_Ref488233640"/>
      <w:bookmarkStart w:id="149" w:name="_Toc490574960"/>
      <w:bookmarkStart w:id="150" w:name="_Toc523322092"/>
      <w:r w:rsidRPr="00166DB1">
        <w:lastRenderedPageBreak/>
        <w:t>Unit cost of Pharmacy workforce programs</w:t>
      </w:r>
      <w:bookmarkEnd w:id="148"/>
      <w:bookmarkEnd w:id="149"/>
      <w:bookmarkEnd w:id="150"/>
    </w:p>
    <w:p w14:paraId="06EF6E10" w14:textId="6BB5C6BA" w:rsidR="00166DB1" w:rsidRPr="00BF753C" w:rsidRDefault="00BF753C" w:rsidP="00BF753C">
      <w:pPr>
        <w:pStyle w:val="Tableheading"/>
      </w:pPr>
      <w:r w:rsidRPr="00BF753C">
        <w:t>Unit cost of workforce programs (averaged for 2013–14 and 2014–</w:t>
      </w:r>
      <w:r w:rsidR="00580133">
        <w:t>1</w:t>
      </w:r>
      <w:r w:rsidRPr="00BF753C">
        <w:t>5 financial years)</w:t>
      </w:r>
    </w:p>
    <w:tbl>
      <w:tblPr>
        <w:tblStyle w:val="HMATable"/>
        <w:tblW w:w="5000" w:type="pct"/>
        <w:shd w:val="clear" w:color="auto" w:fill="F2F2F2" w:themeFill="background1" w:themeFillShade="F2"/>
        <w:tblLook w:val="04A0" w:firstRow="1" w:lastRow="0" w:firstColumn="1" w:lastColumn="0" w:noHBand="0" w:noVBand="1"/>
        <w:tblCaption w:val="Unit cost of workforce programs (averaged for 2013-14 and 2014-15 financial years)"/>
        <w:tblDescription w:val="Table: Unit cost of workforce programs (averaged for 2013-14 and 2014-15 financial years). Table consists of Programs, Volumes, Direct unit cost (annual), Overhead contribution, Total unit cost (annual), Total cost per program, and Total program cost as proportion of total investment."/>
      </w:tblPr>
      <w:tblGrid>
        <w:gridCol w:w="3755"/>
        <w:gridCol w:w="1210"/>
        <w:gridCol w:w="2127"/>
        <w:gridCol w:w="2159"/>
        <w:gridCol w:w="2029"/>
        <w:gridCol w:w="2106"/>
        <w:gridCol w:w="1402"/>
      </w:tblGrid>
      <w:tr w:rsidR="00166DB1" w:rsidRPr="00166DB1" w14:paraId="4BDCF78F" w14:textId="77777777" w:rsidTr="00E45E42">
        <w:trPr>
          <w:cnfStyle w:val="100000000000" w:firstRow="1" w:lastRow="0" w:firstColumn="0" w:lastColumn="0" w:oddVBand="0" w:evenVBand="0" w:oddHBand="0" w:evenHBand="0" w:firstRowFirstColumn="0" w:firstRowLastColumn="0" w:lastRowFirstColumn="0" w:lastRowLastColumn="0"/>
          <w:trHeight w:val="1500"/>
          <w:tblHeader/>
        </w:trPr>
        <w:tc>
          <w:tcPr>
            <w:cnfStyle w:val="001000000100" w:firstRow="0" w:lastRow="0" w:firstColumn="1" w:lastColumn="0" w:oddVBand="0" w:evenVBand="0" w:oddHBand="0" w:evenHBand="0" w:firstRowFirstColumn="1" w:firstRowLastColumn="0" w:lastRowFirstColumn="0" w:lastRowLastColumn="0"/>
            <w:tcW w:w="1270" w:type="pct"/>
            <w:shd w:val="clear" w:color="auto" w:fill="F2F2F2" w:themeFill="background1" w:themeFillShade="F2"/>
            <w:noWrap/>
            <w:hideMark/>
          </w:tcPr>
          <w:p w14:paraId="2A5E1AE7" w14:textId="77777777" w:rsidR="00166DB1" w:rsidRPr="00166DB1" w:rsidRDefault="00166DB1" w:rsidP="00E45E42">
            <w:pPr>
              <w:pStyle w:val="TableColumnHeading"/>
              <w:rPr>
                <w:lang w:eastAsia="en-AU"/>
              </w:rPr>
            </w:pPr>
            <w:r w:rsidRPr="00166DB1">
              <w:rPr>
                <w:lang w:eastAsia="en-AU"/>
              </w:rPr>
              <w:t>Program</w:t>
            </w:r>
          </w:p>
        </w:tc>
        <w:tc>
          <w:tcPr>
            <w:tcW w:w="409" w:type="pct"/>
            <w:shd w:val="clear" w:color="auto" w:fill="F2F2F2" w:themeFill="background1" w:themeFillShade="F2"/>
            <w:noWrap/>
            <w:hideMark/>
          </w:tcPr>
          <w:p w14:paraId="773AE782"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Volume</w:t>
            </w:r>
          </w:p>
        </w:tc>
        <w:tc>
          <w:tcPr>
            <w:tcW w:w="719" w:type="pct"/>
            <w:shd w:val="clear" w:color="auto" w:fill="F2F2F2" w:themeFill="background1" w:themeFillShade="F2"/>
            <w:hideMark/>
          </w:tcPr>
          <w:p w14:paraId="29D04D08"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Direct unit cost (annual)</w:t>
            </w:r>
          </w:p>
        </w:tc>
        <w:tc>
          <w:tcPr>
            <w:tcW w:w="730" w:type="pct"/>
            <w:shd w:val="clear" w:color="auto" w:fill="F2F2F2" w:themeFill="background1" w:themeFillShade="F2"/>
            <w:hideMark/>
          </w:tcPr>
          <w:p w14:paraId="3727E77A"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 xml:space="preserve">Overhead contribution </w:t>
            </w:r>
          </w:p>
        </w:tc>
        <w:tc>
          <w:tcPr>
            <w:tcW w:w="686" w:type="pct"/>
            <w:shd w:val="clear" w:color="auto" w:fill="F2F2F2" w:themeFill="background1" w:themeFillShade="F2"/>
            <w:hideMark/>
          </w:tcPr>
          <w:p w14:paraId="10E7F64F"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Total unit cost (annual)</w:t>
            </w:r>
          </w:p>
        </w:tc>
        <w:tc>
          <w:tcPr>
            <w:tcW w:w="712" w:type="pct"/>
            <w:shd w:val="clear" w:color="auto" w:fill="F2F2F2" w:themeFill="background1" w:themeFillShade="F2"/>
            <w:hideMark/>
          </w:tcPr>
          <w:p w14:paraId="2DE0F703"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Total cost per program</w:t>
            </w:r>
          </w:p>
        </w:tc>
        <w:tc>
          <w:tcPr>
            <w:tcW w:w="474" w:type="pct"/>
            <w:shd w:val="clear" w:color="auto" w:fill="F2F2F2" w:themeFill="background1" w:themeFillShade="F2"/>
            <w:hideMark/>
          </w:tcPr>
          <w:p w14:paraId="2A70FE6A"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rPr>
                <w:lang w:eastAsia="en-AU"/>
              </w:rPr>
            </w:pPr>
            <w:r w:rsidRPr="00166DB1">
              <w:rPr>
                <w:lang w:eastAsia="en-AU"/>
              </w:rPr>
              <w:t xml:space="preserve">Total program cost as proportion of total investment </w:t>
            </w:r>
          </w:p>
        </w:tc>
      </w:tr>
      <w:tr w:rsidR="003E51C4" w:rsidRPr="003E51C4" w14:paraId="06E28980" w14:textId="77777777" w:rsidTr="00E45E42">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BFBFBF" w:themeFill="background1" w:themeFillShade="BF"/>
            <w:noWrap/>
            <w:hideMark/>
          </w:tcPr>
          <w:p w14:paraId="7711F4A0" w14:textId="77777777" w:rsidR="00166DB1" w:rsidRPr="003E51C4" w:rsidRDefault="00166DB1" w:rsidP="00E45E42">
            <w:pPr>
              <w:pStyle w:val="Tablesubheading1"/>
              <w:rPr>
                <w:rFonts w:ascii="Times New Roman" w:hAnsi="Times New Roman"/>
                <w:color w:val="000000" w:themeColor="text1"/>
                <w:lang w:eastAsia="en-AU"/>
              </w:rPr>
            </w:pPr>
            <w:r w:rsidRPr="003E51C4">
              <w:rPr>
                <w:color w:val="000000" w:themeColor="text1"/>
                <w:lang w:eastAsia="en-AU"/>
              </w:rPr>
              <w:t xml:space="preserve">Recruitment Programs </w:t>
            </w:r>
          </w:p>
        </w:tc>
      </w:tr>
      <w:tr w:rsidR="00166DB1" w:rsidRPr="00166DB1" w14:paraId="05896F63" w14:textId="77777777" w:rsidTr="00E45E42">
        <w:trPr>
          <w:trHeight w:val="300"/>
        </w:trPr>
        <w:tc>
          <w:tcPr>
            <w:cnfStyle w:val="001000000000" w:firstRow="0" w:lastRow="0" w:firstColumn="1" w:lastColumn="0" w:oddVBand="0" w:evenVBand="0" w:oddHBand="0" w:evenHBand="0" w:firstRowFirstColumn="0" w:firstRowLastColumn="0" w:lastRowFirstColumn="0" w:lastRowLastColumn="0"/>
            <w:tcW w:w="1270" w:type="pct"/>
            <w:shd w:val="clear" w:color="auto" w:fill="F2F2F2" w:themeFill="background1" w:themeFillShade="F2"/>
            <w:hideMark/>
          </w:tcPr>
          <w:p w14:paraId="3BC1B237" w14:textId="77777777" w:rsidR="00166DB1" w:rsidRPr="00166DB1" w:rsidRDefault="00166DB1" w:rsidP="00E45E42">
            <w:pPr>
              <w:pStyle w:val="TableCopy"/>
              <w:rPr>
                <w:lang w:eastAsia="en-AU"/>
              </w:rPr>
            </w:pPr>
            <w:r w:rsidRPr="00166DB1">
              <w:rPr>
                <w:lang w:eastAsia="en-AU"/>
              </w:rPr>
              <w:t>Rural Pharmacy Scholarship Scheme*</w:t>
            </w:r>
          </w:p>
        </w:tc>
        <w:tc>
          <w:tcPr>
            <w:tcW w:w="409" w:type="pct"/>
            <w:shd w:val="clear" w:color="auto" w:fill="F2F2F2" w:themeFill="background1" w:themeFillShade="F2"/>
            <w:noWrap/>
            <w:hideMark/>
          </w:tcPr>
          <w:p w14:paraId="10DEC319"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98.75</w:t>
            </w:r>
          </w:p>
        </w:tc>
        <w:tc>
          <w:tcPr>
            <w:tcW w:w="719" w:type="pct"/>
            <w:shd w:val="clear" w:color="auto" w:fill="F2F2F2" w:themeFill="background1" w:themeFillShade="F2"/>
            <w:noWrap/>
            <w:hideMark/>
          </w:tcPr>
          <w:p w14:paraId="4CEF44C3"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10,000.00 </w:t>
            </w:r>
          </w:p>
        </w:tc>
        <w:tc>
          <w:tcPr>
            <w:tcW w:w="730" w:type="pct"/>
            <w:shd w:val="clear" w:color="auto" w:fill="F2F2F2" w:themeFill="background1" w:themeFillShade="F2"/>
            <w:noWrap/>
            <w:hideMark/>
          </w:tcPr>
          <w:p w14:paraId="122DCCE7"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618.14 </w:t>
            </w:r>
          </w:p>
        </w:tc>
        <w:tc>
          <w:tcPr>
            <w:tcW w:w="686" w:type="pct"/>
            <w:shd w:val="clear" w:color="auto" w:fill="F2F2F2" w:themeFill="background1" w:themeFillShade="F2"/>
            <w:noWrap/>
            <w:hideMark/>
          </w:tcPr>
          <w:p w14:paraId="021A6827"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10,618.14 </w:t>
            </w:r>
          </w:p>
        </w:tc>
        <w:tc>
          <w:tcPr>
            <w:tcW w:w="712" w:type="pct"/>
            <w:shd w:val="clear" w:color="auto" w:fill="F2F2F2" w:themeFill="background1" w:themeFillShade="F2"/>
            <w:noWrap/>
            <w:hideMark/>
          </w:tcPr>
          <w:p w14:paraId="4A1A566A"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1,048,537.41 </w:t>
            </w:r>
          </w:p>
        </w:tc>
        <w:tc>
          <w:tcPr>
            <w:tcW w:w="474" w:type="pct"/>
            <w:shd w:val="clear" w:color="auto" w:fill="F2F2F2" w:themeFill="background1" w:themeFillShade="F2"/>
            <w:noWrap/>
            <w:hideMark/>
          </w:tcPr>
          <w:p w14:paraId="6F720DD4"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18.7%</w:t>
            </w:r>
          </w:p>
        </w:tc>
      </w:tr>
      <w:tr w:rsidR="00166DB1" w:rsidRPr="00166DB1" w14:paraId="76F9A05B" w14:textId="77777777" w:rsidTr="00E45E42">
        <w:trPr>
          <w:trHeight w:val="600"/>
        </w:trPr>
        <w:tc>
          <w:tcPr>
            <w:cnfStyle w:val="001000000000" w:firstRow="0" w:lastRow="0" w:firstColumn="1" w:lastColumn="0" w:oddVBand="0" w:evenVBand="0" w:oddHBand="0" w:evenHBand="0" w:firstRowFirstColumn="0" w:firstRowLastColumn="0" w:lastRowFirstColumn="0" w:lastRowLastColumn="0"/>
            <w:tcW w:w="1270" w:type="pct"/>
            <w:shd w:val="clear" w:color="auto" w:fill="F2F2F2" w:themeFill="background1" w:themeFillShade="F2"/>
            <w:hideMark/>
          </w:tcPr>
          <w:p w14:paraId="0482D5B3" w14:textId="77777777" w:rsidR="00166DB1" w:rsidRPr="00166DB1" w:rsidRDefault="00166DB1" w:rsidP="00E45E42">
            <w:pPr>
              <w:pStyle w:val="TableCopy"/>
              <w:rPr>
                <w:lang w:eastAsia="en-AU"/>
              </w:rPr>
            </w:pPr>
            <w:r w:rsidRPr="00166DB1">
              <w:rPr>
                <w:lang w:eastAsia="en-AU"/>
              </w:rPr>
              <w:t>Rural Pharmacy Scholarship Mentor Scheme*</w:t>
            </w:r>
          </w:p>
        </w:tc>
        <w:tc>
          <w:tcPr>
            <w:tcW w:w="409" w:type="pct"/>
            <w:shd w:val="clear" w:color="auto" w:fill="F2F2F2" w:themeFill="background1" w:themeFillShade="F2"/>
            <w:noWrap/>
            <w:hideMark/>
          </w:tcPr>
          <w:p w14:paraId="2A4CF85D"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105.5</w:t>
            </w:r>
          </w:p>
        </w:tc>
        <w:tc>
          <w:tcPr>
            <w:tcW w:w="719" w:type="pct"/>
            <w:shd w:val="clear" w:color="auto" w:fill="F2F2F2" w:themeFill="background1" w:themeFillShade="F2"/>
            <w:noWrap/>
            <w:hideMark/>
          </w:tcPr>
          <w:p w14:paraId="65E0D46F"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375.00 </w:t>
            </w:r>
          </w:p>
        </w:tc>
        <w:tc>
          <w:tcPr>
            <w:tcW w:w="730" w:type="pct"/>
            <w:shd w:val="clear" w:color="auto" w:fill="F2F2F2" w:themeFill="background1" w:themeFillShade="F2"/>
            <w:noWrap/>
            <w:hideMark/>
          </w:tcPr>
          <w:p w14:paraId="7D429F8E"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612.03 </w:t>
            </w:r>
          </w:p>
        </w:tc>
        <w:tc>
          <w:tcPr>
            <w:tcW w:w="686" w:type="pct"/>
            <w:shd w:val="clear" w:color="auto" w:fill="F2F2F2" w:themeFill="background1" w:themeFillShade="F2"/>
            <w:noWrap/>
            <w:hideMark/>
          </w:tcPr>
          <w:p w14:paraId="7FF006BD"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987.03 </w:t>
            </w:r>
          </w:p>
        </w:tc>
        <w:tc>
          <w:tcPr>
            <w:tcW w:w="712" w:type="pct"/>
            <w:shd w:val="clear" w:color="auto" w:fill="F2F2F2" w:themeFill="background1" w:themeFillShade="F2"/>
            <w:noWrap/>
            <w:hideMark/>
          </w:tcPr>
          <w:p w14:paraId="363F801D"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104,132.17 </w:t>
            </w:r>
          </w:p>
        </w:tc>
        <w:tc>
          <w:tcPr>
            <w:tcW w:w="474" w:type="pct"/>
            <w:shd w:val="clear" w:color="auto" w:fill="F2F2F2" w:themeFill="background1" w:themeFillShade="F2"/>
            <w:noWrap/>
            <w:hideMark/>
          </w:tcPr>
          <w:p w14:paraId="3D22B153"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1.9%</w:t>
            </w:r>
          </w:p>
        </w:tc>
      </w:tr>
      <w:tr w:rsidR="00166DB1" w:rsidRPr="00166DB1" w14:paraId="0669ADCB" w14:textId="77777777" w:rsidTr="00E45E42">
        <w:trPr>
          <w:trHeight w:val="300"/>
        </w:trPr>
        <w:tc>
          <w:tcPr>
            <w:cnfStyle w:val="001000000000" w:firstRow="0" w:lastRow="0" w:firstColumn="1" w:lastColumn="0" w:oddVBand="0" w:evenVBand="0" w:oddHBand="0" w:evenHBand="0" w:firstRowFirstColumn="0" w:firstRowLastColumn="0" w:lastRowFirstColumn="0" w:lastRowLastColumn="0"/>
            <w:tcW w:w="1270" w:type="pct"/>
            <w:shd w:val="clear" w:color="auto" w:fill="F2F2F2" w:themeFill="background1" w:themeFillShade="F2"/>
            <w:hideMark/>
          </w:tcPr>
          <w:p w14:paraId="6189AFC7" w14:textId="77777777" w:rsidR="00166DB1" w:rsidRPr="00166DB1" w:rsidRDefault="00166DB1" w:rsidP="00E45E42">
            <w:pPr>
              <w:pStyle w:val="TableCopy"/>
              <w:rPr>
                <w:lang w:eastAsia="en-AU"/>
              </w:rPr>
            </w:pPr>
            <w:r w:rsidRPr="00166DB1">
              <w:rPr>
                <w:lang w:eastAsia="en-AU"/>
              </w:rPr>
              <w:t>Rural Intern Training Allowance</w:t>
            </w:r>
          </w:p>
        </w:tc>
        <w:tc>
          <w:tcPr>
            <w:tcW w:w="409" w:type="pct"/>
            <w:shd w:val="clear" w:color="auto" w:fill="F2F2F2" w:themeFill="background1" w:themeFillShade="F2"/>
            <w:noWrap/>
            <w:hideMark/>
          </w:tcPr>
          <w:p w14:paraId="7A2954B5"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184.5</w:t>
            </w:r>
          </w:p>
        </w:tc>
        <w:tc>
          <w:tcPr>
            <w:tcW w:w="719" w:type="pct"/>
            <w:shd w:val="clear" w:color="auto" w:fill="F2F2F2" w:themeFill="background1" w:themeFillShade="F2"/>
            <w:noWrap/>
            <w:hideMark/>
          </w:tcPr>
          <w:p w14:paraId="1EA3A7C8"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458.07 </w:t>
            </w:r>
          </w:p>
        </w:tc>
        <w:tc>
          <w:tcPr>
            <w:tcW w:w="730" w:type="pct"/>
            <w:shd w:val="clear" w:color="auto" w:fill="F2F2F2" w:themeFill="background1" w:themeFillShade="F2"/>
            <w:noWrap/>
            <w:hideMark/>
          </w:tcPr>
          <w:p w14:paraId="0768593C"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711.52 </w:t>
            </w:r>
          </w:p>
        </w:tc>
        <w:tc>
          <w:tcPr>
            <w:tcW w:w="686" w:type="pct"/>
            <w:shd w:val="clear" w:color="auto" w:fill="F2F2F2" w:themeFill="background1" w:themeFillShade="F2"/>
            <w:noWrap/>
            <w:hideMark/>
          </w:tcPr>
          <w:p w14:paraId="49340167"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1,169.60 </w:t>
            </w:r>
          </w:p>
        </w:tc>
        <w:tc>
          <w:tcPr>
            <w:tcW w:w="712" w:type="pct"/>
            <w:shd w:val="clear" w:color="auto" w:fill="F2F2F2" w:themeFill="background1" w:themeFillShade="F2"/>
            <w:noWrap/>
            <w:hideMark/>
          </w:tcPr>
          <w:p w14:paraId="6B26A581"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215,685.94 </w:t>
            </w:r>
          </w:p>
        </w:tc>
        <w:tc>
          <w:tcPr>
            <w:tcW w:w="474" w:type="pct"/>
            <w:shd w:val="clear" w:color="auto" w:fill="F2F2F2" w:themeFill="background1" w:themeFillShade="F2"/>
            <w:noWrap/>
            <w:hideMark/>
          </w:tcPr>
          <w:p w14:paraId="44A844F1"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3.9%</w:t>
            </w:r>
          </w:p>
        </w:tc>
      </w:tr>
      <w:tr w:rsidR="00166DB1" w:rsidRPr="00166DB1" w14:paraId="7175A30C" w14:textId="77777777" w:rsidTr="00E45E42">
        <w:trPr>
          <w:trHeight w:val="600"/>
        </w:trPr>
        <w:tc>
          <w:tcPr>
            <w:cnfStyle w:val="001000000000" w:firstRow="0" w:lastRow="0" w:firstColumn="1" w:lastColumn="0" w:oddVBand="0" w:evenVBand="0" w:oddHBand="0" w:evenHBand="0" w:firstRowFirstColumn="0" w:firstRowLastColumn="0" w:lastRowFirstColumn="0" w:lastRowLastColumn="0"/>
            <w:tcW w:w="1270" w:type="pct"/>
            <w:shd w:val="clear" w:color="auto" w:fill="F2F2F2" w:themeFill="background1" w:themeFillShade="F2"/>
            <w:hideMark/>
          </w:tcPr>
          <w:p w14:paraId="1F3CE8DD" w14:textId="77777777" w:rsidR="00166DB1" w:rsidRPr="00166DB1" w:rsidRDefault="00166DB1" w:rsidP="00E45E42">
            <w:pPr>
              <w:pStyle w:val="TableCopy"/>
              <w:rPr>
                <w:lang w:eastAsia="en-AU"/>
              </w:rPr>
            </w:pPr>
            <w:r w:rsidRPr="00166DB1">
              <w:rPr>
                <w:lang w:eastAsia="en-AU"/>
              </w:rPr>
              <w:t>Rural Pharmacy Student Placement Allowance#</w:t>
            </w:r>
          </w:p>
        </w:tc>
        <w:tc>
          <w:tcPr>
            <w:tcW w:w="409" w:type="pct"/>
            <w:shd w:val="clear" w:color="auto" w:fill="F2F2F2" w:themeFill="background1" w:themeFillShade="F2"/>
            <w:noWrap/>
            <w:hideMark/>
          </w:tcPr>
          <w:p w14:paraId="7EBE2EE3"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381</w:t>
            </w:r>
          </w:p>
          <w:p w14:paraId="6119BB0A"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(or 16) </w:t>
            </w:r>
          </w:p>
        </w:tc>
        <w:tc>
          <w:tcPr>
            <w:tcW w:w="719" w:type="pct"/>
            <w:shd w:val="clear" w:color="auto" w:fill="F2F2F2" w:themeFill="background1" w:themeFillShade="F2"/>
            <w:noWrap/>
            <w:hideMark/>
          </w:tcPr>
          <w:p w14:paraId="33296326"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39,761.72 </w:t>
            </w:r>
          </w:p>
        </w:tc>
        <w:tc>
          <w:tcPr>
            <w:tcW w:w="730" w:type="pct"/>
            <w:shd w:val="clear" w:color="auto" w:fill="F2F2F2" w:themeFill="background1" w:themeFillShade="F2"/>
            <w:noWrap/>
            <w:hideMark/>
          </w:tcPr>
          <w:p w14:paraId="55CD6D96"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627.96 </w:t>
            </w:r>
          </w:p>
        </w:tc>
        <w:tc>
          <w:tcPr>
            <w:tcW w:w="686" w:type="pct"/>
            <w:shd w:val="clear" w:color="auto" w:fill="F2F2F2" w:themeFill="background1" w:themeFillShade="F2"/>
            <w:noWrap/>
            <w:hideMark/>
          </w:tcPr>
          <w:p w14:paraId="44F209F4"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$1,696.15</w:t>
            </w:r>
          </w:p>
          <w:p w14:paraId="1474B627" w14:textId="01CFDD73"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(or</w:t>
            </w:r>
            <w:r w:rsidR="00E45E42">
              <w:rPr>
                <w:lang w:eastAsia="en-AU"/>
              </w:rPr>
              <w:t xml:space="preserve"> </w:t>
            </w:r>
            <w:r w:rsidRPr="00166DB1">
              <w:rPr>
                <w:rFonts w:ascii="Times New Roman" w:hAnsi="Times New Roman"/>
                <w:lang w:eastAsia="en-AU"/>
              </w:rPr>
              <w:t>$</w:t>
            </w:r>
            <w:r w:rsidRPr="00166DB1">
              <w:t>40,389.68</w:t>
            </w:r>
            <w:r w:rsidRPr="00166DB1">
              <w:rPr>
                <w:rFonts w:ascii="Times New Roman" w:hAnsi="Times New Roman"/>
                <w:lang w:eastAsia="en-AU"/>
              </w:rPr>
              <w:t xml:space="preserve">) </w:t>
            </w:r>
          </w:p>
        </w:tc>
        <w:tc>
          <w:tcPr>
            <w:tcW w:w="712" w:type="pct"/>
            <w:shd w:val="clear" w:color="auto" w:fill="F2F2F2" w:themeFill="background1" w:themeFillShade="F2"/>
            <w:noWrap/>
            <w:hideMark/>
          </w:tcPr>
          <w:p w14:paraId="5C7CA7D8"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646,234.87 </w:t>
            </w:r>
          </w:p>
        </w:tc>
        <w:tc>
          <w:tcPr>
            <w:tcW w:w="474" w:type="pct"/>
            <w:shd w:val="clear" w:color="auto" w:fill="F2F2F2" w:themeFill="background1" w:themeFillShade="F2"/>
            <w:noWrap/>
            <w:hideMark/>
          </w:tcPr>
          <w:p w14:paraId="353FF3B8"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11.5%</w:t>
            </w:r>
          </w:p>
        </w:tc>
      </w:tr>
      <w:tr w:rsidR="003E51C4" w:rsidRPr="003E51C4" w14:paraId="2A68008D" w14:textId="77777777" w:rsidTr="00E45E42">
        <w:trPr>
          <w:trHeight w:val="338"/>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BFBFBF" w:themeFill="background1" w:themeFillShade="BF"/>
          </w:tcPr>
          <w:p w14:paraId="48FCEEF5" w14:textId="77777777" w:rsidR="00166DB1" w:rsidRPr="003E51C4" w:rsidRDefault="00166DB1" w:rsidP="00E45E42">
            <w:pPr>
              <w:pStyle w:val="Tablesubheading1"/>
              <w:rPr>
                <w:color w:val="000000" w:themeColor="text1"/>
                <w:lang w:eastAsia="en-AU"/>
              </w:rPr>
            </w:pPr>
            <w:r w:rsidRPr="003E51C4">
              <w:rPr>
                <w:color w:val="000000" w:themeColor="text1"/>
                <w:lang w:eastAsia="en-AU"/>
              </w:rPr>
              <w:t xml:space="preserve">Other Support Programs </w:t>
            </w:r>
          </w:p>
        </w:tc>
      </w:tr>
      <w:tr w:rsidR="00166DB1" w:rsidRPr="00166DB1" w14:paraId="6CE47134" w14:textId="77777777" w:rsidTr="00E45E42">
        <w:trPr>
          <w:trHeight w:val="600"/>
        </w:trPr>
        <w:tc>
          <w:tcPr>
            <w:cnfStyle w:val="001000000000" w:firstRow="0" w:lastRow="0" w:firstColumn="1" w:lastColumn="0" w:oddVBand="0" w:evenVBand="0" w:oddHBand="0" w:evenHBand="0" w:firstRowFirstColumn="0" w:firstRowLastColumn="0" w:lastRowFirstColumn="0" w:lastRowLastColumn="0"/>
            <w:tcW w:w="1270" w:type="pct"/>
            <w:shd w:val="clear" w:color="auto" w:fill="F2F2F2" w:themeFill="background1" w:themeFillShade="F2"/>
            <w:hideMark/>
          </w:tcPr>
          <w:p w14:paraId="72E9E900" w14:textId="77777777" w:rsidR="00166DB1" w:rsidRPr="00166DB1" w:rsidRDefault="00166DB1" w:rsidP="00E45E42">
            <w:pPr>
              <w:pStyle w:val="TableCopy"/>
              <w:rPr>
                <w:lang w:eastAsia="en-AU"/>
              </w:rPr>
            </w:pPr>
            <w:r w:rsidRPr="00166DB1">
              <w:rPr>
                <w:lang w:eastAsia="en-AU"/>
              </w:rPr>
              <w:t>Administrative Support to Pharmacy Schools#</w:t>
            </w:r>
          </w:p>
        </w:tc>
        <w:tc>
          <w:tcPr>
            <w:tcW w:w="409" w:type="pct"/>
            <w:shd w:val="clear" w:color="auto" w:fill="F2F2F2" w:themeFill="background1" w:themeFillShade="F2"/>
            <w:noWrap/>
            <w:hideMark/>
          </w:tcPr>
          <w:p w14:paraId="129CA5A8"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381 </w:t>
            </w:r>
          </w:p>
          <w:p w14:paraId="1E8BCCDD"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(or 16)</w:t>
            </w:r>
          </w:p>
        </w:tc>
        <w:tc>
          <w:tcPr>
            <w:tcW w:w="719" w:type="pct"/>
            <w:shd w:val="clear" w:color="auto" w:fill="F2F2F2" w:themeFill="background1" w:themeFillShade="F2"/>
            <w:noWrap/>
            <w:hideMark/>
          </w:tcPr>
          <w:p w14:paraId="743F01EA"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33,331.38 </w:t>
            </w:r>
          </w:p>
        </w:tc>
        <w:tc>
          <w:tcPr>
            <w:tcW w:w="730" w:type="pct"/>
            <w:shd w:val="clear" w:color="auto" w:fill="F2F2F2" w:themeFill="background1" w:themeFillShade="F2"/>
            <w:noWrap/>
            <w:hideMark/>
          </w:tcPr>
          <w:p w14:paraId="303960B9"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627.96 </w:t>
            </w:r>
          </w:p>
        </w:tc>
        <w:tc>
          <w:tcPr>
            <w:tcW w:w="686" w:type="pct"/>
            <w:shd w:val="clear" w:color="auto" w:fill="F2F2F2" w:themeFill="background1" w:themeFillShade="F2"/>
            <w:noWrap/>
            <w:hideMark/>
          </w:tcPr>
          <w:p w14:paraId="244076A5"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t>1,426.11</w:t>
            </w:r>
          </w:p>
          <w:p w14:paraId="58145ED3"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 xml:space="preserve">(or </w:t>
            </w:r>
            <w:r w:rsidRPr="00166DB1">
              <w:rPr>
                <w:rFonts w:ascii="Times New Roman" w:hAnsi="Times New Roman"/>
                <w:lang w:eastAsia="en-AU"/>
              </w:rPr>
              <w:t>$</w:t>
            </w:r>
            <w:r w:rsidRPr="00166DB1">
              <w:rPr>
                <w:lang w:eastAsia="en-AU"/>
              </w:rPr>
              <w:t>33,959.33</w:t>
            </w:r>
            <w:r w:rsidRPr="00166DB1">
              <w:t>)</w:t>
            </w:r>
          </w:p>
        </w:tc>
        <w:tc>
          <w:tcPr>
            <w:tcW w:w="712" w:type="pct"/>
            <w:shd w:val="clear" w:color="auto" w:fill="F2F2F2" w:themeFill="background1" w:themeFillShade="F2"/>
            <w:noWrap/>
            <w:hideMark/>
          </w:tcPr>
          <w:p w14:paraId="2086980D"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543,349.31 </w:t>
            </w:r>
          </w:p>
        </w:tc>
        <w:tc>
          <w:tcPr>
            <w:tcW w:w="474" w:type="pct"/>
            <w:shd w:val="clear" w:color="auto" w:fill="F2F2F2" w:themeFill="background1" w:themeFillShade="F2"/>
            <w:noWrap/>
            <w:hideMark/>
          </w:tcPr>
          <w:p w14:paraId="6683E491"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9.7%</w:t>
            </w:r>
          </w:p>
        </w:tc>
      </w:tr>
      <w:tr w:rsidR="00166DB1" w:rsidRPr="00166DB1" w14:paraId="3750C455" w14:textId="77777777" w:rsidTr="00E45E42">
        <w:trPr>
          <w:trHeight w:val="300"/>
        </w:trPr>
        <w:tc>
          <w:tcPr>
            <w:cnfStyle w:val="001000000000" w:firstRow="0" w:lastRow="0" w:firstColumn="1" w:lastColumn="0" w:oddVBand="0" w:evenVBand="0" w:oddHBand="0" w:evenHBand="0" w:firstRowFirstColumn="0" w:firstRowLastColumn="0" w:lastRowFirstColumn="0" w:lastRowLastColumn="0"/>
            <w:tcW w:w="1270" w:type="pct"/>
            <w:shd w:val="clear" w:color="auto" w:fill="F2F2F2" w:themeFill="background1" w:themeFillShade="F2"/>
            <w:hideMark/>
          </w:tcPr>
          <w:p w14:paraId="12D7D2A0" w14:textId="77777777" w:rsidR="00166DB1" w:rsidRPr="00166DB1" w:rsidRDefault="00166DB1" w:rsidP="00E45E42">
            <w:pPr>
              <w:pStyle w:val="TableCopy"/>
              <w:rPr>
                <w:lang w:eastAsia="en-AU"/>
              </w:rPr>
            </w:pPr>
            <w:r w:rsidRPr="00166DB1">
              <w:rPr>
                <w:lang w:eastAsia="en-AU"/>
              </w:rPr>
              <w:t>Rural Pharmacy Liaison Officer Program^</w:t>
            </w:r>
          </w:p>
        </w:tc>
        <w:tc>
          <w:tcPr>
            <w:tcW w:w="409" w:type="pct"/>
            <w:shd w:val="clear" w:color="auto" w:fill="F2F2F2" w:themeFill="background1" w:themeFillShade="F2"/>
            <w:noWrap/>
            <w:hideMark/>
          </w:tcPr>
          <w:p w14:paraId="7CB80BFA"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381</w:t>
            </w:r>
          </w:p>
          <w:p w14:paraId="3BB07D71"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(or 10)</w:t>
            </w:r>
          </w:p>
        </w:tc>
        <w:tc>
          <w:tcPr>
            <w:tcW w:w="719" w:type="pct"/>
            <w:shd w:val="clear" w:color="auto" w:fill="F2F2F2" w:themeFill="background1" w:themeFillShade="F2"/>
            <w:noWrap/>
            <w:hideMark/>
          </w:tcPr>
          <w:p w14:paraId="7CC92932"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82,906.90 </w:t>
            </w:r>
          </w:p>
        </w:tc>
        <w:tc>
          <w:tcPr>
            <w:tcW w:w="730" w:type="pct"/>
            <w:shd w:val="clear" w:color="auto" w:fill="F2F2F2" w:themeFill="background1" w:themeFillShade="F2"/>
            <w:noWrap/>
            <w:hideMark/>
          </w:tcPr>
          <w:p w14:paraId="4C3E5880"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706.45 </w:t>
            </w:r>
          </w:p>
        </w:tc>
        <w:tc>
          <w:tcPr>
            <w:tcW w:w="686" w:type="pct"/>
            <w:shd w:val="clear" w:color="auto" w:fill="F2F2F2" w:themeFill="background1" w:themeFillShade="F2"/>
            <w:noWrap/>
            <w:hideMark/>
          </w:tcPr>
          <w:p w14:paraId="0ED611BA"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t>2,194.58</w:t>
            </w:r>
          </w:p>
          <w:p w14:paraId="4572BD46" w14:textId="1E6F4166"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(or</w:t>
            </w:r>
            <w:r w:rsidR="00E45E42">
              <w:rPr>
                <w:lang w:eastAsia="en-AU"/>
              </w:rPr>
              <w:t xml:space="preserve"> </w:t>
            </w:r>
            <w:r w:rsidRPr="00166DB1">
              <w:rPr>
                <w:rFonts w:ascii="Times New Roman" w:hAnsi="Times New Roman"/>
                <w:lang w:eastAsia="en-AU"/>
              </w:rPr>
              <w:t>$</w:t>
            </w:r>
            <w:r w:rsidRPr="00166DB1">
              <w:rPr>
                <w:lang w:eastAsia="en-AU"/>
              </w:rPr>
              <w:t>83,613.35)</w:t>
            </w:r>
          </w:p>
        </w:tc>
        <w:tc>
          <w:tcPr>
            <w:tcW w:w="712" w:type="pct"/>
            <w:shd w:val="clear" w:color="auto" w:fill="F2F2F2" w:themeFill="background1" w:themeFillShade="F2"/>
            <w:noWrap/>
            <w:hideMark/>
          </w:tcPr>
          <w:p w14:paraId="5DD402D1"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836,133.52 </w:t>
            </w:r>
          </w:p>
        </w:tc>
        <w:tc>
          <w:tcPr>
            <w:tcW w:w="474" w:type="pct"/>
            <w:shd w:val="clear" w:color="auto" w:fill="F2F2F2" w:themeFill="background1" w:themeFillShade="F2"/>
            <w:noWrap/>
            <w:hideMark/>
          </w:tcPr>
          <w:p w14:paraId="297CE458"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14.9%</w:t>
            </w:r>
          </w:p>
        </w:tc>
      </w:tr>
      <w:tr w:rsidR="003E51C4" w:rsidRPr="003E51C4" w14:paraId="0B00E494" w14:textId="77777777" w:rsidTr="00E45E42">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BFBFBF" w:themeFill="background1" w:themeFillShade="BF"/>
          </w:tcPr>
          <w:p w14:paraId="3088CBD8" w14:textId="77777777" w:rsidR="00166DB1" w:rsidRPr="003E51C4" w:rsidRDefault="00166DB1" w:rsidP="00E45E42">
            <w:pPr>
              <w:pStyle w:val="Tablesubheading1"/>
              <w:rPr>
                <w:color w:val="000000" w:themeColor="text1"/>
                <w:lang w:eastAsia="en-AU"/>
              </w:rPr>
            </w:pPr>
            <w:r w:rsidRPr="003E51C4">
              <w:rPr>
                <w:color w:val="000000" w:themeColor="text1"/>
                <w:lang w:eastAsia="en-AU"/>
              </w:rPr>
              <w:t xml:space="preserve">Retention Programs </w:t>
            </w:r>
          </w:p>
        </w:tc>
      </w:tr>
      <w:tr w:rsidR="00166DB1" w:rsidRPr="00166DB1" w14:paraId="6B0F8BA6" w14:textId="77777777" w:rsidTr="00E45E42">
        <w:trPr>
          <w:trHeight w:val="600"/>
        </w:trPr>
        <w:tc>
          <w:tcPr>
            <w:cnfStyle w:val="001000000000" w:firstRow="0" w:lastRow="0" w:firstColumn="1" w:lastColumn="0" w:oddVBand="0" w:evenVBand="0" w:oddHBand="0" w:evenHBand="0" w:firstRowFirstColumn="0" w:firstRowLastColumn="0" w:lastRowFirstColumn="0" w:lastRowLastColumn="0"/>
            <w:tcW w:w="1270" w:type="pct"/>
            <w:shd w:val="clear" w:color="auto" w:fill="F2F2F2" w:themeFill="background1" w:themeFillShade="F2"/>
            <w:hideMark/>
          </w:tcPr>
          <w:p w14:paraId="3C4DC3B4" w14:textId="77777777" w:rsidR="00166DB1" w:rsidRPr="00166DB1" w:rsidRDefault="00166DB1" w:rsidP="00E45E42">
            <w:pPr>
              <w:pStyle w:val="TableCopy"/>
              <w:rPr>
                <w:lang w:eastAsia="en-AU"/>
              </w:rPr>
            </w:pPr>
            <w:r w:rsidRPr="00166DB1">
              <w:rPr>
                <w:lang w:eastAsia="en-AU"/>
              </w:rPr>
              <w:t>Intern Incentive Allowance for Rural Pharmacies</w:t>
            </w:r>
          </w:p>
        </w:tc>
        <w:tc>
          <w:tcPr>
            <w:tcW w:w="409" w:type="pct"/>
            <w:shd w:val="clear" w:color="auto" w:fill="F2F2F2" w:themeFill="background1" w:themeFillShade="F2"/>
            <w:noWrap/>
            <w:hideMark/>
          </w:tcPr>
          <w:p w14:paraId="0E59A43D"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75</w:t>
            </w:r>
          </w:p>
        </w:tc>
        <w:tc>
          <w:tcPr>
            <w:tcW w:w="719" w:type="pct"/>
            <w:shd w:val="clear" w:color="auto" w:fill="F2F2F2" w:themeFill="background1" w:themeFillShade="F2"/>
            <w:noWrap/>
            <w:hideMark/>
          </w:tcPr>
          <w:p w14:paraId="1FFE7574"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10,000.00 </w:t>
            </w:r>
          </w:p>
        </w:tc>
        <w:tc>
          <w:tcPr>
            <w:tcW w:w="730" w:type="pct"/>
            <w:shd w:val="clear" w:color="auto" w:fill="F2F2F2" w:themeFill="background1" w:themeFillShade="F2"/>
            <w:noWrap/>
            <w:hideMark/>
          </w:tcPr>
          <w:p w14:paraId="7FECACF1"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592.77 </w:t>
            </w:r>
          </w:p>
        </w:tc>
        <w:tc>
          <w:tcPr>
            <w:tcW w:w="686" w:type="pct"/>
            <w:shd w:val="clear" w:color="auto" w:fill="F2F2F2" w:themeFill="background1" w:themeFillShade="F2"/>
            <w:noWrap/>
            <w:hideMark/>
          </w:tcPr>
          <w:p w14:paraId="35B39688"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10,592.77 </w:t>
            </w:r>
          </w:p>
        </w:tc>
        <w:tc>
          <w:tcPr>
            <w:tcW w:w="712" w:type="pct"/>
            <w:shd w:val="clear" w:color="auto" w:fill="F2F2F2" w:themeFill="background1" w:themeFillShade="F2"/>
            <w:noWrap/>
            <w:hideMark/>
          </w:tcPr>
          <w:p w14:paraId="45A2B859"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794,471.82 </w:t>
            </w:r>
          </w:p>
        </w:tc>
        <w:tc>
          <w:tcPr>
            <w:tcW w:w="474" w:type="pct"/>
            <w:shd w:val="clear" w:color="auto" w:fill="F2F2F2" w:themeFill="background1" w:themeFillShade="F2"/>
            <w:noWrap/>
            <w:hideMark/>
          </w:tcPr>
          <w:p w14:paraId="0E86F91D"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14.2%</w:t>
            </w:r>
          </w:p>
        </w:tc>
      </w:tr>
      <w:tr w:rsidR="00166DB1" w:rsidRPr="00166DB1" w14:paraId="123AC67A" w14:textId="77777777" w:rsidTr="00E45E42">
        <w:trPr>
          <w:trHeight w:val="600"/>
        </w:trPr>
        <w:tc>
          <w:tcPr>
            <w:cnfStyle w:val="001000000000" w:firstRow="0" w:lastRow="0" w:firstColumn="1" w:lastColumn="0" w:oddVBand="0" w:evenVBand="0" w:oddHBand="0" w:evenHBand="0" w:firstRowFirstColumn="0" w:firstRowLastColumn="0" w:lastRowFirstColumn="0" w:lastRowLastColumn="0"/>
            <w:tcW w:w="1270" w:type="pct"/>
            <w:shd w:val="clear" w:color="auto" w:fill="F2F2F2" w:themeFill="background1" w:themeFillShade="F2"/>
            <w:hideMark/>
          </w:tcPr>
          <w:p w14:paraId="4E6D4F66" w14:textId="77777777" w:rsidR="00166DB1" w:rsidRPr="00166DB1" w:rsidRDefault="00166DB1" w:rsidP="00E45E42">
            <w:pPr>
              <w:pStyle w:val="TableCopy"/>
              <w:rPr>
                <w:lang w:eastAsia="en-AU"/>
              </w:rPr>
            </w:pPr>
            <w:r w:rsidRPr="00166DB1">
              <w:rPr>
                <w:lang w:eastAsia="en-AU"/>
              </w:rPr>
              <w:t>Intern Incentive Allowance for Rural Pharmacies - Extension Program</w:t>
            </w:r>
          </w:p>
        </w:tc>
        <w:tc>
          <w:tcPr>
            <w:tcW w:w="409" w:type="pct"/>
            <w:shd w:val="clear" w:color="auto" w:fill="F2F2F2" w:themeFill="background1" w:themeFillShade="F2"/>
            <w:noWrap/>
            <w:hideMark/>
          </w:tcPr>
          <w:p w14:paraId="528BCBB4"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9</w:t>
            </w:r>
          </w:p>
        </w:tc>
        <w:tc>
          <w:tcPr>
            <w:tcW w:w="719" w:type="pct"/>
            <w:shd w:val="clear" w:color="auto" w:fill="F2F2F2" w:themeFill="background1" w:themeFillShade="F2"/>
            <w:noWrap/>
            <w:hideMark/>
          </w:tcPr>
          <w:p w14:paraId="58129573"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20,000.00 </w:t>
            </w:r>
          </w:p>
        </w:tc>
        <w:tc>
          <w:tcPr>
            <w:tcW w:w="730" w:type="pct"/>
            <w:shd w:val="clear" w:color="auto" w:fill="F2F2F2" w:themeFill="background1" w:themeFillShade="F2"/>
            <w:noWrap/>
            <w:hideMark/>
          </w:tcPr>
          <w:p w14:paraId="5BFC4D8B"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643.66 </w:t>
            </w:r>
          </w:p>
        </w:tc>
        <w:tc>
          <w:tcPr>
            <w:tcW w:w="686" w:type="pct"/>
            <w:shd w:val="clear" w:color="auto" w:fill="F2F2F2" w:themeFill="background1" w:themeFillShade="F2"/>
            <w:noWrap/>
            <w:hideMark/>
          </w:tcPr>
          <w:p w14:paraId="7937B57E"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20,643.66 </w:t>
            </w:r>
          </w:p>
        </w:tc>
        <w:tc>
          <w:tcPr>
            <w:tcW w:w="712" w:type="pct"/>
            <w:shd w:val="clear" w:color="auto" w:fill="F2F2F2" w:themeFill="background1" w:themeFillShade="F2"/>
            <w:noWrap/>
            <w:hideMark/>
          </w:tcPr>
          <w:p w14:paraId="693AA778"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185,792.90 </w:t>
            </w:r>
          </w:p>
        </w:tc>
        <w:tc>
          <w:tcPr>
            <w:tcW w:w="474" w:type="pct"/>
            <w:shd w:val="clear" w:color="auto" w:fill="F2F2F2" w:themeFill="background1" w:themeFillShade="F2"/>
            <w:noWrap/>
            <w:hideMark/>
          </w:tcPr>
          <w:p w14:paraId="0A379AD0"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3.3%</w:t>
            </w:r>
          </w:p>
        </w:tc>
      </w:tr>
      <w:tr w:rsidR="00166DB1" w:rsidRPr="00166DB1" w14:paraId="0358F198" w14:textId="77777777" w:rsidTr="00E45E42">
        <w:trPr>
          <w:trHeight w:val="600"/>
        </w:trPr>
        <w:tc>
          <w:tcPr>
            <w:cnfStyle w:val="001000000000" w:firstRow="0" w:lastRow="0" w:firstColumn="1" w:lastColumn="0" w:oddVBand="0" w:evenVBand="0" w:oddHBand="0" w:evenHBand="0" w:firstRowFirstColumn="0" w:firstRowLastColumn="0" w:lastRowFirstColumn="0" w:lastRowLastColumn="0"/>
            <w:tcW w:w="1270" w:type="pct"/>
            <w:shd w:val="clear" w:color="auto" w:fill="F2F2F2" w:themeFill="background1" w:themeFillShade="F2"/>
            <w:hideMark/>
          </w:tcPr>
          <w:p w14:paraId="73DCF089" w14:textId="77777777" w:rsidR="00166DB1" w:rsidRPr="00166DB1" w:rsidRDefault="00166DB1" w:rsidP="00E45E42">
            <w:pPr>
              <w:pStyle w:val="TableCopy"/>
              <w:rPr>
                <w:lang w:eastAsia="en-AU"/>
              </w:rPr>
            </w:pPr>
            <w:r w:rsidRPr="00166DB1">
              <w:rPr>
                <w:lang w:eastAsia="en-AU"/>
              </w:rPr>
              <w:t>Continuing Professional Education Allowance</w:t>
            </w:r>
          </w:p>
        </w:tc>
        <w:tc>
          <w:tcPr>
            <w:tcW w:w="409" w:type="pct"/>
            <w:shd w:val="clear" w:color="auto" w:fill="F2F2F2" w:themeFill="background1" w:themeFillShade="F2"/>
            <w:noWrap/>
            <w:hideMark/>
          </w:tcPr>
          <w:p w14:paraId="7E04BD23"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388</w:t>
            </w:r>
          </w:p>
        </w:tc>
        <w:tc>
          <w:tcPr>
            <w:tcW w:w="719" w:type="pct"/>
            <w:shd w:val="clear" w:color="auto" w:fill="F2F2F2" w:themeFill="background1" w:themeFillShade="F2"/>
            <w:noWrap/>
            <w:hideMark/>
          </w:tcPr>
          <w:p w14:paraId="16D8F435"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842.46 </w:t>
            </w:r>
          </w:p>
        </w:tc>
        <w:tc>
          <w:tcPr>
            <w:tcW w:w="730" w:type="pct"/>
            <w:shd w:val="clear" w:color="auto" w:fill="F2F2F2" w:themeFill="background1" w:themeFillShade="F2"/>
            <w:noWrap/>
            <w:hideMark/>
          </w:tcPr>
          <w:p w14:paraId="1C1D5EE9"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1,089.04 </w:t>
            </w:r>
          </w:p>
        </w:tc>
        <w:tc>
          <w:tcPr>
            <w:tcW w:w="686" w:type="pct"/>
            <w:shd w:val="clear" w:color="auto" w:fill="F2F2F2" w:themeFill="background1" w:themeFillShade="F2"/>
            <w:noWrap/>
            <w:hideMark/>
          </w:tcPr>
          <w:p w14:paraId="2DCED954"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1,931.50 </w:t>
            </w:r>
          </w:p>
        </w:tc>
        <w:tc>
          <w:tcPr>
            <w:tcW w:w="712" w:type="pct"/>
            <w:shd w:val="clear" w:color="auto" w:fill="F2F2F2" w:themeFill="background1" w:themeFillShade="F2"/>
            <w:noWrap/>
            <w:hideMark/>
          </w:tcPr>
          <w:p w14:paraId="73742655"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749,264.00 </w:t>
            </w:r>
          </w:p>
        </w:tc>
        <w:tc>
          <w:tcPr>
            <w:tcW w:w="474" w:type="pct"/>
            <w:shd w:val="clear" w:color="auto" w:fill="F2F2F2" w:themeFill="background1" w:themeFillShade="F2"/>
            <w:noWrap/>
            <w:hideMark/>
          </w:tcPr>
          <w:p w14:paraId="49EF7B45"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13.4%</w:t>
            </w:r>
          </w:p>
        </w:tc>
      </w:tr>
      <w:tr w:rsidR="00166DB1" w:rsidRPr="00166DB1" w14:paraId="47B40166" w14:textId="77777777" w:rsidTr="00E45E42">
        <w:trPr>
          <w:trHeight w:val="315"/>
        </w:trPr>
        <w:tc>
          <w:tcPr>
            <w:cnfStyle w:val="001000000000" w:firstRow="0" w:lastRow="0" w:firstColumn="1" w:lastColumn="0" w:oddVBand="0" w:evenVBand="0" w:oddHBand="0" w:evenHBand="0" w:firstRowFirstColumn="0" w:firstRowLastColumn="0" w:lastRowFirstColumn="0" w:lastRowLastColumn="0"/>
            <w:tcW w:w="1270" w:type="pct"/>
            <w:shd w:val="clear" w:color="auto" w:fill="F2F2F2" w:themeFill="background1" w:themeFillShade="F2"/>
            <w:hideMark/>
          </w:tcPr>
          <w:p w14:paraId="0638FA70" w14:textId="77777777" w:rsidR="00166DB1" w:rsidRPr="00166DB1" w:rsidRDefault="00166DB1" w:rsidP="00E45E42">
            <w:pPr>
              <w:pStyle w:val="TableCopy"/>
              <w:rPr>
                <w:lang w:eastAsia="en-AU"/>
              </w:rPr>
            </w:pPr>
            <w:r w:rsidRPr="00166DB1">
              <w:rPr>
                <w:lang w:eastAsia="en-AU"/>
              </w:rPr>
              <w:t>Emergency Locum Service</w:t>
            </w:r>
          </w:p>
        </w:tc>
        <w:tc>
          <w:tcPr>
            <w:tcW w:w="409" w:type="pct"/>
            <w:shd w:val="clear" w:color="auto" w:fill="F2F2F2" w:themeFill="background1" w:themeFillShade="F2"/>
            <w:noWrap/>
            <w:hideMark/>
          </w:tcPr>
          <w:p w14:paraId="52EC403A"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50</w:t>
            </w:r>
          </w:p>
        </w:tc>
        <w:tc>
          <w:tcPr>
            <w:tcW w:w="719" w:type="pct"/>
            <w:shd w:val="clear" w:color="auto" w:fill="F2F2F2" w:themeFill="background1" w:themeFillShade="F2"/>
            <w:noWrap/>
            <w:hideMark/>
          </w:tcPr>
          <w:p w14:paraId="4C68CAFC"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2,661.98 </w:t>
            </w:r>
          </w:p>
        </w:tc>
        <w:tc>
          <w:tcPr>
            <w:tcW w:w="730" w:type="pct"/>
            <w:shd w:val="clear" w:color="auto" w:fill="F2F2F2" w:themeFill="background1" w:themeFillShade="F2"/>
            <w:noWrap/>
            <w:hideMark/>
          </w:tcPr>
          <w:p w14:paraId="6B3FFE2F"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683.61 </w:t>
            </w:r>
          </w:p>
        </w:tc>
        <w:tc>
          <w:tcPr>
            <w:tcW w:w="686" w:type="pct"/>
            <w:shd w:val="clear" w:color="auto" w:fill="F2F2F2" w:themeFill="background1" w:themeFillShade="F2"/>
            <w:noWrap/>
            <w:hideMark/>
          </w:tcPr>
          <w:p w14:paraId="11074CB6"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3,345.59 </w:t>
            </w:r>
          </w:p>
        </w:tc>
        <w:tc>
          <w:tcPr>
            <w:tcW w:w="712" w:type="pct"/>
            <w:shd w:val="clear" w:color="auto" w:fill="F2F2F2" w:themeFill="background1" w:themeFillShade="F2"/>
            <w:noWrap/>
            <w:hideMark/>
          </w:tcPr>
          <w:p w14:paraId="60168A80"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165,814.38 </w:t>
            </w:r>
          </w:p>
        </w:tc>
        <w:tc>
          <w:tcPr>
            <w:tcW w:w="474" w:type="pct"/>
            <w:shd w:val="clear" w:color="auto" w:fill="F2F2F2" w:themeFill="background1" w:themeFillShade="F2"/>
            <w:noWrap/>
            <w:hideMark/>
          </w:tcPr>
          <w:p w14:paraId="5BCC4D08"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3.0%</w:t>
            </w:r>
          </w:p>
        </w:tc>
      </w:tr>
      <w:tr w:rsidR="003E51C4" w:rsidRPr="003E51C4" w14:paraId="12F8152F" w14:textId="77777777" w:rsidTr="00E45E42">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BFBFBF" w:themeFill="background1" w:themeFillShade="BF"/>
            <w:noWrap/>
            <w:hideMark/>
          </w:tcPr>
          <w:p w14:paraId="5FA6898F" w14:textId="77777777" w:rsidR="00166DB1" w:rsidRPr="003E51C4" w:rsidRDefault="00166DB1" w:rsidP="00E45E42">
            <w:pPr>
              <w:pStyle w:val="Tablesubheading1"/>
              <w:rPr>
                <w:color w:val="000000" w:themeColor="text1"/>
                <w:lang w:eastAsia="en-AU"/>
              </w:rPr>
            </w:pPr>
            <w:r w:rsidRPr="003E51C4">
              <w:rPr>
                <w:color w:val="000000" w:themeColor="text1"/>
                <w:lang w:eastAsia="en-AU"/>
              </w:rPr>
              <w:lastRenderedPageBreak/>
              <w:t xml:space="preserve">Programs to enhance access to culturally appropriate services </w:t>
            </w:r>
          </w:p>
        </w:tc>
      </w:tr>
      <w:tr w:rsidR="00166DB1" w:rsidRPr="00166DB1" w14:paraId="3B001906" w14:textId="77777777" w:rsidTr="00E45E42">
        <w:trPr>
          <w:trHeight w:val="600"/>
        </w:trPr>
        <w:tc>
          <w:tcPr>
            <w:cnfStyle w:val="001000000000" w:firstRow="0" w:lastRow="0" w:firstColumn="1" w:lastColumn="0" w:oddVBand="0" w:evenVBand="0" w:oddHBand="0" w:evenHBand="0" w:firstRowFirstColumn="0" w:firstRowLastColumn="0" w:lastRowFirstColumn="0" w:lastRowLastColumn="0"/>
            <w:tcW w:w="1270" w:type="pct"/>
            <w:shd w:val="clear" w:color="auto" w:fill="F2F2F2" w:themeFill="background1" w:themeFillShade="F2"/>
            <w:hideMark/>
          </w:tcPr>
          <w:p w14:paraId="52516492" w14:textId="77777777" w:rsidR="00166DB1" w:rsidRPr="00166DB1" w:rsidRDefault="00166DB1" w:rsidP="00E45E42">
            <w:pPr>
              <w:pStyle w:val="TableCopy"/>
              <w:rPr>
                <w:lang w:eastAsia="en-AU"/>
              </w:rPr>
            </w:pPr>
            <w:r w:rsidRPr="00166DB1">
              <w:rPr>
                <w:lang w:eastAsia="en-AU"/>
              </w:rPr>
              <w:t>Aboriginal and Torres Strait Islander Pharmacy Scholarship Scheme</w:t>
            </w:r>
          </w:p>
        </w:tc>
        <w:tc>
          <w:tcPr>
            <w:tcW w:w="409" w:type="pct"/>
            <w:shd w:val="clear" w:color="auto" w:fill="F2F2F2" w:themeFill="background1" w:themeFillShade="F2"/>
            <w:noWrap/>
            <w:hideMark/>
          </w:tcPr>
          <w:p w14:paraId="178C0D3C"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6.75</w:t>
            </w:r>
          </w:p>
        </w:tc>
        <w:tc>
          <w:tcPr>
            <w:tcW w:w="719" w:type="pct"/>
            <w:shd w:val="clear" w:color="auto" w:fill="F2F2F2" w:themeFill="background1" w:themeFillShade="F2"/>
            <w:noWrap/>
            <w:hideMark/>
          </w:tcPr>
          <w:p w14:paraId="72E46241"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15,000.00 </w:t>
            </w:r>
          </w:p>
        </w:tc>
        <w:tc>
          <w:tcPr>
            <w:tcW w:w="730" w:type="pct"/>
            <w:shd w:val="clear" w:color="auto" w:fill="F2F2F2" w:themeFill="background1" w:themeFillShade="F2"/>
            <w:noWrap/>
            <w:hideMark/>
          </w:tcPr>
          <w:p w14:paraId="3E9A3EF1"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4,098.36 </w:t>
            </w:r>
          </w:p>
        </w:tc>
        <w:tc>
          <w:tcPr>
            <w:tcW w:w="686" w:type="pct"/>
            <w:shd w:val="clear" w:color="auto" w:fill="F2F2F2" w:themeFill="background1" w:themeFillShade="F2"/>
            <w:noWrap/>
            <w:hideMark/>
          </w:tcPr>
          <w:p w14:paraId="3E6D699C"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19,098.36 </w:t>
            </w:r>
          </w:p>
        </w:tc>
        <w:tc>
          <w:tcPr>
            <w:tcW w:w="712" w:type="pct"/>
            <w:shd w:val="clear" w:color="auto" w:fill="F2F2F2" w:themeFill="background1" w:themeFillShade="F2"/>
            <w:noWrap/>
            <w:hideMark/>
          </w:tcPr>
          <w:p w14:paraId="06795925"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129,179.21 </w:t>
            </w:r>
          </w:p>
        </w:tc>
        <w:tc>
          <w:tcPr>
            <w:tcW w:w="474" w:type="pct"/>
            <w:shd w:val="clear" w:color="auto" w:fill="F2F2F2" w:themeFill="background1" w:themeFillShade="F2"/>
            <w:noWrap/>
            <w:hideMark/>
          </w:tcPr>
          <w:p w14:paraId="785DA140"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2.3%</w:t>
            </w:r>
          </w:p>
        </w:tc>
      </w:tr>
      <w:tr w:rsidR="00166DB1" w:rsidRPr="00166DB1" w14:paraId="10D0430C" w14:textId="77777777" w:rsidTr="00E45E42">
        <w:trPr>
          <w:trHeight w:val="615"/>
        </w:trPr>
        <w:tc>
          <w:tcPr>
            <w:cnfStyle w:val="001000000000" w:firstRow="0" w:lastRow="0" w:firstColumn="1" w:lastColumn="0" w:oddVBand="0" w:evenVBand="0" w:oddHBand="0" w:evenHBand="0" w:firstRowFirstColumn="0" w:firstRowLastColumn="0" w:lastRowFirstColumn="0" w:lastRowLastColumn="0"/>
            <w:tcW w:w="1270" w:type="pct"/>
            <w:shd w:val="clear" w:color="auto" w:fill="F2F2F2" w:themeFill="background1" w:themeFillShade="F2"/>
            <w:hideMark/>
          </w:tcPr>
          <w:p w14:paraId="0DCCCFED" w14:textId="77777777" w:rsidR="00166DB1" w:rsidRPr="00166DB1" w:rsidRDefault="00166DB1" w:rsidP="00E45E42">
            <w:pPr>
              <w:pStyle w:val="TableCopy"/>
              <w:rPr>
                <w:lang w:eastAsia="en-AU"/>
              </w:rPr>
            </w:pPr>
            <w:r w:rsidRPr="00166DB1">
              <w:rPr>
                <w:lang w:eastAsia="en-AU"/>
              </w:rPr>
              <w:t>Aboriginal and Torres Strait Islander Pharmacy Assistant Traineeship Scheme</w:t>
            </w:r>
          </w:p>
        </w:tc>
        <w:tc>
          <w:tcPr>
            <w:tcW w:w="409" w:type="pct"/>
            <w:shd w:val="clear" w:color="auto" w:fill="F2F2F2" w:themeFill="background1" w:themeFillShade="F2"/>
            <w:noWrap/>
            <w:hideMark/>
          </w:tcPr>
          <w:p w14:paraId="05517B49"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13</w:t>
            </w:r>
          </w:p>
        </w:tc>
        <w:tc>
          <w:tcPr>
            <w:tcW w:w="719" w:type="pct"/>
            <w:shd w:val="clear" w:color="auto" w:fill="F2F2F2" w:themeFill="background1" w:themeFillShade="F2"/>
            <w:noWrap/>
            <w:hideMark/>
          </w:tcPr>
          <w:p w14:paraId="21F35E3D"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10,000.00 </w:t>
            </w:r>
          </w:p>
        </w:tc>
        <w:tc>
          <w:tcPr>
            <w:tcW w:w="730" w:type="pct"/>
            <w:shd w:val="clear" w:color="auto" w:fill="F2F2F2" w:themeFill="background1" w:themeFillShade="F2"/>
            <w:noWrap/>
            <w:hideMark/>
          </w:tcPr>
          <w:p w14:paraId="1072FEEA"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4,098.36 </w:t>
            </w:r>
          </w:p>
        </w:tc>
        <w:tc>
          <w:tcPr>
            <w:tcW w:w="686" w:type="pct"/>
            <w:shd w:val="clear" w:color="auto" w:fill="F2F2F2" w:themeFill="background1" w:themeFillShade="F2"/>
            <w:noWrap/>
            <w:hideMark/>
          </w:tcPr>
          <w:p w14:paraId="26AA05B1"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14,098.36 </w:t>
            </w:r>
          </w:p>
        </w:tc>
        <w:tc>
          <w:tcPr>
            <w:tcW w:w="712" w:type="pct"/>
            <w:shd w:val="clear" w:color="auto" w:fill="F2F2F2" w:themeFill="background1" w:themeFillShade="F2"/>
            <w:noWrap/>
            <w:hideMark/>
          </w:tcPr>
          <w:p w14:paraId="63A910FE"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rFonts w:ascii="Times New Roman" w:hAnsi="Times New Roman"/>
                <w:lang w:eastAsia="en-AU"/>
              </w:rPr>
              <w:t>$</w:t>
            </w:r>
            <w:r w:rsidRPr="00166DB1">
              <w:rPr>
                <w:lang w:eastAsia="en-AU"/>
              </w:rPr>
              <w:t xml:space="preserve">177,972.79 </w:t>
            </w:r>
          </w:p>
        </w:tc>
        <w:tc>
          <w:tcPr>
            <w:tcW w:w="474" w:type="pct"/>
            <w:shd w:val="clear" w:color="auto" w:fill="F2F2F2" w:themeFill="background1" w:themeFillShade="F2"/>
            <w:noWrap/>
            <w:hideMark/>
          </w:tcPr>
          <w:p w14:paraId="67FDDB3B" w14:textId="77777777" w:rsidR="00166DB1" w:rsidRPr="00166DB1" w:rsidRDefault="00166DB1" w:rsidP="00E45E42">
            <w:pPr>
              <w:pStyle w:val="TableCopy"/>
              <w:jc w:val="right"/>
              <w:cnfStyle w:val="000000000000" w:firstRow="0" w:lastRow="0" w:firstColumn="0" w:lastColumn="0" w:oddVBand="0" w:evenVBand="0" w:oddHBand="0" w:evenHBand="0" w:firstRowFirstColumn="0" w:firstRowLastColumn="0" w:lastRowFirstColumn="0" w:lastRowLastColumn="0"/>
              <w:rPr>
                <w:lang w:eastAsia="en-AU"/>
              </w:rPr>
            </w:pPr>
            <w:r w:rsidRPr="00166DB1">
              <w:rPr>
                <w:lang w:eastAsia="en-AU"/>
              </w:rPr>
              <w:t>3.2%</w:t>
            </w:r>
          </w:p>
        </w:tc>
      </w:tr>
      <w:tr w:rsidR="00E45E42" w:rsidRPr="00E45E42" w14:paraId="55341280" w14:textId="77777777" w:rsidTr="00E45E42">
        <w:trPr>
          <w:trHeight w:val="300"/>
        </w:trPr>
        <w:tc>
          <w:tcPr>
            <w:cnfStyle w:val="001000000000" w:firstRow="0" w:lastRow="0" w:firstColumn="1" w:lastColumn="0" w:oddVBand="0" w:evenVBand="0" w:oddHBand="0" w:evenHBand="0" w:firstRowFirstColumn="0" w:firstRowLastColumn="0" w:lastRowFirstColumn="0" w:lastRowLastColumn="0"/>
            <w:tcW w:w="3814" w:type="pct"/>
            <w:gridSpan w:val="5"/>
            <w:shd w:val="clear" w:color="auto" w:fill="F2F2F2" w:themeFill="background1" w:themeFillShade="F2"/>
            <w:hideMark/>
          </w:tcPr>
          <w:p w14:paraId="20A8EA52" w14:textId="77777777" w:rsidR="00166DB1" w:rsidRPr="00E45E42" w:rsidRDefault="00166DB1" w:rsidP="00E45E42">
            <w:pPr>
              <w:pStyle w:val="TableCopy"/>
              <w:rPr>
                <w:lang w:eastAsia="en-AU"/>
              </w:rPr>
            </w:pPr>
            <w:r w:rsidRPr="00E45E42">
              <w:rPr>
                <w:lang w:eastAsia="en-AU"/>
              </w:rPr>
              <w:t xml:space="preserve">Total Program investment </w:t>
            </w:r>
          </w:p>
        </w:tc>
        <w:tc>
          <w:tcPr>
            <w:tcW w:w="712" w:type="pct"/>
            <w:shd w:val="clear" w:color="auto" w:fill="F2F2F2" w:themeFill="background1" w:themeFillShade="F2"/>
            <w:noWrap/>
            <w:hideMark/>
          </w:tcPr>
          <w:p w14:paraId="0B31FFC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E45E42">
              <w:rPr>
                <w:lang w:eastAsia="en-AU"/>
              </w:rPr>
              <w:t xml:space="preserve">$5,596,568.32 </w:t>
            </w:r>
          </w:p>
        </w:tc>
        <w:tc>
          <w:tcPr>
            <w:tcW w:w="474" w:type="pct"/>
            <w:shd w:val="clear" w:color="auto" w:fill="F2F2F2" w:themeFill="background1" w:themeFillShade="F2"/>
            <w:noWrap/>
            <w:hideMark/>
          </w:tcPr>
          <w:p w14:paraId="182EC479"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lang w:eastAsia="en-AU"/>
              </w:rPr>
            </w:pPr>
            <w:r w:rsidRPr="00E45E42">
              <w:rPr>
                <w:lang w:eastAsia="en-AU"/>
              </w:rPr>
              <w:t>100.0%</w:t>
            </w:r>
          </w:p>
        </w:tc>
      </w:tr>
    </w:tbl>
    <w:p w14:paraId="49B68959" w14:textId="77777777" w:rsidR="00166DB1" w:rsidRPr="00166DB1" w:rsidRDefault="00166DB1" w:rsidP="00BF753C">
      <w:pPr>
        <w:pStyle w:val="TableNotes"/>
        <w:rPr>
          <w:lang w:eastAsia="en-AU"/>
        </w:rPr>
      </w:pPr>
      <w:r w:rsidRPr="00166DB1">
        <w:rPr>
          <w:lang w:eastAsia="en-AU"/>
        </w:rPr>
        <w:t>*Volume for scholarships and mentorship is based on the number of active scholarships per year (not the annual intake)</w:t>
      </w:r>
    </w:p>
    <w:p w14:paraId="7ABFF4CB" w14:textId="77777777" w:rsidR="00166DB1" w:rsidRPr="00166DB1" w:rsidRDefault="00166DB1" w:rsidP="00BF753C">
      <w:pPr>
        <w:pStyle w:val="TableNotes"/>
        <w:rPr>
          <w:lang w:eastAsia="en-AU"/>
        </w:rPr>
      </w:pPr>
      <w:r w:rsidRPr="00166DB1">
        <w:rPr>
          <w:lang w:eastAsia="en-AU"/>
        </w:rPr>
        <w:t xml:space="preserve">^Volume for RPLO is the number of student placements (in brackets is the number of officers) </w:t>
      </w:r>
    </w:p>
    <w:p w14:paraId="311F0B4E" w14:textId="77777777" w:rsidR="00166DB1" w:rsidRPr="00166DB1" w:rsidRDefault="00166DB1" w:rsidP="00BF753C">
      <w:pPr>
        <w:pStyle w:val="TableNotes"/>
        <w:rPr>
          <w:lang w:eastAsia="en-AU"/>
        </w:rPr>
      </w:pPr>
      <w:r w:rsidRPr="00166DB1">
        <w:rPr>
          <w:lang w:eastAsia="en-AU"/>
        </w:rPr>
        <w:t>#Volume is the number of student placements (in brackets is the number of Universities)</w:t>
      </w:r>
    </w:p>
    <w:p w14:paraId="0F01770C" w14:textId="77777777" w:rsidR="00166DB1" w:rsidRPr="00166DB1" w:rsidRDefault="00166DB1" w:rsidP="00166DB1">
      <w:pPr>
        <w:spacing w:before="85" w:after="85"/>
        <w:rPr>
          <w:rFonts w:ascii="Garamond" w:eastAsia="Garamond" w:hAnsi="Garamond"/>
          <w:color w:val="000000"/>
        </w:rPr>
      </w:pPr>
    </w:p>
    <w:p w14:paraId="4640B451" w14:textId="77777777" w:rsidR="00166DB1" w:rsidRPr="00166DB1" w:rsidRDefault="00166DB1" w:rsidP="00166DB1">
      <w:pPr>
        <w:spacing w:before="85" w:after="85"/>
        <w:rPr>
          <w:rFonts w:ascii="Garamond" w:eastAsia="Garamond" w:hAnsi="Garamond"/>
          <w:color w:val="000000"/>
        </w:rPr>
        <w:sectPr w:rsidR="00166DB1" w:rsidRPr="00166DB1" w:rsidSect="00720069">
          <w:pgSz w:w="16839" w:h="11907" w:orient="landscape" w:code="9"/>
          <w:pgMar w:top="2268" w:right="1304" w:bottom="850" w:left="737" w:header="567" w:footer="284" w:gutter="0"/>
          <w:cols w:space="709"/>
          <w:docGrid w:linePitch="360"/>
        </w:sectPr>
      </w:pPr>
    </w:p>
    <w:p w14:paraId="3B5260AA" w14:textId="6A8721E0" w:rsidR="00166DB1" w:rsidRPr="00166DB1" w:rsidRDefault="00166DB1" w:rsidP="004F0F6F">
      <w:pPr>
        <w:pStyle w:val="HeadingAppendix2"/>
      </w:pPr>
      <w:bookmarkStart w:id="151" w:name="_Ref488303652"/>
      <w:bookmarkStart w:id="152" w:name="_Toc490574961"/>
      <w:bookmarkStart w:id="153" w:name="_Toc523322093"/>
      <w:r w:rsidRPr="00166DB1">
        <w:lastRenderedPageBreak/>
        <w:t>Rank correlation analysis scores</w:t>
      </w:r>
      <w:bookmarkEnd w:id="151"/>
      <w:bookmarkEnd w:id="152"/>
      <w:bookmarkEnd w:id="153"/>
    </w:p>
    <w:p w14:paraId="62534068" w14:textId="77777777" w:rsidR="00166DB1" w:rsidRPr="00166DB1" w:rsidRDefault="00166DB1" w:rsidP="00166DB1">
      <w:pPr>
        <w:rPr>
          <w:rFonts w:ascii="Garamond" w:eastAsia="Garamond" w:hAnsi="Garamond"/>
          <w:color w:val="000000"/>
        </w:rPr>
      </w:pPr>
      <w:r w:rsidRPr="00166DB1">
        <w:rPr>
          <w:rFonts w:ascii="Garamond" w:eastAsia="Garamond" w:hAnsi="Garamond"/>
          <w:color w:val="000000"/>
        </w:rPr>
        <w:t xml:space="preserve">Rank correlation is an evaluation technique used to compare the value for money of activities with different objectives. Pharmacists consulted as part of the evaluation process during case study visits were asked to rank the Pharmacy Workforce Programs according to their personal assessment of effectiveness. </w:t>
      </w:r>
    </w:p>
    <w:p w14:paraId="2EDAD024" w14:textId="77777777" w:rsidR="00166DB1" w:rsidRPr="00166DB1" w:rsidRDefault="00166DB1" w:rsidP="00166DB1">
      <w:pPr>
        <w:rPr>
          <w:rFonts w:ascii="Garamond" w:eastAsia="Garamond" w:hAnsi="Garamond"/>
          <w:color w:val="000000"/>
        </w:rPr>
      </w:pPr>
      <w:r w:rsidRPr="00166DB1">
        <w:rPr>
          <w:rFonts w:ascii="Garamond" w:eastAsia="Garamond" w:hAnsi="Garamond"/>
          <w:color w:val="000000"/>
        </w:rPr>
        <w:t xml:space="preserve">The scores the community pharmacists were asked to apply a score to perceived value of the unit cost of each of the 12 programs on a Likert scale with a range of 1 to 5, where a score of 1 = </w:t>
      </w:r>
      <w:r w:rsidRPr="00166DB1">
        <w:rPr>
          <w:rFonts w:ascii="Garamond" w:eastAsia="Garamond" w:hAnsi="Garamond"/>
          <w:i/>
          <w:color w:val="000000"/>
        </w:rPr>
        <w:t>not effective</w:t>
      </w:r>
      <w:r w:rsidRPr="00166DB1">
        <w:rPr>
          <w:rFonts w:ascii="Garamond" w:eastAsia="Garamond" w:hAnsi="Garamond"/>
          <w:color w:val="000000"/>
        </w:rPr>
        <w:t xml:space="preserve"> and 5 = </w:t>
      </w:r>
      <w:r w:rsidRPr="00166DB1">
        <w:rPr>
          <w:rFonts w:ascii="Garamond" w:eastAsia="Garamond" w:hAnsi="Garamond"/>
          <w:i/>
          <w:color w:val="000000"/>
        </w:rPr>
        <w:t>extremely effective</w:t>
      </w:r>
      <w:r w:rsidRPr="00166DB1">
        <w:rPr>
          <w:rFonts w:ascii="Garamond" w:eastAsia="Garamond" w:hAnsi="Garamond"/>
          <w:color w:val="000000"/>
        </w:rPr>
        <w:t xml:space="preserve">. </w:t>
      </w:r>
    </w:p>
    <w:p w14:paraId="1B6FC04F" w14:textId="77777777" w:rsidR="00166DB1" w:rsidRPr="00166DB1" w:rsidRDefault="00166DB1" w:rsidP="00166DB1">
      <w:pPr>
        <w:rPr>
          <w:rFonts w:ascii="Garamond" w:eastAsia="Garamond" w:hAnsi="Garamond"/>
          <w:color w:val="000000"/>
        </w:rPr>
      </w:pPr>
      <w:r w:rsidRPr="00166DB1">
        <w:rPr>
          <w:rFonts w:ascii="Garamond" w:eastAsia="Garamond" w:hAnsi="Garamond"/>
          <w:color w:val="000000"/>
        </w:rPr>
        <w:t>There was a total of 28 respondents. The following table presents individual pharmacists’ score of the perceived value, and the combined total scores. This shows that pharmacists considered the Intern Incentive Allowance for Rural Pharmacies, the Continuing Professional Education Allowance and the Rural Pharmacy Liaison Officer Program to be the highest value for money programs.</w:t>
      </w:r>
    </w:p>
    <w:p w14:paraId="29315843" w14:textId="76E02F76" w:rsidR="00166DB1" w:rsidRPr="00166DB1" w:rsidRDefault="00BF753C" w:rsidP="00BF753C">
      <w:pPr>
        <w:pStyle w:val="Tableheading"/>
      </w:pPr>
      <w:r>
        <w:t>S</w:t>
      </w:r>
      <w:r w:rsidRPr="00166DB1">
        <w:t>cores for rank correlation analysis</w:t>
      </w:r>
    </w:p>
    <w:tbl>
      <w:tblPr>
        <w:tblStyle w:val="HMATable"/>
        <w:tblW w:w="4979" w:type="pct"/>
        <w:tblInd w:w="10" w:type="dxa"/>
        <w:shd w:val="clear" w:color="auto" w:fill="F2F2F2" w:themeFill="background1" w:themeFillShade="F2"/>
        <w:tblLayout w:type="fixed"/>
        <w:tblLook w:val="04A0" w:firstRow="1" w:lastRow="0" w:firstColumn="1" w:lastColumn="0" w:noHBand="0" w:noVBand="1"/>
        <w:tblCaption w:val="Scores for rank correlation analysis"/>
        <w:tblDescription w:val="Table: Scores for rank correlation analysis comparing programs with respondent scores."/>
      </w:tblPr>
      <w:tblGrid>
        <w:gridCol w:w="1925"/>
        <w:gridCol w:w="435"/>
        <w:gridCol w:w="435"/>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68"/>
        <w:gridCol w:w="563"/>
      </w:tblGrid>
      <w:tr w:rsidR="00166DB1" w:rsidRPr="00166DB1" w14:paraId="08A821D0" w14:textId="77777777" w:rsidTr="0054671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4" w:type="pct"/>
            <w:shd w:val="clear" w:color="auto" w:fill="F2F2F2" w:themeFill="background1" w:themeFillShade="F2"/>
          </w:tcPr>
          <w:p w14:paraId="6513D9B4" w14:textId="77777777" w:rsidR="00166DB1" w:rsidRPr="00166DB1" w:rsidRDefault="00166DB1" w:rsidP="00E45E42">
            <w:pPr>
              <w:pStyle w:val="TableColumnHeading"/>
            </w:pPr>
            <w:r w:rsidRPr="00166DB1">
              <w:t>Program</w:t>
            </w:r>
          </w:p>
        </w:tc>
        <w:tc>
          <w:tcPr>
            <w:tcW w:w="4155" w:type="pct"/>
            <w:gridSpan w:val="28"/>
            <w:shd w:val="clear" w:color="auto" w:fill="F2F2F2" w:themeFill="background1" w:themeFillShade="F2"/>
          </w:tcPr>
          <w:p w14:paraId="4593C6A7"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rPr>
                <w:rFonts w:eastAsia="Garamond"/>
                <w:sz w:val="18"/>
              </w:rPr>
            </w:pPr>
            <w:r w:rsidRPr="00166DB1">
              <w:rPr>
                <w:rFonts w:eastAsia="Garamond"/>
                <w:sz w:val="18"/>
              </w:rPr>
              <w:t>Respondent scores</w:t>
            </w:r>
          </w:p>
        </w:tc>
        <w:tc>
          <w:tcPr>
            <w:tcW w:w="192" w:type="pct"/>
            <w:shd w:val="clear" w:color="auto" w:fill="F2F2F2" w:themeFill="background1" w:themeFillShade="F2"/>
          </w:tcPr>
          <w:p w14:paraId="5138BC99" w14:textId="77777777" w:rsidR="00166DB1" w:rsidRPr="00166DB1" w:rsidRDefault="00166DB1" w:rsidP="00E45E42">
            <w:pPr>
              <w:pStyle w:val="TableColumnHeading"/>
              <w:cnfStyle w:val="100000000000" w:firstRow="1" w:lastRow="0" w:firstColumn="0" w:lastColumn="0" w:oddVBand="0" w:evenVBand="0" w:oddHBand="0" w:evenHBand="0" w:firstRowFirstColumn="0" w:firstRowLastColumn="0" w:lastRowFirstColumn="0" w:lastRowLastColumn="0"/>
              <w:rPr>
                <w:b/>
              </w:rPr>
            </w:pPr>
            <w:r w:rsidRPr="00166DB1">
              <w:rPr>
                <w:b/>
              </w:rPr>
              <w:t>Total</w:t>
            </w:r>
          </w:p>
        </w:tc>
      </w:tr>
      <w:tr w:rsidR="00C72515" w:rsidRPr="00E45E42" w14:paraId="504BCA9F" w14:textId="77777777" w:rsidTr="00546711">
        <w:tc>
          <w:tcPr>
            <w:cnfStyle w:val="001000000000" w:firstRow="0" w:lastRow="0" w:firstColumn="1" w:lastColumn="0" w:oddVBand="0" w:evenVBand="0" w:oddHBand="0" w:evenHBand="0" w:firstRowFirstColumn="0" w:firstRowLastColumn="0" w:lastRowFirstColumn="0" w:lastRowLastColumn="0"/>
            <w:tcW w:w="654" w:type="pct"/>
            <w:shd w:val="clear" w:color="auto" w:fill="F2F2F2" w:themeFill="background1" w:themeFillShade="F2"/>
          </w:tcPr>
          <w:p w14:paraId="3525CF14" w14:textId="77777777" w:rsidR="00166DB1" w:rsidRPr="00E45E42" w:rsidRDefault="00166DB1" w:rsidP="00E45E42">
            <w:pPr>
              <w:pStyle w:val="TableCopy"/>
              <w:rPr>
                <w:sz w:val="14"/>
              </w:rPr>
            </w:pPr>
            <w:r w:rsidRPr="00E45E42">
              <w:rPr>
                <w:sz w:val="14"/>
              </w:rPr>
              <w:t>Intern Incentive Allowance for Rural Pharmacies</w:t>
            </w:r>
          </w:p>
        </w:tc>
        <w:tc>
          <w:tcPr>
            <w:tcW w:w="148" w:type="pct"/>
            <w:shd w:val="clear" w:color="auto" w:fill="F2F2F2" w:themeFill="background1" w:themeFillShade="F2"/>
          </w:tcPr>
          <w:p w14:paraId="0685F3A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5BE223A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0D7E24B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3B536E0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0AB0CB7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3B79CA8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4A5A748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0B354BB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16A5875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6744E2E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58C08AE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6D9DD6D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5B472FB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54FF9D29"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6D3D018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586FF3B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59E516A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44A2215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1AE4D97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5876CD0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60A4142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11A6061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2945809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6A631CE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7759F53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5121D4A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19E85DE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0266CF6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92" w:type="pct"/>
            <w:shd w:val="clear" w:color="auto" w:fill="F2F2F2" w:themeFill="background1" w:themeFillShade="F2"/>
          </w:tcPr>
          <w:p w14:paraId="3D2F07D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109</w:t>
            </w:r>
          </w:p>
        </w:tc>
      </w:tr>
      <w:tr w:rsidR="00C72515" w:rsidRPr="00E45E42" w14:paraId="1C679DE5" w14:textId="77777777" w:rsidTr="00546711">
        <w:tc>
          <w:tcPr>
            <w:cnfStyle w:val="001000000000" w:firstRow="0" w:lastRow="0" w:firstColumn="1" w:lastColumn="0" w:oddVBand="0" w:evenVBand="0" w:oddHBand="0" w:evenHBand="0" w:firstRowFirstColumn="0" w:firstRowLastColumn="0" w:lastRowFirstColumn="0" w:lastRowLastColumn="0"/>
            <w:tcW w:w="654" w:type="pct"/>
            <w:shd w:val="clear" w:color="auto" w:fill="F2F2F2" w:themeFill="background1" w:themeFillShade="F2"/>
          </w:tcPr>
          <w:p w14:paraId="06A9239C" w14:textId="77777777" w:rsidR="00166DB1" w:rsidRPr="00E45E42" w:rsidRDefault="00166DB1" w:rsidP="00E45E42">
            <w:pPr>
              <w:pStyle w:val="TableCopy"/>
              <w:rPr>
                <w:sz w:val="14"/>
              </w:rPr>
            </w:pPr>
            <w:r w:rsidRPr="00E45E42">
              <w:rPr>
                <w:sz w:val="14"/>
              </w:rPr>
              <w:t>Continuing Professional Education Allowance</w:t>
            </w:r>
          </w:p>
        </w:tc>
        <w:tc>
          <w:tcPr>
            <w:tcW w:w="148" w:type="pct"/>
            <w:shd w:val="clear" w:color="auto" w:fill="F2F2F2" w:themeFill="background1" w:themeFillShade="F2"/>
          </w:tcPr>
          <w:p w14:paraId="21C7D61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0A6CEF99"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10307FC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2FA1A0F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66A8469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60A9178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51F8558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3EF5304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5F4AA5C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4DC7B3A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0143725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1385822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03DF5EF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2B4A5F8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5F3F14D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12107CE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1D94697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619E888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19E90A9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1C47673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7A4FA38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5C42AB7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04B8100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244CA22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2AF6A849"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53A2CFB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2808499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60FD28E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92" w:type="pct"/>
            <w:shd w:val="clear" w:color="auto" w:fill="F2F2F2" w:themeFill="background1" w:themeFillShade="F2"/>
          </w:tcPr>
          <w:p w14:paraId="6B18404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109</w:t>
            </w:r>
          </w:p>
        </w:tc>
      </w:tr>
      <w:tr w:rsidR="00C72515" w:rsidRPr="00E45E42" w14:paraId="0AEF843C" w14:textId="77777777" w:rsidTr="00546711">
        <w:tc>
          <w:tcPr>
            <w:cnfStyle w:val="001000000000" w:firstRow="0" w:lastRow="0" w:firstColumn="1" w:lastColumn="0" w:oddVBand="0" w:evenVBand="0" w:oddHBand="0" w:evenHBand="0" w:firstRowFirstColumn="0" w:firstRowLastColumn="0" w:lastRowFirstColumn="0" w:lastRowLastColumn="0"/>
            <w:tcW w:w="654" w:type="pct"/>
            <w:shd w:val="clear" w:color="auto" w:fill="F2F2F2" w:themeFill="background1" w:themeFillShade="F2"/>
          </w:tcPr>
          <w:p w14:paraId="4E211E73" w14:textId="77777777" w:rsidR="00166DB1" w:rsidRPr="00E45E42" w:rsidRDefault="00166DB1" w:rsidP="00E45E42">
            <w:pPr>
              <w:pStyle w:val="TableCopy"/>
              <w:rPr>
                <w:sz w:val="14"/>
              </w:rPr>
            </w:pPr>
            <w:r w:rsidRPr="00E45E42">
              <w:rPr>
                <w:sz w:val="14"/>
              </w:rPr>
              <w:t>Rural Pharmacy Liaison Officer Program</w:t>
            </w:r>
          </w:p>
        </w:tc>
        <w:tc>
          <w:tcPr>
            <w:tcW w:w="148" w:type="pct"/>
            <w:shd w:val="clear" w:color="auto" w:fill="F2F2F2" w:themeFill="background1" w:themeFillShade="F2"/>
          </w:tcPr>
          <w:p w14:paraId="679A0DD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1C112EA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5A37455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156CB6F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06B3BB5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3827708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5C15603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3B18B7A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3E4B73A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6FA11859"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122FF52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54DBFB4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1643E28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4555578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760C197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49396C8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3B064F5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7C1E889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3A6A9D0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271650B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1E22263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1F1FC66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210AEB0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3AE8542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7DF1FEE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47CC41A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0200636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63F1A92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92" w:type="pct"/>
            <w:shd w:val="clear" w:color="auto" w:fill="F2F2F2" w:themeFill="background1" w:themeFillShade="F2"/>
          </w:tcPr>
          <w:p w14:paraId="48F21A8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109</w:t>
            </w:r>
          </w:p>
        </w:tc>
      </w:tr>
      <w:tr w:rsidR="00C72515" w:rsidRPr="00E45E42" w14:paraId="3F9B7248" w14:textId="77777777" w:rsidTr="00546711">
        <w:tc>
          <w:tcPr>
            <w:cnfStyle w:val="001000000000" w:firstRow="0" w:lastRow="0" w:firstColumn="1" w:lastColumn="0" w:oddVBand="0" w:evenVBand="0" w:oddHBand="0" w:evenHBand="0" w:firstRowFirstColumn="0" w:firstRowLastColumn="0" w:lastRowFirstColumn="0" w:lastRowLastColumn="0"/>
            <w:tcW w:w="654" w:type="pct"/>
            <w:shd w:val="clear" w:color="auto" w:fill="F2F2F2" w:themeFill="background1" w:themeFillShade="F2"/>
          </w:tcPr>
          <w:p w14:paraId="21B09C35" w14:textId="77777777" w:rsidR="00166DB1" w:rsidRPr="00E45E42" w:rsidRDefault="00166DB1" w:rsidP="00E45E42">
            <w:pPr>
              <w:pStyle w:val="TableCopy"/>
              <w:rPr>
                <w:sz w:val="14"/>
              </w:rPr>
            </w:pPr>
            <w:r w:rsidRPr="00E45E42">
              <w:rPr>
                <w:sz w:val="14"/>
              </w:rPr>
              <w:t>Extension Program</w:t>
            </w:r>
          </w:p>
        </w:tc>
        <w:tc>
          <w:tcPr>
            <w:tcW w:w="148" w:type="pct"/>
            <w:shd w:val="clear" w:color="auto" w:fill="F2F2F2" w:themeFill="background1" w:themeFillShade="F2"/>
          </w:tcPr>
          <w:p w14:paraId="0F656FC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417CF21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715F3D6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6DC49B3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2A82BF4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74F0F93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5B954E1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09E2325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45B2B10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733DA5C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1F0D3CB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59DE797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46E6AD49"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1A92A84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074F899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115D08E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392AF9C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40BD3729"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35FA010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5305466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0C6B8CE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15085FF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7D556FF9"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51B591F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3DADFAA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5676133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0ACCEFF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731DAFC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92" w:type="pct"/>
            <w:shd w:val="clear" w:color="auto" w:fill="F2F2F2" w:themeFill="background1" w:themeFillShade="F2"/>
          </w:tcPr>
          <w:p w14:paraId="54EDBDE9"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100</w:t>
            </w:r>
          </w:p>
        </w:tc>
      </w:tr>
      <w:tr w:rsidR="00C72515" w:rsidRPr="00E45E42" w14:paraId="4B413241" w14:textId="77777777" w:rsidTr="00546711">
        <w:tc>
          <w:tcPr>
            <w:cnfStyle w:val="001000000000" w:firstRow="0" w:lastRow="0" w:firstColumn="1" w:lastColumn="0" w:oddVBand="0" w:evenVBand="0" w:oddHBand="0" w:evenHBand="0" w:firstRowFirstColumn="0" w:firstRowLastColumn="0" w:lastRowFirstColumn="0" w:lastRowLastColumn="0"/>
            <w:tcW w:w="654" w:type="pct"/>
            <w:shd w:val="clear" w:color="auto" w:fill="F2F2F2" w:themeFill="background1" w:themeFillShade="F2"/>
          </w:tcPr>
          <w:p w14:paraId="497BF771" w14:textId="77777777" w:rsidR="00166DB1" w:rsidRPr="00E45E42" w:rsidRDefault="00166DB1" w:rsidP="00E45E42">
            <w:pPr>
              <w:pStyle w:val="TableCopy"/>
              <w:rPr>
                <w:sz w:val="14"/>
              </w:rPr>
            </w:pPr>
            <w:r w:rsidRPr="00E45E42">
              <w:rPr>
                <w:sz w:val="14"/>
              </w:rPr>
              <w:t>Rural Pharmacy Scholarship Scheme</w:t>
            </w:r>
          </w:p>
        </w:tc>
        <w:tc>
          <w:tcPr>
            <w:tcW w:w="148" w:type="pct"/>
            <w:shd w:val="clear" w:color="auto" w:fill="F2F2F2" w:themeFill="background1" w:themeFillShade="F2"/>
          </w:tcPr>
          <w:p w14:paraId="33D0883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62074BF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4CFB6C8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64801AD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2191833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6664A7A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3E80B27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6A4B88A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6EC6271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42D66E9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375CF9B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04E47BB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4C6A984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305FFD1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6D7CF80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6E44FA5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6745B48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782A6FE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0F15111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363CB31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51AF1AC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45A2F83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1819517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1E5702E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0B16DBA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06F5E5B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227B93D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79E2CB6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92" w:type="pct"/>
            <w:shd w:val="clear" w:color="auto" w:fill="F2F2F2" w:themeFill="background1" w:themeFillShade="F2"/>
          </w:tcPr>
          <w:p w14:paraId="0CA2591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96</w:t>
            </w:r>
          </w:p>
        </w:tc>
      </w:tr>
      <w:tr w:rsidR="00C72515" w:rsidRPr="00E45E42" w14:paraId="69BDC37C" w14:textId="77777777" w:rsidTr="00546711">
        <w:tc>
          <w:tcPr>
            <w:cnfStyle w:val="001000000000" w:firstRow="0" w:lastRow="0" w:firstColumn="1" w:lastColumn="0" w:oddVBand="0" w:evenVBand="0" w:oddHBand="0" w:evenHBand="0" w:firstRowFirstColumn="0" w:firstRowLastColumn="0" w:lastRowFirstColumn="0" w:lastRowLastColumn="0"/>
            <w:tcW w:w="654" w:type="pct"/>
            <w:shd w:val="clear" w:color="auto" w:fill="F2F2F2" w:themeFill="background1" w:themeFillShade="F2"/>
          </w:tcPr>
          <w:p w14:paraId="1F31D277" w14:textId="77777777" w:rsidR="00166DB1" w:rsidRPr="00E45E42" w:rsidRDefault="00166DB1" w:rsidP="00E45E42">
            <w:pPr>
              <w:pStyle w:val="TableCopy"/>
              <w:rPr>
                <w:sz w:val="14"/>
              </w:rPr>
            </w:pPr>
            <w:r w:rsidRPr="00E45E42">
              <w:rPr>
                <w:sz w:val="14"/>
              </w:rPr>
              <w:t>Rural Pharmacy Student Placement Allowance</w:t>
            </w:r>
          </w:p>
        </w:tc>
        <w:tc>
          <w:tcPr>
            <w:tcW w:w="148" w:type="pct"/>
            <w:shd w:val="clear" w:color="auto" w:fill="F2F2F2" w:themeFill="background1" w:themeFillShade="F2"/>
          </w:tcPr>
          <w:p w14:paraId="5563D37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71B3FA2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208FC0E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45E7E33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6C05710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27CDF98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23EA7DB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75E6C9B9"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31D5A70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6C75BC3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7BC3644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11EBA66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185C965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32FF586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08F00D8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7C43321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38E615A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6DD91AB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3CE25B5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52D6B41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11C83CB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49CCED5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55BA5F2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69E028C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5788AE6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3196D4D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02713EB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4D80965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92" w:type="pct"/>
            <w:shd w:val="clear" w:color="auto" w:fill="F2F2F2" w:themeFill="background1" w:themeFillShade="F2"/>
          </w:tcPr>
          <w:p w14:paraId="5913DAC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93</w:t>
            </w:r>
          </w:p>
        </w:tc>
      </w:tr>
      <w:tr w:rsidR="00C72515" w:rsidRPr="00E45E42" w14:paraId="330A84A5" w14:textId="77777777" w:rsidTr="00546711">
        <w:tc>
          <w:tcPr>
            <w:cnfStyle w:val="001000000000" w:firstRow="0" w:lastRow="0" w:firstColumn="1" w:lastColumn="0" w:oddVBand="0" w:evenVBand="0" w:oddHBand="0" w:evenHBand="0" w:firstRowFirstColumn="0" w:firstRowLastColumn="0" w:lastRowFirstColumn="0" w:lastRowLastColumn="0"/>
            <w:tcW w:w="654" w:type="pct"/>
            <w:shd w:val="clear" w:color="auto" w:fill="F2F2F2" w:themeFill="background1" w:themeFillShade="F2"/>
          </w:tcPr>
          <w:p w14:paraId="30016429" w14:textId="77777777" w:rsidR="00166DB1" w:rsidRPr="00E45E42" w:rsidRDefault="00166DB1" w:rsidP="00E45E42">
            <w:pPr>
              <w:pStyle w:val="TableCopy"/>
              <w:rPr>
                <w:sz w:val="14"/>
              </w:rPr>
            </w:pPr>
            <w:r w:rsidRPr="00E45E42">
              <w:rPr>
                <w:sz w:val="14"/>
              </w:rPr>
              <w:t>Rural Intern Training Allowance</w:t>
            </w:r>
          </w:p>
        </w:tc>
        <w:tc>
          <w:tcPr>
            <w:tcW w:w="148" w:type="pct"/>
            <w:shd w:val="clear" w:color="auto" w:fill="F2F2F2" w:themeFill="background1" w:themeFillShade="F2"/>
          </w:tcPr>
          <w:p w14:paraId="406C32E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11E91EE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375482F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40309319"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2287F25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546989D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6FD8DAF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6D54E68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6D1BECA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6352C45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7944342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489256A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3112F00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3E90031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w:t>
            </w:r>
          </w:p>
        </w:tc>
        <w:tc>
          <w:tcPr>
            <w:tcW w:w="148" w:type="pct"/>
            <w:shd w:val="clear" w:color="auto" w:fill="F2F2F2" w:themeFill="background1" w:themeFillShade="F2"/>
          </w:tcPr>
          <w:p w14:paraId="35D306B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7BB6266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15ECEC0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3D28A17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5AC6230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7E3B69A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485069B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4FF50AC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06AAE74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6576919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10BC13B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w:t>
            </w:r>
          </w:p>
        </w:tc>
        <w:tc>
          <w:tcPr>
            <w:tcW w:w="148" w:type="pct"/>
            <w:shd w:val="clear" w:color="auto" w:fill="F2F2F2" w:themeFill="background1" w:themeFillShade="F2"/>
          </w:tcPr>
          <w:p w14:paraId="1A4C2BD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773BB0D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47FB6BF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92" w:type="pct"/>
            <w:shd w:val="clear" w:color="auto" w:fill="F2F2F2" w:themeFill="background1" w:themeFillShade="F2"/>
          </w:tcPr>
          <w:p w14:paraId="1368B59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79</w:t>
            </w:r>
          </w:p>
        </w:tc>
      </w:tr>
      <w:tr w:rsidR="00C72515" w:rsidRPr="00E45E42" w14:paraId="2D2B6920" w14:textId="77777777" w:rsidTr="00546711">
        <w:tc>
          <w:tcPr>
            <w:cnfStyle w:val="001000000000" w:firstRow="0" w:lastRow="0" w:firstColumn="1" w:lastColumn="0" w:oddVBand="0" w:evenVBand="0" w:oddHBand="0" w:evenHBand="0" w:firstRowFirstColumn="0" w:firstRowLastColumn="0" w:lastRowFirstColumn="0" w:lastRowLastColumn="0"/>
            <w:tcW w:w="654" w:type="pct"/>
            <w:shd w:val="clear" w:color="auto" w:fill="F2F2F2" w:themeFill="background1" w:themeFillShade="F2"/>
          </w:tcPr>
          <w:p w14:paraId="358F8948" w14:textId="77777777" w:rsidR="00166DB1" w:rsidRPr="00E45E42" w:rsidRDefault="00166DB1" w:rsidP="00E45E42">
            <w:pPr>
              <w:pStyle w:val="TableCopy"/>
              <w:rPr>
                <w:sz w:val="14"/>
              </w:rPr>
            </w:pPr>
            <w:r w:rsidRPr="00E45E42">
              <w:rPr>
                <w:sz w:val="14"/>
              </w:rPr>
              <w:t xml:space="preserve">Aboriginal and Torres Strait Islander Pharmacy Assistant Traineeship Scheme </w:t>
            </w:r>
          </w:p>
        </w:tc>
        <w:tc>
          <w:tcPr>
            <w:tcW w:w="148" w:type="pct"/>
            <w:shd w:val="clear" w:color="auto" w:fill="F2F2F2" w:themeFill="background1" w:themeFillShade="F2"/>
          </w:tcPr>
          <w:p w14:paraId="5E9252B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2E7D16B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0FDD669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3BB4745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14E0C34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0DB0CDD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52D68B4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0BA9DD2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0E965AD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3927C7F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4630259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401F65F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0F980A4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56CF133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612030F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2B04533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5FF9681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7E1BA8B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0623D38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2776256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7A86A27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1A1356D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w:t>
            </w:r>
          </w:p>
        </w:tc>
        <w:tc>
          <w:tcPr>
            <w:tcW w:w="148" w:type="pct"/>
            <w:shd w:val="clear" w:color="auto" w:fill="F2F2F2" w:themeFill="background1" w:themeFillShade="F2"/>
          </w:tcPr>
          <w:p w14:paraId="72F85FE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3D85332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3A077AF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4C061B5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2154CEB9"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4D8B666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92" w:type="pct"/>
            <w:shd w:val="clear" w:color="auto" w:fill="F2F2F2" w:themeFill="background1" w:themeFillShade="F2"/>
          </w:tcPr>
          <w:p w14:paraId="77E5278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55</w:t>
            </w:r>
          </w:p>
        </w:tc>
      </w:tr>
      <w:tr w:rsidR="00C72515" w:rsidRPr="00E45E42" w14:paraId="4626FAEB" w14:textId="77777777" w:rsidTr="00546711">
        <w:tc>
          <w:tcPr>
            <w:cnfStyle w:val="001000000000" w:firstRow="0" w:lastRow="0" w:firstColumn="1" w:lastColumn="0" w:oddVBand="0" w:evenVBand="0" w:oddHBand="0" w:evenHBand="0" w:firstRowFirstColumn="0" w:firstRowLastColumn="0" w:lastRowFirstColumn="0" w:lastRowLastColumn="0"/>
            <w:tcW w:w="654" w:type="pct"/>
            <w:shd w:val="clear" w:color="auto" w:fill="F2F2F2" w:themeFill="background1" w:themeFillShade="F2"/>
          </w:tcPr>
          <w:p w14:paraId="756CB1E2" w14:textId="77777777" w:rsidR="00166DB1" w:rsidRPr="00E45E42" w:rsidRDefault="00166DB1" w:rsidP="00E45E42">
            <w:pPr>
              <w:pStyle w:val="TableCopy"/>
              <w:rPr>
                <w:sz w:val="14"/>
              </w:rPr>
            </w:pPr>
            <w:r w:rsidRPr="00E45E42">
              <w:rPr>
                <w:sz w:val="14"/>
              </w:rPr>
              <w:t>Administrative Support to Pharmacy Schools</w:t>
            </w:r>
          </w:p>
        </w:tc>
        <w:tc>
          <w:tcPr>
            <w:tcW w:w="148" w:type="pct"/>
            <w:shd w:val="clear" w:color="auto" w:fill="F2F2F2" w:themeFill="background1" w:themeFillShade="F2"/>
          </w:tcPr>
          <w:p w14:paraId="65F1335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714AB35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w:t>
            </w:r>
          </w:p>
        </w:tc>
        <w:tc>
          <w:tcPr>
            <w:tcW w:w="148" w:type="pct"/>
            <w:shd w:val="clear" w:color="auto" w:fill="F2F2F2" w:themeFill="background1" w:themeFillShade="F2"/>
          </w:tcPr>
          <w:p w14:paraId="59CE252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54745DC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0F3D700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42FECDB9"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4427199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2B0E42A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5D1EBC8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7F328C8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51463E4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0ED03A2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6554D15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01F1217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1A9DF16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3841E89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5384A4D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22B5EBC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3824342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5FF1686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4B3E0B2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263EE70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5631EE2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548A3C9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564422D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0EF9306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08C1BB6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0B3F20C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92" w:type="pct"/>
            <w:shd w:val="clear" w:color="auto" w:fill="F2F2F2" w:themeFill="background1" w:themeFillShade="F2"/>
          </w:tcPr>
          <w:p w14:paraId="0FDA562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42</w:t>
            </w:r>
          </w:p>
        </w:tc>
      </w:tr>
      <w:tr w:rsidR="00C72515" w:rsidRPr="00E45E42" w14:paraId="6843225C" w14:textId="77777777" w:rsidTr="00546711">
        <w:tc>
          <w:tcPr>
            <w:cnfStyle w:val="001000000000" w:firstRow="0" w:lastRow="0" w:firstColumn="1" w:lastColumn="0" w:oddVBand="0" w:evenVBand="0" w:oddHBand="0" w:evenHBand="0" w:firstRowFirstColumn="0" w:firstRowLastColumn="0" w:lastRowFirstColumn="0" w:lastRowLastColumn="0"/>
            <w:tcW w:w="654" w:type="pct"/>
            <w:shd w:val="clear" w:color="auto" w:fill="F2F2F2" w:themeFill="background1" w:themeFillShade="F2"/>
          </w:tcPr>
          <w:p w14:paraId="6074D56C" w14:textId="77777777" w:rsidR="00166DB1" w:rsidRPr="00E45E42" w:rsidRDefault="00166DB1" w:rsidP="00E45E42">
            <w:pPr>
              <w:pStyle w:val="TableCopy"/>
              <w:rPr>
                <w:sz w:val="14"/>
              </w:rPr>
            </w:pPr>
            <w:r w:rsidRPr="00E45E42">
              <w:rPr>
                <w:sz w:val="14"/>
              </w:rPr>
              <w:t>Aboriginal and Torres Strait Islander Scholarship Scheme</w:t>
            </w:r>
          </w:p>
        </w:tc>
        <w:tc>
          <w:tcPr>
            <w:tcW w:w="148" w:type="pct"/>
            <w:shd w:val="clear" w:color="auto" w:fill="F2F2F2" w:themeFill="background1" w:themeFillShade="F2"/>
          </w:tcPr>
          <w:p w14:paraId="7D2C781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2E07B46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78A0366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35549BC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09E8491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2F494C4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2A01085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04AA517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15051EB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007871C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27B1BF9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690F53E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0C12A0A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41AA96E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486B695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5BB5178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4D53951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1A8B7C6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74306E9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010F2AF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3DEF06B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15E25A6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w:t>
            </w:r>
          </w:p>
        </w:tc>
        <w:tc>
          <w:tcPr>
            <w:tcW w:w="148" w:type="pct"/>
            <w:shd w:val="clear" w:color="auto" w:fill="F2F2F2" w:themeFill="background1" w:themeFillShade="F2"/>
          </w:tcPr>
          <w:p w14:paraId="27B3DDC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3A4F7DB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1695F92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1284C8D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0B1A320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06FF1B4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92" w:type="pct"/>
            <w:shd w:val="clear" w:color="auto" w:fill="F2F2F2" w:themeFill="background1" w:themeFillShade="F2"/>
          </w:tcPr>
          <w:p w14:paraId="03C6449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41</w:t>
            </w:r>
          </w:p>
        </w:tc>
      </w:tr>
      <w:tr w:rsidR="00C72515" w:rsidRPr="00E45E42" w14:paraId="01E8BCF8" w14:textId="77777777" w:rsidTr="00546711">
        <w:tc>
          <w:tcPr>
            <w:cnfStyle w:val="001000000000" w:firstRow="0" w:lastRow="0" w:firstColumn="1" w:lastColumn="0" w:oddVBand="0" w:evenVBand="0" w:oddHBand="0" w:evenHBand="0" w:firstRowFirstColumn="0" w:firstRowLastColumn="0" w:lastRowFirstColumn="0" w:lastRowLastColumn="0"/>
            <w:tcW w:w="654" w:type="pct"/>
            <w:shd w:val="clear" w:color="auto" w:fill="F2F2F2" w:themeFill="background1" w:themeFillShade="F2"/>
          </w:tcPr>
          <w:p w14:paraId="728A0FC4" w14:textId="77777777" w:rsidR="00166DB1" w:rsidRPr="00E45E42" w:rsidRDefault="00166DB1" w:rsidP="00E45E42">
            <w:pPr>
              <w:pStyle w:val="TableCopy"/>
              <w:rPr>
                <w:sz w:val="14"/>
              </w:rPr>
            </w:pPr>
            <w:r w:rsidRPr="00E45E42">
              <w:rPr>
                <w:sz w:val="14"/>
              </w:rPr>
              <w:t>Emergency Locum Service</w:t>
            </w:r>
          </w:p>
        </w:tc>
        <w:tc>
          <w:tcPr>
            <w:tcW w:w="148" w:type="pct"/>
            <w:shd w:val="clear" w:color="auto" w:fill="F2F2F2" w:themeFill="background1" w:themeFillShade="F2"/>
          </w:tcPr>
          <w:p w14:paraId="358BC51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4E14088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w:t>
            </w:r>
          </w:p>
        </w:tc>
        <w:tc>
          <w:tcPr>
            <w:tcW w:w="148" w:type="pct"/>
            <w:shd w:val="clear" w:color="auto" w:fill="F2F2F2" w:themeFill="background1" w:themeFillShade="F2"/>
          </w:tcPr>
          <w:p w14:paraId="7198C7D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0D383D6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41997E3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388B512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53B625B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0DD15BF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33C2941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4AB8CD8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2EB1F90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7CAB6FD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57EE4CF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6C0B930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1314FBB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270A6D7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5616F02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49072A22"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32E835C4"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11636AC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2E03640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53221CD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w:t>
            </w:r>
          </w:p>
        </w:tc>
        <w:tc>
          <w:tcPr>
            <w:tcW w:w="148" w:type="pct"/>
            <w:shd w:val="clear" w:color="auto" w:fill="F2F2F2" w:themeFill="background1" w:themeFillShade="F2"/>
          </w:tcPr>
          <w:p w14:paraId="5EB84C7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5F59BF6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w:t>
            </w:r>
          </w:p>
        </w:tc>
        <w:tc>
          <w:tcPr>
            <w:tcW w:w="148" w:type="pct"/>
            <w:shd w:val="clear" w:color="auto" w:fill="F2F2F2" w:themeFill="background1" w:themeFillShade="F2"/>
          </w:tcPr>
          <w:p w14:paraId="1110B447"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w:t>
            </w:r>
          </w:p>
        </w:tc>
        <w:tc>
          <w:tcPr>
            <w:tcW w:w="148" w:type="pct"/>
            <w:shd w:val="clear" w:color="auto" w:fill="F2F2F2" w:themeFill="background1" w:themeFillShade="F2"/>
          </w:tcPr>
          <w:p w14:paraId="48E0C3C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71C4C8F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255FAE9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w:t>
            </w:r>
          </w:p>
        </w:tc>
        <w:tc>
          <w:tcPr>
            <w:tcW w:w="192" w:type="pct"/>
            <w:shd w:val="clear" w:color="auto" w:fill="F2F2F2" w:themeFill="background1" w:themeFillShade="F2"/>
          </w:tcPr>
          <w:p w14:paraId="62B9832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41</w:t>
            </w:r>
          </w:p>
        </w:tc>
      </w:tr>
      <w:tr w:rsidR="00C72515" w:rsidRPr="00E45E42" w14:paraId="1A01BE62" w14:textId="77777777" w:rsidTr="00546711">
        <w:tc>
          <w:tcPr>
            <w:cnfStyle w:val="001000000000" w:firstRow="0" w:lastRow="0" w:firstColumn="1" w:lastColumn="0" w:oddVBand="0" w:evenVBand="0" w:oddHBand="0" w:evenHBand="0" w:firstRowFirstColumn="0" w:firstRowLastColumn="0" w:lastRowFirstColumn="0" w:lastRowLastColumn="0"/>
            <w:tcW w:w="654" w:type="pct"/>
            <w:shd w:val="clear" w:color="auto" w:fill="F2F2F2" w:themeFill="background1" w:themeFillShade="F2"/>
          </w:tcPr>
          <w:p w14:paraId="58A6351B" w14:textId="77777777" w:rsidR="00166DB1" w:rsidRPr="00E45E42" w:rsidRDefault="00166DB1" w:rsidP="00E45E42">
            <w:pPr>
              <w:pStyle w:val="TableCopy"/>
              <w:rPr>
                <w:sz w:val="14"/>
              </w:rPr>
            </w:pPr>
            <w:r w:rsidRPr="00E45E42">
              <w:rPr>
                <w:sz w:val="14"/>
              </w:rPr>
              <w:t>Rural Pharmacy Scholarship Mentor Scheme</w:t>
            </w:r>
          </w:p>
        </w:tc>
        <w:tc>
          <w:tcPr>
            <w:tcW w:w="148" w:type="pct"/>
            <w:shd w:val="clear" w:color="auto" w:fill="F2F2F2" w:themeFill="background1" w:themeFillShade="F2"/>
          </w:tcPr>
          <w:p w14:paraId="7B5043C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5145C4A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7C96D31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412E47E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2788EAF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4AA9F5B8"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7544695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5C89EBB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3225E09E"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7226EC41"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w:t>
            </w:r>
          </w:p>
        </w:tc>
        <w:tc>
          <w:tcPr>
            <w:tcW w:w="148" w:type="pct"/>
            <w:shd w:val="clear" w:color="auto" w:fill="F2F2F2" w:themeFill="background1" w:themeFillShade="F2"/>
          </w:tcPr>
          <w:p w14:paraId="5A42782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4308DB8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45DA453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619F6A1C"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3BB6A76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5</w:t>
            </w:r>
          </w:p>
        </w:tc>
        <w:tc>
          <w:tcPr>
            <w:tcW w:w="148" w:type="pct"/>
            <w:shd w:val="clear" w:color="auto" w:fill="F2F2F2" w:themeFill="background1" w:themeFillShade="F2"/>
          </w:tcPr>
          <w:p w14:paraId="69414EE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097D7D2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2E378E66"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245EA63D"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5E1C3B10"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4</w:t>
            </w:r>
          </w:p>
        </w:tc>
        <w:tc>
          <w:tcPr>
            <w:tcW w:w="148" w:type="pct"/>
            <w:shd w:val="clear" w:color="auto" w:fill="F2F2F2" w:themeFill="background1" w:themeFillShade="F2"/>
          </w:tcPr>
          <w:p w14:paraId="7C12CAE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77FEBD9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02BBE9DB"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w:t>
            </w:r>
          </w:p>
        </w:tc>
        <w:tc>
          <w:tcPr>
            <w:tcW w:w="148" w:type="pct"/>
            <w:shd w:val="clear" w:color="auto" w:fill="F2F2F2" w:themeFill="background1" w:themeFillShade="F2"/>
          </w:tcPr>
          <w:p w14:paraId="7E07193F"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w:t>
            </w:r>
          </w:p>
        </w:tc>
        <w:tc>
          <w:tcPr>
            <w:tcW w:w="148" w:type="pct"/>
            <w:shd w:val="clear" w:color="auto" w:fill="F2F2F2" w:themeFill="background1" w:themeFillShade="F2"/>
          </w:tcPr>
          <w:p w14:paraId="716089E9"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w:t>
            </w:r>
          </w:p>
        </w:tc>
        <w:tc>
          <w:tcPr>
            <w:tcW w:w="148" w:type="pct"/>
            <w:shd w:val="clear" w:color="auto" w:fill="F2F2F2" w:themeFill="background1" w:themeFillShade="F2"/>
          </w:tcPr>
          <w:p w14:paraId="1F97A28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2</w:t>
            </w:r>
          </w:p>
        </w:tc>
        <w:tc>
          <w:tcPr>
            <w:tcW w:w="148" w:type="pct"/>
            <w:shd w:val="clear" w:color="auto" w:fill="F2F2F2" w:themeFill="background1" w:themeFillShade="F2"/>
          </w:tcPr>
          <w:p w14:paraId="1742409A"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0</w:t>
            </w:r>
          </w:p>
        </w:tc>
        <w:tc>
          <w:tcPr>
            <w:tcW w:w="148" w:type="pct"/>
            <w:shd w:val="clear" w:color="auto" w:fill="F2F2F2" w:themeFill="background1" w:themeFillShade="F2"/>
          </w:tcPr>
          <w:p w14:paraId="63B51295"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1</w:t>
            </w:r>
          </w:p>
        </w:tc>
        <w:tc>
          <w:tcPr>
            <w:tcW w:w="192" w:type="pct"/>
            <w:shd w:val="clear" w:color="auto" w:fill="F2F2F2" w:themeFill="background1" w:themeFillShade="F2"/>
          </w:tcPr>
          <w:p w14:paraId="3496D8A3" w14:textId="77777777" w:rsidR="00166DB1" w:rsidRPr="00E45E42" w:rsidRDefault="00166DB1" w:rsidP="00E45E42">
            <w:pPr>
              <w:pStyle w:val="TableCopy"/>
              <w:cnfStyle w:val="000000000000" w:firstRow="0" w:lastRow="0" w:firstColumn="0" w:lastColumn="0" w:oddVBand="0" w:evenVBand="0" w:oddHBand="0" w:evenHBand="0" w:firstRowFirstColumn="0" w:firstRowLastColumn="0" w:lastRowFirstColumn="0" w:lastRowLastColumn="0"/>
              <w:rPr>
                <w:sz w:val="14"/>
              </w:rPr>
            </w:pPr>
            <w:r w:rsidRPr="00E45E42">
              <w:rPr>
                <w:sz w:val="14"/>
              </w:rPr>
              <w:t>34</w:t>
            </w:r>
          </w:p>
        </w:tc>
      </w:tr>
    </w:tbl>
    <w:p w14:paraId="4FF16EEC" w14:textId="77777777" w:rsidR="00166DB1" w:rsidRPr="00166DB1" w:rsidRDefault="00166DB1" w:rsidP="00166DB1">
      <w:pPr>
        <w:spacing w:before="85" w:after="85"/>
        <w:rPr>
          <w:rFonts w:ascii="Garamond" w:eastAsia="Garamond" w:hAnsi="Garamond"/>
          <w:color w:val="000000"/>
        </w:rPr>
        <w:sectPr w:rsidR="00166DB1" w:rsidRPr="00166DB1" w:rsidSect="00AB00DC">
          <w:pgSz w:w="16839" w:h="11907" w:orient="landscape" w:code="9"/>
          <w:pgMar w:top="1985" w:right="1304" w:bottom="850" w:left="737" w:header="567" w:footer="284" w:gutter="0"/>
          <w:cols w:space="709"/>
          <w:docGrid w:linePitch="360"/>
        </w:sectPr>
      </w:pPr>
    </w:p>
    <w:p w14:paraId="7C392BD9" w14:textId="48B0BD9C" w:rsidR="00166DB1" w:rsidRDefault="00166DB1" w:rsidP="004F0F6F">
      <w:pPr>
        <w:pStyle w:val="HeadingAppendix2"/>
      </w:pPr>
      <w:bookmarkStart w:id="154" w:name="_Toc523322094"/>
      <w:r w:rsidRPr="00166DB1">
        <w:lastRenderedPageBreak/>
        <w:t>References</w:t>
      </w:r>
      <w:bookmarkEnd w:id="154"/>
      <w:r w:rsidRPr="00166DB1">
        <w:t xml:space="preserve"> </w:t>
      </w:r>
    </w:p>
    <w:tbl>
      <w:tblPr>
        <w:tblStyle w:val="TableGridLight"/>
        <w:tblW w:w="5000" w:type="pct"/>
        <w:tblLook w:val="04A0" w:firstRow="1" w:lastRow="0" w:firstColumn="1" w:lastColumn="0" w:noHBand="0" w:noVBand="1"/>
        <w:tblDescription w:val="Appendix G References. Table of References used in the document."/>
      </w:tblPr>
      <w:tblGrid>
        <w:gridCol w:w="540"/>
        <w:gridCol w:w="14248"/>
      </w:tblGrid>
      <w:tr w:rsidR="00133610" w:rsidRPr="00166DB1" w14:paraId="7D7E7974" w14:textId="77777777" w:rsidTr="00133610">
        <w:trPr>
          <w:tblHeader/>
        </w:trPr>
        <w:tc>
          <w:tcPr>
            <w:tcW w:w="50" w:type="pct"/>
          </w:tcPr>
          <w:p w14:paraId="4CD2E2B3" w14:textId="61F59178" w:rsidR="00133610" w:rsidRPr="00166DB1" w:rsidRDefault="00133610" w:rsidP="00FD2E06">
            <w:pPr>
              <w:rPr>
                <w:rFonts w:ascii="Garamond" w:eastAsia="Garamond" w:hAnsi="Garamond"/>
                <w:noProof/>
                <w:color w:val="000000"/>
              </w:rPr>
            </w:pPr>
            <w:r>
              <w:rPr>
                <w:rFonts w:ascii="Garamond" w:eastAsia="Garamond" w:hAnsi="Garamond"/>
                <w:noProof/>
                <w:color w:val="000000"/>
              </w:rPr>
              <w:t>No.</w:t>
            </w:r>
          </w:p>
        </w:tc>
        <w:tc>
          <w:tcPr>
            <w:tcW w:w="0" w:type="auto"/>
          </w:tcPr>
          <w:p w14:paraId="514FCD29" w14:textId="5253FE9C" w:rsidR="00133610" w:rsidRPr="00166DB1" w:rsidRDefault="00133610" w:rsidP="00FD2E06">
            <w:pPr>
              <w:rPr>
                <w:rFonts w:ascii="Garamond" w:eastAsia="Garamond" w:hAnsi="Garamond"/>
                <w:noProof/>
                <w:color w:val="000000"/>
              </w:rPr>
            </w:pPr>
            <w:r>
              <w:rPr>
                <w:rFonts w:ascii="Garamond" w:eastAsia="Garamond" w:hAnsi="Garamond"/>
                <w:noProof/>
                <w:color w:val="000000"/>
              </w:rPr>
              <w:t xml:space="preserve">Reference </w:t>
            </w:r>
          </w:p>
        </w:tc>
      </w:tr>
      <w:tr w:rsidR="00133610" w:rsidRPr="00166DB1" w14:paraId="688E900A" w14:textId="77777777" w:rsidTr="00FD2E06">
        <w:tc>
          <w:tcPr>
            <w:tcW w:w="50" w:type="pct"/>
            <w:hideMark/>
          </w:tcPr>
          <w:p w14:paraId="13358322" w14:textId="77777777" w:rsidR="00133610" w:rsidRPr="00166DB1" w:rsidRDefault="00133610" w:rsidP="00FD2E06">
            <w:pPr>
              <w:rPr>
                <w:rFonts w:ascii="Garamond" w:eastAsia="Garamond" w:hAnsi="Garamond"/>
                <w:noProof/>
                <w:color w:val="000000"/>
                <w:sz w:val="24"/>
                <w:szCs w:val="24"/>
              </w:rPr>
            </w:pPr>
            <w:r w:rsidRPr="00166DB1">
              <w:rPr>
                <w:rFonts w:ascii="Garamond" w:eastAsia="Garamond" w:hAnsi="Garamond"/>
                <w:noProof/>
                <w:color w:val="000000"/>
              </w:rPr>
              <w:t xml:space="preserve">[1] </w:t>
            </w:r>
          </w:p>
        </w:tc>
        <w:tc>
          <w:tcPr>
            <w:tcW w:w="0" w:type="auto"/>
            <w:hideMark/>
          </w:tcPr>
          <w:p w14:paraId="06F46335"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D. Tune, “Evaluation: Renewed Strategic Emphasis,” Department of Finance and Deregulation, http://www.finance.gov.au/sites/default/files/speaking-notes-for-David-Tune-presentation-18-08-2010.pdf, 2010.</w:t>
            </w:r>
          </w:p>
        </w:tc>
      </w:tr>
      <w:tr w:rsidR="00133610" w:rsidRPr="00166DB1" w14:paraId="67407E9E" w14:textId="77777777" w:rsidTr="00FD2E06">
        <w:tc>
          <w:tcPr>
            <w:tcW w:w="50" w:type="pct"/>
            <w:hideMark/>
          </w:tcPr>
          <w:p w14:paraId="4038BAC8"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[2] </w:t>
            </w:r>
          </w:p>
        </w:tc>
        <w:tc>
          <w:tcPr>
            <w:tcW w:w="0" w:type="auto"/>
            <w:hideMark/>
          </w:tcPr>
          <w:p w14:paraId="5B625AC1"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Healthcare Management Advisors, </w:t>
            </w:r>
            <w:r w:rsidRPr="00166DB1">
              <w:rPr>
                <w:rFonts w:ascii="Garamond" w:eastAsia="Garamond" w:hAnsi="Garamond"/>
                <w:i/>
                <w:iCs/>
                <w:noProof/>
                <w:color w:val="000000"/>
              </w:rPr>
              <w:t>Addition.</w:t>
            </w:r>
            <w:r w:rsidRPr="00166DB1">
              <w:rPr>
                <w:rFonts w:ascii="Garamond" w:eastAsia="Garamond" w:hAnsi="Garamond"/>
                <w:noProof/>
                <w:color w:val="000000"/>
              </w:rPr>
              <w:t xml:space="preserve"> </w:t>
            </w:r>
          </w:p>
        </w:tc>
      </w:tr>
      <w:tr w:rsidR="00133610" w:rsidRPr="00166DB1" w14:paraId="2BCA156A" w14:textId="77777777" w:rsidTr="00FD2E06">
        <w:tc>
          <w:tcPr>
            <w:tcW w:w="50" w:type="pct"/>
            <w:hideMark/>
          </w:tcPr>
          <w:p w14:paraId="304671CE"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[3] </w:t>
            </w:r>
          </w:p>
        </w:tc>
        <w:tc>
          <w:tcPr>
            <w:tcW w:w="0" w:type="auto"/>
            <w:hideMark/>
          </w:tcPr>
          <w:p w14:paraId="1988AFB9"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Australian Institute of Health and Welfare, “Pharmacy workforce - detailed tables,” 2014. [Online]. Available: http://www.aihw.gov.au/workforce/pharmacy/.</w:t>
            </w:r>
          </w:p>
        </w:tc>
      </w:tr>
      <w:tr w:rsidR="00133610" w:rsidRPr="00166DB1" w14:paraId="2E8FCCD3" w14:textId="77777777" w:rsidTr="00FD2E06">
        <w:tc>
          <w:tcPr>
            <w:tcW w:w="50" w:type="pct"/>
            <w:hideMark/>
          </w:tcPr>
          <w:p w14:paraId="02A448BF"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[4] </w:t>
            </w:r>
          </w:p>
        </w:tc>
        <w:tc>
          <w:tcPr>
            <w:tcW w:w="0" w:type="auto"/>
            <w:hideMark/>
          </w:tcPr>
          <w:p w14:paraId="73877491"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Australian Health Practitioner Regulation Agency, </w:t>
            </w:r>
            <w:r w:rsidRPr="00166DB1">
              <w:rPr>
                <w:rFonts w:ascii="Garamond" w:eastAsia="Garamond" w:hAnsi="Garamond"/>
                <w:i/>
                <w:iCs/>
                <w:noProof/>
                <w:color w:val="000000"/>
              </w:rPr>
              <w:t xml:space="preserve">Pharmacy workforce data [unpublished], </w:t>
            </w:r>
            <w:r w:rsidRPr="00166DB1">
              <w:rPr>
                <w:rFonts w:ascii="Garamond" w:eastAsia="Garamond" w:hAnsi="Garamond"/>
                <w:noProof/>
                <w:color w:val="000000"/>
              </w:rPr>
              <w:t xml:space="preserve">Melbourne: AHPRA, 2015. </w:t>
            </w:r>
          </w:p>
        </w:tc>
      </w:tr>
      <w:tr w:rsidR="00133610" w:rsidRPr="00166DB1" w14:paraId="766F4373" w14:textId="77777777" w:rsidTr="00FD2E06">
        <w:tc>
          <w:tcPr>
            <w:tcW w:w="50" w:type="pct"/>
            <w:hideMark/>
          </w:tcPr>
          <w:p w14:paraId="5DB185A7"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[5] </w:t>
            </w:r>
          </w:p>
        </w:tc>
        <w:tc>
          <w:tcPr>
            <w:tcW w:w="0" w:type="auto"/>
            <w:hideMark/>
          </w:tcPr>
          <w:p w14:paraId="7E61510C"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Australian Bureau of Statistics, </w:t>
            </w:r>
            <w:r w:rsidRPr="00166DB1">
              <w:rPr>
                <w:rFonts w:ascii="Garamond" w:eastAsia="Garamond" w:hAnsi="Garamond"/>
                <w:i/>
                <w:iCs/>
                <w:noProof/>
                <w:color w:val="000000"/>
              </w:rPr>
              <w:t xml:space="preserve">Counts of Aboriginal and Torres Strait Islander Australians, Cat. No. 2075.0, </w:t>
            </w:r>
            <w:r w:rsidRPr="00166DB1">
              <w:rPr>
                <w:rFonts w:ascii="Garamond" w:eastAsia="Garamond" w:hAnsi="Garamond"/>
                <w:noProof/>
                <w:color w:val="000000"/>
              </w:rPr>
              <w:t xml:space="preserve">Canberra: ABS, 2011. </w:t>
            </w:r>
          </w:p>
        </w:tc>
      </w:tr>
      <w:tr w:rsidR="00133610" w:rsidRPr="00166DB1" w14:paraId="5EA47FF0" w14:textId="77777777" w:rsidTr="00FD2E06">
        <w:tc>
          <w:tcPr>
            <w:tcW w:w="50" w:type="pct"/>
            <w:hideMark/>
          </w:tcPr>
          <w:p w14:paraId="257B89FD"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[6] </w:t>
            </w:r>
          </w:p>
        </w:tc>
        <w:tc>
          <w:tcPr>
            <w:tcW w:w="0" w:type="auto"/>
            <w:hideMark/>
          </w:tcPr>
          <w:p w14:paraId="0F698874"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National Rural Health Alliance , “Access to medicines and pharmacy services in rural and remote Australia,” 2014.</w:t>
            </w:r>
          </w:p>
        </w:tc>
      </w:tr>
      <w:tr w:rsidR="00133610" w:rsidRPr="00166DB1" w14:paraId="08FED5FA" w14:textId="77777777" w:rsidTr="00FD2E06">
        <w:tc>
          <w:tcPr>
            <w:tcW w:w="50" w:type="pct"/>
            <w:hideMark/>
          </w:tcPr>
          <w:p w14:paraId="67CD040F"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[7] </w:t>
            </w:r>
          </w:p>
        </w:tc>
        <w:tc>
          <w:tcPr>
            <w:tcW w:w="0" w:type="auto"/>
            <w:hideMark/>
          </w:tcPr>
          <w:p w14:paraId="3F21A68A"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Pharmaceutical Society of Australia , “POSITION STATEMENT ON IMPROVING ACCESS TO PHARMACY SERVICES IN RURAL AND REMOTE AREAS,” 2010.</w:t>
            </w:r>
          </w:p>
        </w:tc>
      </w:tr>
      <w:tr w:rsidR="00133610" w:rsidRPr="00166DB1" w14:paraId="228CF177" w14:textId="77777777" w:rsidTr="00FD2E06">
        <w:tc>
          <w:tcPr>
            <w:tcW w:w="50" w:type="pct"/>
            <w:hideMark/>
          </w:tcPr>
          <w:p w14:paraId="33638321"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[8] </w:t>
            </w:r>
          </w:p>
        </w:tc>
        <w:tc>
          <w:tcPr>
            <w:tcW w:w="0" w:type="auto"/>
            <w:hideMark/>
          </w:tcPr>
          <w:p w14:paraId="0BAA6262"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University of Adelaide, “Pharmacy ARIA - PhARIA,” 3 July 2017. [Online]. Available: https://www.adelaide.edu.au/apmrc/research/projects/pharia/. [Accessed 1 August 2017].</w:t>
            </w:r>
          </w:p>
        </w:tc>
      </w:tr>
      <w:tr w:rsidR="00133610" w:rsidRPr="00166DB1" w14:paraId="30ED3D90" w14:textId="77777777" w:rsidTr="00FD2E06">
        <w:tc>
          <w:tcPr>
            <w:tcW w:w="50" w:type="pct"/>
            <w:hideMark/>
          </w:tcPr>
          <w:p w14:paraId="14182DFC"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[9] </w:t>
            </w:r>
          </w:p>
        </w:tc>
        <w:tc>
          <w:tcPr>
            <w:tcW w:w="0" w:type="auto"/>
            <w:hideMark/>
          </w:tcPr>
          <w:p w14:paraId="7EA8E885"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Department of Health, “Modified Monash Model,” 06 June 2016. [Online]. Available: http://www.health.gov.au/internet/main/publishing.nsf/content/modified-monash-model. [Accessed 1 August 2017].</w:t>
            </w:r>
          </w:p>
        </w:tc>
      </w:tr>
      <w:tr w:rsidR="00133610" w:rsidRPr="00166DB1" w14:paraId="6D521125" w14:textId="77777777" w:rsidTr="00FD2E06">
        <w:tc>
          <w:tcPr>
            <w:tcW w:w="50" w:type="pct"/>
            <w:hideMark/>
          </w:tcPr>
          <w:p w14:paraId="185F91E9"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[10] </w:t>
            </w:r>
          </w:p>
        </w:tc>
        <w:tc>
          <w:tcPr>
            <w:tcW w:w="0" w:type="auto"/>
            <w:hideMark/>
          </w:tcPr>
          <w:p w14:paraId="256D4DE5"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Department of Health, “Pharmacy information for consumers,” 18 Feb 2016. [Online]. Available: http://www.health.gov.au/internet/main/publishing.nsf/Content/consumer-pharmacy. [Accessed 2017].</w:t>
            </w:r>
          </w:p>
        </w:tc>
      </w:tr>
      <w:tr w:rsidR="00133610" w:rsidRPr="00166DB1" w14:paraId="786CFC66" w14:textId="77777777" w:rsidTr="00FD2E06">
        <w:tc>
          <w:tcPr>
            <w:tcW w:w="50" w:type="pct"/>
            <w:hideMark/>
          </w:tcPr>
          <w:p w14:paraId="0068B92C"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[11] </w:t>
            </w:r>
          </w:p>
        </w:tc>
        <w:tc>
          <w:tcPr>
            <w:tcW w:w="0" w:type="auto"/>
            <w:hideMark/>
          </w:tcPr>
          <w:p w14:paraId="4C9482DB"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Department of Health, for consumers, “Health System Effectiveness and Clinically Appropriate Care,” 5 July 2013. [Online]. Available: http://www.health.gov.au/internet/publications/publishing.nsf/Content/natsihp-companion-toc~invest-enablers~approp-care. [Accessed 2017].</w:t>
            </w:r>
          </w:p>
        </w:tc>
      </w:tr>
      <w:tr w:rsidR="00133610" w:rsidRPr="00166DB1" w14:paraId="47EDDFB8" w14:textId="77777777" w:rsidTr="00FD2E06">
        <w:tc>
          <w:tcPr>
            <w:tcW w:w="50" w:type="pct"/>
            <w:hideMark/>
          </w:tcPr>
          <w:p w14:paraId="081BD26A"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[12] </w:t>
            </w:r>
          </w:p>
        </w:tc>
        <w:tc>
          <w:tcPr>
            <w:tcW w:w="0" w:type="auto"/>
            <w:hideMark/>
          </w:tcPr>
          <w:p w14:paraId="2E63DBA4"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Department of Health , “General Practice Rural Incentive Program Guidlines,” 30 June 2017. [Online]. Available: http://www.health.gov.au/internet/main/publishing.nsf/content/general_practice_rural_incentives_programme-programme-guidelines. [Accessed 2017].</w:t>
            </w:r>
          </w:p>
        </w:tc>
      </w:tr>
      <w:tr w:rsidR="00133610" w:rsidRPr="00166DB1" w14:paraId="4C0BC408" w14:textId="77777777" w:rsidTr="00FD2E06">
        <w:tc>
          <w:tcPr>
            <w:tcW w:w="50" w:type="pct"/>
            <w:hideMark/>
          </w:tcPr>
          <w:p w14:paraId="0BAC7814"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[13] </w:t>
            </w:r>
          </w:p>
        </w:tc>
        <w:tc>
          <w:tcPr>
            <w:tcW w:w="0" w:type="auto"/>
            <w:hideMark/>
          </w:tcPr>
          <w:p w14:paraId="72874FC2"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ESS BIZTOOLS Pty Ltd, “AUSTRALIAN GOVERNMENT GRANTS AND ASSISTANCE - RURAL RELOCATION INCENTIVE GRANT FOR MEDICAL PRACTITIONERS, Paper 014-154,” 2013.</w:t>
            </w:r>
          </w:p>
        </w:tc>
      </w:tr>
      <w:tr w:rsidR="00133610" w:rsidRPr="00166DB1" w14:paraId="40F98D6E" w14:textId="77777777" w:rsidTr="00FD2E06">
        <w:tc>
          <w:tcPr>
            <w:tcW w:w="50" w:type="pct"/>
            <w:hideMark/>
          </w:tcPr>
          <w:p w14:paraId="7A6C38CD"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[14] </w:t>
            </w:r>
          </w:p>
        </w:tc>
        <w:tc>
          <w:tcPr>
            <w:tcW w:w="0" w:type="auto"/>
            <w:hideMark/>
          </w:tcPr>
          <w:p w14:paraId="24CBFEC5"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Department of Health , “Medical Rural Bonded Scholarship (MRBS) Scheme 2015,” 6 March 2017. [Online]. Available: http://www.health.gov.au/mrbscholarships. [Accessed 2017].</w:t>
            </w:r>
          </w:p>
        </w:tc>
      </w:tr>
      <w:tr w:rsidR="00133610" w:rsidRPr="00166DB1" w14:paraId="399A75BF" w14:textId="77777777" w:rsidTr="00FD2E06">
        <w:tc>
          <w:tcPr>
            <w:tcW w:w="50" w:type="pct"/>
            <w:hideMark/>
          </w:tcPr>
          <w:p w14:paraId="40B381D6"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[15] </w:t>
            </w:r>
          </w:p>
        </w:tc>
        <w:tc>
          <w:tcPr>
            <w:tcW w:w="0" w:type="auto"/>
            <w:hideMark/>
          </w:tcPr>
          <w:p w14:paraId="4188D685"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Rural Health Workforce Australia, “5 Year Overseas Trained Doctor Scheme,” [Online]. Available: http://www.rhwa.org.au/5-year-otd-scheme. [Accessed 2017].</w:t>
            </w:r>
          </w:p>
        </w:tc>
      </w:tr>
      <w:tr w:rsidR="00133610" w:rsidRPr="00166DB1" w14:paraId="4FB07E20" w14:textId="77777777" w:rsidTr="00FD2E06">
        <w:tc>
          <w:tcPr>
            <w:tcW w:w="50" w:type="pct"/>
            <w:hideMark/>
          </w:tcPr>
          <w:p w14:paraId="75A3FA86"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[16] </w:t>
            </w:r>
          </w:p>
        </w:tc>
        <w:tc>
          <w:tcPr>
            <w:tcW w:w="0" w:type="auto"/>
            <w:hideMark/>
          </w:tcPr>
          <w:p w14:paraId="2ECED43A"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Department of Health , “Rural and Remote General Practice Program,” 22 August 2012. [Online]. Available: http://www.health.gov.au/internet/main/publishing.nsf/content/work-pr-rrgpp. [Accessed 2017].</w:t>
            </w:r>
          </w:p>
        </w:tc>
      </w:tr>
      <w:tr w:rsidR="00133610" w:rsidRPr="00166DB1" w14:paraId="278AE0BC" w14:textId="77777777" w:rsidTr="00FD2E06">
        <w:tc>
          <w:tcPr>
            <w:tcW w:w="50" w:type="pct"/>
            <w:hideMark/>
          </w:tcPr>
          <w:p w14:paraId="40E36F49"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[17] </w:t>
            </w:r>
          </w:p>
        </w:tc>
        <w:tc>
          <w:tcPr>
            <w:tcW w:w="0" w:type="auto"/>
            <w:hideMark/>
          </w:tcPr>
          <w:p w14:paraId="70311F4E"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John Flynn Placement Program , [Online]. Available: https://www.jfpp.com.au/. [Accessed 2017].</w:t>
            </w:r>
          </w:p>
        </w:tc>
      </w:tr>
      <w:tr w:rsidR="00133610" w:rsidRPr="00166DB1" w14:paraId="21132A67" w14:textId="77777777" w:rsidTr="00FD2E06">
        <w:tc>
          <w:tcPr>
            <w:tcW w:w="50" w:type="pct"/>
            <w:hideMark/>
          </w:tcPr>
          <w:p w14:paraId="15DC4745"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lastRenderedPageBreak/>
              <w:t xml:space="preserve">[18] </w:t>
            </w:r>
          </w:p>
        </w:tc>
        <w:tc>
          <w:tcPr>
            <w:tcW w:w="0" w:type="auto"/>
            <w:hideMark/>
          </w:tcPr>
          <w:p w14:paraId="3EA6D3AB"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Department of Health , “Dental Relocation and Infrastructure Support Scheme,” 19 April 2016. [Online]. Available: http://www.health.gov.au/internet/main/publishing.nsf/Content/work-st-driss. [Accessed 2017].</w:t>
            </w:r>
          </w:p>
        </w:tc>
      </w:tr>
      <w:tr w:rsidR="00133610" w:rsidRPr="00166DB1" w14:paraId="3F9E8A07" w14:textId="77777777" w:rsidTr="00FD2E06">
        <w:tc>
          <w:tcPr>
            <w:tcW w:w="50" w:type="pct"/>
            <w:hideMark/>
          </w:tcPr>
          <w:p w14:paraId="774E7EBE"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[19] </w:t>
            </w:r>
          </w:p>
        </w:tc>
        <w:tc>
          <w:tcPr>
            <w:tcW w:w="0" w:type="auto"/>
            <w:hideMark/>
          </w:tcPr>
          <w:p w14:paraId="19612A40"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Department of Health , “National Health Workforce Dataset (NHWDS),” Canberra, 2013 - 2015.</w:t>
            </w:r>
          </w:p>
        </w:tc>
      </w:tr>
      <w:tr w:rsidR="00133610" w:rsidRPr="00166DB1" w14:paraId="30CA03EF" w14:textId="77777777" w:rsidTr="00FD2E06">
        <w:tc>
          <w:tcPr>
            <w:tcW w:w="50" w:type="pct"/>
            <w:hideMark/>
          </w:tcPr>
          <w:p w14:paraId="402211E6"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[20] </w:t>
            </w:r>
          </w:p>
        </w:tc>
        <w:tc>
          <w:tcPr>
            <w:tcW w:w="0" w:type="auto"/>
            <w:hideMark/>
          </w:tcPr>
          <w:p w14:paraId="761578D9"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Australian Beureau of Statistics, “ABS - 3218.0 - Regional Population Growth,” 2013 to 2015.</w:t>
            </w:r>
          </w:p>
        </w:tc>
      </w:tr>
      <w:tr w:rsidR="00133610" w:rsidRPr="00166DB1" w14:paraId="3A5CE0DA" w14:textId="77777777" w:rsidTr="00FD2E06">
        <w:tc>
          <w:tcPr>
            <w:tcW w:w="50" w:type="pct"/>
            <w:hideMark/>
          </w:tcPr>
          <w:p w14:paraId="5105BF44"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[21] </w:t>
            </w:r>
          </w:p>
        </w:tc>
        <w:tc>
          <w:tcPr>
            <w:tcW w:w="0" w:type="auto"/>
            <w:hideMark/>
          </w:tcPr>
          <w:p w14:paraId="64876C91"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Department of Health, “Bonded Medical Places Scheme,” 7 Feb 2017. [Online]. Available: http://www.health.gov.au/internet/main/publishing.nsf/Content/work-st-bmp. [Accessed 2017].</w:t>
            </w:r>
          </w:p>
        </w:tc>
      </w:tr>
      <w:tr w:rsidR="00133610" w:rsidRPr="00166DB1" w14:paraId="58ACBA61" w14:textId="77777777" w:rsidTr="00FD2E06">
        <w:tc>
          <w:tcPr>
            <w:tcW w:w="50" w:type="pct"/>
            <w:hideMark/>
          </w:tcPr>
          <w:p w14:paraId="182ACD6F"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[22] </w:t>
            </w:r>
          </w:p>
        </w:tc>
        <w:tc>
          <w:tcPr>
            <w:tcW w:w="0" w:type="auto"/>
            <w:hideMark/>
          </w:tcPr>
          <w:p w14:paraId="3D17E4AE"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Pharmacy Guild of Australia and Commonwealth of Australia, “5th Community Pharmcy Agreement,” Canberra, 2010.</w:t>
            </w:r>
          </w:p>
        </w:tc>
      </w:tr>
      <w:tr w:rsidR="00133610" w:rsidRPr="00166DB1" w14:paraId="1C8E46CF" w14:textId="77777777" w:rsidTr="00FD2E06">
        <w:tc>
          <w:tcPr>
            <w:tcW w:w="50" w:type="pct"/>
            <w:hideMark/>
          </w:tcPr>
          <w:p w14:paraId="75770CE7"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[23] </w:t>
            </w:r>
          </w:p>
        </w:tc>
        <w:tc>
          <w:tcPr>
            <w:tcW w:w="0" w:type="auto"/>
            <w:hideMark/>
          </w:tcPr>
          <w:p w14:paraId="7336E8CF"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Pharmacy Board of Australia, “Overseas practitioner registration,” 1 September 2016. [Online]. Available: http://www.pharmacyboard.gov.au/Registration/Overseas.aspx. [Accessed 1 August 2017].</w:t>
            </w:r>
          </w:p>
        </w:tc>
      </w:tr>
      <w:tr w:rsidR="00133610" w:rsidRPr="00166DB1" w14:paraId="7D5D0EA8" w14:textId="77777777" w:rsidTr="00FD2E06">
        <w:tc>
          <w:tcPr>
            <w:tcW w:w="50" w:type="pct"/>
            <w:hideMark/>
          </w:tcPr>
          <w:p w14:paraId="193F458C"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 xml:space="preserve">[24] </w:t>
            </w:r>
          </w:p>
        </w:tc>
        <w:tc>
          <w:tcPr>
            <w:tcW w:w="0" w:type="auto"/>
            <w:hideMark/>
          </w:tcPr>
          <w:p w14:paraId="2B5BD73D" w14:textId="77777777" w:rsidR="00133610" w:rsidRPr="00166DB1" w:rsidRDefault="00133610" w:rsidP="00FD2E06">
            <w:pPr>
              <w:rPr>
                <w:rFonts w:ascii="Garamond" w:eastAsia="Garamond" w:hAnsi="Garamond"/>
                <w:noProof/>
                <w:color w:val="000000"/>
              </w:rPr>
            </w:pPr>
            <w:r w:rsidRPr="00166DB1">
              <w:rPr>
                <w:rFonts w:ascii="Garamond" w:eastAsia="Garamond" w:hAnsi="Garamond"/>
                <w:noProof/>
                <w:color w:val="000000"/>
              </w:rPr>
              <w:t>Australian Government Department of Prime Minister and Cabinet, “Aboriginal and Torres Strait Islander Health Performance Framework 2014 Report,” Commonwealth of Australia, Canberra, 2015.</w:t>
            </w:r>
          </w:p>
        </w:tc>
      </w:tr>
      <w:bookmarkEnd w:id="0"/>
      <w:bookmarkEnd w:id="2"/>
    </w:tbl>
    <w:p w14:paraId="1CB1CF11" w14:textId="5BC08A21" w:rsidR="00720069" w:rsidRPr="00D62D23" w:rsidRDefault="00720069" w:rsidP="00133610">
      <w:pPr>
        <w:rPr>
          <w:rFonts w:ascii="Garamond" w:eastAsia="Garamond" w:hAnsi="Garamond"/>
          <w:color w:val="000000"/>
        </w:rPr>
      </w:pPr>
    </w:p>
    <w:sectPr w:rsidR="00720069" w:rsidRPr="00D62D23" w:rsidSect="00720069">
      <w:pgSz w:w="16839" w:h="11907" w:orient="landscape" w:code="9"/>
      <w:pgMar w:top="2268" w:right="1304" w:bottom="850" w:left="737" w:header="567" w:footer="28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EA350" w14:textId="77777777" w:rsidR="00FD2E06" w:rsidRDefault="00FD2E06" w:rsidP="00166DB1">
      <w:pPr>
        <w:spacing w:line="240" w:lineRule="auto"/>
      </w:pPr>
      <w:r>
        <w:separator/>
      </w:r>
    </w:p>
  </w:endnote>
  <w:endnote w:type="continuationSeparator" w:id="0">
    <w:p w14:paraId="16A39998" w14:textId="77777777" w:rsidR="00FD2E06" w:rsidRDefault="00FD2E06" w:rsidP="00166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9D3F7" w14:textId="77777777" w:rsidR="00FD2E06" w:rsidRDefault="00FD2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E6BA1" w14:textId="77777777" w:rsidR="00FD2E06" w:rsidRDefault="00FD2E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722289"/>
      <w:docPartObj>
        <w:docPartGallery w:val="Page Numbers (Bottom of Page)"/>
        <w:docPartUnique/>
      </w:docPartObj>
    </w:sdtPr>
    <w:sdtEndPr>
      <w:rPr>
        <w:noProof/>
      </w:rPr>
    </w:sdtEndPr>
    <w:sdtContent>
      <w:p w14:paraId="32001128" w14:textId="1B00AD55" w:rsidR="00FD2E06" w:rsidRDefault="00FD2E06">
        <w:pPr>
          <w:pStyle w:val="Footer"/>
          <w:jc w:val="right"/>
        </w:pPr>
        <w:r>
          <w:fldChar w:fldCharType="begin"/>
        </w:r>
        <w:r>
          <w:instrText xml:space="preserve"> PAGE   \* MERGEFORMAT </w:instrText>
        </w:r>
        <w:r>
          <w:fldChar w:fldCharType="separate"/>
        </w:r>
        <w:r w:rsidR="000B3762">
          <w:rPr>
            <w:noProof/>
          </w:rPr>
          <w:t>ii</w:t>
        </w:r>
        <w:r>
          <w:rPr>
            <w:noProof/>
          </w:rPr>
          <w:fldChar w:fldCharType="end"/>
        </w:r>
      </w:p>
    </w:sdtContent>
  </w:sdt>
  <w:p w14:paraId="2A82C4A7" w14:textId="62EFF813" w:rsidR="00FD2E06" w:rsidRPr="00C16AA2" w:rsidRDefault="00FD2E06" w:rsidP="00B30A5C">
    <w:pPr>
      <w:pStyle w:val="Footer"/>
      <w:tabs>
        <w:tab w:val="clear" w:pos="9026"/>
        <w:tab w:val="right" w:pos="14175"/>
      </w:tabs>
      <w:rPr>
        <w:rFonts w:ascii="Franklin Gothic Book" w:hAnsi="Franklin Gothic Book"/>
        <w:sz w:val="18"/>
      </w:rPr>
    </w:pPr>
    <w:r w:rsidRPr="003647AE">
      <w:rPr>
        <w:rFonts w:ascii="Franklin Gothic Book" w:hAnsi="Franklin Gothic Book"/>
        <w:sz w:val="18"/>
      </w:rPr>
      <w:t>Australian Government Department of Health – Review of Ongoing Pharmacy Workforce Programs</w:t>
    </w:r>
    <w:r>
      <w:rPr>
        <w:rFonts w:ascii="Franklin Gothic Book" w:hAnsi="Franklin Gothic Book"/>
        <w:sz w:val="18"/>
      </w:rPr>
      <w:tab/>
      <w:t>FINAL REPORT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282200"/>
      <w:docPartObj>
        <w:docPartGallery w:val="Page Numbers (Bottom of Page)"/>
        <w:docPartUnique/>
      </w:docPartObj>
    </w:sdtPr>
    <w:sdtEndPr>
      <w:rPr>
        <w:noProof/>
      </w:rPr>
    </w:sdtEndPr>
    <w:sdtContent>
      <w:p w14:paraId="4C993059" w14:textId="15F14B6D" w:rsidR="00FD2E06" w:rsidRDefault="00FD2E06">
        <w:pPr>
          <w:pStyle w:val="Footer"/>
          <w:jc w:val="right"/>
        </w:pPr>
        <w:r>
          <w:fldChar w:fldCharType="begin"/>
        </w:r>
        <w:r>
          <w:instrText xml:space="preserve"> PAGE   \* MERGEFORMAT </w:instrText>
        </w:r>
        <w:r>
          <w:fldChar w:fldCharType="separate"/>
        </w:r>
        <w:r w:rsidR="000B3762">
          <w:rPr>
            <w:noProof/>
          </w:rPr>
          <w:t>i</w:t>
        </w:r>
        <w:r>
          <w:rPr>
            <w:noProof/>
          </w:rPr>
          <w:fldChar w:fldCharType="end"/>
        </w:r>
      </w:p>
    </w:sdtContent>
  </w:sdt>
  <w:p w14:paraId="201AFC17" w14:textId="26970F39" w:rsidR="00FD2E06" w:rsidRPr="003647AE" w:rsidRDefault="00FD2E06" w:rsidP="00B30A5C">
    <w:pPr>
      <w:pStyle w:val="Footer"/>
      <w:tabs>
        <w:tab w:val="clear" w:pos="9026"/>
        <w:tab w:val="left" w:pos="13041"/>
      </w:tabs>
      <w:rPr>
        <w:rFonts w:ascii="Franklin Gothic Book" w:hAnsi="Franklin Gothic Book"/>
        <w:sz w:val="18"/>
      </w:rPr>
    </w:pPr>
    <w:r w:rsidRPr="003647AE">
      <w:rPr>
        <w:rFonts w:ascii="Franklin Gothic Book" w:hAnsi="Franklin Gothic Book"/>
        <w:sz w:val="18"/>
      </w:rPr>
      <w:t>Australian Government Department of Health – Review of Ongoing Pharmacy Workforce Programs</w:t>
    </w:r>
    <w:r>
      <w:rPr>
        <w:rFonts w:ascii="Franklin Gothic Book" w:hAnsi="Franklin Gothic Book"/>
        <w:sz w:val="18"/>
      </w:rPr>
      <w:tab/>
      <w:t>FINAL REPORT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F98D3" w14:textId="77777777" w:rsidR="00FD2E06" w:rsidRPr="00B72016" w:rsidRDefault="00FD2E06">
    <w:pPr>
      <w:pStyle w:val="Footer1"/>
      <w:rPr>
        <w:sz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830134"/>
      <w:docPartObj>
        <w:docPartGallery w:val="Page Numbers (Bottom of Page)"/>
        <w:docPartUnique/>
      </w:docPartObj>
    </w:sdtPr>
    <w:sdtEndPr>
      <w:rPr>
        <w:noProof/>
      </w:rPr>
    </w:sdtEndPr>
    <w:sdtContent>
      <w:p w14:paraId="474D7D6F" w14:textId="2FBCEBC7" w:rsidR="00FD2E06" w:rsidRDefault="00FD2E06">
        <w:pPr>
          <w:pStyle w:val="Footer"/>
          <w:jc w:val="right"/>
        </w:pPr>
        <w:r>
          <w:fldChar w:fldCharType="begin"/>
        </w:r>
        <w:r>
          <w:instrText xml:space="preserve"> PAGE   \* MERGEFORMAT </w:instrText>
        </w:r>
        <w:r>
          <w:fldChar w:fldCharType="separate"/>
        </w:r>
        <w:r w:rsidR="000B3762">
          <w:rPr>
            <w:noProof/>
          </w:rPr>
          <w:t>11</w:t>
        </w:r>
        <w:r>
          <w:rPr>
            <w:noProof/>
          </w:rPr>
          <w:fldChar w:fldCharType="end"/>
        </w:r>
      </w:p>
    </w:sdtContent>
  </w:sdt>
  <w:p w14:paraId="50D81228" w14:textId="78A6C427" w:rsidR="00FD2E06" w:rsidRPr="00BA72F1" w:rsidRDefault="00FD2E06" w:rsidP="00B30A5C">
    <w:pPr>
      <w:pStyle w:val="Footer"/>
      <w:tabs>
        <w:tab w:val="clear" w:pos="9026"/>
        <w:tab w:val="right" w:pos="14175"/>
      </w:tabs>
      <w:rPr>
        <w:rFonts w:ascii="Franklin Gothic Book" w:hAnsi="Franklin Gothic Book"/>
        <w:sz w:val="18"/>
      </w:rPr>
    </w:pPr>
    <w:r w:rsidRPr="003647AE">
      <w:rPr>
        <w:rFonts w:ascii="Franklin Gothic Book" w:hAnsi="Franklin Gothic Book"/>
        <w:sz w:val="18"/>
      </w:rPr>
      <w:t>Australian Government Department of Health – Review of Ongoing Pharmacy Workforce Programs</w:t>
    </w:r>
    <w:r>
      <w:rPr>
        <w:rFonts w:ascii="Franklin Gothic Book" w:hAnsi="Franklin Gothic Book"/>
        <w:sz w:val="18"/>
      </w:rPr>
      <w:tab/>
      <w:t>FINAL 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D9E70" w14:textId="77777777" w:rsidR="00FD2E06" w:rsidRDefault="00FD2E06" w:rsidP="00166DB1">
      <w:pPr>
        <w:spacing w:line="240" w:lineRule="auto"/>
      </w:pPr>
      <w:r>
        <w:separator/>
      </w:r>
    </w:p>
  </w:footnote>
  <w:footnote w:type="continuationSeparator" w:id="0">
    <w:p w14:paraId="50B59534" w14:textId="77777777" w:rsidR="00FD2E06" w:rsidRDefault="00FD2E06" w:rsidP="00166DB1">
      <w:pPr>
        <w:spacing w:line="240" w:lineRule="auto"/>
      </w:pPr>
      <w:r>
        <w:continuationSeparator/>
      </w:r>
    </w:p>
  </w:footnote>
  <w:footnote w:id="1">
    <w:p w14:paraId="3285808A" w14:textId="77777777" w:rsidR="00FD2E06" w:rsidRPr="00CD1F75" w:rsidRDefault="00FD2E06" w:rsidP="00166DB1">
      <w:pPr>
        <w:pStyle w:val="FootnoteText1"/>
        <w:rPr>
          <w:color w:val="auto"/>
        </w:rPr>
      </w:pPr>
      <w:r w:rsidRPr="00CD1F75">
        <w:rPr>
          <w:rStyle w:val="FootnoteReference"/>
          <w:color w:val="auto"/>
        </w:rPr>
        <w:footnoteRef/>
      </w:r>
      <w:r w:rsidRPr="00CD1F75">
        <w:rPr>
          <w:color w:val="auto"/>
        </w:rPr>
        <w:t xml:space="preserve"> PhARIA is a composite index incorporating the geographic distance from major cities determined by the Accessibility / Remoteness Index for Australia (ARIA) and a professional isolation component represented by the road distance to the five closest pharmacies. </w:t>
      </w:r>
      <w:sdt>
        <w:sdtPr>
          <w:rPr>
            <w:color w:val="auto"/>
          </w:rPr>
          <w:id w:val="1045408277"/>
          <w:citation/>
        </w:sdtPr>
        <w:sdtEndPr/>
        <w:sdtContent>
          <w:r w:rsidRPr="00CD1F75">
            <w:rPr>
              <w:color w:val="auto"/>
            </w:rPr>
            <w:fldChar w:fldCharType="begin"/>
          </w:r>
          <w:r w:rsidRPr="00CD1F75">
            <w:rPr>
              <w:color w:val="auto"/>
            </w:rPr>
            <w:instrText xml:space="preserve"> CITATION Uni17 \l 3081 </w:instrText>
          </w:r>
          <w:r w:rsidRPr="00CD1F75">
            <w:rPr>
              <w:color w:val="auto"/>
            </w:rPr>
            <w:fldChar w:fldCharType="separate"/>
          </w:r>
          <w:r w:rsidRPr="00CD1F75">
            <w:rPr>
              <w:noProof/>
              <w:color w:val="auto"/>
            </w:rPr>
            <w:t>[8]</w:t>
          </w:r>
          <w:r w:rsidRPr="00CD1F75">
            <w:rPr>
              <w:color w:val="auto"/>
            </w:rPr>
            <w:fldChar w:fldCharType="end"/>
          </w:r>
        </w:sdtContent>
      </w:sdt>
    </w:p>
  </w:footnote>
  <w:footnote w:id="2">
    <w:p w14:paraId="46A0F28B" w14:textId="77777777" w:rsidR="00FD2E06" w:rsidRPr="00CD1F75" w:rsidRDefault="00FD2E06" w:rsidP="00166DB1">
      <w:pPr>
        <w:pStyle w:val="FootnoteText1"/>
        <w:rPr>
          <w:color w:val="auto"/>
        </w:rPr>
      </w:pPr>
      <w:r w:rsidRPr="00CD1F75">
        <w:rPr>
          <w:rStyle w:val="FootnoteReference"/>
          <w:color w:val="auto"/>
        </w:rPr>
        <w:footnoteRef/>
      </w:r>
      <w:r w:rsidRPr="00CD1F75">
        <w:rPr>
          <w:color w:val="auto"/>
        </w:rPr>
        <w:t xml:space="preserve"> </w:t>
      </w:r>
      <w:r w:rsidRPr="00CD1F75">
        <w:rPr>
          <w:rFonts w:ascii="Times New Roman" w:hAnsi="Times New Roman"/>
          <w:color w:val="auto"/>
        </w:rPr>
        <w:t>$</w:t>
      </w:r>
      <w:r w:rsidRPr="00CD1F75">
        <w:rPr>
          <w:color w:val="auto"/>
        </w:rPr>
        <w:t xml:space="preserve">8.1m per annum was the allocated budget in the 5CPA. In the 6CP, the allocated budget per annum for the Pharmacy Workforce Package was </w:t>
      </w:r>
      <w:r w:rsidRPr="00CD1F75">
        <w:rPr>
          <w:rFonts w:ascii="Times New Roman" w:hAnsi="Times New Roman"/>
          <w:color w:val="auto"/>
        </w:rPr>
        <w:t>$</w:t>
      </w:r>
      <w:r w:rsidRPr="00CD1F75">
        <w:rPr>
          <w:color w:val="auto"/>
        </w:rPr>
        <w:t>7.2m per annum.</w:t>
      </w:r>
    </w:p>
  </w:footnote>
  <w:footnote w:id="3">
    <w:p w14:paraId="2785921E" w14:textId="77777777" w:rsidR="00FD2E06" w:rsidRPr="00CD1F75" w:rsidRDefault="00FD2E06" w:rsidP="00166DB1">
      <w:pPr>
        <w:pStyle w:val="FootnoteText1"/>
        <w:rPr>
          <w:color w:val="auto"/>
        </w:rPr>
      </w:pPr>
      <w:r w:rsidRPr="00CD1F75">
        <w:rPr>
          <w:rStyle w:val="FootnoteReference"/>
          <w:color w:val="auto"/>
        </w:rPr>
        <w:footnoteRef/>
      </w:r>
      <w:r w:rsidRPr="00CD1F75">
        <w:rPr>
          <w:color w:val="auto"/>
        </w:rPr>
        <w:t xml:space="preserve"> Other pharmacists may include a pharmacist that works in an Aboriginal Health Service, community health service, correctional service, defence forces, educational facility, medical centre, pharmaceutical manufacturing, residential health care facility, wholesale pharmacy, other commercial/business service, other government department agency, or other private practice.</w:t>
      </w:r>
    </w:p>
  </w:footnote>
  <w:footnote w:id="4">
    <w:p w14:paraId="4A4357A6" w14:textId="77777777" w:rsidR="00FD2E06" w:rsidRPr="00CD1F75" w:rsidRDefault="00FD2E06" w:rsidP="00166DB1">
      <w:pPr>
        <w:pStyle w:val="FootnoteText1"/>
        <w:rPr>
          <w:color w:val="auto"/>
        </w:rPr>
      </w:pPr>
      <w:r w:rsidRPr="00CD1F75">
        <w:rPr>
          <w:rStyle w:val="FootnoteReference"/>
          <w:color w:val="auto"/>
        </w:rPr>
        <w:footnoteRef/>
      </w:r>
      <w:r w:rsidRPr="00CD1F75">
        <w:rPr>
          <w:color w:val="auto"/>
        </w:rPr>
        <w:t xml:space="preserve"> 750-800 pharmacists was calculated from the estimate of 260 new pharmacists (recruitment – see </w:t>
      </w:r>
      <w:r w:rsidRPr="00CD1F75">
        <w:rPr>
          <w:color w:val="auto"/>
        </w:rPr>
        <w:fldChar w:fldCharType="begin"/>
      </w:r>
      <w:r w:rsidRPr="00CD1F75">
        <w:rPr>
          <w:color w:val="auto"/>
        </w:rPr>
        <w:instrText xml:space="preserve"> REF _Ref493580608 \h </w:instrText>
      </w:r>
      <w:r w:rsidRPr="00CD1F75">
        <w:rPr>
          <w:color w:val="auto"/>
        </w:rPr>
      </w:r>
      <w:r w:rsidRPr="00CD1F75">
        <w:rPr>
          <w:color w:val="auto"/>
        </w:rPr>
        <w:fldChar w:fldCharType="separate"/>
      </w:r>
      <w:r w:rsidRPr="00CD1F75">
        <w:rPr>
          <w:color w:val="auto"/>
        </w:rPr>
        <w:t xml:space="preserve">Table </w:t>
      </w:r>
      <w:r w:rsidRPr="00CD1F75">
        <w:rPr>
          <w:noProof/>
          <w:color w:val="auto"/>
        </w:rPr>
        <w:t>5</w:t>
      </w:r>
      <w:r w:rsidRPr="00CD1F75">
        <w:rPr>
          <w:color w:val="auto"/>
        </w:rPr>
        <w:t>.</w:t>
      </w:r>
      <w:r w:rsidRPr="00CD1F75">
        <w:rPr>
          <w:noProof/>
          <w:color w:val="auto"/>
        </w:rPr>
        <w:t>1</w:t>
      </w:r>
      <w:r w:rsidRPr="00CD1F75">
        <w:rPr>
          <w:color w:val="auto"/>
        </w:rPr>
        <w:fldChar w:fldCharType="end"/>
      </w:r>
      <w:r w:rsidRPr="00CD1F75">
        <w:rPr>
          <w:color w:val="auto"/>
        </w:rPr>
        <w:t xml:space="preserve">) and 520 existing pharmacists (retention – see </w:t>
      </w:r>
      <w:r w:rsidRPr="00CD1F75">
        <w:rPr>
          <w:color w:val="auto"/>
        </w:rPr>
        <w:fldChar w:fldCharType="begin"/>
      </w:r>
      <w:r w:rsidRPr="00CD1F75">
        <w:rPr>
          <w:color w:val="auto"/>
        </w:rPr>
        <w:instrText xml:space="preserve"> REF _Ref493580619 \h </w:instrText>
      </w:r>
      <w:r w:rsidRPr="00CD1F75">
        <w:rPr>
          <w:color w:val="auto"/>
        </w:rPr>
      </w:r>
      <w:r w:rsidRPr="00CD1F75">
        <w:rPr>
          <w:color w:val="auto"/>
        </w:rPr>
        <w:fldChar w:fldCharType="separate"/>
      </w:r>
      <w:r w:rsidRPr="00CD1F75">
        <w:rPr>
          <w:color w:val="auto"/>
        </w:rPr>
        <w:t xml:space="preserve">Table </w:t>
      </w:r>
      <w:r w:rsidRPr="00CD1F75">
        <w:rPr>
          <w:noProof/>
          <w:color w:val="auto"/>
        </w:rPr>
        <w:t>5</w:t>
      </w:r>
      <w:r w:rsidRPr="00CD1F75">
        <w:rPr>
          <w:color w:val="auto"/>
        </w:rPr>
        <w:t>.</w:t>
      </w:r>
      <w:r w:rsidRPr="00CD1F75">
        <w:rPr>
          <w:noProof/>
          <w:color w:val="auto"/>
        </w:rPr>
        <w:t>2</w:t>
      </w:r>
      <w:r w:rsidRPr="00CD1F75">
        <w:rPr>
          <w:color w:val="auto"/>
        </w:rPr>
        <w:fldChar w:fldCharType="end"/>
      </w:r>
      <w:r w:rsidRPr="00CD1F75">
        <w:rPr>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F79D4" w14:textId="77777777" w:rsidR="00FD2E06" w:rsidRDefault="00FD2E0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EF78B" w14:textId="45B063AD" w:rsidR="00FD2E06" w:rsidRPr="003826FF" w:rsidRDefault="00FD2E06" w:rsidP="009F66FB">
    <w:pPr>
      <w:pStyle w:val="BodyCopy"/>
      <w:numPr>
        <w:ilvl w:val="0"/>
        <w:numId w:val="5"/>
      </w:numPr>
      <w:ind w:left="567" w:hanging="643"/>
      <w:rPr>
        <w:rFonts w:ascii="Franklin Gothic Book" w:hAnsi="Franklin Gothic Book"/>
        <w:sz w:val="44"/>
        <w:szCs w:val="52"/>
        <w:lang w:val="en-US"/>
      </w:rPr>
    </w:pPr>
    <w:r w:rsidRPr="003826FF">
      <w:rPr>
        <w:rFonts w:ascii="Franklin Gothic Book" w:eastAsia="Times New Roman" w:hAnsi="Franklin Gothic Book"/>
        <w:b/>
        <w:bCs/>
        <w:caps/>
        <w:sz w:val="44"/>
        <w:szCs w:val="52"/>
        <w:lang w:val="en-US"/>
      </w:rPr>
      <w:t>Introduction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5429" w14:textId="7F565FE6" w:rsidR="00FD2E06" w:rsidRPr="00112926" w:rsidRDefault="00FD2E06" w:rsidP="009F66FB">
    <w:pPr>
      <w:pStyle w:val="BodyCopy"/>
      <w:numPr>
        <w:ilvl w:val="0"/>
        <w:numId w:val="5"/>
      </w:numPr>
      <w:ind w:left="567" w:hanging="567"/>
      <w:rPr>
        <w:rFonts w:ascii="Franklin Gothic Book" w:hAnsi="Franklin Gothic Book"/>
        <w:sz w:val="40"/>
        <w:szCs w:val="52"/>
        <w:lang w:val="en-US"/>
      </w:rPr>
    </w:pPr>
    <w:r w:rsidRPr="00112926">
      <w:rPr>
        <w:rFonts w:ascii="Franklin Gothic Book" w:eastAsia="Times New Roman" w:hAnsi="Franklin Gothic Book"/>
        <w:b/>
        <w:bCs/>
        <w:caps/>
        <w:sz w:val="40"/>
        <w:szCs w:val="52"/>
        <w:lang w:val="en-US"/>
      </w:rPr>
      <w:t>Overview of the Programs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2F102" w14:textId="0ACC838E" w:rsidR="00FD2E06" w:rsidRPr="00D62D23" w:rsidRDefault="00FD2E06" w:rsidP="009F66FB">
    <w:pPr>
      <w:pStyle w:val="BodyCopy"/>
      <w:numPr>
        <w:ilvl w:val="0"/>
        <w:numId w:val="5"/>
      </w:numPr>
      <w:ind w:left="567" w:hanging="567"/>
      <w:rPr>
        <w:rFonts w:ascii="Franklin Gothic Book" w:hAnsi="Franklin Gothic Book"/>
        <w:sz w:val="40"/>
        <w:szCs w:val="52"/>
        <w:lang w:val="en-US"/>
      </w:rPr>
    </w:pPr>
    <w:r>
      <w:rPr>
        <w:rFonts w:ascii="Franklin Gothic Book" w:eastAsia="Times New Roman" w:hAnsi="Franklin Gothic Book"/>
        <w:b/>
        <w:bCs/>
        <w:caps/>
        <w:sz w:val="40"/>
        <w:szCs w:val="52"/>
        <w:lang w:val="en-US"/>
      </w:rPr>
      <w:t>methodology</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EE0D" w14:textId="729C41FC" w:rsidR="00FD2E06" w:rsidRPr="002E1F1A" w:rsidRDefault="00FD2E06" w:rsidP="002E1F1A">
    <w:pPr>
      <w:pStyle w:val="Footer"/>
      <w:rPr>
        <w:rFonts w:ascii="Franklin Gothic Book" w:hAnsi="Franklin Gothic Book"/>
        <w:sz w:val="16"/>
      </w:rPr>
    </w:pPr>
    <w:r w:rsidRPr="00C16AA2">
      <w:rPr>
        <w:rFonts w:ascii="Franklin Gothic Book" w:hAnsi="Franklin Gothic Book"/>
        <w:sz w:val="16"/>
      </w:rPr>
      <w:t>HEALTHCARE MANAGEMENT ADVISORS – HELPING CREATE BETTER HEALTH SERVICES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FD337" w14:textId="75C88B64" w:rsidR="00FD2E06" w:rsidRPr="00D62D23" w:rsidRDefault="00FD2E06" w:rsidP="009F66FB">
    <w:pPr>
      <w:pStyle w:val="BodyCopy"/>
      <w:numPr>
        <w:ilvl w:val="0"/>
        <w:numId w:val="5"/>
      </w:numPr>
      <w:ind w:left="567" w:hanging="567"/>
      <w:rPr>
        <w:rFonts w:ascii="Franklin Gothic Book" w:hAnsi="Franklin Gothic Book"/>
        <w:sz w:val="40"/>
        <w:szCs w:val="52"/>
        <w:lang w:val="en-US"/>
      </w:rPr>
    </w:pPr>
    <w:r>
      <w:rPr>
        <w:rFonts w:ascii="Franklin Gothic Book" w:eastAsia="Times New Roman" w:hAnsi="Franklin Gothic Book"/>
        <w:b/>
        <w:bCs/>
        <w:caps/>
        <w:sz w:val="40"/>
        <w:szCs w:val="52"/>
        <w:lang w:val="en-US"/>
      </w:rPr>
      <w:t>appropriateness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CA382" w14:textId="31DBF5AD" w:rsidR="00FD2E06" w:rsidRPr="00D62D23" w:rsidRDefault="00FD2E06" w:rsidP="009F66FB">
    <w:pPr>
      <w:pStyle w:val="BodyCopy"/>
      <w:numPr>
        <w:ilvl w:val="0"/>
        <w:numId w:val="5"/>
      </w:numPr>
      <w:ind w:left="567" w:hanging="567"/>
      <w:rPr>
        <w:rFonts w:ascii="Franklin Gothic Book" w:hAnsi="Franklin Gothic Book"/>
        <w:sz w:val="40"/>
        <w:szCs w:val="52"/>
        <w:lang w:val="en-US"/>
      </w:rPr>
    </w:pPr>
    <w:r>
      <w:rPr>
        <w:rFonts w:ascii="Franklin Gothic Book" w:eastAsia="Times New Roman" w:hAnsi="Franklin Gothic Book"/>
        <w:b/>
        <w:bCs/>
        <w:caps/>
        <w:sz w:val="40"/>
        <w:szCs w:val="52"/>
        <w:lang w:val="en-US"/>
      </w:rPr>
      <w:t>EFFECTIVENESS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98F1E" w14:textId="7B1B4E9E" w:rsidR="00FD2E06" w:rsidRPr="00072DFC" w:rsidRDefault="00FD2E06" w:rsidP="00072DFC">
    <w:pPr>
      <w:pStyle w:val="BodyCopy"/>
      <w:rPr>
        <w:rFonts w:ascii="Franklin Gothic Book" w:hAnsi="Franklin Gothic Book"/>
        <w:sz w:val="40"/>
        <w:szCs w:val="52"/>
        <w:lang w:val="en-US"/>
      </w:rPr>
    </w:pPr>
    <w:r>
      <w:rPr>
        <w:rFonts w:ascii="Franklin Gothic Book" w:eastAsia="Times New Roman" w:hAnsi="Franklin Gothic Book"/>
        <w:b/>
        <w:bCs/>
        <w:caps/>
        <w:sz w:val="40"/>
        <w:szCs w:val="52"/>
        <w:lang w:val="en-US"/>
      </w:rPr>
      <w:t>8</w:t>
    </w:r>
    <w:r>
      <w:rPr>
        <w:rFonts w:ascii="Franklin Gothic Book" w:eastAsia="Times New Roman" w:hAnsi="Franklin Gothic Book"/>
        <w:b/>
        <w:bCs/>
        <w:caps/>
        <w:sz w:val="40"/>
        <w:szCs w:val="52"/>
        <w:lang w:val="en-US"/>
      </w:rPr>
      <w:tab/>
      <w:t>appendices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51E00" w14:textId="33C03E5D" w:rsidR="00FD2E06" w:rsidRPr="00D62D23" w:rsidRDefault="00FD2E06" w:rsidP="00072DFC">
    <w:pPr>
      <w:pStyle w:val="BodyCopy"/>
      <w:rPr>
        <w:rFonts w:ascii="Franklin Gothic Book" w:hAnsi="Franklin Gothic Book"/>
        <w:sz w:val="40"/>
        <w:szCs w:val="52"/>
        <w:lang w:val="en-US"/>
      </w:rPr>
    </w:pPr>
    <w:r>
      <w:rPr>
        <w:rFonts w:ascii="Franklin Gothic Book" w:eastAsia="Times New Roman" w:hAnsi="Franklin Gothic Book"/>
        <w:b/>
        <w:bCs/>
        <w:caps/>
        <w:sz w:val="40"/>
        <w:szCs w:val="52"/>
        <w:lang w:val="en-US"/>
      </w:rPr>
      <w:t>8</w:t>
    </w:r>
    <w:r>
      <w:rPr>
        <w:rFonts w:ascii="Franklin Gothic Book" w:eastAsia="Times New Roman" w:hAnsi="Franklin Gothic Book"/>
        <w:b/>
        <w:bCs/>
        <w:caps/>
        <w:sz w:val="40"/>
        <w:szCs w:val="52"/>
        <w:lang w:val="en-US"/>
      </w:rPr>
      <w:tab/>
      <w:t>appendices</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DC28D" w14:textId="60BC459B" w:rsidR="00FD2E06" w:rsidRPr="002E1F1A" w:rsidRDefault="00FD2E06" w:rsidP="002E1F1A">
    <w:pPr>
      <w:pStyle w:val="Footer"/>
      <w:rPr>
        <w:rFonts w:ascii="Franklin Gothic Book" w:hAnsi="Franklin Gothic Book"/>
        <w:sz w:val="16"/>
      </w:rPr>
    </w:pPr>
    <w:r w:rsidRPr="00C16AA2">
      <w:rPr>
        <w:rFonts w:ascii="Franklin Gothic Book" w:hAnsi="Franklin Gothic Book"/>
        <w:sz w:val="16"/>
      </w:rPr>
      <w:t>HEALTHCARE MANAGEMENT ADVISORS – HELPING CREATE BETTER HEALTH SERVICES</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41765" w14:textId="4B266D54" w:rsidR="00FD2E06" w:rsidRPr="00D62D23" w:rsidRDefault="00FD2E06" w:rsidP="00072DFC">
    <w:pPr>
      <w:pStyle w:val="BodyCopy"/>
      <w:rPr>
        <w:rFonts w:ascii="Franklin Gothic Book" w:hAnsi="Franklin Gothic Book"/>
        <w:sz w:val="40"/>
        <w:szCs w:val="52"/>
        <w:lang w:val="en-US"/>
      </w:rPr>
    </w:pPr>
    <w:r>
      <w:rPr>
        <w:rFonts w:ascii="Franklin Gothic Book" w:eastAsia="Times New Roman" w:hAnsi="Franklin Gothic Book"/>
        <w:b/>
        <w:bCs/>
        <w:caps/>
        <w:sz w:val="40"/>
        <w:szCs w:val="52"/>
        <w:lang w:val="en-US"/>
      </w:rPr>
      <w:t>6</w:t>
    </w:r>
    <w:r>
      <w:rPr>
        <w:rFonts w:ascii="Franklin Gothic Book" w:eastAsia="Times New Roman" w:hAnsi="Franklin Gothic Book"/>
        <w:b/>
        <w:bCs/>
        <w:caps/>
        <w:sz w:val="40"/>
        <w:szCs w:val="52"/>
        <w:lang w:val="en-US"/>
      </w:rPr>
      <w:tab/>
      <w:t>efficiency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74E9" w14:textId="77777777" w:rsidR="00FD2E06" w:rsidRDefault="00FD2E0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D57C" w14:textId="0259EB8A" w:rsidR="00FD2E06" w:rsidRPr="00D62D23" w:rsidRDefault="00FD2E06" w:rsidP="00072DFC">
    <w:pPr>
      <w:pStyle w:val="BodyCopy"/>
      <w:rPr>
        <w:rFonts w:ascii="Franklin Gothic Book" w:hAnsi="Franklin Gothic Book"/>
        <w:sz w:val="40"/>
        <w:szCs w:val="52"/>
        <w:lang w:val="en-US"/>
      </w:rPr>
    </w:pPr>
    <w:r>
      <w:rPr>
        <w:rFonts w:ascii="Franklin Gothic Book" w:eastAsia="Times New Roman" w:hAnsi="Franklin Gothic Book"/>
        <w:b/>
        <w:bCs/>
        <w:caps/>
        <w:sz w:val="40"/>
        <w:szCs w:val="52"/>
        <w:lang w:val="en-US"/>
      </w:rPr>
      <w:t>7</w:t>
    </w:r>
    <w:r>
      <w:rPr>
        <w:rFonts w:ascii="Franklin Gothic Book" w:eastAsia="Times New Roman" w:hAnsi="Franklin Gothic Book"/>
        <w:b/>
        <w:bCs/>
        <w:caps/>
        <w:sz w:val="40"/>
        <w:szCs w:val="52"/>
        <w:lang w:val="en-US"/>
      </w:rPr>
      <w:tab/>
      <w:t>conclusion and options for future development</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11E37" w14:textId="2241B081" w:rsidR="00FD2E06" w:rsidRPr="00D62D23" w:rsidRDefault="00FD2E06" w:rsidP="00072DFC">
    <w:pPr>
      <w:pStyle w:val="BodyCopy"/>
      <w:rPr>
        <w:rFonts w:ascii="Franklin Gothic Book" w:hAnsi="Franklin Gothic Book"/>
        <w:sz w:val="40"/>
        <w:szCs w:val="52"/>
        <w:lang w:val="en-US"/>
      </w:rPr>
    </w:pPr>
    <w:r>
      <w:rPr>
        <w:rFonts w:ascii="Franklin Gothic Book" w:eastAsia="Times New Roman" w:hAnsi="Franklin Gothic Book"/>
        <w:b/>
        <w:bCs/>
        <w:caps/>
        <w:sz w:val="40"/>
        <w:szCs w:val="52"/>
        <w:lang w:val="en-US"/>
      </w:rPr>
      <w:t>8</w:t>
    </w:r>
    <w:r>
      <w:rPr>
        <w:rFonts w:ascii="Franklin Gothic Book" w:eastAsia="Times New Roman" w:hAnsi="Franklin Gothic Book"/>
        <w:b/>
        <w:bCs/>
        <w:caps/>
        <w:sz w:val="40"/>
        <w:szCs w:val="52"/>
        <w:lang w:val="en-US"/>
      </w:rPr>
      <w:tab/>
      <w:t>appendices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88593" w14:textId="0CAB272D" w:rsidR="00FD2E06" w:rsidRPr="002E1F1A" w:rsidRDefault="00FD2E06" w:rsidP="002E1F1A">
    <w:pPr>
      <w:pStyle w:val="Footer"/>
      <w:rPr>
        <w:rFonts w:ascii="Franklin Gothic Book" w:hAnsi="Franklin Gothic Book"/>
        <w:sz w:val="16"/>
      </w:rPr>
    </w:pPr>
    <w:r w:rsidRPr="00C16AA2">
      <w:rPr>
        <w:rFonts w:ascii="Franklin Gothic Book" w:hAnsi="Franklin Gothic Book"/>
        <w:sz w:val="16"/>
      </w:rPr>
      <w:t>HEALTHCARE MANAGEMENT ADVISORS – HELPING CREATE BETTER HEALTH SERVICES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37950" w14:textId="77777777" w:rsidR="00FD2E06" w:rsidRDefault="00FD2E0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5C4F3" w14:textId="7D20C184" w:rsidR="00FD2E06" w:rsidRPr="003647AE" w:rsidRDefault="00FD2E06">
    <w:pPr>
      <w:rPr>
        <w:lang w:val="en-US"/>
      </w:rPr>
    </w:pPr>
    <w:r w:rsidRPr="00166DB1">
      <w:rPr>
        <w:rFonts w:ascii="Franklin Gothic Book" w:eastAsia="Times New Roman" w:hAnsi="Franklin Gothic Book"/>
        <w:b/>
        <w:bCs/>
        <w:caps/>
        <w:sz w:val="52"/>
        <w:szCs w:val="28"/>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9CDB2" w14:textId="03F1A814" w:rsidR="00FD2E06" w:rsidRPr="00AD03B9" w:rsidRDefault="00FD2E06" w:rsidP="00720069">
    <w:pPr>
      <w:pStyle w:val="BodyCopy"/>
      <w:rPr>
        <w:lang w:val="en-US"/>
      </w:rPr>
    </w:pPr>
    <w:r>
      <w:rPr>
        <w:rFonts w:ascii="Franklin Gothic Book" w:eastAsia="Times New Roman" w:hAnsi="Franklin Gothic Book"/>
        <w:b/>
        <w:bCs/>
        <w:caps/>
        <w:sz w:val="52"/>
        <w:szCs w:val="28"/>
        <w:lang w:val="en-US"/>
      </w:rPr>
      <w:t>aBBREVIATIONS AND gLOSSARY OF tERMS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FB61" w14:textId="206F03BF" w:rsidR="00FD2E06" w:rsidRPr="00C16AA2" w:rsidRDefault="00FD2E06" w:rsidP="00C16AA2">
    <w:pPr>
      <w:pStyle w:val="Footer"/>
      <w:rPr>
        <w:rFonts w:ascii="Franklin Gothic Book" w:hAnsi="Franklin Gothic Book"/>
        <w:sz w:val="16"/>
      </w:rPr>
    </w:pPr>
    <w:bookmarkStart w:id="3" w:name="_Hlk523322095"/>
    <w:bookmarkStart w:id="4" w:name="_Hlk523322096"/>
    <w:r w:rsidRPr="00C16AA2">
      <w:rPr>
        <w:rFonts w:ascii="Franklin Gothic Book" w:hAnsi="Franklin Gothic Book"/>
        <w:sz w:val="16"/>
      </w:rPr>
      <w:t>HEALTHCARE MANAGEMENT ADVISORS – HELPING CREATE BETTER HEALTH SERVICES</w:t>
    </w:r>
    <w:bookmarkEnd w:id="3"/>
    <w:bookmarkEnd w:id="4"/>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189B6" w14:textId="2D351F2C" w:rsidR="00FD2E06" w:rsidRPr="00C61DC7" w:rsidRDefault="00FD2E06" w:rsidP="00720069">
    <w:pPr>
      <w:pStyle w:val="BodyCopy"/>
      <w:rPr>
        <w:lang w:val="en-US"/>
      </w:rPr>
    </w:pPr>
    <w:r>
      <w:rPr>
        <w:rFonts w:ascii="Franklin Gothic Book" w:eastAsia="Times New Roman" w:hAnsi="Franklin Gothic Book"/>
        <w:b/>
        <w:bCs/>
        <w:caps/>
        <w:noProof/>
        <w:sz w:val="52"/>
        <w:szCs w:val="28"/>
        <w:lang w:eastAsia="en-AU"/>
      </w:rPr>
      <mc:AlternateContent>
        <mc:Choice Requires="wps">
          <w:drawing>
            <wp:inline distT="0" distB="0" distL="0" distR="0" wp14:anchorId="69F99EF2" wp14:editId="65B021A5">
              <wp:extent cx="361937" cy="581025"/>
              <wp:effectExtent l="0" t="0" r="635" b="9525"/>
              <wp:docPr id="66"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37" cy="581025"/>
                      </a:xfrm>
                      <a:custGeom>
                        <a:avLst/>
                        <a:gdLst>
                          <a:gd name="T0" fmla="*/ 363 w 454"/>
                          <a:gd name="T1" fmla="*/ 733 h 733"/>
                          <a:gd name="T2" fmla="*/ 454 w 454"/>
                          <a:gd name="T3" fmla="*/ 643 h 733"/>
                          <a:gd name="T4" fmla="*/ 454 w 454"/>
                          <a:gd name="T5" fmla="*/ 91 h 733"/>
                          <a:gd name="T6" fmla="*/ 363 w 454"/>
                          <a:gd name="T7" fmla="*/ 0 h 733"/>
                          <a:gd name="T8" fmla="*/ 91 w 454"/>
                          <a:gd name="T9" fmla="*/ 0 h 733"/>
                          <a:gd name="T10" fmla="*/ 0 w 454"/>
                          <a:gd name="T11" fmla="*/ 91 h 733"/>
                          <a:gd name="T12" fmla="*/ 0 w 454"/>
                          <a:gd name="T13" fmla="*/ 643 h 733"/>
                          <a:gd name="T14" fmla="*/ 91 w 454"/>
                          <a:gd name="T15" fmla="*/ 733 h 733"/>
                          <a:gd name="T16" fmla="*/ 363 w 454"/>
                          <a:gd name="T17" fmla="*/ 733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4" h="733">
                            <a:moveTo>
                              <a:pt x="363" y="733"/>
                            </a:moveTo>
                            <a:cubicBezTo>
                              <a:pt x="363" y="733"/>
                              <a:pt x="454" y="733"/>
                              <a:pt x="454" y="643"/>
                            </a:cubicBezTo>
                            <a:lnTo>
                              <a:pt x="454" y="91"/>
                            </a:lnTo>
                            <a:cubicBezTo>
                              <a:pt x="454" y="91"/>
                              <a:pt x="454" y="0"/>
                              <a:pt x="363" y="0"/>
                            </a:cubicBezTo>
                            <a:lnTo>
                              <a:pt x="91" y="0"/>
                            </a:lnTo>
                            <a:cubicBezTo>
                              <a:pt x="91" y="0"/>
                              <a:pt x="0" y="0"/>
                              <a:pt x="0" y="91"/>
                            </a:cubicBezTo>
                            <a:lnTo>
                              <a:pt x="0" y="643"/>
                            </a:lnTo>
                            <a:cubicBezTo>
                              <a:pt x="0" y="643"/>
                              <a:pt x="0" y="733"/>
                              <a:pt x="91" y="733"/>
                            </a:cubicBezTo>
                            <a:lnTo>
                              <a:pt x="363" y="733"/>
                            </a:lnTo>
                            <a:close/>
                          </a:path>
                        </a:pathLst>
                      </a:custGeom>
                      <a:solidFill>
                        <a:srgbClr val="FFF200"/>
                      </a:solidFill>
                      <a:ln w="1">
                        <a:noFill/>
                        <a:prstDash val="solid"/>
                        <a:round/>
                        <a:headEnd/>
                        <a:tailEnd/>
                      </a:ln>
                    </wps:spPr>
                    <wps:txbx>
                      <w:txbxContent>
                        <w:p w14:paraId="57FEBB3D" w14:textId="77777777" w:rsidR="00FD2E06" w:rsidRDefault="00FD2E06" w:rsidP="00720069">
                          <w:pPr>
                            <w:jc w:val="center"/>
                          </w:pPr>
                          <w:r>
                            <w:fldChar w:fldCharType="begin"/>
                          </w:r>
                          <w:r>
                            <w:instrText xml:space="preserve"> PAGE   \* MERGEFORMAT </w:instrText>
                          </w:r>
                          <w:r>
                            <w:fldChar w:fldCharType="separate"/>
                          </w:r>
                          <w:r>
                            <w:rPr>
                              <w:noProof/>
                            </w:rPr>
                            <w:t>12</w:t>
                          </w:r>
                          <w:r>
                            <w:rPr>
                              <w:noProof/>
                            </w:rPr>
                            <w:fldChar w:fldCharType="end"/>
                          </w:r>
                        </w:p>
                      </w:txbxContent>
                    </wps:txbx>
                    <wps:bodyPr rot="0" vert="horz" wrap="square" lIns="0" tIns="0" rIns="0" bIns="0" anchor="ctr" anchorCtr="0" upright="1">
                      <a:noAutofit/>
                    </wps:bodyPr>
                  </wps:wsp>
                </a:graphicData>
              </a:graphic>
            </wp:inline>
          </w:drawing>
        </mc:Choice>
        <mc:Fallback>
          <w:pict>
            <v:shape w14:anchorId="69F99EF2" id="Freeform 88" o:spid="_x0000_s1026" style="width:28.5pt;height:45.75pt;visibility:visible;mso-wrap-style:square;mso-left-percent:-10001;mso-top-percent:-10001;mso-position-horizontal:absolute;mso-position-horizontal-relative:char;mso-position-vertical:absolute;mso-position-vertical-relative:line;mso-left-percent:-10001;mso-top-percent:-10001;v-text-anchor:middle" coordsize="454,7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" adj="-11796480,,5400" path="m363,733v,,91,,91,-90l454,91v,,,-91,-91,-91l91,c91,,,,,91l,643v,,,90,91,90l363,733xe" fillcolor="#fff200" stroked="f" strokeweight="3e-5mm">
              <v:stroke joinstyle="round"/>
              <v:formulas/>
              <v:path arrowok="t" o:connecttype="custom" o:connectlocs="289390,581025;361937,509685;361937,72133;289390,0;72547,0;0,72133;0,509685;72547,581025;289390,581025" o:connectangles="0,0,0,0,0,0,0,0,0" textboxrect="0,0,454,733"/>
              <v:textbox inset="0,0,0,0">
                <w:txbxContent>
                  <w:p w14:paraId="57FEBB3D" w14:textId="77777777" w:rsidR="00FD2E06" w:rsidRDefault="00FD2E06" w:rsidP="00720069">
                    <w:pPr>
                      <w:jc w:val="center"/>
                    </w:pPr>
                    <w:r>
                      <w:fldChar w:fldCharType="begin"/>
                    </w:r>
                    <w:r>
                      <w:instrText xml:space="preserve"> PAGE   \* MERGEFORMAT </w:instrText>
                    </w:r>
                    <w:r>
                      <w:fldChar w:fldCharType="separate"/>
                    </w:r>
                    <w:r>
                      <w:rPr>
                        <w:noProof/>
                      </w:rPr>
                      <w:t>12</w:t>
                    </w:r>
                    <w:r>
                      <w:rPr>
                        <w:noProof/>
                      </w:rPr>
                      <w:fldChar w:fldCharType="end"/>
                    </w:r>
                  </w:p>
                </w:txbxContent>
              </v:textbox>
              <w10:anchorlock/>
            </v:shape>
          </w:pict>
        </mc:Fallback>
      </mc:AlternateContent>
    </w:r>
    <w:r w:rsidRPr="00166DB1">
      <w:rPr>
        <w:rFonts w:ascii="Franklin Gothic Book" w:eastAsia="Times New Roman" w:hAnsi="Franklin Gothic Book"/>
        <w:b/>
        <w:bCs/>
        <w:caps/>
        <w:sz w:val="52"/>
        <w:szCs w:val="28"/>
      </w:rPr>
      <w:t>Introduction</w:t>
    </w:r>
    <w:r w:rsidRPr="00DA17BA">
      <w:rPr>
        <w:noProof/>
        <w:lang w:eastAsia="en-AU"/>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A7ED0" w14:textId="0C839296" w:rsidR="00FD2E06" w:rsidRPr="002E1F1A" w:rsidRDefault="00FD2E06" w:rsidP="002E1F1A">
    <w:pPr>
      <w:pStyle w:val="Footer"/>
      <w:rPr>
        <w:rFonts w:ascii="Franklin Gothic Book" w:hAnsi="Franklin Gothic Book"/>
        <w:sz w:val="16"/>
      </w:rPr>
    </w:pPr>
    <w:r w:rsidRPr="00C16AA2">
      <w:rPr>
        <w:rFonts w:ascii="Franklin Gothic Book" w:hAnsi="Franklin Gothic Book"/>
        <w:sz w:val="16"/>
      </w:rPr>
      <w:t>HEALTHCARE MANAGEMENT ADVISORS – HELPING CREATE BETTER HEALTH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75F"/>
    <w:multiLevelType w:val="multilevel"/>
    <w:tmpl w:val="E7228820"/>
    <w:styleLink w:val="TableBullets"/>
    <w:lvl w:ilvl="0">
      <w:start w:val="1"/>
      <w:numFmt w:val="bullet"/>
      <w:pStyle w:val="TableBullets1"/>
      <w:lvlText w:val="•"/>
      <w:lvlJc w:val="left"/>
      <w:pPr>
        <w:ind w:left="227" w:hanging="170"/>
      </w:pPr>
      <w:rPr>
        <w:rFonts w:ascii="Garamond" w:hAnsi="Garamond" w:hint="default"/>
        <w:color w:val="000000" w:themeColor="text1"/>
        <w:sz w:val="22"/>
      </w:rPr>
    </w:lvl>
    <w:lvl w:ilvl="1">
      <w:start w:val="1"/>
      <w:numFmt w:val="bullet"/>
      <w:pStyle w:val="TableBullets2"/>
      <w:lvlText w:val="–"/>
      <w:lvlJc w:val="left"/>
      <w:pPr>
        <w:ind w:left="454" w:hanging="227"/>
      </w:pPr>
      <w:rPr>
        <w:rFonts w:ascii="Garamond" w:hAnsi="Garamond" w:hint="default"/>
        <w:color w:val="44546A" w:themeColor="text2"/>
      </w:rPr>
    </w:lvl>
    <w:lvl w:ilvl="2">
      <w:start w:val="1"/>
      <w:numFmt w:val="bullet"/>
      <w:lvlText w:val="–"/>
      <w:lvlJc w:val="left"/>
      <w:pPr>
        <w:ind w:left="624" w:hanging="170"/>
      </w:pPr>
      <w:rPr>
        <w:rFonts w:ascii="Garamond" w:hAnsi="Garamond" w:hint="default"/>
        <w:color w:val="44546A" w:themeColor="text2"/>
      </w:rPr>
    </w:lvl>
    <w:lvl w:ilvl="3">
      <w:start w:val="1"/>
      <w:numFmt w:val="bullet"/>
      <w:lvlText w:val="-"/>
      <w:lvlJc w:val="left"/>
      <w:pPr>
        <w:ind w:left="765" w:hanging="141"/>
      </w:pPr>
      <w:rPr>
        <w:rFonts w:ascii="Garamond" w:hAnsi="Garamond" w:hint="default"/>
        <w:color w:val="44546A" w:themeColor="text2"/>
      </w:rPr>
    </w:lvl>
    <w:lvl w:ilvl="4">
      <w:start w:val="1"/>
      <w:numFmt w:val="bullet"/>
      <w:pStyle w:val="TableBulletssmall1"/>
      <w:lvlText w:val="•"/>
      <w:lvlJc w:val="left"/>
      <w:pPr>
        <w:ind w:left="227" w:hanging="170"/>
      </w:pPr>
      <w:rPr>
        <w:rFonts w:ascii="Garamond" w:hAnsi="Garamond" w:hint="default"/>
        <w:color w:val="000000" w:themeColor="text1"/>
      </w:rPr>
    </w:lvl>
    <w:lvl w:ilvl="5">
      <w:start w:val="1"/>
      <w:numFmt w:val="bullet"/>
      <w:pStyle w:val="TableBulletssmall2"/>
      <w:lvlText w:val="–"/>
      <w:lvlJc w:val="left"/>
      <w:pPr>
        <w:ind w:left="454" w:hanging="227"/>
      </w:pPr>
      <w:rPr>
        <w:rFonts w:ascii="Garamond" w:hAnsi="Garamond" w:hint="default"/>
        <w:color w:val="44546A" w:themeColor="text2"/>
      </w:rPr>
    </w:lvl>
    <w:lvl w:ilvl="6">
      <w:start w:val="1"/>
      <w:numFmt w:val="bullet"/>
      <w:lvlText w:val="–"/>
      <w:lvlJc w:val="left"/>
      <w:pPr>
        <w:ind w:left="624" w:hanging="170"/>
      </w:pPr>
      <w:rPr>
        <w:rFonts w:ascii="Garamond" w:hAnsi="Garamond" w:hint="default"/>
        <w:color w:val="44546A" w:themeColor="text2"/>
      </w:rPr>
    </w:lvl>
    <w:lvl w:ilvl="7">
      <w:start w:val="1"/>
      <w:numFmt w:val="bullet"/>
      <w:lvlText w:val="-"/>
      <w:lvlJc w:val="left"/>
      <w:pPr>
        <w:ind w:left="765" w:hanging="141"/>
      </w:pPr>
      <w:rPr>
        <w:rFonts w:ascii="Garamond" w:hAnsi="Garamond" w:hint="default"/>
        <w:color w:val="44546A" w:themeColor="text2"/>
      </w:rPr>
    </w:lvl>
    <w:lvl w:ilvl="8">
      <w:start w:val="1"/>
      <w:numFmt w:val="bullet"/>
      <w:lvlText w:val="•"/>
      <w:lvlJc w:val="left"/>
      <w:pPr>
        <w:ind w:left="170" w:hanging="170"/>
      </w:pPr>
      <w:rPr>
        <w:rFonts w:ascii="Garamond" w:hAnsi="Garamond" w:hint="default"/>
        <w:color w:val="000000" w:themeColor="text1"/>
      </w:rPr>
    </w:lvl>
  </w:abstractNum>
  <w:abstractNum w:abstractNumId="1" w15:restartNumberingAfterBreak="0">
    <w:nsid w:val="06A51A4E"/>
    <w:multiLevelType w:val="hybridMultilevel"/>
    <w:tmpl w:val="21A4D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0C16C8"/>
    <w:multiLevelType w:val="hybridMultilevel"/>
    <w:tmpl w:val="4FDAE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7C638C"/>
    <w:multiLevelType w:val="hybridMultilevel"/>
    <w:tmpl w:val="7BFCCE7C"/>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6DF2C72"/>
    <w:multiLevelType w:val="hybridMultilevel"/>
    <w:tmpl w:val="17C4F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3B6C95"/>
    <w:multiLevelType w:val="multilevel"/>
    <w:tmpl w:val="8A88FDE0"/>
    <w:styleLink w:val="Bullets"/>
    <w:lvl w:ilvl="0">
      <w:start w:val="1"/>
      <w:numFmt w:val="bullet"/>
      <w:pStyle w:val="Bullets1"/>
      <w:lvlText w:val="•"/>
      <w:lvlJc w:val="left"/>
      <w:pPr>
        <w:tabs>
          <w:tab w:val="num" w:pos="170"/>
        </w:tabs>
        <w:ind w:left="170" w:hanging="170"/>
      </w:pPr>
      <w:rPr>
        <w:rFonts w:ascii="Garamond" w:hAnsi="Garamond" w:hint="default"/>
        <w:color w:val="000000" w:themeColor="text1"/>
        <w:sz w:val="22"/>
      </w:rPr>
    </w:lvl>
    <w:lvl w:ilvl="1">
      <w:start w:val="1"/>
      <w:numFmt w:val="bullet"/>
      <w:pStyle w:val="Bullets2"/>
      <w:lvlText w:val="–"/>
      <w:lvlJc w:val="left"/>
      <w:pPr>
        <w:tabs>
          <w:tab w:val="num" w:pos="397"/>
        </w:tabs>
        <w:ind w:left="397" w:hanging="227"/>
      </w:pPr>
      <w:rPr>
        <w:rFonts w:ascii="Garamond" w:hAnsi="Garamond" w:hint="default"/>
        <w:color w:val="44546A" w:themeColor="text2"/>
      </w:rPr>
    </w:lvl>
    <w:lvl w:ilvl="2">
      <w:start w:val="1"/>
      <w:numFmt w:val="bullet"/>
      <w:pStyle w:val="Bullets3"/>
      <w:lvlText w:val="–"/>
      <w:lvlJc w:val="left"/>
      <w:pPr>
        <w:tabs>
          <w:tab w:val="num" w:pos="567"/>
        </w:tabs>
        <w:ind w:left="567" w:hanging="170"/>
      </w:pPr>
      <w:rPr>
        <w:rFonts w:ascii="Garamond" w:hAnsi="Garamond" w:hint="default"/>
        <w:color w:val="44546A" w:themeColor="text2"/>
      </w:rPr>
    </w:lvl>
    <w:lvl w:ilvl="3">
      <w:start w:val="1"/>
      <w:numFmt w:val="bullet"/>
      <w:pStyle w:val="Bullets4"/>
      <w:lvlText w:val="-"/>
      <w:lvlJc w:val="left"/>
      <w:pPr>
        <w:tabs>
          <w:tab w:val="num" w:pos="709"/>
        </w:tabs>
        <w:ind w:left="709" w:hanging="142"/>
      </w:pPr>
      <w:rPr>
        <w:rFonts w:ascii="Garamond" w:hAnsi="Garamond" w:hint="default"/>
        <w:color w:val="44546A" w:themeColor="text2"/>
      </w:rPr>
    </w:lvl>
    <w:lvl w:ilvl="4">
      <w:start w:val="1"/>
      <w:numFmt w:val="bullet"/>
      <w:lvlText w:val="•"/>
      <w:lvlJc w:val="left"/>
      <w:pPr>
        <w:tabs>
          <w:tab w:val="num" w:pos="170"/>
        </w:tabs>
        <w:ind w:left="170" w:hanging="170"/>
      </w:pPr>
      <w:rPr>
        <w:rFonts w:ascii="Garamond" w:hAnsi="Garamond" w:hint="default"/>
        <w:color w:val="000000" w:themeColor="text1"/>
      </w:rPr>
    </w:lvl>
    <w:lvl w:ilvl="5">
      <w:start w:val="1"/>
      <w:numFmt w:val="bullet"/>
      <w:lvlText w:val="–"/>
      <w:lvlJc w:val="left"/>
      <w:pPr>
        <w:tabs>
          <w:tab w:val="num" w:pos="397"/>
        </w:tabs>
        <w:ind w:left="397" w:hanging="227"/>
      </w:pPr>
      <w:rPr>
        <w:rFonts w:ascii="Garamond" w:hAnsi="Garamond" w:hint="default"/>
        <w:color w:val="44546A" w:themeColor="text2"/>
      </w:rPr>
    </w:lvl>
    <w:lvl w:ilvl="6">
      <w:start w:val="1"/>
      <w:numFmt w:val="bullet"/>
      <w:lvlText w:val="–"/>
      <w:lvlJc w:val="left"/>
      <w:pPr>
        <w:tabs>
          <w:tab w:val="num" w:pos="567"/>
        </w:tabs>
        <w:ind w:left="567" w:hanging="170"/>
      </w:pPr>
      <w:rPr>
        <w:rFonts w:ascii="Garamond" w:hAnsi="Garamond" w:hint="default"/>
        <w:color w:val="44546A" w:themeColor="text2"/>
      </w:rPr>
    </w:lvl>
    <w:lvl w:ilvl="7">
      <w:start w:val="1"/>
      <w:numFmt w:val="bullet"/>
      <w:lvlText w:val="-"/>
      <w:lvlJc w:val="left"/>
      <w:pPr>
        <w:tabs>
          <w:tab w:val="num" w:pos="709"/>
        </w:tabs>
        <w:ind w:left="709" w:hanging="142"/>
      </w:pPr>
      <w:rPr>
        <w:rFonts w:ascii="Garamond" w:hAnsi="Garamond" w:hint="default"/>
        <w:color w:val="44546A" w:themeColor="text2"/>
      </w:rPr>
    </w:lvl>
    <w:lvl w:ilvl="8">
      <w:start w:val="1"/>
      <w:numFmt w:val="bullet"/>
      <w:lvlText w:val="•"/>
      <w:lvlJc w:val="left"/>
      <w:pPr>
        <w:tabs>
          <w:tab w:val="num" w:pos="170"/>
        </w:tabs>
        <w:ind w:left="170" w:hanging="170"/>
      </w:pPr>
      <w:rPr>
        <w:rFonts w:ascii="Garamond" w:hAnsi="Garamond" w:hint="default"/>
        <w:color w:val="000000" w:themeColor="text1"/>
      </w:rPr>
    </w:lvl>
  </w:abstractNum>
  <w:abstractNum w:abstractNumId="6" w15:restartNumberingAfterBreak="0">
    <w:nsid w:val="17DE625B"/>
    <w:multiLevelType w:val="hybridMultilevel"/>
    <w:tmpl w:val="EAAC4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741AE2"/>
    <w:multiLevelType w:val="hybridMultilevel"/>
    <w:tmpl w:val="F7480714"/>
    <w:lvl w:ilvl="0" w:tplc="19B0D7A2">
      <w:start w:val="1"/>
      <w:numFmt w:val="bullet"/>
      <w:lvlText w:val="-"/>
      <w:lvlJc w:val="left"/>
      <w:pPr>
        <w:ind w:left="644" w:hanging="360"/>
      </w:pPr>
      <w:rPr>
        <w:rFonts w:ascii="Courier New" w:hAnsi="Courier New" w:hint="default"/>
      </w:rPr>
    </w:lvl>
    <w:lvl w:ilvl="1" w:tplc="19B0D7A2">
      <w:start w:val="1"/>
      <w:numFmt w:val="bullet"/>
      <w:lvlText w:val="-"/>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1AF67D19"/>
    <w:multiLevelType w:val="hybridMultilevel"/>
    <w:tmpl w:val="B4581C54"/>
    <w:lvl w:ilvl="0" w:tplc="8FA08CF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F72543"/>
    <w:multiLevelType w:val="multilevel"/>
    <w:tmpl w:val="97645286"/>
    <w:lvl w:ilvl="0">
      <w:start w:val="1"/>
      <w:numFmt w:val="decimal"/>
      <w:pStyle w:val="StageHeading"/>
      <w:lvlText w:val="Stage %1:"/>
      <w:lvlJc w:val="left"/>
      <w:pPr>
        <w:tabs>
          <w:tab w:val="num" w:pos="1418"/>
        </w:tabs>
        <w:ind w:left="1418" w:hanging="1418"/>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27F6D5B"/>
    <w:multiLevelType w:val="hybridMultilevel"/>
    <w:tmpl w:val="0E1A5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27115B"/>
    <w:multiLevelType w:val="multilevel"/>
    <w:tmpl w:val="94CA9BF6"/>
    <w:styleLink w:val="Headings"/>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992" w:hanging="992"/>
      </w:pPr>
      <w:rPr>
        <w:rFonts w:hint="default"/>
        <w:u w:val="none"/>
      </w:rPr>
    </w:lvl>
    <w:lvl w:ilvl="2">
      <w:start w:val="1"/>
      <w:numFmt w:val="decimal"/>
      <w:pStyle w:val="Heading3"/>
      <w:lvlText w:val="%1.%2.%3"/>
      <w:lvlJc w:val="left"/>
      <w:pPr>
        <w:ind w:left="992" w:hanging="992"/>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9%1"/>
      <w:lvlJc w:val="left"/>
      <w:pPr>
        <w:tabs>
          <w:tab w:val="num" w:pos="1248"/>
        </w:tabs>
        <w:ind w:left="1248" w:hanging="822"/>
      </w:pPr>
      <w:rPr>
        <w:rFonts w:hint="default"/>
      </w:rPr>
    </w:lvl>
  </w:abstractNum>
  <w:abstractNum w:abstractNumId="12" w15:restartNumberingAfterBreak="0">
    <w:nsid w:val="38D8716E"/>
    <w:multiLevelType w:val="hybridMultilevel"/>
    <w:tmpl w:val="EF4027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CFE2728"/>
    <w:multiLevelType w:val="hybridMultilevel"/>
    <w:tmpl w:val="DB2265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12019B"/>
    <w:multiLevelType w:val="hybridMultilevel"/>
    <w:tmpl w:val="89482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BA56CF"/>
    <w:multiLevelType w:val="hybridMultilevel"/>
    <w:tmpl w:val="8AEAB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155D29"/>
    <w:multiLevelType w:val="hybridMultilevel"/>
    <w:tmpl w:val="EF60CF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67235D1"/>
    <w:multiLevelType w:val="hybridMultilevel"/>
    <w:tmpl w:val="A086B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007BF5"/>
    <w:multiLevelType w:val="hybridMultilevel"/>
    <w:tmpl w:val="C7D820B2"/>
    <w:lvl w:ilvl="0" w:tplc="1B5AA064">
      <w:start w:val="1"/>
      <w:numFmt w:val="decimal"/>
      <w:pStyle w:val="StrategicDirection"/>
      <w:lvlText w:val="Strategic Direction %1:"/>
      <w:lvlJc w:val="left"/>
      <w:pPr>
        <w:ind w:left="473" w:hanging="360"/>
      </w:pPr>
      <w:rPr>
        <w:rFonts w:ascii="Franklin Gothic Book" w:hAnsi="Franklin Gothic Book" w:hint="default"/>
        <w:caps w:val="0"/>
        <w:color w:val="000000" w:themeColor="text1"/>
        <w:sz w:val="20"/>
        <w:u w:val="none"/>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9" w15:restartNumberingAfterBreak="0">
    <w:nsid w:val="4BC347FC"/>
    <w:multiLevelType w:val="hybridMultilevel"/>
    <w:tmpl w:val="A81CEA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D672B4"/>
    <w:multiLevelType w:val="hybridMultilevel"/>
    <w:tmpl w:val="60CAA38C"/>
    <w:lvl w:ilvl="0" w:tplc="0C090001">
      <w:start w:val="1"/>
      <w:numFmt w:val="bullet"/>
      <w:lvlText w:val=""/>
      <w:lvlJc w:val="left"/>
      <w:pPr>
        <w:ind w:left="360" w:hanging="360"/>
      </w:pPr>
      <w:rPr>
        <w:rFonts w:ascii="Symbol" w:hAnsi="Symbol" w:hint="default"/>
      </w:rPr>
    </w:lvl>
    <w:lvl w:ilvl="1" w:tplc="19B0D7A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F131DB6"/>
    <w:multiLevelType w:val="hybridMultilevel"/>
    <w:tmpl w:val="1352B3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353300"/>
    <w:multiLevelType w:val="hybridMultilevel"/>
    <w:tmpl w:val="7D3E1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5135D2F"/>
    <w:multiLevelType w:val="multilevel"/>
    <w:tmpl w:val="7EC83984"/>
    <w:styleLink w:val="TableNumbers"/>
    <w:lvl w:ilvl="0">
      <w:start w:val="1"/>
      <w:numFmt w:val="decimal"/>
      <w:pStyle w:val="TableNumbers1"/>
      <w:lvlText w:val="(%1)"/>
      <w:lvlJc w:val="left"/>
      <w:pPr>
        <w:ind w:left="397" w:hanging="340"/>
      </w:pPr>
      <w:rPr>
        <w:rFonts w:hint="default"/>
      </w:rPr>
    </w:lvl>
    <w:lvl w:ilvl="1">
      <w:start w:val="1"/>
      <w:numFmt w:val="lowerLetter"/>
      <w:pStyle w:val="TableNumbers2"/>
      <w:lvlText w:val="(%2)"/>
      <w:lvlJc w:val="left"/>
      <w:pPr>
        <w:ind w:left="652" w:hanging="255"/>
      </w:pPr>
      <w:rPr>
        <w:rFonts w:hint="default"/>
      </w:rPr>
    </w:lvl>
    <w:lvl w:ilvl="2">
      <w:start w:val="1"/>
      <w:numFmt w:val="lowerRoman"/>
      <w:lvlText w:val="(%3)"/>
      <w:lvlJc w:val="left"/>
      <w:pPr>
        <w:ind w:left="1134" w:hanging="482"/>
      </w:pPr>
      <w:rPr>
        <w:rFonts w:hint="default"/>
      </w:rPr>
    </w:lvl>
    <w:lvl w:ilvl="3">
      <w:start w:val="1"/>
      <w:numFmt w:val="bullet"/>
      <w:lvlText w:val="-"/>
      <w:lvlJc w:val="left"/>
      <w:pPr>
        <w:tabs>
          <w:tab w:val="num" w:pos="1264"/>
        </w:tabs>
        <w:ind w:left="1332" w:hanging="198"/>
      </w:pPr>
      <w:rPr>
        <w:rFonts w:ascii="Garamond" w:hAnsi="Garamond" w:hint="default"/>
        <w:color w:val="44546A" w:themeColor="text2"/>
      </w:rPr>
    </w:lvl>
    <w:lvl w:ilvl="4">
      <w:start w:val="1"/>
      <w:numFmt w:val="decimal"/>
      <w:pStyle w:val="TableNumberssmall1"/>
      <w:lvlText w:val="(%5)"/>
      <w:lvlJc w:val="left"/>
      <w:pPr>
        <w:ind w:left="397" w:hanging="340"/>
      </w:pPr>
      <w:rPr>
        <w:rFonts w:hint="default"/>
      </w:rPr>
    </w:lvl>
    <w:lvl w:ilvl="5">
      <w:start w:val="1"/>
      <w:numFmt w:val="lowerLetter"/>
      <w:pStyle w:val="TableNumberssmall2"/>
      <w:lvlText w:val="(%6)"/>
      <w:lvlJc w:val="left"/>
      <w:pPr>
        <w:ind w:left="652" w:hanging="255"/>
      </w:pPr>
      <w:rPr>
        <w:rFonts w:hint="default"/>
      </w:rPr>
    </w:lvl>
    <w:lvl w:ilvl="6">
      <w:start w:val="1"/>
      <w:numFmt w:val="lowerRoman"/>
      <w:lvlText w:val="(%7)"/>
      <w:lvlJc w:val="left"/>
      <w:pPr>
        <w:ind w:left="1134" w:hanging="482"/>
      </w:pPr>
      <w:rPr>
        <w:rFonts w:hint="default"/>
      </w:rPr>
    </w:lvl>
    <w:lvl w:ilvl="7">
      <w:start w:val="1"/>
      <w:numFmt w:val="bullet"/>
      <w:lvlText w:val="-"/>
      <w:lvlJc w:val="left"/>
      <w:pPr>
        <w:ind w:left="1332" w:hanging="198"/>
      </w:pPr>
      <w:rPr>
        <w:rFonts w:ascii="Garamond" w:hAnsi="Garamond" w:hint="default"/>
        <w:color w:val="44546A" w:themeColor="text2"/>
      </w:rPr>
    </w:lvl>
    <w:lvl w:ilvl="8">
      <w:start w:val="1"/>
      <w:numFmt w:val="decimal"/>
      <w:lvlText w:val="(%9)"/>
      <w:lvlJc w:val="left"/>
      <w:pPr>
        <w:ind w:left="340" w:hanging="340"/>
      </w:pPr>
      <w:rPr>
        <w:rFonts w:hint="default"/>
      </w:rPr>
    </w:lvl>
  </w:abstractNum>
  <w:abstractNum w:abstractNumId="24" w15:restartNumberingAfterBreak="0">
    <w:nsid w:val="6597271E"/>
    <w:multiLevelType w:val="hybridMultilevel"/>
    <w:tmpl w:val="CDC815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F17EE2"/>
    <w:multiLevelType w:val="hybridMultilevel"/>
    <w:tmpl w:val="6A8E2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6" w15:restartNumberingAfterBreak="0">
    <w:nsid w:val="673E7C0A"/>
    <w:multiLevelType w:val="hybridMultilevel"/>
    <w:tmpl w:val="D450A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ED06C5"/>
    <w:multiLevelType w:val="hybridMultilevel"/>
    <w:tmpl w:val="65E44904"/>
    <w:lvl w:ilvl="0" w:tplc="D6145FAA">
      <w:start w:val="1"/>
      <w:numFmt w:val="decimal"/>
      <w:pStyle w:val="KeyFinding"/>
      <w:lvlText w:val="Key Finding %1:"/>
      <w:lvlJc w:val="left"/>
      <w:pPr>
        <w:ind w:left="473" w:hanging="360"/>
      </w:pPr>
      <w:rPr>
        <w:rFonts w:ascii="Franklin Gothic Book" w:hAnsi="Franklin Gothic Book" w:hint="default"/>
        <w:caps w:val="0"/>
        <w:color w:val="000000" w:themeColor="text1"/>
        <w:sz w:val="22"/>
        <w:u w:val="none"/>
      </w:r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28" w15:restartNumberingAfterBreak="0">
    <w:nsid w:val="691C2346"/>
    <w:multiLevelType w:val="hybridMultilevel"/>
    <w:tmpl w:val="8A182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A6B5790"/>
    <w:multiLevelType w:val="multilevel"/>
    <w:tmpl w:val="7A20B558"/>
    <w:lvl w:ilvl="0">
      <w:start w:val="1"/>
      <w:numFmt w:val="upperLetter"/>
      <w:pStyle w:val="HeadingAppendix2"/>
      <w:lvlText w:val="Appendix %1"/>
      <w:lvlJc w:val="left"/>
      <w:pPr>
        <w:tabs>
          <w:tab w:val="num" w:pos="1985"/>
        </w:tabs>
        <w:ind w:left="0" w:firstLine="0"/>
      </w:pPr>
      <w:rPr>
        <w:rFonts w:hint="default"/>
      </w:rPr>
    </w:lvl>
    <w:lvl w:ilvl="1">
      <w:start w:val="1"/>
      <w:numFmt w:val="decimal"/>
      <w:lvlText w:val="%1.%2"/>
      <w:lvlJc w:val="left"/>
      <w:pPr>
        <w:tabs>
          <w:tab w:val="num" w:pos="567"/>
        </w:tabs>
        <w:ind w:left="567" w:hanging="567"/>
      </w:pPr>
      <w:rPr>
        <w:rFonts w:ascii="Arial" w:hAnsi="Arial" w:hint="default"/>
        <w:b/>
        <w:i w:val="0"/>
        <w:sz w:val="24"/>
        <w:szCs w:val="24"/>
      </w:rPr>
    </w:lvl>
    <w:lvl w:ilvl="2">
      <w:start w:val="1"/>
      <w:numFmt w:val="decimal"/>
      <w:lvlText w:val="%1.%2.%3"/>
      <w:lvlJc w:val="left"/>
      <w:pPr>
        <w:tabs>
          <w:tab w:val="num" w:pos="919"/>
        </w:tabs>
        <w:ind w:left="2" w:firstLine="0"/>
      </w:pPr>
      <w:rPr>
        <w:rFonts w:hint="default"/>
      </w:rPr>
    </w:lvl>
    <w:lvl w:ilvl="3">
      <w:start w:val="1"/>
      <w:numFmt w:val="decimal"/>
      <w:lvlText w:val="%1.%2.%3.%4"/>
      <w:lvlJc w:val="left"/>
      <w:pPr>
        <w:tabs>
          <w:tab w:val="num" w:pos="1223"/>
        </w:tabs>
        <w:ind w:left="1223" w:hanging="864"/>
      </w:pPr>
      <w:rPr>
        <w:rFonts w:hint="default"/>
      </w:rPr>
    </w:lvl>
    <w:lvl w:ilvl="4">
      <w:start w:val="1"/>
      <w:numFmt w:val="lowerRoman"/>
      <w:lvlText w:val="(%5)"/>
      <w:lvlJc w:val="left"/>
      <w:pPr>
        <w:tabs>
          <w:tab w:val="num" w:pos="699"/>
        </w:tabs>
        <w:ind w:left="699" w:hanging="340"/>
      </w:pPr>
      <w:rPr>
        <w:rFonts w:hint="default"/>
      </w:rPr>
    </w:lvl>
    <w:lvl w:ilvl="5">
      <w:start w:val="1"/>
      <w:numFmt w:val="decimal"/>
      <w:lvlText w:val="%1.%2.%3.%4.%5.%6"/>
      <w:lvlJc w:val="left"/>
      <w:pPr>
        <w:tabs>
          <w:tab w:val="num" w:pos="1511"/>
        </w:tabs>
        <w:ind w:left="1511" w:hanging="1152"/>
      </w:pPr>
      <w:rPr>
        <w:rFonts w:hint="default"/>
      </w:rPr>
    </w:lvl>
    <w:lvl w:ilvl="6">
      <w:start w:val="1"/>
      <w:numFmt w:val="decimal"/>
      <w:lvlText w:val="%1.%2.%3.%4.%5.%6.%7"/>
      <w:lvlJc w:val="left"/>
      <w:pPr>
        <w:tabs>
          <w:tab w:val="num" w:pos="1655"/>
        </w:tabs>
        <w:ind w:left="1655" w:hanging="1296"/>
      </w:pPr>
      <w:rPr>
        <w:rFonts w:hint="default"/>
      </w:rPr>
    </w:lvl>
    <w:lvl w:ilvl="7">
      <w:start w:val="1"/>
      <w:numFmt w:val="decimal"/>
      <w:lvlText w:val="%1.%2.%3.%4.%5.%6.%7.%8"/>
      <w:lvlJc w:val="left"/>
      <w:pPr>
        <w:tabs>
          <w:tab w:val="num" w:pos="1799"/>
        </w:tabs>
        <w:ind w:left="1799" w:hanging="1440"/>
      </w:pPr>
      <w:rPr>
        <w:rFonts w:hint="default"/>
      </w:rPr>
    </w:lvl>
    <w:lvl w:ilvl="8">
      <w:start w:val="1"/>
      <w:numFmt w:val="decimal"/>
      <w:lvlText w:val="%1.%2.%3.%4.%5.%6.%7.%8.%9"/>
      <w:lvlJc w:val="left"/>
      <w:pPr>
        <w:tabs>
          <w:tab w:val="num" w:pos="1943"/>
        </w:tabs>
        <w:ind w:left="1943" w:hanging="1584"/>
      </w:pPr>
      <w:rPr>
        <w:rFonts w:hint="default"/>
      </w:rPr>
    </w:lvl>
  </w:abstractNum>
  <w:abstractNum w:abstractNumId="30" w15:restartNumberingAfterBreak="0">
    <w:nsid w:val="6AFC2484"/>
    <w:multiLevelType w:val="multilevel"/>
    <w:tmpl w:val="D21C1198"/>
    <w:styleLink w:val="Sections"/>
    <w:lvl w:ilvl="0">
      <w:start w:val="1"/>
      <w:numFmt w:val="upperLetter"/>
      <w:pStyle w:val="SectionTitle"/>
      <w:lvlText w:val="SECTION %1:"/>
      <w:lvlJc w:val="left"/>
      <w:pPr>
        <w:tabs>
          <w:tab w:val="num" w:pos="1871"/>
        </w:tabs>
        <w:ind w:left="1871" w:hanging="1871"/>
      </w:pPr>
      <w:rPr>
        <w:rFonts w:ascii="Franklin Gothic Book" w:hAnsi="Franklin Gothic Book" w:hint="default"/>
        <w:color w:val="000000" w:themeColor="text1"/>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5A2FE1"/>
    <w:multiLevelType w:val="multilevel"/>
    <w:tmpl w:val="A6242A8C"/>
    <w:styleLink w:val="Numbers"/>
    <w:lvl w:ilvl="0">
      <w:start w:val="1"/>
      <w:numFmt w:val="decimal"/>
      <w:pStyle w:val="Numbers1"/>
      <w:lvlText w:val="(%1)"/>
      <w:lvlJc w:val="left"/>
      <w:pPr>
        <w:ind w:left="454" w:hanging="454"/>
      </w:pPr>
      <w:rPr>
        <w:rFonts w:hint="default"/>
      </w:rPr>
    </w:lvl>
    <w:lvl w:ilvl="1">
      <w:start w:val="1"/>
      <w:numFmt w:val="lowerLetter"/>
      <w:pStyle w:val="Numbers2"/>
      <w:lvlText w:val="(%2)"/>
      <w:lvlJc w:val="left"/>
      <w:pPr>
        <w:ind w:left="765" w:hanging="311"/>
      </w:pPr>
      <w:rPr>
        <w:rFonts w:hint="default"/>
      </w:rPr>
    </w:lvl>
    <w:lvl w:ilvl="2">
      <w:start w:val="1"/>
      <w:numFmt w:val="lowerRoman"/>
      <w:pStyle w:val="Numbers3"/>
      <w:lvlText w:val="(%3)"/>
      <w:lvlJc w:val="left"/>
      <w:pPr>
        <w:ind w:left="1191" w:hanging="426"/>
      </w:pPr>
      <w:rPr>
        <w:rFonts w:hint="default"/>
      </w:rPr>
    </w:lvl>
    <w:lvl w:ilvl="3">
      <w:start w:val="1"/>
      <w:numFmt w:val="bullet"/>
      <w:pStyle w:val="Numbers4"/>
      <w:lvlText w:val="-"/>
      <w:lvlJc w:val="left"/>
      <w:pPr>
        <w:ind w:left="1332" w:hanging="141"/>
      </w:pPr>
      <w:rPr>
        <w:rFonts w:ascii="Garamond" w:hAnsi="Garamond" w:hint="default"/>
        <w:color w:val="44546A" w:themeColor="text2"/>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Garamond" w:hAnsi="Garamond" w:hint="default"/>
        <w:color w:val="44546A" w:themeColor="text2"/>
      </w:rPr>
    </w:lvl>
    <w:lvl w:ilvl="8">
      <w:start w:val="1"/>
      <w:numFmt w:val="decimal"/>
      <w:lvlText w:val="(%9)"/>
      <w:lvlJc w:val="left"/>
      <w:pPr>
        <w:ind w:left="3240" w:hanging="360"/>
      </w:pPr>
      <w:rPr>
        <w:rFonts w:hint="default"/>
      </w:rPr>
    </w:lvl>
  </w:abstractNum>
  <w:abstractNum w:abstractNumId="32" w15:restartNumberingAfterBreak="0">
    <w:nsid w:val="74651D62"/>
    <w:multiLevelType w:val="hybridMultilevel"/>
    <w:tmpl w:val="63CAC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5C673B6"/>
    <w:multiLevelType w:val="hybridMultilevel"/>
    <w:tmpl w:val="CAF6BF4A"/>
    <w:lvl w:ilvl="0" w:tplc="19B0D7A2">
      <w:start w:val="1"/>
      <w:numFmt w:val="bullet"/>
      <w:lvlText w:val="-"/>
      <w:lvlJc w:val="left"/>
      <w:pPr>
        <w:ind w:left="720" w:hanging="360"/>
      </w:pPr>
      <w:rPr>
        <w:rFonts w:ascii="Courier New" w:hAnsi="Courier New" w:hint="default"/>
      </w:rPr>
    </w:lvl>
    <w:lvl w:ilvl="1" w:tplc="19B0D7A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E4075F"/>
    <w:multiLevelType w:val="hybridMultilevel"/>
    <w:tmpl w:val="D81C5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D2615F"/>
    <w:multiLevelType w:val="hybridMultilevel"/>
    <w:tmpl w:val="24206898"/>
    <w:lvl w:ilvl="0" w:tplc="C7686F24">
      <w:start w:val="1"/>
      <w:numFmt w:val="upperLetter"/>
      <w:pStyle w:val="SectionPageTitle"/>
      <w:lvlText w:val="Part %1"/>
      <w:lvlJc w:val="left"/>
      <w:pPr>
        <w:ind w:left="360" w:hanging="360"/>
      </w:pPr>
      <w:rPr>
        <w:rFonts w:ascii="Franklin Gothic Demi" w:hAnsi="Franklin Gothic Demi" w:hint="default"/>
        <w:sz w:val="7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204A2A"/>
    <w:multiLevelType w:val="hybridMultilevel"/>
    <w:tmpl w:val="7A7A4008"/>
    <w:lvl w:ilvl="0" w:tplc="C448A124">
      <w:start w:val="1"/>
      <w:numFmt w:val="decimal"/>
      <w:pStyle w:val="Recommendation"/>
      <w:lvlText w:val="Recommendation %1:"/>
      <w:lvlJc w:val="left"/>
      <w:pPr>
        <w:ind w:left="360" w:hanging="360"/>
      </w:pPr>
      <w:rPr>
        <w:rFonts w:ascii="Franklin Gothic Heavy" w:hAnsi="Franklin Gothic Heavy" w:hint="default"/>
        <w:cap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3E44B6"/>
    <w:multiLevelType w:val="hybridMultilevel"/>
    <w:tmpl w:val="8C6EFE88"/>
    <w:lvl w:ilvl="0" w:tplc="0C090001">
      <w:start w:val="1"/>
      <w:numFmt w:val="bullet"/>
      <w:lvlText w:val=""/>
      <w:lvlJc w:val="left"/>
      <w:pPr>
        <w:ind w:left="360" w:hanging="360"/>
      </w:pPr>
      <w:rPr>
        <w:rFonts w:ascii="Symbol" w:hAnsi="Symbol" w:hint="default"/>
      </w:rPr>
    </w:lvl>
    <w:lvl w:ilvl="1" w:tplc="19B0D7A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BF54100"/>
    <w:multiLevelType w:val="hybridMultilevel"/>
    <w:tmpl w:val="4C4ECE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31"/>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6"/>
  </w:num>
  <w:num w:numId="7">
    <w:abstractNumId w:val="32"/>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7"/>
  </w:num>
  <w:num w:numId="11">
    <w:abstractNumId w:val="25"/>
  </w:num>
  <w:num w:numId="12">
    <w:abstractNumId w:val="4"/>
  </w:num>
  <w:num w:numId="13">
    <w:abstractNumId w:val="38"/>
  </w:num>
  <w:num w:numId="14">
    <w:abstractNumId w:val="33"/>
  </w:num>
  <w:num w:numId="15">
    <w:abstractNumId w:val="1"/>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6"/>
  </w:num>
  <w:num w:numId="19">
    <w:abstractNumId w:val="15"/>
  </w:num>
  <w:num w:numId="20">
    <w:abstractNumId w:val="13"/>
  </w:num>
  <w:num w:numId="21">
    <w:abstractNumId w:val="20"/>
  </w:num>
  <w:num w:numId="22">
    <w:abstractNumId w:val="14"/>
  </w:num>
  <w:num w:numId="23">
    <w:abstractNumId w:val="17"/>
  </w:num>
  <w:num w:numId="24">
    <w:abstractNumId w:val="19"/>
  </w:num>
  <w:num w:numId="25">
    <w:abstractNumId w:val="34"/>
  </w:num>
  <w:num w:numId="26">
    <w:abstractNumId w:val="21"/>
  </w:num>
  <w:num w:numId="27">
    <w:abstractNumId w:val="22"/>
  </w:num>
  <w:num w:numId="28">
    <w:abstractNumId w:val="3"/>
  </w:num>
  <w:num w:numId="29">
    <w:abstractNumId w:val="12"/>
  </w:num>
  <w:num w:numId="30">
    <w:abstractNumId w:val="24"/>
  </w:num>
  <w:num w:numId="31">
    <w:abstractNumId w:val="10"/>
  </w:num>
  <w:num w:numId="32">
    <w:abstractNumId w:val="2"/>
  </w:num>
  <w:num w:numId="33">
    <w:abstractNumId w:val="7"/>
  </w:num>
  <w:num w:numId="34">
    <w:abstractNumId w:val="5"/>
  </w:num>
  <w:num w:numId="35">
    <w:abstractNumId w:val="5"/>
  </w:num>
  <w:num w:numId="36">
    <w:abstractNumId w:val="29"/>
  </w:num>
  <w:num w:numId="37">
    <w:abstractNumId w:val="11"/>
  </w:num>
  <w:num w:numId="38">
    <w:abstractNumId w:val="36"/>
  </w:num>
  <w:num w:numId="39">
    <w:abstractNumId w:val="27"/>
  </w:num>
  <w:num w:numId="40">
    <w:abstractNumId w:val="31"/>
  </w:num>
  <w:num w:numId="41">
    <w:abstractNumId w:val="31"/>
  </w:num>
  <w:num w:numId="42">
    <w:abstractNumId w:val="35"/>
  </w:num>
  <w:num w:numId="43">
    <w:abstractNumId w:val="30"/>
  </w:num>
  <w:num w:numId="44">
    <w:abstractNumId w:val="9"/>
  </w:num>
  <w:num w:numId="45">
    <w:abstractNumId w:val="18"/>
  </w:num>
  <w:num w:numId="46">
    <w:abstractNumId w:val="0"/>
  </w:num>
  <w:num w:numId="47">
    <w:abstractNumId w:val="0"/>
  </w:num>
  <w:num w:numId="48">
    <w:abstractNumId w:val="23"/>
  </w:num>
  <w:num w:numId="49">
    <w:abstractNumId w:val="23"/>
  </w:num>
  <w:num w:numId="50">
    <w:abstractNumId w:val="11"/>
  </w:num>
  <w:num w:numId="51">
    <w:abstractNumId w:val="5"/>
  </w:num>
  <w:num w:numId="52">
    <w:abstractNumId w:val="5"/>
  </w:num>
  <w:num w:numId="53">
    <w:abstractNumId w:val="5"/>
  </w:num>
  <w:num w:numId="54">
    <w:abstractNumId w:val="5"/>
  </w:num>
  <w:num w:numId="55">
    <w:abstractNumId w:val="31"/>
  </w:num>
  <w:num w:numId="56">
    <w:abstractNumId w:val="31"/>
  </w:num>
  <w:num w:numId="57">
    <w:abstractNumId w:val="31"/>
  </w:num>
  <w:num w:numId="58">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B1"/>
    <w:rsid w:val="000121A1"/>
    <w:rsid w:val="00063226"/>
    <w:rsid w:val="0006497F"/>
    <w:rsid w:val="0006633E"/>
    <w:rsid w:val="00072DFC"/>
    <w:rsid w:val="000B3762"/>
    <w:rsid w:val="000C002F"/>
    <w:rsid w:val="00112926"/>
    <w:rsid w:val="00133610"/>
    <w:rsid w:val="0014275F"/>
    <w:rsid w:val="00152057"/>
    <w:rsid w:val="00166DB1"/>
    <w:rsid w:val="001C5BAE"/>
    <w:rsid w:val="001E4800"/>
    <w:rsid w:val="001E4D58"/>
    <w:rsid w:val="00207085"/>
    <w:rsid w:val="00256115"/>
    <w:rsid w:val="00281DD2"/>
    <w:rsid w:val="0029291C"/>
    <w:rsid w:val="00292F80"/>
    <w:rsid w:val="002D261F"/>
    <w:rsid w:val="002D4577"/>
    <w:rsid w:val="002E1F1A"/>
    <w:rsid w:val="003142F9"/>
    <w:rsid w:val="00323BD8"/>
    <w:rsid w:val="00357B19"/>
    <w:rsid w:val="003647AE"/>
    <w:rsid w:val="00367717"/>
    <w:rsid w:val="003826FF"/>
    <w:rsid w:val="00396081"/>
    <w:rsid w:val="003D449E"/>
    <w:rsid w:val="003E51C4"/>
    <w:rsid w:val="003F26C9"/>
    <w:rsid w:val="00416EC3"/>
    <w:rsid w:val="00483C21"/>
    <w:rsid w:val="004F0F6F"/>
    <w:rsid w:val="00512879"/>
    <w:rsid w:val="00546711"/>
    <w:rsid w:val="00580133"/>
    <w:rsid w:val="005A6C5B"/>
    <w:rsid w:val="005D2DA1"/>
    <w:rsid w:val="006060CE"/>
    <w:rsid w:val="00660B8E"/>
    <w:rsid w:val="0068689E"/>
    <w:rsid w:val="00720069"/>
    <w:rsid w:val="00775E5D"/>
    <w:rsid w:val="0078709D"/>
    <w:rsid w:val="00787AA0"/>
    <w:rsid w:val="0083126D"/>
    <w:rsid w:val="00837014"/>
    <w:rsid w:val="0086316D"/>
    <w:rsid w:val="008A499C"/>
    <w:rsid w:val="008A6360"/>
    <w:rsid w:val="00904A68"/>
    <w:rsid w:val="00912549"/>
    <w:rsid w:val="0093538D"/>
    <w:rsid w:val="009B60C3"/>
    <w:rsid w:val="009D1F73"/>
    <w:rsid w:val="009F66FB"/>
    <w:rsid w:val="00A4675C"/>
    <w:rsid w:val="00A77355"/>
    <w:rsid w:val="00AA0559"/>
    <w:rsid w:val="00AB00DC"/>
    <w:rsid w:val="00AD03B9"/>
    <w:rsid w:val="00B22AE0"/>
    <w:rsid w:val="00B24642"/>
    <w:rsid w:val="00B30A5C"/>
    <w:rsid w:val="00B402F5"/>
    <w:rsid w:val="00B508AE"/>
    <w:rsid w:val="00B77C1D"/>
    <w:rsid w:val="00BA72F1"/>
    <w:rsid w:val="00BF753C"/>
    <w:rsid w:val="00C16AA2"/>
    <w:rsid w:val="00C53DB8"/>
    <w:rsid w:val="00C72515"/>
    <w:rsid w:val="00C826BE"/>
    <w:rsid w:val="00C83B4A"/>
    <w:rsid w:val="00CB2141"/>
    <w:rsid w:val="00CC3926"/>
    <w:rsid w:val="00CE71F8"/>
    <w:rsid w:val="00CF2305"/>
    <w:rsid w:val="00CF382E"/>
    <w:rsid w:val="00D25FF8"/>
    <w:rsid w:val="00D3633D"/>
    <w:rsid w:val="00D43059"/>
    <w:rsid w:val="00D62D23"/>
    <w:rsid w:val="00D65552"/>
    <w:rsid w:val="00E45E42"/>
    <w:rsid w:val="00E804BF"/>
    <w:rsid w:val="00E86CA4"/>
    <w:rsid w:val="00EA1B6E"/>
    <w:rsid w:val="00EB2DB8"/>
    <w:rsid w:val="00EB4D7E"/>
    <w:rsid w:val="00F44120"/>
    <w:rsid w:val="00F71AF1"/>
    <w:rsid w:val="00F948C2"/>
    <w:rsid w:val="00FD2E06"/>
    <w:rsid w:val="00FF3C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69E2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5" w:unhideWhenUsed="1" w:qFormat="1"/>
    <w:lsdException w:name="heading 6" w:semiHidden="1" w:uiPriority="5" w:unhideWhenUsed="1" w:qFormat="1"/>
    <w:lsdException w:name="heading 7" w:semiHidden="1" w:uiPriority="5" w:unhideWhenUsed="1" w:qFormat="1"/>
    <w:lsdException w:name="heading 8" w:semiHidden="1" w:uiPriority="5" w:unhideWhenUsed="1" w:qFormat="1"/>
    <w:lsdException w:name="heading 9" w:semiHidden="1" w:uiPriority="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B24642"/>
    <w:pPr>
      <w:spacing w:after="0" w:line="264" w:lineRule="atLeast"/>
    </w:pPr>
    <w:rPr>
      <w:rFonts w:cs="Times New Roman"/>
      <w:color w:val="000000" w:themeColor="text1"/>
      <w:spacing w:val="-2"/>
      <w:szCs w:val="20"/>
    </w:rPr>
  </w:style>
  <w:style w:type="paragraph" w:styleId="Heading1">
    <w:name w:val="heading 1"/>
    <w:next w:val="BodyCopy"/>
    <w:link w:val="Heading1Char"/>
    <w:uiPriority w:val="4"/>
    <w:qFormat/>
    <w:rsid w:val="00B24642"/>
    <w:pPr>
      <w:keepNext/>
      <w:keepLines/>
      <w:pageBreakBefore/>
      <w:numPr>
        <w:numId w:val="50"/>
      </w:numPr>
      <w:spacing w:after="0" w:line="560" w:lineRule="exact"/>
      <w:outlineLvl w:val="0"/>
    </w:pPr>
    <w:rPr>
      <w:rFonts w:asciiTheme="majorHAnsi" w:eastAsiaTheme="majorEastAsia" w:hAnsiTheme="majorHAnsi" w:cstheme="majorBidi"/>
      <w:b/>
      <w:bCs/>
      <w:caps/>
      <w:color w:val="000000" w:themeColor="text1"/>
      <w:sz w:val="52"/>
      <w:szCs w:val="28"/>
    </w:rPr>
  </w:style>
  <w:style w:type="paragraph" w:styleId="Heading2">
    <w:name w:val="heading 2"/>
    <w:next w:val="BodyCopy"/>
    <w:link w:val="Heading2Char"/>
    <w:uiPriority w:val="4"/>
    <w:qFormat/>
    <w:rsid w:val="00B24642"/>
    <w:pPr>
      <w:keepNext/>
      <w:keepLines/>
      <w:numPr>
        <w:ilvl w:val="1"/>
        <w:numId w:val="50"/>
      </w:numPr>
      <w:spacing w:before="369" w:after="170" w:line="384" w:lineRule="atLeast"/>
      <w:outlineLvl w:val="1"/>
    </w:pPr>
    <w:rPr>
      <w:rFonts w:asciiTheme="majorHAnsi" w:eastAsiaTheme="majorEastAsia" w:hAnsiTheme="majorHAnsi" w:cstheme="majorBidi"/>
      <w:b/>
      <w:bCs/>
      <w:caps/>
      <w:color w:val="000000" w:themeColor="text1"/>
      <w:spacing w:val="-3"/>
      <w:sz w:val="32"/>
      <w:szCs w:val="26"/>
      <w:u w:val="single"/>
    </w:rPr>
  </w:style>
  <w:style w:type="paragraph" w:styleId="Heading3">
    <w:name w:val="heading 3"/>
    <w:next w:val="BodyCopy"/>
    <w:link w:val="Heading3Char"/>
    <w:uiPriority w:val="4"/>
    <w:qFormat/>
    <w:rsid w:val="00B24642"/>
    <w:pPr>
      <w:keepNext/>
      <w:keepLines/>
      <w:numPr>
        <w:ilvl w:val="2"/>
        <w:numId w:val="50"/>
      </w:numPr>
      <w:spacing w:before="284" w:after="142" w:line="336" w:lineRule="atLeast"/>
      <w:outlineLvl w:val="2"/>
    </w:pPr>
    <w:rPr>
      <w:rFonts w:ascii="Franklin Gothic Demi" w:eastAsiaTheme="majorEastAsia" w:hAnsi="Franklin Gothic Demi" w:cstheme="majorBidi"/>
      <w:bCs/>
      <w:color w:val="000000" w:themeColor="text1"/>
      <w:spacing w:val="-6"/>
      <w:sz w:val="28"/>
      <w:szCs w:val="20"/>
    </w:rPr>
  </w:style>
  <w:style w:type="paragraph" w:styleId="Heading4">
    <w:name w:val="heading 4"/>
    <w:next w:val="BodyCopy"/>
    <w:link w:val="Heading4Char"/>
    <w:uiPriority w:val="4"/>
    <w:qFormat/>
    <w:rsid w:val="00B24642"/>
    <w:pPr>
      <w:keepNext/>
      <w:keepLines/>
      <w:spacing w:before="170" w:after="113" w:line="288" w:lineRule="atLeast"/>
      <w:outlineLvl w:val="3"/>
    </w:pPr>
    <w:rPr>
      <w:rFonts w:asciiTheme="majorHAnsi" w:eastAsiaTheme="majorEastAsia" w:hAnsiTheme="majorHAnsi" w:cstheme="majorBidi"/>
      <w:bCs/>
      <w:iCs/>
      <w:color w:val="000000" w:themeColor="text1"/>
      <w:spacing w:val="-3"/>
      <w:sz w:val="24"/>
      <w:szCs w:val="20"/>
    </w:rPr>
  </w:style>
  <w:style w:type="paragraph" w:styleId="Heading5">
    <w:name w:val="heading 5"/>
    <w:next w:val="BodyText"/>
    <w:link w:val="Heading5Char"/>
    <w:uiPriority w:val="5"/>
    <w:semiHidden/>
    <w:qFormat/>
    <w:rsid w:val="00B24642"/>
    <w:pPr>
      <w:keepNext/>
      <w:keepLines/>
      <w:spacing w:before="200" w:after="0" w:line="240" w:lineRule="auto"/>
      <w:outlineLvl w:val="4"/>
    </w:pPr>
    <w:rPr>
      <w:rFonts w:asciiTheme="majorHAnsi" w:eastAsiaTheme="majorEastAsia" w:hAnsiTheme="majorHAnsi" w:cstheme="majorBidi"/>
      <w:color w:val="1F3763" w:themeColor="accent1" w:themeShade="7F"/>
      <w:sz w:val="20"/>
      <w:szCs w:val="20"/>
    </w:rPr>
  </w:style>
  <w:style w:type="paragraph" w:styleId="Heading6">
    <w:name w:val="heading 6"/>
    <w:next w:val="BodyText"/>
    <w:link w:val="Heading6Char"/>
    <w:uiPriority w:val="5"/>
    <w:semiHidden/>
    <w:qFormat/>
    <w:rsid w:val="00B24642"/>
    <w:pPr>
      <w:keepNext/>
      <w:keepLines/>
      <w:spacing w:before="200" w:after="0" w:line="240" w:lineRule="auto"/>
      <w:outlineLvl w:val="5"/>
    </w:pPr>
    <w:rPr>
      <w:rFonts w:asciiTheme="majorHAnsi" w:eastAsiaTheme="majorEastAsia" w:hAnsiTheme="majorHAnsi" w:cstheme="majorBidi"/>
      <w:i/>
      <w:iCs/>
      <w:color w:val="1F3763" w:themeColor="accent1" w:themeShade="7F"/>
      <w:sz w:val="20"/>
      <w:szCs w:val="20"/>
    </w:rPr>
  </w:style>
  <w:style w:type="paragraph" w:styleId="Heading7">
    <w:name w:val="heading 7"/>
    <w:next w:val="BodyText"/>
    <w:link w:val="Heading7Char"/>
    <w:uiPriority w:val="5"/>
    <w:semiHidden/>
    <w:qFormat/>
    <w:rsid w:val="00B24642"/>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Heading8">
    <w:name w:val="heading 8"/>
    <w:next w:val="BodyText"/>
    <w:link w:val="Heading8Char"/>
    <w:uiPriority w:val="5"/>
    <w:semiHidden/>
    <w:qFormat/>
    <w:rsid w:val="00B2464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next w:val="BodyText"/>
    <w:link w:val="Heading9Char"/>
    <w:uiPriority w:val="5"/>
    <w:semiHidden/>
    <w:rsid w:val="00B24642"/>
    <w:pPr>
      <w:keepNext/>
      <w:keepLines/>
      <w:pBdr>
        <w:bottom w:val="single" w:sz="4" w:space="14" w:color="E7E6E6" w:themeColor="background2"/>
      </w:pBdr>
      <w:spacing w:after="0" w:line="336" w:lineRule="atLeast"/>
      <w:outlineLvl w:val="8"/>
    </w:pPr>
    <w:rPr>
      <w:rFonts w:asciiTheme="majorHAnsi" w:eastAsiaTheme="majorEastAsia" w:hAnsiTheme="majorHAnsi" w:cstheme="majorBidi"/>
      <w:iCs/>
      <w:caps/>
      <w:color w:val="000000" w:themeColor="text1"/>
      <w:spacing w:val="-3"/>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Heading">
    <w:name w:val="Part Heading"/>
    <w:next w:val="BodyCopy"/>
    <w:link w:val="PartHeadingChar"/>
    <w:uiPriority w:val="4"/>
    <w:qFormat/>
    <w:rsid w:val="00166DB1"/>
    <w:pPr>
      <w:keepNext/>
      <w:keepLines/>
      <w:pageBreakBefore/>
      <w:spacing w:after="0" w:line="560" w:lineRule="exact"/>
      <w:outlineLvl w:val="0"/>
    </w:pPr>
    <w:rPr>
      <w:rFonts w:ascii="Franklin Gothic Book" w:eastAsia="Times New Roman" w:hAnsi="Franklin Gothic Book" w:cs="Times New Roman"/>
      <w:b/>
      <w:bCs/>
      <w:caps/>
      <w:color w:val="000000"/>
      <w:sz w:val="52"/>
      <w:szCs w:val="28"/>
    </w:rPr>
  </w:style>
  <w:style w:type="paragraph" w:customStyle="1" w:styleId="Heading21">
    <w:name w:val="Heading 21"/>
    <w:next w:val="BodyCopy"/>
    <w:uiPriority w:val="4"/>
    <w:qFormat/>
    <w:rsid w:val="00166DB1"/>
    <w:pPr>
      <w:keepNext/>
      <w:keepLines/>
      <w:spacing w:before="369" w:after="170" w:line="384" w:lineRule="atLeast"/>
      <w:outlineLvl w:val="1"/>
    </w:pPr>
    <w:rPr>
      <w:rFonts w:ascii="Franklin Gothic Book" w:eastAsia="Times New Roman" w:hAnsi="Franklin Gothic Book" w:cs="Times New Roman"/>
      <w:b/>
      <w:bCs/>
      <w:caps/>
      <w:color w:val="000000"/>
      <w:spacing w:val="-3"/>
      <w:sz w:val="32"/>
      <w:szCs w:val="26"/>
      <w:u w:val="single"/>
    </w:rPr>
  </w:style>
  <w:style w:type="paragraph" w:customStyle="1" w:styleId="Heading3b1">
    <w:name w:val="Heading 3b1"/>
    <w:next w:val="BodyCopy"/>
    <w:uiPriority w:val="4"/>
    <w:qFormat/>
    <w:rsid w:val="00166DB1"/>
    <w:pPr>
      <w:keepNext/>
      <w:keepLines/>
      <w:spacing w:before="284" w:after="142" w:line="336" w:lineRule="atLeast"/>
      <w:outlineLvl w:val="2"/>
    </w:pPr>
    <w:rPr>
      <w:rFonts w:ascii="Franklin Gothic Demi" w:eastAsia="Times New Roman" w:hAnsi="Franklin Gothic Demi" w:cs="Times New Roman"/>
      <w:bCs/>
      <w:color w:val="000000"/>
      <w:spacing w:val="-6"/>
      <w:sz w:val="28"/>
      <w:szCs w:val="20"/>
    </w:rPr>
  </w:style>
  <w:style w:type="paragraph" w:customStyle="1" w:styleId="Heading3a1">
    <w:name w:val="Heading 3a1"/>
    <w:next w:val="BodyCopy"/>
    <w:uiPriority w:val="4"/>
    <w:qFormat/>
    <w:rsid w:val="00166DB1"/>
    <w:pPr>
      <w:keepNext/>
      <w:keepLines/>
      <w:spacing w:before="170" w:after="113" w:line="288" w:lineRule="atLeast"/>
      <w:outlineLvl w:val="3"/>
    </w:pPr>
    <w:rPr>
      <w:rFonts w:ascii="Franklin Gothic Book" w:eastAsia="Times New Roman" w:hAnsi="Franklin Gothic Book" w:cs="Times New Roman"/>
      <w:bCs/>
      <w:iCs/>
      <w:color w:val="000000"/>
      <w:spacing w:val="-3"/>
      <w:sz w:val="24"/>
      <w:szCs w:val="20"/>
    </w:rPr>
  </w:style>
  <w:style w:type="paragraph" w:customStyle="1" w:styleId="Heading51">
    <w:name w:val="Heading 51"/>
    <w:next w:val="BodyText"/>
    <w:uiPriority w:val="5"/>
    <w:semiHidden/>
    <w:qFormat/>
    <w:rsid w:val="00166DB1"/>
    <w:pPr>
      <w:keepNext/>
      <w:keepLines/>
      <w:spacing w:before="200" w:after="0" w:line="240" w:lineRule="auto"/>
      <w:outlineLvl w:val="4"/>
    </w:pPr>
    <w:rPr>
      <w:rFonts w:ascii="Franklin Gothic Book" w:eastAsia="Times New Roman" w:hAnsi="Franklin Gothic Book" w:cs="Times New Roman"/>
      <w:color w:val="7F7800"/>
      <w:sz w:val="20"/>
      <w:szCs w:val="20"/>
    </w:rPr>
  </w:style>
  <w:style w:type="paragraph" w:customStyle="1" w:styleId="Heading61">
    <w:name w:val="Heading 61"/>
    <w:next w:val="BodyText"/>
    <w:uiPriority w:val="5"/>
    <w:semiHidden/>
    <w:qFormat/>
    <w:rsid w:val="00166DB1"/>
    <w:pPr>
      <w:keepNext/>
      <w:keepLines/>
      <w:spacing w:before="200" w:after="0" w:line="240" w:lineRule="auto"/>
      <w:outlineLvl w:val="5"/>
    </w:pPr>
    <w:rPr>
      <w:rFonts w:ascii="Franklin Gothic Book" w:eastAsia="Times New Roman" w:hAnsi="Franklin Gothic Book" w:cs="Times New Roman"/>
      <w:i/>
      <w:iCs/>
      <w:color w:val="7F7800"/>
      <w:sz w:val="20"/>
      <w:szCs w:val="20"/>
    </w:rPr>
  </w:style>
  <w:style w:type="paragraph" w:customStyle="1" w:styleId="Heading71">
    <w:name w:val="Heading 71"/>
    <w:next w:val="BodyText"/>
    <w:uiPriority w:val="5"/>
    <w:semiHidden/>
    <w:qFormat/>
    <w:rsid w:val="00166DB1"/>
    <w:pPr>
      <w:keepNext/>
      <w:keepLines/>
      <w:spacing w:before="200" w:after="0" w:line="240" w:lineRule="auto"/>
      <w:outlineLvl w:val="6"/>
    </w:pPr>
    <w:rPr>
      <w:rFonts w:ascii="Franklin Gothic Book" w:eastAsia="Times New Roman" w:hAnsi="Franklin Gothic Book" w:cs="Times New Roman"/>
      <w:i/>
      <w:iCs/>
      <w:color w:val="404040"/>
      <w:sz w:val="20"/>
      <w:szCs w:val="20"/>
    </w:rPr>
  </w:style>
  <w:style w:type="paragraph" w:customStyle="1" w:styleId="Heading81">
    <w:name w:val="Heading 81"/>
    <w:next w:val="BodyText"/>
    <w:uiPriority w:val="5"/>
    <w:semiHidden/>
    <w:qFormat/>
    <w:rsid w:val="00166DB1"/>
    <w:pPr>
      <w:keepNext/>
      <w:keepLines/>
      <w:spacing w:before="200" w:after="0" w:line="240" w:lineRule="auto"/>
      <w:outlineLvl w:val="7"/>
    </w:pPr>
    <w:rPr>
      <w:rFonts w:ascii="Franklin Gothic Book" w:eastAsia="Times New Roman" w:hAnsi="Franklin Gothic Book" w:cs="Times New Roman"/>
      <w:color w:val="404040"/>
      <w:sz w:val="20"/>
      <w:szCs w:val="20"/>
    </w:rPr>
  </w:style>
  <w:style w:type="paragraph" w:customStyle="1" w:styleId="Heading91">
    <w:name w:val="Heading 91"/>
    <w:next w:val="BodyText"/>
    <w:uiPriority w:val="5"/>
    <w:semiHidden/>
    <w:rsid w:val="00166DB1"/>
    <w:pPr>
      <w:keepNext/>
      <w:keepLines/>
      <w:pBdr>
        <w:bottom w:val="single" w:sz="4" w:space="14" w:color="FFF200"/>
      </w:pBdr>
      <w:spacing w:after="0" w:line="336" w:lineRule="atLeast"/>
      <w:outlineLvl w:val="8"/>
    </w:pPr>
    <w:rPr>
      <w:rFonts w:ascii="Franklin Gothic Book" w:eastAsia="Times New Roman" w:hAnsi="Franklin Gothic Book" w:cs="Times New Roman"/>
      <w:iCs/>
      <w:caps/>
      <w:color w:val="000000"/>
      <w:spacing w:val="-3"/>
      <w:sz w:val="28"/>
      <w:szCs w:val="20"/>
    </w:rPr>
  </w:style>
  <w:style w:type="numbering" w:customStyle="1" w:styleId="NoList1">
    <w:name w:val="No List1"/>
    <w:next w:val="NoList"/>
    <w:uiPriority w:val="99"/>
    <w:semiHidden/>
    <w:unhideWhenUsed/>
    <w:rsid w:val="00166DB1"/>
  </w:style>
  <w:style w:type="paragraph" w:styleId="BalloonText">
    <w:name w:val="Balloon Text"/>
    <w:basedOn w:val="Normal"/>
    <w:link w:val="BalloonTextChar"/>
    <w:uiPriority w:val="99"/>
    <w:semiHidden/>
    <w:rsid w:val="00B24642"/>
    <w:rPr>
      <w:rFonts w:ascii="Tahoma" w:hAnsi="Tahoma" w:cs="Tahoma"/>
      <w:sz w:val="16"/>
      <w:szCs w:val="16"/>
    </w:rPr>
  </w:style>
  <w:style w:type="character" w:customStyle="1" w:styleId="BalloonTextChar">
    <w:name w:val="Balloon Text Char"/>
    <w:basedOn w:val="DefaultParagraphFont"/>
    <w:link w:val="BalloonText"/>
    <w:uiPriority w:val="99"/>
    <w:semiHidden/>
    <w:rsid w:val="00B24642"/>
    <w:rPr>
      <w:rFonts w:ascii="Tahoma" w:hAnsi="Tahoma" w:cs="Tahoma"/>
      <w:color w:val="000000" w:themeColor="text1"/>
      <w:spacing w:val="-2"/>
      <w:sz w:val="16"/>
      <w:szCs w:val="16"/>
    </w:rPr>
  </w:style>
  <w:style w:type="table" w:styleId="TableGrid">
    <w:name w:val="Table Grid"/>
    <w:basedOn w:val="TableNormal"/>
    <w:uiPriority w:val="59"/>
    <w:rsid w:val="00B24642"/>
    <w:pPr>
      <w:spacing w:after="0" w:line="240" w:lineRule="auto"/>
    </w:pPr>
    <w:rPr>
      <w:rFonts w:ascii="Arial" w:hAnsi="Arial" w:cs="Times New Roman"/>
      <w:sz w:val="20"/>
      <w:szCs w:val="20"/>
    </w:rPr>
    <w:tblPr>
      <w:tblCellMar>
        <w:left w:w="0" w:type="dxa"/>
        <w:right w:w="0" w:type="dxa"/>
      </w:tblCellMar>
    </w:tblPr>
  </w:style>
  <w:style w:type="character" w:customStyle="1" w:styleId="PartHeadingChar">
    <w:name w:val="Part Heading Char"/>
    <w:basedOn w:val="DefaultParagraphFont"/>
    <w:link w:val="PartHeading"/>
    <w:uiPriority w:val="4"/>
    <w:rsid w:val="00166DB1"/>
    <w:rPr>
      <w:rFonts w:ascii="Franklin Gothic Book" w:eastAsia="Times New Roman" w:hAnsi="Franklin Gothic Book" w:cs="Times New Roman"/>
      <w:b/>
      <w:bCs/>
      <w:caps/>
      <w:color w:val="000000"/>
      <w:sz w:val="52"/>
      <w:szCs w:val="28"/>
    </w:rPr>
  </w:style>
  <w:style w:type="paragraph" w:customStyle="1" w:styleId="Footer1">
    <w:name w:val="Footer1"/>
    <w:next w:val="Footer"/>
    <w:uiPriority w:val="99"/>
    <w:semiHidden/>
    <w:rsid w:val="00166DB1"/>
    <w:pPr>
      <w:tabs>
        <w:tab w:val="center" w:pos="4513"/>
        <w:tab w:val="right" w:pos="9026"/>
      </w:tabs>
      <w:spacing w:after="0" w:line="240" w:lineRule="auto"/>
    </w:pPr>
    <w:rPr>
      <w:rFonts w:ascii="Garamond" w:hAnsi="Garamond"/>
    </w:rPr>
  </w:style>
  <w:style w:type="character" w:customStyle="1" w:styleId="FooterChar">
    <w:name w:val="Footer Char"/>
    <w:basedOn w:val="DefaultParagraphFont"/>
    <w:link w:val="Footer"/>
    <w:uiPriority w:val="99"/>
    <w:rsid w:val="00B24642"/>
    <w:rPr>
      <w:rFonts w:cs="Times New Roman"/>
      <w:sz w:val="20"/>
      <w:szCs w:val="20"/>
    </w:rPr>
  </w:style>
  <w:style w:type="paragraph" w:customStyle="1" w:styleId="Header1">
    <w:name w:val="Header1"/>
    <w:next w:val="Header"/>
    <w:uiPriority w:val="99"/>
    <w:semiHidden/>
    <w:rsid w:val="00166DB1"/>
    <w:pPr>
      <w:tabs>
        <w:tab w:val="center" w:pos="4513"/>
        <w:tab w:val="right" w:pos="9026"/>
      </w:tabs>
      <w:spacing w:after="0" w:line="240" w:lineRule="auto"/>
    </w:pPr>
    <w:rPr>
      <w:rFonts w:ascii="Garamond" w:hAnsi="Garamond"/>
    </w:rPr>
  </w:style>
  <w:style w:type="character" w:customStyle="1" w:styleId="HeaderChar">
    <w:name w:val="Header Char"/>
    <w:basedOn w:val="DefaultParagraphFont"/>
    <w:link w:val="Header"/>
    <w:uiPriority w:val="99"/>
    <w:rsid w:val="00B24642"/>
    <w:rPr>
      <w:rFonts w:cs="Times New Roman"/>
      <w:sz w:val="20"/>
      <w:szCs w:val="20"/>
    </w:rPr>
  </w:style>
  <w:style w:type="character" w:customStyle="1" w:styleId="Heading2Char">
    <w:name w:val="Heading 2 Char"/>
    <w:basedOn w:val="DefaultParagraphFont"/>
    <w:link w:val="Heading2"/>
    <w:uiPriority w:val="4"/>
    <w:rsid w:val="00B24642"/>
    <w:rPr>
      <w:rFonts w:asciiTheme="majorHAnsi" w:eastAsiaTheme="majorEastAsia" w:hAnsiTheme="majorHAnsi" w:cstheme="majorBidi"/>
      <w:b/>
      <w:bCs/>
      <w:caps/>
      <w:color w:val="000000" w:themeColor="text1"/>
      <w:spacing w:val="-3"/>
      <w:sz w:val="32"/>
      <w:szCs w:val="26"/>
      <w:u w:val="single"/>
    </w:rPr>
  </w:style>
  <w:style w:type="paragraph" w:customStyle="1" w:styleId="BodyText1">
    <w:name w:val="Body Text1"/>
    <w:next w:val="BodyText"/>
    <w:uiPriority w:val="99"/>
    <w:semiHidden/>
    <w:rsid w:val="00166DB1"/>
    <w:pPr>
      <w:spacing w:after="120" w:line="240" w:lineRule="auto"/>
    </w:pPr>
    <w:rPr>
      <w:rFonts w:ascii="Garamond" w:hAnsi="Garamond"/>
    </w:rPr>
  </w:style>
  <w:style w:type="character" w:customStyle="1" w:styleId="BodyTextChar">
    <w:name w:val="Body Text Char"/>
    <w:basedOn w:val="DefaultParagraphFont"/>
    <w:link w:val="BodyText"/>
    <w:uiPriority w:val="99"/>
    <w:semiHidden/>
    <w:rsid w:val="00B24642"/>
    <w:rPr>
      <w:rFonts w:cs="Times New Roman"/>
      <w:sz w:val="20"/>
      <w:szCs w:val="20"/>
    </w:rPr>
  </w:style>
  <w:style w:type="character" w:customStyle="1" w:styleId="Heading3Char">
    <w:name w:val="Heading 3 Char"/>
    <w:basedOn w:val="DefaultParagraphFont"/>
    <w:link w:val="Heading3"/>
    <w:uiPriority w:val="4"/>
    <w:rsid w:val="00B24642"/>
    <w:rPr>
      <w:rFonts w:ascii="Franklin Gothic Demi" w:eastAsiaTheme="majorEastAsia" w:hAnsi="Franklin Gothic Demi" w:cstheme="majorBidi"/>
      <w:bCs/>
      <w:color w:val="000000" w:themeColor="text1"/>
      <w:spacing w:val="-6"/>
      <w:sz w:val="28"/>
      <w:szCs w:val="20"/>
    </w:rPr>
  </w:style>
  <w:style w:type="character" w:customStyle="1" w:styleId="Heading4Char">
    <w:name w:val="Heading 4 Char"/>
    <w:basedOn w:val="DefaultParagraphFont"/>
    <w:link w:val="Heading4"/>
    <w:uiPriority w:val="4"/>
    <w:rsid w:val="00B24642"/>
    <w:rPr>
      <w:rFonts w:asciiTheme="majorHAnsi" w:eastAsiaTheme="majorEastAsia" w:hAnsiTheme="majorHAnsi" w:cstheme="majorBidi"/>
      <w:bCs/>
      <w:iCs/>
      <w:color w:val="000000" w:themeColor="text1"/>
      <w:spacing w:val="-3"/>
      <w:sz w:val="24"/>
      <w:szCs w:val="20"/>
    </w:rPr>
  </w:style>
  <w:style w:type="paragraph" w:customStyle="1" w:styleId="Subtitle1">
    <w:name w:val="Subtitle1"/>
    <w:next w:val="Subtitle"/>
    <w:uiPriority w:val="99"/>
    <w:semiHidden/>
    <w:qFormat/>
    <w:rsid w:val="00166DB1"/>
    <w:pPr>
      <w:numPr>
        <w:ilvl w:val="1"/>
      </w:numPr>
      <w:spacing w:after="0" w:line="240" w:lineRule="auto"/>
    </w:pPr>
    <w:rPr>
      <w:rFonts w:ascii="Franklin Gothic Book" w:eastAsia="Times New Roman" w:hAnsi="Franklin Gothic Book" w:cs="Times New Roman"/>
      <w:iCs/>
      <w:color w:val="FFF200"/>
      <w:sz w:val="24"/>
      <w:szCs w:val="24"/>
    </w:rPr>
  </w:style>
  <w:style w:type="character" w:customStyle="1" w:styleId="SubtitleChar">
    <w:name w:val="Subtitle Char"/>
    <w:basedOn w:val="DefaultParagraphFont"/>
    <w:link w:val="Subtitle"/>
    <w:uiPriority w:val="99"/>
    <w:rsid w:val="00B24642"/>
    <w:rPr>
      <w:rFonts w:asciiTheme="majorHAnsi" w:eastAsiaTheme="majorEastAsia" w:hAnsiTheme="majorHAnsi" w:cstheme="majorBidi"/>
      <w:iCs/>
      <w:color w:val="4472C4" w:themeColor="accent1"/>
      <w:sz w:val="24"/>
      <w:szCs w:val="24"/>
    </w:rPr>
  </w:style>
  <w:style w:type="paragraph" w:customStyle="1" w:styleId="Title1">
    <w:name w:val="Title1"/>
    <w:next w:val="Title"/>
    <w:uiPriority w:val="99"/>
    <w:semiHidden/>
    <w:qFormat/>
    <w:rsid w:val="00166DB1"/>
    <w:pPr>
      <w:pBdr>
        <w:bottom w:val="single" w:sz="8" w:space="4" w:color="FFF200"/>
      </w:pBdr>
      <w:spacing w:after="300" w:line="240" w:lineRule="auto"/>
      <w:contextualSpacing/>
    </w:pPr>
    <w:rPr>
      <w:rFonts w:ascii="Franklin Gothic Book" w:eastAsia="Times New Roman" w:hAnsi="Franklin Gothic Book" w:cs="Times New Roman"/>
      <w:color w:val="595959"/>
      <w:kern w:val="28"/>
      <w:sz w:val="52"/>
      <w:szCs w:val="52"/>
    </w:rPr>
  </w:style>
  <w:style w:type="character" w:customStyle="1" w:styleId="TitleChar">
    <w:name w:val="Title Char"/>
    <w:basedOn w:val="DefaultParagraphFont"/>
    <w:link w:val="Title"/>
    <w:uiPriority w:val="99"/>
    <w:rsid w:val="00B24642"/>
    <w:rPr>
      <w:rFonts w:asciiTheme="majorHAnsi" w:eastAsiaTheme="majorEastAsia" w:hAnsiTheme="majorHAnsi" w:cstheme="majorBidi"/>
      <w:color w:val="323E4F" w:themeColor="text2" w:themeShade="BF"/>
      <w:kern w:val="28"/>
      <w:sz w:val="52"/>
      <w:szCs w:val="52"/>
    </w:rPr>
  </w:style>
  <w:style w:type="paragraph" w:customStyle="1" w:styleId="Caption1">
    <w:name w:val="Caption1"/>
    <w:next w:val="BodyText"/>
    <w:uiPriority w:val="14"/>
    <w:qFormat/>
    <w:rsid w:val="00166DB1"/>
    <w:pPr>
      <w:keepNext/>
      <w:keepLines/>
      <w:spacing w:before="170" w:after="85" w:line="200" w:lineRule="exact"/>
      <w:jc w:val="center"/>
    </w:pPr>
    <w:rPr>
      <w:rFonts w:ascii="Franklin Gothic Demi" w:hAnsi="Franklin Gothic Demi" w:cs="Times New Roman"/>
      <w:bCs/>
      <w:color w:val="000000"/>
      <w:sz w:val="17"/>
      <w:szCs w:val="18"/>
    </w:rPr>
  </w:style>
  <w:style w:type="paragraph" w:customStyle="1" w:styleId="Date1">
    <w:name w:val="Date1"/>
    <w:next w:val="Date"/>
    <w:uiPriority w:val="99"/>
    <w:semiHidden/>
    <w:rsid w:val="00166DB1"/>
    <w:pPr>
      <w:spacing w:after="0" w:line="240" w:lineRule="auto"/>
    </w:pPr>
    <w:rPr>
      <w:rFonts w:ascii="Garamond" w:hAnsi="Garamond"/>
    </w:rPr>
  </w:style>
  <w:style w:type="character" w:customStyle="1" w:styleId="DateChar">
    <w:name w:val="Date Char"/>
    <w:basedOn w:val="DefaultParagraphFont"/>
    <w:link w:val="Date"/>
    <w:uiPriority w:val="99"/>
    <w:semiHidden/>
    <w:rsid w:val="00B24642"/>
    <w:rPr>
      <w:rFonts w:cs="Times New Roman"/>
      <w:sz w:val="20"/>
      <w:szCs w:val="20"/>
    </w:rPr>
  </w:style>
  <w:style w:type="paragraph" w:customStyle="1" w:styleId="EndnoteText1">
    <w:name w:val="Endnote Text1"/>
    <w:next w:val="EndnoteText"/>
    <w:uiPriority w:val="99"/>
    <w:semiHidden/>
    <w:rsid w:val="00166DB1"/>
    <w:pPr>
      <w:spacing w:after="0" w:line="240" w:lineRule="auto"/>
    </w:pPr>
    <w:rPr>
      <w:rFonts w:ascii="Garamond" w:hAnsi="Garamond"/>
    </w:rPr>
  </w:style>
  <w:style w:type="character" w:customStyle="1" w:styleId="EndnoteTextChar">
    <w:name w:val="Endnote Text Char"/>
    <w:basedOn w:val="DefaultParagraphFont"/>
    <w:link w:val="EndnoteText"/>
    <w:uiPriority w:val="99"/>
    <w:semiHidden/>
    <w:rsid w:val="00B24642"/>
    <w:rPr>
      <w:rFonts w:cs="Times New Roman"/>
      <w:sz w:val="20"/>
      <w:szCs w:val="20"/>
    </w:rPr>
  </w:style>
  <w:style w:type="paragraph" w:customStyle="1" w:styleId="FootnoteText1">
    <w:name w:val="Footnote Text1"/>
    <w:next w:val="FootnoteText"/>
    <w:uiPriority w:val="39"/>
    <w:semiHidden/>
    <w:rsid w:val="00166DB1"/>
    <w:pPr>
      <w:spacing w:after="0" w:line="192" w:lineRule="atLeast"/>
    </w:pPr>
    <w:rPr>
      <w:rFonts w:ascii="Garamond" w:hAnsi="Garamond"/>
      <w:i/>
      <w:color w:val="787878"/>
      <w:sz w:val="16"/>
    </w:rPr>
  </w:style>
  <w:style w:type="character" w:customStyle="1" w:styleId="FootnoteTextChar">
    <w:name w:val="Footnote Text Char"/>
    <w:basedOn w:val="DefaultParagraphFont"/>
    <w:link w:val="FootnoteText"/>
    <w:uiPriority w:val="39"/>
    <w:semiHidden/>
    <w:rsid w:val="00B24642"/>
    <w:rPr>
      <w:rFonts w:cs="Times New Roman"/>
      <w:i/>
      <w:color w:val="44546A" w:themeColor="text2"/>
      <w:sz w:val="16"/>
      <w:szCs w:val="20"/>
    </w:rPr>
  </w:style>
  <w:style w:type="paragraph" w:styleId="Quote">
    <w:name w:val="Quote"/>
    <w:basedOn w:val="BodyCopy"/>
    <w:next w:val="BodyCopy"/>
    <w:link w:val="QuoteChar"/>
    <w:qFormat/>
    <w:rsid w:val="00B24642"/>
    <w:pPr>
      <w:ind w:left="284" w:right="284"/>
    </w:pPr>
    <w:rPr>
      <w:rFonts w:ascii="Times New Roman" w:hAnsi="Times New Roman"/>
      <w:i/>
      <w:iCs/>
      <w:sz w:val="20"/>
    </w:rPr>
  </w:style>
  <w:style w:type="character" w:customStyle="1" w:styleId="QuoteChar">
    <w:name w:val="Quote Char"/>
    <w:basedOn w:val="DefaultParagraphFont"/>
    <w:link w:val="Quote"/>
    <w:rsid w:val="00B24642"/>
    <w:rPr>
      <w:rFonts w:ascii="Times New Roman" w:hAnsi="Times New Roman" w:cs="Times New Roman"/>
      <w:i/>
      <w:iCs/>
      <w:color w:val="000000" w:themeColor="text1"/>
      <w:spacing w:val="-2"/>
      <w:sz w:val="20"/>
      <w:szCs w:val="20"/>
    </w:rPr>
  </w:style>
  <w:style w:type="paragraph" w:customStyle="1" w:styleId="TableofFigures1">
    <w:name w:val="Table of Figures1"/>
    <w:next w:val="TableofFigures"/>
    <w:uiPriority w:val="99"/>
    <w:semiHidden/>
    <w:rsid w:val="00166DB1"/>
    <w:pPr>
      <w:spacing w:after="0" w:line="240" w:lineRule="auto"/>
    </w:pPr>
    <w:rPr>
      <w:rFonts w:cs="Times New Roman"/>
      <w:sz w:val="20"/>
      <w:szCs w:val="20"/>
    </w:rPr>
  </w:style>
  <w:style w:type="paragraph" w:customStyle="1" w:styleId="TOC11">
    <w:name w:val="TOC 11"/>
    <w:next w:val="TOC1"/>
    <w:uiPriority w:val="39"/>
    <w:rsid w:val="00CC3926"/>
    <w:pPr>
      <w:tabs>
        <w:tab w:val="center" w:pos="6804"/>
      </w:tabs>
      <w:spacing w:after="180" w:line="280" w:lineRule="atLeast"/>
      <w:ind w:left="397" w:right="1021"/>
      <w:contextualSpacing/>
    </w:pPr>
    <w:rPr>
      <w:rFonts w:ascii="Franklin Gothic Book" w:hAnsi="Franklin Gothic Book" w:cs="Times New Roman"/>
      <w:caps/>
      <w:color w:val="000000" w:themeColor="text1"/>
      <w:spacing w:val="-2"/>
      <w:szCs w:val="20"/>
    </w:rPr>
  </w:style>
  <w:style w:type="paragraph" w:customStyle="1" w:styleId="TOC21">
    <w:name w:val="TOC 21"/>
    <w:next w:val="TOC2"/>
    <w:uiPriority w:val="39"/>
    <w:rsid w:val="00CC3926"/>
    <w:pPr>
      <w:tabs>
        <w:tab w:val="left" w:pos="397"/>
        <w:tab w:val="center" w:pos="6804"/>
      </w:tabs>
      <w:spacing w:before="180" w:after="0" w:line="360" w:lineRule="atLeast"/>
      <w:ind w:left="397" w:right="1021" w:hanging="397"/>
    </w:pPr>
    <w:rPr>
      <w:rFonts w:ascii="Franklin Gothic Book" w:hAnsi="Franklin Gothic Book" w:cs="Times New Roman"/>
      <w:caps/>
      <w:color w:val="000000" w:themeColor="text1"/>
      <w:spacing w:val="-2"/>
      <w:sz w:val="28"/>
      <w:szCs w:val="20"/>
      <w:u w:val="single"/>
    </w:rPr>
  </w:style>
  <w:style w:type="paragraph" w:customStyle="1" w:styleId="TOC31">
    <w:name w:val="TOC 31"/>
    <w:next w:val="TOC3"/>
    <w:uiPriority w:val="39"/>
    <w:rsid w:val="00CC3926"/>
    <w:pPr>
      <w:tabs>
        <w:tab w:val="left" w:pos="964"/>
        <w:tab w:val="center" w:pos="6804"/>
      </w:tabs>
      <w:spacing w:before="80" w:after="0" w:line="280" w:lineRule="atLeast"/>
      <w:ind w:left="1361" w:right="1021" w:hanging="964"/>
      <w:contextualSpacing/>
    </w:pPr>
    <w:rPr>
      <w:rFonts w:ascii="Franklin Gothic Demi" w:hAnsi="Franklin Gothic Demi" w:cs="Times New Roman"/>
      <w:caps/>
      <w:color w:val="000000" w:themeColor="text1"/>
      <w:sz w:val="20"/>
      <w:szCs w:val="20"/>
    </w:rPr>
  </w:style>
  <w:style w:type="character" w:customStyle="1" w:styleId="Heading1Char">
    <w:name w:val="Heading 1 Char"/>
    <w:basedOn w:val="DefaultParagraphFont"/>
    <w:link w:val="Heading1"/>
    <w:uiPriority w:val="4"/>
    <w:rsid w:val="00B24642"/>
    <w:rPr>
      <w:rFonts w:asciiTheme="majorHAnsi" w:eastAsiaTheme="majorEastAsia" w:hAnsiTheme="majorHAnsi" w:cstheme="majorBidi"/>
      <w:b/>
      <w:bCs/>
      <w:caps/>
      <w:color w:val="000000" w:themeColor="text1"/>
      <w:sz w:val="52"/>
      <w:szCs w:val="28"/>
    </w:rPr>
  </w:style>
  <w:style w:type="paragraph" w:styleId="TOCHeading">
    <w:name w:val="TOC Heading"/>
    <w:basedOn w:val="Heading1"/>
    <w:next w:val="BodyText"/>
    <w:uiPriority w:val="99"/>
    <w:semiHidden/>
    <w:qFormat/>
    <w:rsid w:val="00B24642"/>
    <w:pPr>
      <w:framePr w:wrap="around" w:hAnchor="text"/>
      <w:outlineLvl w:val="9"/>
    </w:pPr>
  </w:style>
  <w:style w:type="character" w:customStyle="1" w:styleId="Heading5Char">
    <w:name w:val="Heading 5 Char"/>
    <w:basedOn w:val="DefaultParagraphFont"/>
    <w:link w:val="Heading5"/>
    <w:uiPriority w:val="5"/>
    <w:semiHidden/>
    <w:rsid w:val="00B24642"/>
    <w:rPr>
      <w:rFonts w:asciiTheme="majorHAnsi" w:eastAsiaTheme="majorEastAsia" w:hAnsiTheme="majorHAnsi" w:cstheme="majorBidi"/>
      <w:color w:val="1F3763" w:themeColor="accent1" w:themeShade="7F"/>
      <w:sz w:val="20"/>
      <w:szCs w:val="20"/>
    </w:rPr>
  </w:style>
  <w:style w:type="character" w:customStyle="1" w:styleId="Heading6Char">
    <w:name w:val="Heading 6 Char"/>
    <w:basedOn w:val="DefaultParagraphFont"/>
    <w:link w:val="Heading6"/>
    <w:uiPriority w:val="5"/>
    <w:semiHidden/>
    <w:rsid w:val="00B24642"/>
    <w:rPr>
      <w:rFonts w:asciiTheme="majorHAnsi" w:eastAsiaTheme="majorEastAsia" w:hAnsiTheme="majorHAnsi" w:cstheme="majorBidi"/>
      <w:i/>
      <w:iCs/>
      <w:color w:val="1F3763" w:themeColor="accent1" w:themeShade="7F"/>
      <w:sz w:val="20"/>
      <w:szCs w:val="20"/>
    </w:rPr>
  </w:style>
  <w:style w:type="character" w:customStyle="1" w:styleId="Heading7Char">
    <w:name w:val="Heading 7 Char"/>
    <w:basedOn w:val="DefaultParagraphFont"/>
    <w:link w:val="Heading7"/>
    <w:uiPriority w:val="5"/>
    <w:semiHidden/>
    <w:rsid w:val="00B2464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5"/>
    <w:semiHidden/>
    <w:rsid w:val="00B2464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5"/>
    <w:semiHidden/>
    <w:rsid w:val="00B24642"/>
    <w:rPr>
      <w:rFonts w:asciiTheme="majorHAnsi" w:eastAsiaTheme="majorEastAsia" w:hAnsiTheme="majorHAnsi" w:cstheme="majorBidi"/>
      <w:iCs/>
      <w:caps/>
      <w:color w:val="000000" w:themeColor="text1"/>
      <w:spacing w:val="-3"/>
      <w:sz w:val="28"/>
      <w:szCs w:val="20"/>
    </w:rPr>
  </w:style>
  <w:style w:type="numbering" w:customStyle="1" w:styleId="Headings">
    <w:name w:val="Headings"/>
    <w:basedOn w:val="NoList"/>
    <w:uiPriority w:val="99"/>
    <w:rsid w:val="00B24642"/>
    <w:pPr>
      <w:numPr>
        <w:numId w:val="37"/>
      </w:numPr>
    </w:pPr>
  </w:style>
  <w:style w:type="paragraph" w:customStyle="1" w:styleId="Bullets2">
    <w:name w:val="Bullets 2"/>
    <w:basedOn w:val="Bullets1"/>
    <w:qFormat/>
    <w:rsid w:val="00483C21"/>
    <w:pPr>
      <w:numPr>
        <w:ilvl w:val="1"/>
      </w:numPr>
    </w:pPr>
  </w:style>
  <w:style w:type="paragraph" w:customStyle="1" w:styleId="BodyCopy">
    <w:name w:val="Body Copy"/>
    <w:link w:val="BodyCopyChar"/>
    <w:qFormat/>
    <w:rsid w:val="00483C21"/>
    <w:pPr>
      <w:spacing w:before="85" w:after="85" w:line="264" w:lineRule="atLeast"/>
    </w:pPr>
    <w:rPr>
      <w:rFonts w:ascii="Garamond" w:hAnsi="Garamond" w:cs="Times New Roman"/>
      <w:color w:val="000000" w:themeColor="text1"/>
      <w:spacing w:val="-2"/>
      <w:szCs w:val="20"/>
    </w:rPr>
  </w:style>
  <w:style w:type="character" w:styleId="FootnoteReference">
    <w:name w:val="footnote reference"/>
    <w:basedOn w:val="DefaultParagraphFont"/>
    <w:uiPriority w:val="99"/>
    <w:semiHidden/>
    <w:rsid w:val="00B24642"/>
    <w:rPr>
      <w:vertAlign w:val="superscript"/>
    </w:rPr>
  </w:style>
  <w:style w:type="numbering" w:customStyle="1" w:styleId="Bullets">
    <w:name w:val="Bullets"/>
    <w:basedOn w:val="NoList"/>
    <w:uiPriority w:val="99"/>
    <w:rsid w:val="00B24642"/>
    <w:pPr>
      <w:numPr>
        <w:numId w:val="1"/>
      </w:numPr>
    </w:pPr>
  </w:style>
  <w:style w:type="paragraph" w:customStyle="1" w:styleId="Bullets1">
    <w:name w:val="Bullets 1"/>
    <w:basedOn w:val="BodyCopy"/>
    <w:qFormat/>
    <w:rsid w:val="00483C21"/>
    <w:pPr>
      <w:numPr>
        <w:numId w:val="54"/>
      </w:numPr>
      <w:spacing w:before="20" w:after="20"/>
    </w:pPr>
  </w:style>
  <w:style w:type="numbering" w:customStyle="1" w:styleId="Numbers">
    <w:name w:val="Numbers"/>
    <w:basedOn w:val="Bullets"/>
    <w:uiPriority w:val="99"/>
    <w:rsid w:val="00B24642"/>
    <w:pPr>
      <w:numPr>
        <w:numId w:val="2"/>
      </w:numPr>
    </w:pPr>
  </w:style>
  <w:style w:type="paragraph" w:customStyle="1" w:styleId="Numbers1">
    <w:name w:val="Numbers 1"/>
    <w:basedOn w:val="Bullets1"/>
    <w:qFormat/>
    <w:rsid w:val="00483C21"/>
    <w:pPr>
      <w:numPr>
        <w:numId w:val="58"/>
      </w:numPr>
    </w:pPr>
  </w:style>
  <w:style w:type="table" w:customStyle="1" w:styleId="HMATable">
    <w:name w:val="HMA Table"/>
    <w:basedOn w:val="TableNormal"/>
    <w:uiPriority w:val="99"/>
    <w:rsid w:val="009B60C3"/>
    <w:pPr>
      <w:spacing w:after="0" w:line="240" w:lineRule="auto"/>
    </w:pPr>
    <w:rPr>
      <w:rFonts w:ascii="Courier"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FFFFFF" w:themeFill="background1"/>
    </w:tcPr>
    <w:tblStylePr w:type="firstRow">
      <w:rPr>
        <w:rFonts w:asciiTheme="majorHAnsi" w:hAnsiTheme="majorHAnsi"/>
        <w:b w:val="0"/>
      </w:rPr>
      <w:tblPr/>
      <w:tcPr>
        <w:shd w:val="clear" w:color="auto" w:fill="5B9BD5" w:themeFill="accent5"/>
      </w:tcPr>
    </w:tblStylePr>
    <w:tblStylePr w:type="lastRow">
      <w:rPr>
        <w:rFonts w:asciiTheme="minorHAnsi" w:hAnsiTheme="minorHAnsi"/>
        <w:b/>
      </w:rPr>
    </w:tblStylePr>
    <w:tblStylePr w:type="firstCol">
      <w:rPr>
        <w:rFonts w:asciiTheme="minorHAnsi" w:hAnsiTheme="minorHAnsi"/>
        <w:b/>
      </w:rPr>
    </w:tblStylePr>
    <w:tblStylePr w:type="neCell">
      <w:rPr>
        <w:b w:val="0"/>
      </w:rPr>
    </w:tblStylePr>
    <w:tblStylePr w:type="nwCell">
      <w:rPr>
        <w:b w:val="0"/>
      </w:rPr>
    </w:tblStylePr>
  </w:style>
  <w:style w:type="paragraph" w:customStyle="1" w:styleId="SectionTitle">
    <w:name w:val="Section Title"/>
    <w:basedOn w:val="BodyCopy"/>
    <w:next w:val="BodyCopy"/>
    <w:uiPriority w:val="5"/>
    <w:qFormat/>
    <w:rsid w:val="009B60C3"/>
    <w:pPr>
      <w:numPr>
        <w:numId w:val="43"/>
      </w:numPr>
      <w:shd w:val="clear" w:color="auto" w:fill="FFF200"/>
      <w:spacing w:before="520" w:line="384" w:lineRule="atLeast"/>
    </w:pPr>
    <w:rPr>
      <w:rFonts w:asciiTheme="majorHAnsi" w:hAnsiTheme="majorHAnsi"/>
      <w:caps/>
      <w:sz w:val="32"/>
    </w:rPr>
  </w:style>
  <w:style w:type="numbering" w:customStyle="1" w:styleId="Sections">
    <w:name w:val="Sections"/>
    <w:basedOn w:val="NoList"/>
    <w:uiPriority w:val="99"/>
    <w:rsid w:val="00B24642"/>
    <w:pPr>
      <w:numPr>
        <w:numId w:val="43"/>
      </w:numPr>
    </w:pPr>
  </w:style>
  <w:style w:type="paragraph" w:customStyle="1" w:styleId="TableColumnHeading">
    <w:name w:val="Table Column Heading"/>
    <w:uiPriority w:val="17"/>
    <w:qFormat/>
    <w:rsid w:val="00B24642"/>
    <w:pPr>
      <w:keepNext/>
      <w:spacing w:after="0" w:line="264" w:lineRule="atLeast"/>
      <w:ind w:left="57" w:right="57"/>
    </w:pPr>
    <w:rPr>
      <w:rFonts w:asciiTheme="majorHAnsi" w:hAnsiTheme="majorHAnsi" w:cs="Times New Roman"/>
      <w:color w:val="000000" w:themeColor="text1"/>
      <w:spacing w:val="-2"/>
      <w:szCs w:val="20"/>
    </w:rPr>
  </w:style>
  <w:style w:type="character" w:customStyle="1" w:styleId="Superscript">
    <w:name w:val="Superscript"/>
    <w:basedOn w:val="DefaultParagraphFont"/>
    <w:uiPriority w:val="22"/>
    <w:qFormat/>
    <w:rsid w:val="00B24642"/>
    <w:rPr>
      <w:vertAlign w:val="superscript"/>
    </w:rPr>
  </w:style>
  <w:style w:type="paragraph" w:customStyle="1" w:styleId="TableCopy">
    <w:name w:val="Table Copy"/>
    <w:uiPriority w:val="14"/>
    <w:qFormat/>
    <w:rsid w:val="00B24642"/>
    <w:pPr>
      <w:spacing w:after="0" w:line="240" w:lineRule="atLeast"/>
      <w:ind w:left="57" w:right="57"/>
    </w:pPr>
    <w:rPr>
      <w:rFonts w:ascii="Garamond" w:hAnsi="Garamond" w:cs="Times New Roman"/>
      <w:color w:val="000000" w:themeColor="text1"/>
      <w:spacing w:val="-2"/>
      <w:sz w:val="20"/>
      <w:szCs w:val="20"/>
    </w:rPr>
  </w:style>
  <w:style w:type="paragraph" w:customStyle="1" w:styleId="RecommendationsTableHeading">
    <w:name w:val="Recommendations Table Heading"/>
    <w:basedOn w:val="KeyFindingsTableHeading"/>
    <w:uiPriority w:val="21"/>
    <w:rsid w:val="00B24642"/>
    <w:pPr>
      <w:spacing w:line="216" w:lineRule="atLeast"/>
    </w:pPr>
  </w:style>
  <w:style w:type="paragraph" w:customStyle="1" w:styleId="TableNotes">
    <w:name w:val="Table Notes"/>
    <w:basedOn w:val="BodyCopy"/>
    <w:uiPriority w:val="21"/>
    <w:qFormat/>
    <w:rsid w:val="00B24642"/>
    <w:pPr>
      <w:tabs>
        <w:tab w:val="left" w:pos="227"/>
      </w:tabs>
      <w:spacing w:after="170" w:line="158" w:lineRule="atLeast"/>
      <w:contextualSpacing/>
    </w:pPr>
    <w:rPr>
      <w:i/>
      <w:sz w:val="14"/>
    </w:rPr>
  </w:style>
  <w:style w:type="paragraph" w:customStyle="1" w:styleId="MissionStatementHeading">
    <w:name w:val="Mission Statement Heading"/>
    <w:uiPriority w:val="24"/>
    <w:rsid w:val="00B24642"/>
    <w:pPr>
      <w:framePr w:hSpace="181" w:wrap="notBeside" w:vAnchor="text" w:hAnchor="margin" w:y="6096"/>
      <w:spacing w:after="480" w:line="480" w:lineRule="exact"/>
    </w:pPr>
    <w:rPr>
      <w:rFonts w:ascii="Franklin Gothic Book" w:hAnsi="Franklin Gothic Book" w:cs="Times New Roman"/>
      <w:color w:val="44546A" w:themeColor="text2"/>
      <w:sz w:val="48"/>
      <w:szCs w:val="20"/>
      <w:u w:val="single"/>
    </w:rPr>
  </w:style>
  <w:style w:type="paragraph" w:customStyle="1" w:styleId="MissionStatementBody">
    <w:name w:val="Mission Statement Body"/>
    <w:next w:val="BodyCopy"/>
    <w:uiPriority w:val="24"/>
    <w:rsid w:val="00B24642"/>
    <w:pPr>
      <w:framePr w:wrap="notBeside" w:vAnchor="text" w:hAnchor="text" w:y="1"/>
      <w:spacing w:after="0" w:line="540" w:lineRule="exact"/>
    </w:pPr>
    <w:rPr>
      <w:rFonts w:ascii="Franklin Gothic Book" w:hAnsi="Franklin Gothic Book" w:cs="Times New Roman"/>
      <w:i/>
      <w:color w:val="44546A" w:themeColor="text2"/>
      <w:sz w:val="48"/>
      <w:szCs w:val="20"/>
    </w:rPr>
  </w:style>
  <w:style w:type="character" w:customStyle="1" w:styleId="BodyCopyChar">
    <w:name w:val="Body Copy Char"/>
    <w:basedOn w:val="DefaultParagraphFont"/>
    <w:link w:val="BodyCopy"/>
    <w:rsid w:val="00483C21"/>
    <w:rPr>
      <w:rFonts w:ascii="Garamond" w:hAnsi="Garamond" w:cs="Times New Roman"/>
      <w:color w:val="000000" w:themeColor="text1"/>
      <w:spacing w:val="-2"/>
      <w:szCs w:val="20"/>
    </w:rPr>
  </w:style>
  <w:style w:type="character" w:styleId="PlaceholderText">
    <w:name w:val="Placeholder Text"/>
    <w:basedOn w:val="DefaultParagraphFont"/>
    <w:uiPriority w:val="99"/>
    <w:semiHidden/>
    <w:rsid w:val="00B24642"/>
    <w:rPr>
      <w:color w:val="808080"/>
    </w:rPr>
  </w:style>
  <w:style w:type="paragraph" w:customStyle="1" w:styleId="DocumentInfo">
    <w:name w:val="Document Info"/>
    <w:link w:val="DocumentInfoChar"/>
    <w:uiPriority w:val="34"/>
    <w:rsid w:val="00B24642"/>
    <w:pPr>
      <w:spacing w:after="0" w:line="288" w:lineRule="exact"/>
    </w:pPr>
    <w:rPr>
      <w:rFonts w:asciiTheme="majorHAnsi" w:hAnsiTheme="majorHAnsi" w:cs="Times New Roman"/>
      <w:caps/>
      <w:color w:val="000000" w:themeColor="text1"/>
      <w:spacing w:val="-2"/>
      <w:sz w:val="24"/>
      <w:szCs w:val="20"/>
    </w:rPr>
  </w:style>
  <w:style w:type="character" w:customStyle="1" w:styleId="DocumentInfoChar">
    <w:name w:val="Document Info Char"/>
    <w:basedOn w:val="DefaultParagraphFont"/>
    <w:link w:val="DocumentInfo"/>
    <w:uiPriority w:val="34"/>
    <w:rsid w:val="00B24642"/>
    <w:rPr>
      <w:rFonts w:asciiTheme="majorHAnsi" w:hAnsiTheme="majorHAnsi" w:cs="Times New Roman"/>
      <w:caps/>
      <w:color w:val="000000" w:themeColor="text1"/>
      <w:spacing w:val="-2"/>
      <w:sz w:val="24"/>
      <w:szCs w:val="20"/>
    </w:rPr>
  </w:style>
  <w:style w:type="paragraph" w:customStyle="1" w:styleId="DocumentTitle">
    <w:name w:val="Document Title"/>
    <w:link w:val="DocumentTitleChar"/>
    <w:uiPriority w:val="34"/>
    <w:rsid w:val="00B24642"/>
    <w:pPr>
      <w:spacing w:after="284" w:line="432" w:lineRule="exact"/>
    </w:pPr>
    <w:rPr>
      <w:rFonts w:ascii="Franklin Gothic Demi" w:hAnsi="Franklin Gothic Demi" w:cs="Times New Roman"/>
      <w:color w:val="000000" w:themeColor="text1"/>
      <w:spacing w:val="-4"/>
      <w:sz w:val="36"/>
      <w:szCs w:val="20"/>
    </w:rPr>
  </w:style>
  <w:style w:type="character" w:customStyle="1" w:styleId="DocumentTitleChar">
    <w:name w:val="Document Title Char"/>
    <w:basedOn w:val="DefaultParagraphFont"/>
    <w:link w:val="DocumentTitle"/>
    <w:uiPriority w:val="34"/>
    <w:rsid w:val="00B24642"/>
    <w:rPr>
      <w:rFonts w:ascii="Franklin Gothic Demi" w:hAnsi="Franklin Gothic Demi" w:cs="Times New Roman"/>
      <w:color w:val="000000" w:themeColor="text1"/>
      <w:spacing w:val="-4"/>
      <w:sz w:val="36"/>
      <w:szCs w:val="20"/>
    </w:rPr>
  </w:style>
  <w:style w:type="paragraph" w:customStyle="1" w:styleId="DocumentPublishDate">
    <w:name w:val="Document Publish Date"/>
    <w:next w:val="BodyCopy"/>
    <w:link w:val="DocumentPublishDateChar"/>
    <w:uiPriority w:val="35"/>
    <w:rsid w:val="00B24642"/>
    <w:pPr>
      <w:spacing w:after="0" w:line="264" w:lineRule="exact"/>
    </w:pPr>
    <w:rPr>
      <w:rFonts w:cs="Times New Roman"/>
      <w:caps/>
      <w:color w:val="000000" w:themeColor="text1"/>
      <w:spacing w:val="-2"/>
      <w:szCs w:val="20"/>
    </w:rPr>
  </w:style>
  <w:style w:type="character" w:customStyle="1" w:styleId="DocumentPublishDateChar">
    <w:name w:val="Document Publish Date Char"/>
    <w:basedOn w:val="DefaultParagraphFont"/>
    <w:link w:val="DocumentPublishDate"/>
    <w:uiPriority w:val="35"/>
    <w:rsid w:val="00B24642"/>
    <w:rPr>
      <w:rFonts w:cs="Times New Roman"/>
      <w:caps/>
      <w:color w:val="000000" w:themeColor="text1"/>
      <w:spacing w:val="-2"/>
      <w:szCs w:val="20"/>
    </w:rPr>
  </w:style>
  <w:style w:type="paragraph" w:customStyle="1" w:styleId="HeaderText">
    <w:name w:val="Header Text"/>
    <w:next w:val="BodyCopy"/>
    <w:link w:val="HeaderTextChar"/>
    <w:uiPriority w:val="34"/>
    <w:semiHidden/>
    <w:qFormat/>
    <w:rsid w:val="00B24642"/>
    <w:pPr>
      <w:spacing w:after="0" w:line="144" w:lineRule="exact"/>
    </w:pPr>
    <w:rPr>
      <w:rFonts w:ascii="Franklin Gothic Demi" w:hAnsi="Franklin Gothic Demi" w:cs="Times New Roman"/>
      <w:caps/>
      <w:color w:val="000000" w:themeColor="text1"/>
      <w:spacing w:val="-2"/>
      <w:sz w:val="12"/>
      <w:szCs w:val="20"/>
    </w:rPr>
  </w:style>
  <w:style w:type="character" w:customStyle="1" w:styleId="HeaderTextChar">
    <w:name w:val="Header Text Char"/>
    <w:basedOn w:val="DefaultParagraphFont"/>
    <w:link w:val="HeaderText"/>
    <w:uiPriority w:val="34"/>
    <w:semiHidden/>
    <w:rsid w:val="00B24642"/>
    <w:rPr>
      <w:rFonts w:ascii="Franklin Gothic Demi" w:hAnsi="Franklin Gothic Demi" w:cs="Times New Roman"/>
      <w:caps/>
      <w:color w:val="000000" w:themeColor="text1"/>
      <w:spacing w:val="-2"/>
      <w:sz w:val="12"/>
      <w:szCs w:val="20"/>
    </w:rPr>
  </w:style>
  <w:style w:type="paragraph" w:customStyle="1" w:styleId="HeaderSecondaryText">
    <w:name w:val="Header Secondary Text"/>
    <w:link w:val="HeaderSecondaryTextChar"/>
    <w:uiPriority w:val="34"/>
    <w:semiHidden/>
    <w:qFormat/>
    <w:rsid w:val="00B24642"/>
    <w:pPr>
      <w:spacing w:after="0" w:line="144" w:lineRule="exact"/>
    </w:pPr>
    <w:rPr>
      <w:rFonts w:asciiTheme="majorHAnsi" w:eastAsiaTheme="majorEastAsia" w:hAnsiTheme="majorHAnsi" w:cstheme="majorBidi"/>
      <w:bCs/>
      <w:iCs/>
      <w:color w:val="44546A" w:themeColor="text2"/>
      <w:spacing w:val="-3"/>
      <w:sz w:val="12"/>
      <w:szCs w:val="20"/>
    </w:rPr>
  </w:style>
  <w:style w:type="character" w:customStyle="1" w:styleId="HeaderSecondaryTextChar">
    <w:name w:val="Header Secondary Text Char"/>
    <w:basedOn w:val="DefaultParagraphFont"/>
    <w:link w:val="HeaderSecondaryText"/>
    <w:uiPriority w:val="34"/>
    <w:semiHidden/>
    <w:rsid w:val="00B24642"/>
    <w:rPr>
      <w:rFonts w:asciiTheme="majorHAnsi" w:eastAsiaTheme="majorEastAsia" w:hAnsiTheme="majorHAnsi" w:cstheme="majorBidi"/>
      <w:bCs/>
      <w:iCs/>
      <w:color w:val="44546A" w:themeColor="text2"/>
      <w:spacing w:val="-3"/>
      <w:sz w:val="12"/>
      <w:szCs w:val="20"/>
    </w:rPr>
  </w:style>
  <w:style w:type="paragraph" w:customStyle="1" w:styleId="PullQuote">
    <w:name w:val="Pull Quote"/>
    <w:next w:val="BodyCopy"/>
    <w:link w:val="PullQuoteChar"/>
    <w:uiPriority w:val="24"/>
    <w:qFormat/>
    <w:rsid w:val="00B24642"/>
    <w:pPr>
      <w:pageBreakBefore/>
      <w:spacing w:after="440" w:line="672" w:lineRule="exact"/>
    </w:pPr>
    <w:rPr>
      <w:rFonts w:asciiTheme="majorHAnsi" w:hAnsiTheme="majorHAnsi" w:cs="Times New Roman"/>
      <w:color w:val="44546A" w:themeColor="text2"/>
      <w:spacing w:val="-6"/>
      <w:sz w:val="56"/>
      <w:szCs w:val="20"/>
    </w:rPr>
  </w:style>
  <w:style w:type="character" w:customStyle="1" w:styleId="PullQuoteChar">
    <w:name w:val="Pull Quote Char"/>
    <w:basedOn w:val="DefaultParagraphFont"/>
    <w:link w:val="PullQuote"/>
    <w:uiPriority w:val="24"/>
    <w:rsid w:val="00B24642"/>
    <w:rPr>
      <w:rFonts w:asciiTheme="majorHAnsi" w:hAnsiTheme="majorHAnsi" w:cs="Times New Roman"/>
      <w:color w:val="44546A" w:themeColor="text2"/>
      <w:spacing w:val="-6"/>
      <w:sz w:val="56"/>
      <w:szCs w:val="20"/>
    </w:rPr>
  </w:style>
  <w:style w:type="paragraph" w:customStyle="1" w:styleId="PullQuoteReference">
    <w:name w:val="Pull Quote Reference"/>
    <w:next w:val="BodyCopy"/>
    <w:link w:val="PullQuoteReferenceChar"/>
    <w:uiPriority w:val="24"/>
    <w:qFormat/>
    <w:rsid w:val="00B24642"/>
    <w:pPr>
      <w:spacing w:after="0" w:line="288" w:lineRule="atLeast"/>
    </w:pPr>
    <w:rPr>
      <w:rFonts w:cs="Times New Roman"/>
      <w:i/>
      <w:color w:val="44546A" w:themeColor="text2"/>
      <w:spacing w:val="-2"/>
      <w:sz w:val="24"/>
      <w:szCs w:val="20"/>
    </w:rPr>
  </w:style>
  <w:style w:type="character" w:customStyle="1" w:styleId="PullQuoteReferenceChar">
    <w:name w:val="Pull Quote Reference Char"/>
    <w:basedOn w:val="DefaultParagraphFont"/>
    <w:link w:val="PullQuoteReference"/>
    <w:uiPriority w:val="24"/>
    <w:rsid w:val="00B24642"/>
    <w:rPr>
      <w:rFonts w:cs="Times New Roman"/>
      <w:i/>
      <w:color w:val="44546A" w:themeColor="text2"/>
      <w:spacing w:val="-2"/>
      <w:sz w:val="24"/>
      <w:szCs w:val="20"/>
    </w:rPr>
  </w:style>
  <w:style w:type="paragraph" w:customStyle="1" w:styleId="BoxHeading">
    <w:name w:val="Box Heading"/>
    <w:basedOn w:val="TableColumnHeading"/>
    <w:next w:val="BoxCopy"/>
    <w:uiPriority w:val="23"/>
    <w:qFormat/>
    <w:rsid w:val="00B24642"/>
    <w:pPr>
      <w:spacing w:before="113" w:after="60" w:line="288" w:lineRule="atLeast"/>
      <w:ind w:left="0" w:right="0"/>
    </w:pPr>
    <w:rPr>
      <w:sz w:val="24"/>
    </w:rPr>
  </w:style>
  <w:style w:type="paragraph" w:customStyle="1" w:styleId="BoxCopy">
    <w:name w:val="Box Copy"/>
    <w:basedOn w:val="TableCopy"/>
    <w:uiPriority w:val="23"/>
    <w:qFormat/>
    <w:rsid w:val="00B24642"/>
    <w:pPr>
      <w:spacing w:before="60" w:after="60"/>
      <w:ind w:left="0" w:right="0"/>
    </w:pPr>
  </w:style>
  <w:style w:type="paragraph" w:customStyle="1" w:styleId="SectionPageTitle">
    <w:name w:val="Section Page Title"/>
    <w:next w:val="BodyCopy"/>
    <w:link w:val="SectionPageTitleChar"/>
    <w:uiPriority w:val="24"/>
    <w:qFormat/>
    <w:rsid w:val="00B24642"/>
    <w:pPr>
      <w:numPr>
        <w:numId w:val="42"/>
      </w:numPr>
      <w:tabs>
        <w:tab w:val="left" w:pos="7513"/>
      </w:tabs>
      <w:spacing w:after="0" w:line="624" w:lineRule="atLeast"/>
    </w:pPr>
    <w:rPr>
      <w:rFonts w:ascii="Franklin Gothic Book" w:hAnsi="Franklin Gothic Book" w:cs="Times New Roman"/>
      <w:caps/>
      <w:color w:val="44546A" w:themeColor="text2"/>
      <w:sz w:val="52"/>
      <w:szCs w:val="20"/>
      <w:u w:val="single"/>
    </w:rPr>
  </w:style>
  <w:style w:type="character" w:customStyle="1" w:styleId="SectionPageTitleChar">
    <w:name w:val="Section Page Title Char"/>
    <w:basedOn w:val="DefaultParagraphFont"/>
    <w:link w:val="SectionPageTitle"/>
    <w:uiPriority w:val="24"/>
    <w:rsid w:val="00B24642"/>
    <w:rPr>
      <w:rFonts w:ascii="Franklin Gothic Book" w:hAnsi="Franklin Gothic Book" w:cs="Times New Roman"/>
      <w:caps/>
      <w:color w:val="44546A" w:themeColor="text2"/>
      <w:sz w:val="52"/>
      <w:szCs w:val="20"/>
      <w:u w:val="single"/>
    </w:rPr>
  </w:style>
  <w:style w:type="numbering" w:customStyle="1" w:styleId="TableBullets">
    <w:name w:val="Table Bullets"/>
    <w:basedOn w:val="NoList"/>
    <w:uiPriority w:val="99"/>
    <w:rsid w:val="00B24642"/>
    <w:pPr>
      <w:numPr>
        <w:numId w:val="46"/>
      </w:numPr>
    </w:pPr>
  </w:style>
  <w:style w:type="paragraph" w:styleId="TOC5">
    <w:name w:val="toc 5"/>
    <w:basedOn w:val="TOC1"/>
    <w:next w:val="BodyCopy"/>
    <w:uiPriority w:val="39"/>
    <w:rsid w:val="00B24642"/>
    <w:pPr>
      <w:tabs>
        <w:tab w:val="left" w:pos="794"/>
      </w:tabs>
      <w:spacing w:before="240" w:after="240"/>
      <w:ind w:left="1361" w:hanging="1361"/>
      <w:contextualSpacing w:val="0"/>
    </w:pPr>
    <w:rPr>
      <w:sz w:val="36"/>
    </w:rPr>
  </w:style>
  <w:style w:type="table" w:customStyle="1" w:styleId="AbbreviationsTable">
    <w:name w:val="Abbreviations Table"/>
    <w:basedOn w:val="TableGrid"/>
    <w:uiPriority w:val="99"/>
    <w:rsid w:val="00B24642"/>
    <w:tblPr>
      <w:tblStyleColBandSize w:val="1"/>
      <w:tblBorders>
        <w:top w:val="single" w:sz="4" w:space="0" w:color="000000" w:themeColor="text1"/>
        <w:bottom w:val="single" w:sz="4" w:space="0" w:color="000000" w:themeColor="text1"/>
        <w:insideH w:val="single" w:sz="4" w:space="0" w:color="000000" w:themeColor="text1"/>
      </w:tblBorders>
    </w:tblPr>
    <w:tcPr>
      <w:vAlign w:val="center"/>
    </w:tcPr>
    <w:tblStylePr w:type="firstCol">
      <w:tblPr/>
      <w:tcPr>
        <w:tcBorders>
          <w:right w:val="single" w:sz="48" w:space="0" w:color="FFFFFF" w:themeColor="background1"/>
        </w:tcBorders>
      </w:tcPr>
    </w:tblStylePr>
    <w:tblStylePr w:type="lastCol">
      <w:tblPr/>
      <w:tcPr>
        <w:tcBorders>
          <w:insideH w:val="single" w:sz="4" w:space="0" w:color="auto"/>
        </w:tcBorders>
      </w:tcPr>
    </w:tblStylePr>
    <w:tblStylePr w:type="band2Vert">
      <w:tblPr/>
      <w:tcPr>
        <w:tcBorders>
          <w:insideH w:val="single" w:sz="4" w:space="0" w:color="auto"/>
        </w:tcBorders>
      </w:tcPr>
    </w:tblStylePr>
  </w:style>
  <w:style w:type="paragraph" w:customStyle="1" w:styleId="Abbreviations1">
    <w:name w:val="Abbreviations 1"/>
    <w:link w:val="Abbreviations1Char"/>
    <w:uiPriority w:val="24"/>
    <w:rsid w:val="00B24642"/>
    <w:pPr>
      <w:spacing w:before="60" w:after="60" w:line="220" w:lineRule="atLeast"/>
    </w:pPr>
    <w:rPr>
      <w:rFonts w:asciiTheme="majorHAnsi" w:hAnsiTheme="majorHAnsi" w:cs="Times New Roman"/>
      <w:color w:val="000000" w:themeColor="text1"/>
      <w:sz w:val="18"/>
      <w:szCs w:val="20"/>
    </w:rPr>
  </w:style>
  <w:style w:type="character" w:customStyle="1" w:styleId="Abbreviations1Char">
    <w:name w:val="Abbreviations 1 Char"/>
    <w:basedOn w:val="DefaultParagraphFont"/>
    <w:link w:val="Abbreviations1"/>
    <w:uiPriority w:val="24"/>
    <w:rsid w:val="00B24642"/>
    <w:rPr>
      <w:rFonts w:asciiTheme="majorHAnsi" w:hAnsiTheme="majorHAnsi" w:cs="Times New Roman"/>
      <w:color w:val="000000" w:themeColor="text1"/>
      <w:sz w:val="18"/>
      <w:szCs w:val="20"/>
    </w:rPr>
  </w:style>
  <w:style w:type="paragraph" w:customStyle="1" w:styleId="Abbreviations2definition">
    <w:name w:val="Abbreviations 2 (definition)"/>
    <w:link w:val="Abbreviations2definitionChar"/>
    <w:uiPriority w:val="24"/>
    <w:rsid w:val="00B24642"/>
    <w:pPr>
      <w:spacing w:before="60" w:after="60" w:line="288" w:lineRule="atLeast"/>
      <w:ind w:left="57"/>
    </w:pPr>
    <w:rPr>
      <w:rFonts w:cs="Times New Roman"/>
      <w:color w:val="000000" w:themeColor="text1"/>
      <w:szCs w:val="20"/>
    </w:rPr>
  </w:style>
  <w:style w:type="character" w:customStyle="1" w:styleId="Abbreviations2definitionChar">
    <w:name w:val="Abbreviations 2 (definition) Char"/>
    <w:basedOn w:val="DefaultParagraphFont"/>
    <w:link w:val="Abbreviations2definition"/>
    <w:uiPriority w:val="24"/>
    <w:rsid w:val="00B24642"/>
    <w:rPr>
      <w:rFonts w:cs="Times New Roman"/>
      <w:color w:val="000000" w:themeColor="text1"/>
      <w:szCs w:val="20"/>
    </w:rPr>
  </w:style>
  <w:style w:type="paragraph" w:customStyle="1" w:styleId="TOC41">
    <w:name w:val="TOC 41"/>
    <w:next w:val="BodyCopy"/>
    <w:uiPriority w:val="39"/>
    <w:rsid w:val="00CC3926"/>
    <w:pPr>
      <w:tabs>
        <w:tab w:val="left" w:pos="1644"/>
        <w:tab w:val="center" w:pos="6804"/>
      </w:tabs>
      <w:spacing w:after="0" w:line="280" w:lineRule="atLeast"/>
      <w:ind w:left="1644" w:right="1021" w:hanging="680"/>
    </w:pPr>
    <w:rPr>
      <w:rFonts w:ascii="Franklin Gothic Book" w:hAnsi="Franklin Gothic Book" w:cs="Times New Roman"/>
      <w:noProof/>
      <w:color w:val="000000" w:themeColor="text1"/>
      <w:spacing w:val="-2"/>
      <w:sz w:val="20"/>
      <w:szCs w:val="20"/>
    </w:rPr>
  </w:style>
  <w:style w:type="paragraph" w:customStyle="1" w:styleId="FooterDocumentTitle">
    <w:name w:val="Footer Document Title"/>
    <w:link w:val="FooterDocumentTitleChar"/>
    <w:uiPriority w:val="34"/>
    <w:qFormat/>
    <w:rsid w:val="00B24642"/>
    <w:pPr>
      <w:spacing w:after="0" w:line="168" w:lineRule="exact"/>
      <w:jc w:val="right"/>
    </w:pPr>
    <w:rPr>
      <w:rFonts w:asciiTheme="majorHAnsi" w:hAnsiTheme="majorHAnsi" w:cs="Times New Roman"/>
      <w:color w:val="000000" w:themeColor="text1"/>
      <w:spacing w:val="-2"/>
      <w:sz w:val="14"/>
      <w:szCs w:val="20"/>
    </w:rPr>
  </w:style>
  <w:style w:type="character" w:customStyle="1" w:styleId="FooterDocumentTitleChar">
    <w:name w:val="Footer Document Title Char"/>
    <w:basedOn w:val="DefaultParagraphFont"/>
    <w:link w:val="FooterDocumentTitle"/>
    <w:uiPriority w:val="34"/>
    <w:rsid w:val="00B24642"/>
    <w:rPr>
      <w:rFonts w:asciiTheme="majorHAnsi" w:hAnsiTheme="majorHAnsi" w:cs="Times New Roman"/>
      <w:color w:val="000000" w:themeColor="text1"/>
      <w:spacing w:val="-2"/>
      <w:sz w:val="14"/>
      <w:szCs w:val="20"/>
    </w:rPr>
  </w:style>
  <w:style w:type="paragraph" w:customStyle="1" w:styleId="FooterProjectTitle">
    <w:name w:val="Footer Project Title"/>
    <w:link w:val="FooterProjectTitleChar"/>
    <w:uiPriority w:val="34"/>
    <w:qFormat/>
    <w:rsid w:val="00B24642"/>
    <w:pPr>
      <w:spacing w:after="0" w:line="168" w:lineRule="exact"/>
    </w:pPr>
    <w:rPr>
      <w:rFonts w:ascii="Franklin Gothic Demi" w:hAnsi="Franklin Gothic Demi" w:cs="Times New Roman"/>
      <w:color w:val="000000" w:themeColor="text1"/>
      <w:spacing w:val="-2"/>
      <w:sz w:val="14"/>
      <w:szCs w:val="20"/>
    </w:rPr>
  </w:style>
  <w:style w:type="character" w:customStyle="1" w:styleId="FooterProjectTitleChar">
    <w:name w:val="Footer Project Title Char"/>
    <w:basedOn w:val="DefaultParagraphFont"/>
    <w:link w:val="FooterProjectTitle"/>
    <w:uiPriority w:val="34"/>
    <w:rsid w:val="00B24642"/>
    <w:rPr>
      <w:rFonts w:ascii="Franklin Gothic Demi" w:hAnsi="Franklin Gothic Demi" w:cs="Times New Roman"/>
      <w:color w:val="000000" w:themeColor="text1"/>
      <w:spacing w:val="-2"/>
      <w:sz w:val="14"/>
      <w:szCs w:val="20"/>
    </w:rPr>
  </w:style>
  <w:style w:type="paragraph" w:customStyle="1" w:styleId="HeaderSectionTitle">
    <w:name w:val="Header Section Title"/>
    <w:link w:val="HeaderSectionTitleChar"/>
    <w:uiPriority w:val="34"/>
    <w:semiHidden/>
    <w:qFormat/>
    <w:rsid w:val="00B24642"/>
    <w:pPr>
      <w:spacing w:after="227" w:line="336" w:lineRule="exact"/>
    </w:pPr>
    <w:rPr>
      <w:rFonts w:asciiTheme="majorHAnsi" w:eastAsiaTheme="majorEastAsia" w:hAnsiTheme="majorHAnsi" w:cstheme="majorBidi"/>
      <w:iCs/>
      <w:caps/>
      <w:noProof/>
      <w:color w:val="000000" w:themeColor="text1"/>
      <w:spacing w:val="-3"/>
      <w:sz w:val="28"/>
      <w:szCs w:val="20"/>
    </w:rPr>
  </w:style>
  <w:style w:type="character" w:customStyle="1" w:styleId="HeaderSectionTitleChar">
    <w:name w:val="Header Section Title Char"/>
    <w:basedOn w:val="DefaultParagraphFont"/>
    <w:link w:val="HeaderSectionTitle"/>
    <w:uiPriority w:val="34"/>
    <w:semiHidden/>
    <w:rsid w:val="00B24642"/>
    <w:rPr>
      <w:rFonts w:asciiTheme="majorHAnsi" w:eastAsiaTheme="majorEastAsia" w:hAnsiTheme="majorHAnsi" w:cstheme="majorBidi"/>
      <w:iCs/>
      <w:caps/>
      <w:noProof/>
      <w:color w:val="000000" w:themeColor="text1"/>
      <w:spacing w:val="-3"/>
      <w:sz w:val="28"/>
      <w:szCs w:val="20"/>
    </w:rPr>
  </w:style>
  <w:style w:type="paragraph" w:customStyle="1" w:styleId="TOCTitle">
    <w:name w:val="TOC Title"/>
    <w:basedOn w:val="Normal"/>
    <w:next w:val="BodyCopy"/>
    <w:link w:val="TOCTitleChar"/>
    <w:uiPriority w:val="39"/>
    <w:rsid w:val="00B24642"/>
    <w:pPr>
      <w:keepNext/>
      <w:keepLines/>
      <w:pageBreakBefore/>
      <w:spacing w:line="560" w:lineRule="exact"/>
    </w:pPr>
    <w:rPr>
      <w:rFonts w:asciiTheme="majorHAnsi" w:eastAsiaTheme="majorEastAsia" w:hAnsiTheme="majorHAnsi" w:cstheme="majorBidi"/>
      <w:b/>
      <w:bCs/>
      <w:caps/>
      <w:spacing w:val="0"/>
      <w:sz w:val="52"/>
      <w:szCs w:val="28"/>
    </w:rPr>
  </w:style>
  <w:style w:type="character" w:customStyle="1" w:styleId="TOCTitleChar">
    <w:name w:val="TOC Title Char"/>
    <w:basedOn w:val="DefaultParagraphFont"/>
    <w:link w:val="TOCTitle"/>
    <w:uiPriority w:val="39"/>
    <w:rsid w:val="00B24642"/>
    <w:rPr>
      <w:rFonts w:asciiTheme="majorHAnsi" w:eastAsiaTheme="majorEastAsia" w:hAnsiTheme="majorHAnsi" w:cstheme="majorBidi"/>
      <w:b/>
      <w:bCs/>
      <w:caps/>
      <w:color w:val="000000" w:themeColor="text1"/>
      <w:sz w:val="52"/>
      <w:szCs w:val="28"/>
    </w:rPr>
  </w:style>
  <w:style w:type="paragraph" w:customStyle="1" w:styleId="Bullets3">
    <w:name w:val="Bullets 3"/>
    <w:basedOn w:val="Bullets1"/>
    <w:rsid w:val="00483C21"/>
    <w:pPr>
      <w:numPr>
        <w:ilvl w:val="2"/>
      </w:numPr>
    </w:pPr>
  </w:style>
  <w:style w:type="character" w:customStyle="1" w:styleId="SectionPageDemi">
    <w:name w:val="Section Page Demi"/>
    <w:basedOn w:val="DefaultParagraphFont"/>
    <w:uiPriority w:val="1"/>
    <w:semiHidden/>
    <w:rsid w:val="00B24642"/>
    <w:rPr>
      <w:rFonts w:ascii="Franklin Gothic Demi" w:hAnsi="Franklin Gothic Demi"/>
      <w:b/>
    </w:rPr>
  </w:style>
  <w:style w:type="paragraph" w:customStyle="1" w:styleId="Bullets4">
    <w:name w:val="Bullets 4"/>
    <w:basedOn w:val="Bullets1"/>
    <w:rsid w:val="00483C21"/>
    <w:pPr>
      <w:numPr>
        <w:ilvl w:val="3"/>
      </w:numPr>
    </w:pPr>
  </w:style>
  <w:style w:type="paragraph" w:customStyle="1" w:styleId="Numbers2">
    <w:name w:val="Numbers 2"/>
    <w:basedOn w:val="Numbers1"/>
    <w:qFormat/>
    <w:rsid w:val="00483C21"/>
    <w:pPr>
      <w:numPr>
        <w:ilvl w:val="1"/>
      </w:numPr>
    </w:pPr>
  </w:style>
  <w:style w:type="paragraph" w:customStyle="1" w:styleId="Numbers3">
    <w:name w:val="Numbers 3"/>
    <w:basedOn w:val="Numbers1"/>
    <w:rsid w:val="00483C21"/>
    <w:pPr>
      <w:numPr>
        <w:ilvl w:val="2"/>
      </w:numPr>
    </w:pPr>
  </w:style>
  <w:style w:type="paragraph" w:customStyle="1" w:styleId="Numbers4">
    <w:name w:val="Numbers 4"/>
    <w:basedOn w:val="Numbers1"/>
    <w:rsid w:val="00483C21"/>
    <w:pPr>
      <w:numPr>
        <w:ilvl w:val="3"/>
      </w:numPr>
    </w:pPr>
  </w:style>
  <w:style w:type="character" w:customStyle="1" w:styleId="Hyperlink1">
    <w:name w:val="Hyperlink1"/>
    <w:basedOn w:val="DefaultParagraphFont"/>
    <w:hidden/>
    <w:uiPriority w:val="99"/>
    <w:semiHidden/>
    <w:rsid w:val="00166DB1"/>
    <w:rPr>
      <w:color w:val="787878"/>
      <w:u w:val="single"/>
    </w:rPr>
  </w:style>
  <w:style w:type="paragraph" w:customStyle="1" w:styleId="RecommendationsTableLeftColumn">
    <w:name w:val="Recommendations Table Left Column"/>
    <w:basedOn w:val="KeyFindingsTableLeftColumn"/>
    <w:uiPriority w:val="21"/>
    <w:rsid w:val="00B24642"/>
    <w:pPr>
      <w:spacing w:line="240" w:lineRule="atLeast"/>
    </w:pPr>
  </w:style>
  <w:style w:type="paragraph" w:customStyle="1" w:styleId="TableColumnHeadingsmall">
    <w:name w:val="Table Column Heading (small)"/>
    <w:basedOn w:val="TableColumnHeading"/>
    <w:uiPriority w:val="20"/>
    <w:rsid w:val="00B24642"/>
    <w:pPr>
      <w:spacing w:line="180" w:lineRule="atLeast"/>
    </w:pPr>
    <w:rPr>
      <w:sz w:val="14"/>
    </w:rPr>
  </w:style>
  <w:style w:type="paragraph" w:customStyle="1" w:styleId="TableCopysmall">
    <w:name w:val="Table Copy (small)"/>
    <w:basedOn w:val="TableCopy"/>
    <w:uiPriority w:val="17"/>
    <w:qFormat/>
    <w:rsid w:val="00B24642"/>
    <w:pPr>
      <w:spacing w:line="166" w:lineRule="atLeast"/>
    </w:pPr>
    <w:rPr>
      <w:sz w:val="14"/>
    </w:rPr>
  </w:style>
  <w:style w:type="table" w:customStyle="1" w:styleId="Recommendations">
    <w:name w:val="Recommendations"/>
    <w:basedOn w:val="TableNormal"/>
    <w:uiPriority w:val="99"/>
    <w:rsid w:val="00B24642"/>
    <w:pPr>
      <w:spacing w:after="0" w:line="240" w:lineRule="auto"/>
    </w:pPr>
    <w:rPr>
      <w:rFonts w:ascii="Courier" w:hAnsi="Courier" w:cs="Times New Roman"/>
      <w:sz w:val="20"/>
      <w:szCs w:val="20"/>
    </w:rPr>
    <w:tblPr>
      <w:tblBorders>
        <w:bottom w:val="single" w:sz="4" w:space="0" w:color="000000" w:themeColor="text1"/>
        <w:insideH w:val="single" w:sz="4" w:space="0" w:color="000000" w:themeColor="text1"/>
      </w:tblBorders>
      <w:tblCellMar>
        <w:left w:w="0" w:type="dxa"/>
        <w:right w:w="0" w:type="dxa"/>
      </w:tblCellMar>
    </w:tblPr>
    <w:tblStylePr w:type="firstRow">
      <w:tblPr/>
      <w:tcPr>
        <w:tcBorders>
          <w:top w:val="single" w:sz="4" w:space="0" w:color="ED7D31" w:themeColor="accent2"/>
          <w:left w:val="nil"/>
          <w:bottom w:val="single" w:sz="4" w:space="0" w:color="ED7D31" w:themeColor="accent2"/>
          <w:right w:val="nil"/>
          <w:insideH w:val="nil"/>
          <w:insideV w:val="nil"/>
          <w:tl2br w:val="nil"/>
          <w:tr2bl w:val="nil"/>
        </w:tcBorders>
        <w:shd w:val="clear" w:color="auto" w:fill="5B9BD5" w:themeFill="accent5"/>
      </w:tcPr>
    </w:tblStylePr>
    <w:tblStylePr w:type="firstCol">
      <w:tblPr/>
      <w:tcPr>
        <w:shd w:val="clear" w:color="auto" w:fill="70AD47" w:themeFill="accent6"/>
      </w:tcPr>
    </w:tblStylePr>
  </w:style>
  <w:style w:type="paragraph" w:customStyle="1" w:styleId="KeyFindingsTableHeading">
    <w:name w:val="Key Findings Table Heading"/>
    <w:basedOn w:val="BodyCopy"/>
    <w:link w:val="KeyFindingsTableHeadingChar"/>
    <w:uiPriority w:val="21"/>
    <w:rsid w:val="00B24642"/>
    <w:pPr>
      <w:keepNext/>
      <w:spacing w:before="60" w:after="60" w:line="250" w:lineRule="atLeast"/>
      <w:ind w:left="142" w:right="142"/>
    </w:pPr>
    <w:rPr>
      <w:rFonts w:asciiTheme="majorHAnsi" w:hAnsiTheme="majorHAnsi"/>
      <w:caps/>
      <w:sz w:val="18"/>
    </w:rPr>
  </w:style>
  <w:style w:type="paragraph" w:customStyle="1" w:styleId="KeyFindingsTableLeftColumn">
    <w:name w:val="Key Findings Table Left Column"/>
    <w:basedOn w:val="KeyFindingsTableHeading"/>
    <w:uiPriority w:val="21"/>
    <w:rsid w:val="00B24642"/>
    <w:pPr>
      <w:keepNext w:val="0"/>
      <w:spacing w:line="264" w:lineRule="atLeast"/>
    </w:pPr>
    <w:rPr>
      <w:caps w:val="0"/>
      <w:sz w:val="20"/>
    </w:rPr>
  </w:style>
  <w:style w:type="paragraph" w:customStyle="1" w:styleId="KeyFindingsTableCopy">
    <w:name w:val="Key Findings Table Copy"/>
    <w:basedOn w:val="TableCopy"/>
    <w:uiPriority w:val="21"/>
    <w:rsid w:val="00B24642"/>
    <w:pPr>
      <w:spacing w:before="60" w:after="60" w:line="264" w:lineRule="atLeast"/>
      <w:ind w:left="142"/>
    </w:pPr>
    <w:rPr>
      <w:sz w:val="22"/>
    </w:rPr>
  </w:style>
  <w:style w:type="table" w:customStyle="1" w:styleId="KeyFindings">
    <w:name w:val="Key Findings"/>
    <w:basedOn w:val="TableNormal"/>
    <w:uiPriority w:val="99"/>
    <w:rsid w:val="00B24642"/>
    <w:pPr>
      <w:spacing w:after="0" w:line="240" w:lineRule="auto"/>
    </w:pPr>
    <w:rPr>
      <w:rFonts w:ascii="Courier" w:hAnsi="Courier" w:cs="Times New Roman"/>
      <w:sz w:val="20"/>
      <w:szCs w:val="20"/>
    </w:rPr>
    <w:tblPr>
      <w:tblBorders>
        <w:bottom w:val="single" w:sz="4" w:space="0" w:color="44546A" w:themeColor="text2"/>
        <w:insideH w:val="single" w:sz="4" w:space="0" w:color="44546A" w:themeColor="text2"/>
      </w:tblBorders>
      <w:tblCellMar>
        <w:left w:w="0" w:type="dxa"/>
        <w:right w:w="0" w:type="dxa"/>
      </w:tblCellMar>
    </w:tblPr>
    <w:tcPr>
      <w:shd w:val="clear" w:color="auto" w:fill="70AD47" w:themeFill="accent6"/>
    </w:tcPr>
    <w:tblStylePr w:type="firstRow">
      <w:tblPr/>
      <w:tcPr>
        <w:shd w:val="clear" w:color="auto" w:fill="5B9BD5" w:themeFill="accent5"/>
      </w:tcPr>
    </w:tblStylePr>
  </w:style>
  <w:style w:type="paragraph" w:customStyle="1" w:styleId="RecommendationsTableCopy">
    <w:name w:val="Recommendations Table Copy"/>
    <w:basedOn w:val="KeyFindingsTableCopy"/>
    <w:uiPriority w:val="21"/>
    <w:rsid w:val="00B24642"/>
  </w:style>
  <w:style w:type="paragraph" w:customStyle="1" w:styleId="Rowheading">
    <w:name w:val="Row heading"/>
    <w:basedOn w:val="TableCopy"/>
    <w:uiPriority w:val="99"/>
    <w:rsid w:val="00166DB1"/>
    <w:rPr>
      <w:b/>
      <w:lang w:eastAsia="en-AU"/>
    </w:rPr>
  </w:style>
  <w:style w:type="paragraph" w:customStyle="1" w:styleId="ESHeading1">
    <w:name w:val="ES Heading 1"/>
    <w:basedOn w:val="Heading1"/>
    <w:next w:val="BodyCopy"/>
    <w:uiPriority w:val="5"/>
    <w:qFormat/>
    <w:rsid w:val="00B24642"/>
    <w:pPr>
      <w:framePr w:wrap="around" w:vAnchor="page" w:hAnchor="page" w:x="568" w:y="982"/>
      <w:numPr>
        <w:numId w:val="0"/>
      </w:numPr>
    </w:pPr>
  </w:style>
  <w:style w:type="paragraph" w:customStyle="1" w:styleId="ESHeading2">
    <w:name w:val="ES Heading 2"/>
    <w:basedOn w:val="Heading2"/>
    <w:next w:val="BodyCopy"/>
    <w:uiPriority w:val="5"/>
    <w:qFormat/>
    <w:rsid w:val="00B24642"/>
    <w:pPr>
      <w:numPr>
        <w:ilvl w:val="0"/>
        <w:numId w:val="0"/>
      </w:numPr>
      <w:outlineLvl w:val="9"/>
    </w:pPr>
  </w:style>
  <w:style w:type="paragraph" w:customStyle="1" w:styleId="ESHeading3">
    <w:name w:val="ES Heading 3"/>
    <w:basedOn w:val="Heading3"/>
    <w:next w:val="BodyCopy"/>
    <w:uiPriority w:val="5"/>
    <w:qFormat/>
    <w:rsid w:val="00B24642"/>
    <w:pPr>
      <w:numPr>
        <w:ilvl w:val="0"/>
        <w:numId w:val="0"/>
      </w:numPr>
      <w:outlineLvl w:val="9"/>
    </w:pPr>
  </w:style>
  <w:style w:type="paragraph" w:styleId="TOC6">
    <w:name w:val="toc 6"/>
    <w:basedOn w:val="TOC3"/>
    <w:next w:val="BodyCopy"/>
    <w:uiPriority w:val="39"/>
    <w:rsid w:val="00B24642"/>
    <w:pPr>
      <w:tabs>
        <w:tab w:val="clear" w:pos="964"/>
        <w:tab w:val="left" w:pos="1474"/>
      </w:tabs>
      <w:spacing w:after="100"/>
      <w:contextualSpacing w:val="0"/>
    </w:pPr>
    <w:rPr>
      <w:caps w:val="0"/>
      <w:noProof/>
    </w:rPr>
  </w:style>
  <w:style w:type="numbering" w:customStyle="1" w:styleId="TableNumbers">
    <w:name w:val="Table Numbers"/>
    <w:basedOn w:val="TableBullets"/>
    <w:uiPriority w:val="99"/>
    <w:rsid w:val="00B24642"/>
    <w:pPr>
      <w:numPr>
        <w:numId w:val="48"/>
      </w:numPr>
    </w:pPr>
  </w:style>
  <w:style w:type="paragraph" w:customStyle="1" w:styleId="Recommendation">
    <w:name w:val="Recommendation"/>
    <w:basedOn w:val="BodyCopy"/>
    <w:next w:val="BodyCopy"/>
    <w:uiPriority w:val="21"/>
    <w:qFormat/>
    <w:rsid w:val="00B24642"/>
    <w:pPr>
      <w:numPr>
        <w:numId w:val="38"/>
      </w:numPr>
      <w:tabs>
        <w:tab w:val="left" w:pos="2041"/>
        <w:tab w:val="left" w:pos="2155"/>
        <w:tab w:val="left" w:pos="2268"/>
      </w:tabs>
    </w:pPr>
  </w:style>
  <w:style w:type="paragraph" w:customStyle="1" w:styleId="TableBullets1">
    <w:name w:val="Table Bullets 1"/>
    <w:basedOn w:val="TableCopy"/>
    <w:uiPriority w:val="15"/>
    <w:qFormat/>
    <w:rsid w:val="00B24642"/>
    <w:pPr>
      <w:numPr>
        <w:numId w:val="47"/>
      </w:numPr>
    </w:pPr>
  </w:style>
  <w:style w:type="paragraph" w:customStyle="1" w:styleId="TableBullets2">
    <w:name w:val="Table Bullets 2"/>
    <w:basedOn w:val="TableCopy"/>
    <w:uiPriority w:val="15"/>
    <w:qFormat/>
    <w:rsid w:val="00B24642"/>
    <w:pPr>
      <w:numPr>
        <w:ilvl w:val="1"/>
        <w:numId w:val="47"/>
      </w:numPr>
    </w:pPr>
  </w:style>
  <w:style w:type="paragraph" w:customStyle="1" w:styleId="TableBulletssmall1">
    <w:name w:val="Table Bullets (small) 1"/>
    <w:basedOn w:val="TableCopysmall"/>
    <w:uiPriority w:val="18"/>
    <w:qFormat/>
    <w:rsid w:val="00B24642"/>
    <w:pPr>
      <w:numPr>
        <w:ilvl w:val="4"/>
        <w:numId w:val="47"/>
      </w:numPr>
    </w:pPr>
  </w:style>
  <w:style w:type="paragraph" w:customStyle="1" w:styleId="TableBulletssmall2">
    <w:name w:val="Table Bullets (small) 2"/>
    <w:basedOn w:val="TableCopysmall"/>
    <w:uiPriority w:val="18"/>
    <w:qFormat/>
    <w:rsid w:val="00B24642"/>
    <w:pPr>
      <w:numPr>
        <w:ilvl w:val="5"/>
        <w:numId w:val="47"/>
      </w:numPr>
    </w:pPr>
  </w:style>
  <w:style w:type="paragraph" w:customStyle="1" w:styleId="TableNumbers1">
    <w:name w:val="Table Numbers 1"/>
    <w:basedOn w:val="TableCopy"/>
    <w:uiPriority w:val="15"/>
    <w:qFormat/>
    <w:rsid w:val="00B24642"/>
    <w:pPr>
      <w:numPr>
        <w:numId w:val="49"/>
      </w:numPr>
    </w:pPr>
  </w:style>
  <w:style w:type="paragraph" w:customStyle="1" w:styleId="TableNumbers2">
    <w:name w:val="Table Numbers 2"/>
    <w:basedOn w:val="TableCopy"/>
    <w:uiPriority w:val="15"/>
    <w:qFormat/>
    <w:rsid w:val="00B24642"/>
    <w:pPr>
      <w:numPr>
        <w:ilvl w:val="1"/>
        <w:numId w:val="49"/>
      </w:numPr>
    </w:pPr>
  </w:style>
  <w:style w:type="paragraph" w:customStyle="1" w:styleId="TableNumberssmall1">
    <w:name w:val="Table Numbers (small) 1"/>
    <w:basedOn w:val="TableCopysmall"/>
    <w:uiPriority w:val="18"/>
    <w:qFormat/>
    <w:rsid w:val="00B24642"/>
    <w:pPr>
      <w:numPr>
        <w:ilvl w:val="4"/>
        <w:numId w:val="49"/>
      </w:numPr>
    </w:pPr>
  </w:style>
  <w:style w:type="paragraph" w:customStyle="1" w:styleId="TableNumberssmall2">
    <w:name w:val="Table Numbers (small) 2"/>
    <w:basedOn w:val="TableCopysmall"/>
    <w:uiPriority w:val="18"/>
    <w:qFormat/>
    <w:rsid w:val="00B24642"/>
    <w:pPr>
      <w:numPr>
        <w:ilvl w:val="5"/>
        <w:numId w:val="49"/>
      </w:numPr>
    </w:pPr>
  </w:style>
  <w:style w:type="paragraph" w:customStyle="1" w:styleId="KeyFinding">
    <w:name w:val="Key Finding"/>
    <w:basedOn w:val="Recommendation"/>
    <w:next w:val="BodyCopy"/>
    <w:uiPriority w:val="21"/>
    <w:qFormat/>
    <w:rsid w:val="004F0F6F"/>
    <w:pPr>
      <w:numPr>
        <w:numId w:val="39"/>
      </w:numPr>
      <w:pBdr>
        <w:top w:val="single" w:sz="4" w:space="4" w:color="000000" w:themeColor="text1"/>
        <w:left w:val="single" w:sz="4" w:space="4" w:color="000000" w:themeColor="text1"/>
        <w:bottom w:val="single" w:sz="4" w:space="4" w:color="000000" w:themeColor="text1"/>
        <w:right w:val="single" w:sz="4" w:space="4" w:color="000000" w:themeColor="text1"/>
      </w:pBdr>
      <w:shd w:val="clear" w:color="auto" w:fill="70AD47" w:themeFill="accent6"/>
      <w:tabs>
        <w:tab w:val="clear" w:pos="2041"/>
        <w:tab w:val="clear" w:pos="2155"/>
        <w:tab w:val="clear" w:pos="2268"/>
      </w:tabs>
      <w:spacing w:before="113" w:after="113"/>
      <w:ind w:left="1814" w:right="113" w:hanging="1701"/>
    </w:pPr>
  </w:style>
  <w:style w:type="paragraph" w:customStyle="1" w:styleId="650E97733753414DBFCDE381257316533">
    <w:name w:val="650E97733753414DBFCDE381257316533"/>
    <w:hidden/>
    <w:semiHidden/>
    <w:rsid w:val="00166DB1"/>
    <w:pPr>
      <w:spacing w:after="0" w:line="264" w:lineRule="atLeast"/>
    </w:pPr>
    <w:rPr>
      <w:rFonts w:cs="Times New Roman"/>
      <w:color w:val="787878"/>
      <w:spacing w:val="-2"/>
      <w:szCs w:val="20"/>
    </w:rPr>
  </w:style>
  <w:style w:type="paragraph" w:customStyle="1" w:styleId="BodyCopyIndented">
    <w:name w:val="Body Copy Indented"/>
    <w:basedOn w:val="BodyCopy"/>
    <w:qFormat/>
    <w:rsid w:val="00B24642"/>
    <w:pPr>
      <w:ind w:left="454"/>
    </w:pPr>
  </w:style>
  <w:style w:type="paragraph" w:customStyle="1" w:styleId="StrategicDirection">
    <w:name w:val="Strategic Direction"/>
    <w:basedOn w:val="KeyFinding"/>
    <w:next w:val="BodyCopy"/>
    <w:uiPriority w:val="21"/>
    <w:rsid w:val="00B24642"/>
    <w:pPr>
      <w:numPr>
        <w:numId w:val="45"/>
      </w:numPr>
      <w:pBdr>
        <w:bottom w:val="single" w:sz="4" w:space="4" w:color="ED7D31" w:themeColor="accent2"/>
      </w:pBdr>
      <w:shd w:val="clear" w:color="auto" w:fill="E7E6E6" w:themeFill="background2"/>
    </w:pPr>
  </w:style>
  <w:style w:type="table" w:customStyle="1" w:styleId="Style1">
    <w:name w:val="Style1"/>
    <w:basedOn w:val="Recommendations"/>
    <w:uiPriority w:val="99"/>
    <w:rsid w:val="00B24642"/>
    <w:tblPr/>
    <w:tblStylePr w:type="firstRow">
      <w:tblPr/>
      <w:tcPr>
        <w:tcBorders>
          <w:top w:val="single" w:sz="4" w:space="0" w:color="A5A5A5" w:themeColor="accent3"/>
          <w:left w:val="nil"/>
          <w:bottom w:val="single" w:sz="4" w:space="0" w:color="A5A5A5" w:themeColor="accent3"/>
          <w:right w:val="nil"/>
          <w:insideH w:val="nil"/>
          <w:insideV w:val="nil"/>
          <w:tl2br w:val="nil"/>
          <w:tr2bl w:val="nil"/>
        </w:tcBorders>
        <w:shd w:val="clear" w:color="auto" w:fill="E7E6E6" w:themeFill="background2"/>
      </w:tcPr>
    </w:tblStylePr>
    <w:tblStylePr w:type="firstCol">
      <w:tblPr/>
      <w:tcPr>
        <w:shd w:val="clear" w:color="auto" w:fill="FFFFFF" w:themeFill="background1"/>
      </w:tcPr>
    </w:tblStylePr>
  </w:style>
  <w:style w:type="paragraph" w:customStyle="1" w:styleId="StrategicDirectionsTableLeftColumn">
    <w:name w:val="Strategic Directions Table Left Column"/>
    <w:basedOn w:val="RecommendationsTableLeftColumn"/>
    <w:uiPriority w:val="21"/>
    <w:rsid w:val="00B24642"/>
  </w:style>
  <w:style w:type="paragraph" w:customStyle="1" w:styleId="StrategicDirectionsTableCopy">
    <w:name w:val="Strategic Directions Table Copy"/>
    <w:basedOn w:val="RecommendationsTableCopy"/>
    <w:uiPriority w:val="21"/>
    <w:rsid w:val="00B24642"/>
  </w:style>
  <w:style w:type="paragraph" w:customStyle="1" w:styleId="StrategicDirectionsTableHeading">
    <w:name w:val="Strategic Directions Table Heading"/>
    <w:basedOn w:val="RecommendationsTableHeading"/>
    <w:uiPriority w:val="21"/>
    <w:rsid w:val="00B24642"/>
  </w:style>
  <w:style w:type="paragraph" w:customStyle="1" w:styleId="HeadingAppendix2">
    <w:name w:val="Heading Appendix 2"/>
    <w:basedOn w:val="Heading1"/>
    <w:next w:val="Normal"/>
    <w:link w:val="HeadingAppendix2CharChar"/>
    <w:rsid w:val="00B24642"/>
    <w:pPr>
      <w:keepLines w:val="0"/>
      <w:pageBreakBefore w:val="0"/>
      <w:numPr>
        <w:numId w:val="36"/>
      </w:numPr>
      <w:spacing w:before="360" w:after="120" w:line="240" w:lineRule="auto"/>
    </w:pPr>
    <w:rPr>
      <w:rFonts w:eastAsia="Times New Roman" w:cs="Arial"/>
      <w:b w:val="0"/>
      <w:color w:val="auto"/>
      <w:kern w:val="32"/>
      <w:sz w:val="32"/>
      <w:szCs w:val="24"/>
      <w:u w:val="single"/>
    </w:rPr>
  </w:style>
  <w:style w:type="character" w:customStyle="1" w:styleId="HeadingAppendix2CharChar">
    <w:name w:val="Heading Appendix 2 Char Char"/>
    <w:link w:val="HeadingAppendix2"/>
    <w:rsid w:val="00B24642"/>
    <w:rPr>
      <w:rFonts w:asciiTheme="majorHAnsi" w:eastAsia="Times New Roman" w:hAnsiTheme="majorHAnsi" w:cs="Arial"/>
      <w:bCs/>
      <w:caps/>
      <w:kern w:val="32"/>
      <w:sz w:val="32"/>
      <w:szCs w:val="24"/>
      <w:u w:val="single"/>
    </w:rPr>
  </w:style>
  <w:style w:type="paragraph" w:customStyle="1" w:styleId="StageHeading">
    <w:name w:val="Stage Heading"/>
    <w:basedOn w:val="Normal"/>
    <w:next w:val="Normal"/>
    <w:rsid w:val="00B24642"/>
    <w:pPr>
      <w:keepNext/>
      <w:numPr>
        <w:numId w:val="44"/>
      </w:numPr>
      <w:tabs>
        <w:tab w:val="left" w:pos="1701"/>
      </w:tabs>
      <w:spacing w:before="360" w:after="120" w:line="240" w:lineRule="auto"/>
      <w:jc w:val="both"/>
    </w:pPr>
    <w:rPr>
      <w:rFonts w:asciiTheme="majorHAnsi" w:eastAsia="Times New Roman" w:hAnsiTheme="majorHAnsi"/>
      <w:caps/>
      <w:color w:val="auto"/>
      <w:spacing w:val="0"/>
      <w:sz w:val="32"/>
      <w:szCs w:val="24"/>
      <w:u w:val="single"/>
    </w:rPr>
  </w:style>
  <w:style w:type="paragraph" w:customStyle="1" w:styleId="B62F7A7DF74646E485171A8AA5594CF41">
    <w:name w:val="B62F7A7DF74646E485171A8AA5594CF41"/>
    <w:hidden/>
    <w:semiHidden/>
    <w:rsid w:val="00166DB1"/>
    <w:pPr>
      <w:spacing w:after="0" w:line="240" w:lineRule="auto"/>
    </w:pPr>
    <w:rPr>
      <w:rFonts w:cs="Times New Roman"/>
      <w:sz w:val="20"/>
      <w:szCs w:val="20"/>
    </w:rPr>
  </w:style>
  <w:style w:type="character" w:customStyle="1" w:styleId="CaptionChar">
    <w:name w:val="Caption Char"/>
    <w:basedOn w:val="DefaultParagraphFont"/>
    <w:link w:val="Caption"/>
    <w:uiPriority w:val="14"/>
    <w:locked/>
    <w:rsid w:val="00166DB1"/>
    <w:rPr>
      <w:rFonts w:ascii="Franklin Gothic Demi" w:hAnsi="Franklin Gothic Demi" w:cs="Times New Roman"/>
      <w:bCs/>
      <w:color w:val="000000" w:themeColor="text1"/>
      <w:sz w:val="17"/>
      <w:szCs w:val="18"/>
    </w:rPr>
  </w:style>
  <w:style w:type="table" w:customStyle="1" w:styleId="HMATable1">
    <w:name w:val="HMA Table1"/>
    <w:basedOn w:val="TableNormal"/>
    <w:uiPriority w:val="99"/>
    <w:rsid w:val="00166DB1"/>
    <w:pPr>
      <w:spacing w:after="0" w:line="240" w:lineRule="auto"/>
    </w:pPr>
    <w:rPr>
      <w:rFonts w:ascii="Courier" w:hAnsi="Courier" w:cs="Times New Roman"/>
      <w:sz w:val="20"/>
      <w:szCs w:val="20"/>
    </w:rPr>
    <w:tblPr>
      <w:tblBorders>
        <w:top w:val="single" w:sz="4" w:space="0" w:color="4B4B4B"/>
        <w:left w:val="single" w:sz="4" w:space="0" w:color="FFFFFF"/>
        <w:bottom w:val="single" w:sz="4" w:space="0" w:color="4B4B4B"/>
        <w:right w:val="single" w:sz="4" w:space="0" w:color="FFFFFF"/>
        <w:insideH w:val="single" w:sz="4" w:space="0" w:color="4B4B4B"/>
        <w:insideV w:val="single" w:sz="4" w:space="0" w:color="FFFFFF"/>
      </w:tblBorders>
      <w:tblCellMar>
        <w:left w:w="0" w:type="dxa"/>
        <w:right w:w="0" w:type="dxa"/>
      </w:tblCellMar>
    </w:tblPr>
    <w:tcPr>
      <w:shd w:val="clear" w:color="auto" w:fill="DCDCDC"/>
    </w:tcPr>
    <w:tblStylePr w:type="firstRow">
      <w:rPr>
        <w:rFonts w:ascii="Franklin Gothic Book" w:hAnsi="Franklin Gothic Book"/>
        <w:b w:val="0"/>
      </w:rPr>
      <w:tblPr/>
      <w:tcPr>
        <w:shd w:val="clear" w:color="auto" w:fill="BEBEBE"/>
      </w:tcPr>
    </w:tblStylePr>
    <w:tblStylePr w:type="lastRow">
      <w:rPr>
        <w:rFonts w:ascii="Garamond" w:hAnsi="Garamond"/>
        <w:b/>
      </w:rPr>
    </w:tblStylePr>
    <w:tblStylePr w:type="firstCol">
      <w:rPr>
        <w:rFonts w:ascii="Garamond" w:hAnsi="Garamond"/>
        <w:b/>
      </w:rPr>
    </w:tblStylePr>
    <w:tblStylePr w:type="neCell">
      <w:rPr>
        <w:b w:val="0"/>
      </w:rPr>
    </w:tblStylePr>
    <w:tblStylePr w:type="nwCell">
      <w:rPr>
        <w:b w:val="0"/>
      </w:rPr>
    </w:tblStylePr>
  </w:style>
  <w:style w:type="table" w:customStyle="1" w:styleId="HMATable2">
    <w:name w:val="HMA Table2"/>
    <w:basedOn w:val="TableNormal"/>
    <w:uiPriority w:val="99"/>
    <w:rsid w:val="00166DB1"/>
    <w:pPr>
      <w:spacing w:after="0" w:line="240" w:lineRule="auto"/>
    </w:pPr>
    <w:rPr>
      <w:rFonts w:ascii="Courier" w:hAnsi="Courier" w:cs="Times New Roman"/>
      <w:sz w:val="20"/>
      <w:szCs w:val="20"/>
    </w:rPr>
    <w:tblPr>
      <w:tblBorders>
        <w:top w:val="single" w:sz="4" w:space="0" w:color="4B4B4B"/>
        <w:left w:val="single" w:sz="4" w:space="0" w:color="FFFFFF"/>
        <w:bottom w:val="single" w:sz="4" w:space="0" w:color="4B4B4B"/>
        <w:right w:val="single" w:sz="4" w:space="0" w:color="FFFFFF"/>
        <w:insideH w:val="single" w:sz="4" w:space="0" w:color="4B4B4B"/>
        <w:insideV w:val="single" w:sz="4" w:space="0" w:color="FFFFFF"/>
      </w:tblBorders>
      <w:tblCellMar>
        <w:left w:w="0" w:type="dxa"/>
        <w:right w:w="0" w:type="dxa"/>
      </w:tblCellMar>
    </w:tblPr>
    <w:tcPr>
      <w:shd w:val="clear" w:color="auto" w:fill="DCDCDC"/>
    </w:tcPr>
    <w:tblStylePr w:type="firstRow">
      <w:rPr>
        <w:rFonts w:ascii="Franklin Gothic Book" w:hAnsi="Franklin Gothic Book"/>
        <w:b w:val="0"/>
      </w:rPr>
      <w:tblPr/>
      <w:tcPr>
        <w:shd w:val="clear" w:color="auto" w:fill="BEBEBE"/>
      </w:tcPr>
    </w:tblStylePr>
    <w:tblStylePr w:type="lastRow">
      <w:rPr>
        <w:rFonts w:ascii="Garamond" w:hAnsi="Garamond"/>
        <w:b/>
      </w:rPr>
    </w:tblStylePr>
    <w:tblStylePr w:type="firstCol">
      <w:rPr>
        <w:rFonts w:ascii="Garamond" w:hAnsi="Garamond"/>
        <w:b/>
      </w:rPr>
    </w:tblStylePr>
    <w:tblStylePr w:type="neCell">
      <w:rPr>
        <w:b w:val="0"/>
      </w:rPr>
    </w:tblStylePr>
    <w:tblStylePr w:type="nwCell">
      <w:rPr>
        <w:b w:val="0"/>
      </w:rPr>
    </w:tblStylePr>
  </w:style>
  <w:style w:type="table" w:customStyle="1" w:styleId="HMATable3">
    <w:name w:val="HMA Table3"/>
    <w:basedOn w:val="TableNormal"/>
    <w:uiPriority w:val="99"/>
    <w:rsid w:val="00166DB1"/>
    <w:pPr>
      <w:spacing w:after="0" w:line="240" w:lineRule="auto"/>
    </w:pPr>
    <w:rPr>
      <w:rFonts w:ascii="Courier" w:hAnsi="Courier" w:cs="Times New Roman"/>
      <w:sz w:val="20"/>
      <w:szCs w:val="20"/>
    </w:rPr>
    <w:tblPr>
      <w:tblBorders>
        <w:top w:val="single" w:sz="4" w:space="0" w:color="4B4B4B"/>
        <w:left w:val="single" w:sz="4" w:space="0" w:color="FFFFFF"/>
        <w:bottom w:val="single" w:sz="4" w:space="0" w:color="4B4B4B"/>
        <w:right w:val="single" w:sz="4" w:space="0" w:color="FFFFFF"/>
        <w:insideH w:val="single" w:sz="4" w:space="0" w:color="4B4B4B"/>
        <w:insideV w:val="single" w:sz="4" w:space="0" w:color="FFFFFF"/>
      </w:tblBorders>
      <w:tblCellMar>
        <w:left w:w="0" w:type="dxa"/>
        <w:right w:w="0" w:type="dxa"/>
      </w:tblCellMar>
    </w:tblPr>
    <w:tcPr>
      <w:shd w:val="clear" w:color="auto" w:fill="DCDCDC"/>
    </w:tcPr>
    <w:tblStylePr w:type="firstRow">
      <w:rPr>
        <w:rFonts w:ascii="Franklin Gothic Book" w:hAnsi="Franklin Gothic Book"/>
        <w:b w:val="0"/>
      </w:rPr>
      <w:tblPr/>
      <w:tcPr>
        <w:shd w:val="clear" w:color="auto" w:fill="BEBEBE"/>
      </w:tcPr>
    </w:tblStylePr>
    <w:tblStylePr w:type="lastRow">
      <w:rPr>
        <w:rFonts w:ascii="Garamond" w:hAnsi="Garamond"/>
        <w:b/>
      </w:rPr>
    </w:tblStylePr>
    <w:tblStylePr w:type="firstCol">
      <w:rPr>
        <w:rFonts w:ascii="Garamond" w:hAnsi="Garamond"/>
        <w:b/>
      </w:rPr>
    </w:tblStylePr>
    <w:tblStylePr w:type="neCell">
      <w:rPr>
        <w:b w:val="0"/>
      </w:rPr>
    </w:tblStylePr>
    <w:tblStylePr w:type="nwCell">
      <w:rPr>
        <w:b w:val="0"/>
      </w:rPr>
    </w:tblStylePr>
  </w:style>
  <w:style w:type="table" w:customStyle="1" w:styleId="HMATable4">
    <w:name w:val="HMA Table4"/>
    <w:basedOn w:val="TableNormal"/>
    <w:uiPriority w:val="99"/>
    <w:rsid w:val="00166DB1"/>
    <w:pPr>
      <w:spacing w:after="0" w:line="240" w:lineRule="auto"/>
    </w:pPr>
    <w:rPr>
      <w:rFonts w:ascii="Courier" w:hAnsi="Courier" w:cs="Times New Roman"/>
      <w:sz w:val="20"/>
      <w:szCs w:val="20"/>
    </w:rPr>
    <w:tblPr>
      <w:tblBorders>
        <w:top w:val="single" w:sz="4" w:space="0" w:color="4B4B4B"/>
        <w:left w:val="single" w:sz="4" w:space="0" w:color="FFFFFF"/>
        <w:bottom w:val="single" w:sz="4" w:space="0" w:color="4B4B4B"/>
        <w:right w:val="single" w:sz="4" w:space="0" w:color="FFFFFF"/>
        <w:insideH w:val="single" w:sz="4" w:space="0" w:color="4B4B4B"/>
        <w:insideV w:val="single" w:sz="4" w:space="0" w:color="FFFFFF"/>
      </w:tblBorders>
      <w:tblCellMar>
        <w:left w:w="0" w:type="dxa"/>
        <w:right w:w="0" w:type="dxa"/>
      </w:tblCellMar>
    </w:tblPr>
    <w:tcPr>
      <w:shd w:val="clear" w:color="auto" w:fill="DCDCDC"/>
    </w:tcPr>
    <w:tblStylePr w:type="firstRow">
      <w:rPr>
        <w:rFonts w:ascii="Franklin Gothic Book" w:hAnsi="Franklin Gothic Book"/>
        <w:b w:val="0"/>
      </w:rPr>
      <w:tblPr/>
      <w:tcPr>
        <w:shd w:val="clear" w:color="auto" w:fill="BEBEBE"/>
      </w:tcPr>
    </w:tblStylePr>
    <w:tblStylePr w:type="lastRow">
      <w:rPr>
        <w:rFonts w:ascii="Garamond" w:hAnsi="Garamond"/>
        <w:b/>
      </w:rPr>
    </w:tblStylePr>
    <w:tblStylePr w:type="firstCol">
      <w:rPr>
        <w:rFonts w:ascii="Garamond" w:hAnsi="Garamond"/>
        <w:b/>
      </w:rPr>
    </w:tblStylePr>
    <w:tblStylePr w:type="neCell">
      <w:rPr>
        <w:b w:val="0"/>
      </w:rPr>
    </w:tblStylePr>
    <w:tblStylePr w:type="nwCell">
      <w:rPr>
        <w:b w:val="0"/>
      </w:rPr>
    </w:tblStylePr>
  </w:style>
  <w:style w:type="paragraph" w:styleId="Bibliography">
    <w:name w:val="Bibliography"/>
    <w:basedOn w:val="Normal"/>
    <w:next w:val="Normal"/>
    <w:uiPriority w:val="99"/>
    <w:unhideWhenUsed/>
    <w:rsid w:val="00166DB1"/>
    <w:rPr>
      <w:color w:val="000000"/>
    </w:rPr>
  </w:style>
  <w:style w:type="character" w:styleId="CommentReference">
    <w:name w:val="annotation reference"/>
    <w:basedOn w:val="DefaultParagraphFont"/>
    <w:uiPriority w:val="99"/>
    <w:semiHidden/>
    <w:unhideWhenUsed/>
    <w:rsid w:val="00166DB1"/>
    <w:rPr>
      <w:sz w:val="16"/>
      <w:szCs w:val="16"/>
    </w:rPr>
  </w:style>
  <w:style w:type="paragraph" w:styleId="CommentText">
    <w:name w:val="annotation text"/>
    <w:basedOn w:val="Normal"/>
    <w:link w:val="CommentTextChar"/>
    <w:uiPriority w:val="99"/>
    <w:semiHidden/>
    <w:unhideWhenUsed/>
    <w:rsid w:val="00166DB1"/>
    <w:pPr>
      <w:spacing w:line="240" w:lineRule="auto"/>
    </w:pPr>
    <w:rPr>
      <w:color w:val="000000"/>
      <w:sz w:val="20"/>
    </w:rPr>
  </w:style>
  <w:style w:type="character" w:customStyle="1" w:styleId="CommentTextChar">
    <w:name w:val="Comment Text Char"/>
    <w:basedOn w:val="DefaultParagraphFont"/>
    <w:link w:val="CommentText"/>
    <w:uiPriority w:val="99"/>
    <w:semiHidden/>
    <w:rsid w:val="00166DB1"/>
    <w:rPr>
      <w:rFonts w:cs="Times New Roman"/>
      <w:color w:val="000000"/>
      <w:spacing w:val="-2"/>
      <w:sz w:val="20"/>
      <w:szCs w:val="20"/>
    </w:rPr>
  </w:style>
  <w:style w:type="paragraph" w:styleId="CommentSubject">
    <w:name w:val="annotation subject"/>
    <w:basedOn w:val="CommentText"/>
    <w:next w:val="CommentText"/>
    <w:link w:val="CommentSubjectChar"/>
    <w:uiPriority w:val="99"/>
    <w:semiHidden/>
    <w:unhideWhenUsed/>
    <w:rsid w:val="00166DB1"/>
    <w:rPr>
      <w:b/>
      <w:bCs/>
    </w:rPr>
  </w:style>
  <w:style w:type="character" w:customStyle="1" w:styleId="CommentSubjectChar">
    <w:name w:val="Comment Subject Char"/>
    <w:basedOn w:val="CommentTextChar"/>
    <w:link w:val="CommentSubject"/>
    <w:uiPriority w:val="99"/>
    <w:semiHidden/>
    <w:rsid w:val="00166DB1"/>
    <w:rPr>
      <w:rFonts w:cs="Times New Roman"/>
      <w:b/>
      <w:bCs/>
      <w:color w:val="000000"/>
      <w:spacing w:val="-2"/>
      <w:sz w:val="20"/>
      <w:szCs w:val="20"/>
    </w:rPr>
  </w:style>
  <w:style w:type="character" w:customStyle="1" w:styleId="UnresolvedMention1">
    <w:name w:val="Unresolved Mention1"/>
    <w:basedOn w:val="DefaultParagraphFont"/>
    <w:uiPriority w:val="99"/>
    <w:semiHidden/>
    <w:unhideWhenUsed/>
    <w:rsid w:val="00166DB1"/>
    <w:rPr>
      <w:color w:val="808080"/>
      <w:shd w:val="clear" w:color="auto" w:fill="E6E6E6"/>
    </w:rPr>
  </w:style>
  <w:style w:type="character" w:customStyle="1" w:styleId="FollowedHyperlink1">
    <w:name w:val="FollowedHyperlink1"/>
    <w:basedOn w:val="DefaultParagraphFont"/>
    <w:uiPriority w:val="99"/>
    <w:semiHidden/>
    <w:unhideWhenUsed/>
    <w:rsid w:val="00166DB1"/>
    <w:rPr>
      <w:color w:val="BEBEBE"/>
      <w:u w:val="single"/>
    </w:rPr>
  </w:style>
  <w:style w:type="character" w:customStyle="1" w:styleId="Mention1">
    <w:name w:val="Mention1"/>
    <w:basedOn w:val="DefaultParagraphFont"/>
    <w:uiPriority w:val="99"/>
    <w:semiHidden/>
    <w:unhideWhenUsed/>
    <w:rsid w:val="00166DB1"/>
    <w:rPr>
      <w:color w:val="2B579A"/>
      <w:shd w:val="clear" w:color="auto" w:fill="E6E6E6"/>
    </w:rPr>
  </w:style>
  <w:style w:type="paragraph" w:customStyle="1" w:styleId="Tableheading">
    <w:name w:val="Table heading"/>
    <w:basedOn w:val="KeyFindingsTableHeading"/>
    <w:link w:val="TableheadingChar"/>
    <w:uiPriority w:val="99"/>
    <w:qFormat/>
    <w:rsid w:val="00BF753C"/>
    <w:rPr>
      <w:caps w:val="0"/>
    </w:rPr>
  </w:style>
  <w:style w:type="character" w:customStyle="1" w:styleId="KeyFindingsTableHeadingChar">
    <w:name w:val="Key Findings Table Heading Char"/>
    <w:basedOn w:val="BodyCopyChar"/>
    <w:link w:val="KeyFindingsTableHeading"/>
    <w:uiPriority w:val="21"/>
    <w:rsid w:val="00166DB1"/>
    <w:rPr>
      <w:rFonts w:asciiTheme="majorHAnsi" w:hAnsiTheme="majorHAnsi" w:cs="Times New Roman"/>
      <w:caps/>
      <w:color w:val="000000" w:themeColor="text1"/>
      <w:spacing w:val="-2"/>
      <w:sz w:val="18"/>
      <w:szCs w:val="20"/>
    </w:rPr>
  </w:style>
  <w:style w:type="character" w:customStyle="1" w:styleId="TableheadingChar">
    <w:name w:val="Table heading Char"/>
    <w:basedOn w:val="KeyFindingsTableHeadingChar"/>
    <w:link w:val="Tableheading"/>
    <w:uiPriority w:val="99"/>
    <w:rsid w:val="00BF753C"/>
    <w:rPr>
      <w:rFonts w:ascii="Franklin Gothic Book" w:hAnsi="Franklin Gothic Book" w:cs="Times New Roman"/>
      <w:caps w:val="0"/>
      <w:color w:val="000000"/>
      <w:spacing w:val="-2"/>
      <w:sz w:val="18"/>
      <w:szCs w:val="20"/>
    </w:rPr>
  </w:style>
  <w:style w:type="paragraph" w:customStyle="1" w:styleId="Coverheading">
    <w:name w:val="Cover heading"/>
    <w:basedOn w:val="Normal"/>
    <w:link w:val="CoverheadingChar"/>
    <w:uiPriority w:val="99"/>
    <w:qFormat/>
    <w:rsid w:val="00166DB1"/>
    <w:rPr>
      <w:color w:val="000000"/>
    </w:rPr>
  </w:style>
  <w:style w:type="paragraph" w:customStyle="1" w:styleId="Covertitle">
    <w:name w:val="Cover title"/>
    <w:basedOn w:val="Normal"/>
    <w:uiPriority w:val="99"/>
    <w:rsid w:val="00166DB1"/>
    <w:rPr>
      <w:rFonts w:ascii="Franklin Gothic Book" w:hAnsi="Franklin Gothic Book"/>
      <w:b/>
      <w:color w:val="000000"/>
      <w:sz w:val="36"/>
      <w:szCs w:val="36"/>
    </w:rPr>
  </w:style>
  <w:style w:type="character" w:customStyle="1" w:styleId="CoverheadingChar">
    <w:name w:val="Cover heading Char"/>
    <w:basedOn w:val="DefaultParagraphFont"/>
    <w:link w:val="Coverheading"/>
    <w:uiPriority w:val="99"/>
    <w:rsid w:val="00166DB1"/>
    <w:rPr>
      <w:rFonts w:cs="Times New Roman"/>
      <w:color w:val="000000"/>
      <w:spacing w:val="-2"/>
      <w:szCs w:val="20"/>
    </w:rPr>
  </w:style>
  <w:style w:type="paragraph" w:customStyle="1" w:styleId="Tablesubheading">
    <w:name w:val="Table subheading"/>
    <w:basedOn w:val="Tableheading"/>
    <w:uiPriority w:val="99"/>
    <w:rsid w:val="001C5BAE"/>
    <w:rPr>
      <w:b/>
      <w:i/>
      <w:color w:val="auto"/>
    </w:rPr>
  </w:style>
  <w:style w:type="paragraph" w:styleId="BodyText">
    <w:name w:val="Body Text"/>
    <w:link w:val="BodyTextChar"/>
    <w:uiPriority w:val="99"/>
    <w:semiHidden/>
    <w:rsid w:val="00B24642"/>
    <w:pPr>
      <w:spacing w:after="120" w:line="240" w:lineRule="auto"/>
    </w:pPr>
    <w:rPr>
      <w:rFonts w:cs="Times New Roman"/>
      <w:sz w:val="20"/>
      <w:szCs w:val="20"/>
    </w:rPr>
  </w:style>
  <w:style w:type="character" w:customStyle="1" w:styleId="BodyTextChar1">
    <w:name w:val="Body Text Char1"/>
    <w:basedOn w:val="DefaultParagraphFont"/>
    <w:uiPriority w:val="99"/>
    <w:semiHidden/>
    <w:rsid w:val="00166DB1"/>
  </w:style>
  <w:style w:type="paragraph" w:styleId="Footer">
    <w:name w:val="footer"/>
    <w:link w:val="FooterChar"/>
    <w:uiPriority w:val="99"/>
    <w:rsid w:val="00B24642"/>
    <w:pPr>
      <w:tabs>
        <w:tab w:val="center" w:pos="4513"/>
        <w:tab w:val="right" w:pos="9026"/>
      </w:tabs>
      <w:spacing w:after="0" w:line="240" w:lineRule="auto"/>
    </w:pPr>
    <w:rPr>
      <w:rFonts w:cs="Times New Roman"/>
      <w:sz w:val="20"/>
      <w:szCs w:val="20"/>
    </w:rPr>
  </w:style>
  <w:style w:type="character" w:customStyle="1" w:styleId="FooterChar1">
    <w:name w:val="Footer Char1"/>
    <w:basedOn w:val="DefaultParagraphFont"/>
    <w:uiPriority w:val="99"/>
    <w:rsid w:val="00166DB1"/>
  </w:style>
  <w:style w:type="paragraph" w:styleId="Header">
    <w:name w:val="header"/>
    <w:link w:val="HeaderChar"/>
    <w:uiPriority w:val="99"/>
    <w:rsid w:val="00B24642"/>
    <w:pPr>
      <w:tabs>
        <w:tab w:val="center" w:pos="4513"/>
        <w:tab w:val="right" w:pos="9026"/>
      </w:tabs>
      <w:spacing w:after="0" w:line="240" w:lineRule="auto"/>
    </w:pPr>
    <w:rPr>
      <w:rFonts w:cs="Times New Roman"/>
      <w:sz w:val="20"/>
      <w:szCs w:val="20"/>
    </w:rPr>
  </w:style>
  <w:style w:type="character" w:customStyle="1" w:styleId="HeaderChar1">
    <w:name w:val="Header Char1"/>
    <w:basedOn w:val="DefaultParagraphFont"/>
    <w:uiPriority w:val="99"/>
    <w:rsid w:val="00166DB1"/>
  </w:style>
  <w:style w:type="character" w:customStyle="1" w:styleId="Heading2Char1">
    <w:name w:val="Heading 2 Char1"/>
    <w:basedOn w:val="DefaultParagraphFont"/>
    <w:uiPriority w:val="9"/>
    <w:semiHidden/>
    <w:rsid w:val="00166DB1"/>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166DB1"/>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66DB1"/>
    <w:rPr>
      <w:rFonts w:asciiTheme="majorHAnsi" w:eastAsiaTheme="majorEastAsia" w:hAnsiTheme="majorHAnsi" w:cstheme="majorBidi"/>
      <w:i/>
      <w:iCs/>
      <w:color w:val="2F5496" w:themeColor="accent1" w:themeShade="BF"/>
    </w:rPr>
  </w:style>
  <w:style w:type="paragraph" w:styleId="Subtitle">
    <w:name w:val="Subtitle"/>
    <w:link w:val="SubtitleChar"/>
    <w:uiPriority w:val="99"/>
    <w:qFormat/>
    <w:rsid w:val="00B24642"/>
    <w:pPr>
      <w:numPr>
        <w:ilvl w:val="1"/>
      </w:numPr>
      <w:spacing w:after="0" w:line="240" w:lineRule="auto"/>
    </w:pPr>
    <w:rPr>
      <w:rFonts w:asciiTheme="majorHAnsi" w:eastAsiaTheme="majorEastAsia" w:hAnsiTheme="majorHAnsi" w:cstheme="majorBidi"/>
      <w:iCs/>
      <w:color w:val="4472C4" w:themeColor="accent1"/>
      <w:sz w:val="24"/>
      <w:szCs w:val="24"/>
    </w:rPr>
  </w:style>
  <w:style w:type="character" w:customStyle="1" w:styleId="SubtitleChar1">
    <w:name w:val="Subtitle Char1"/>
    <w:basedOn w:val="DefaultParagraphFont"/>
    <w:uiPriority w:val="11"/>
    <w:rsid w:val="00166DB1"/>
    <w:rPr>
      <w:rFonts w:eastAsiaTheme="minorEastAsia"/>
      <w:color w:val="5A5A5A" w:themeColor="text1" w:themeTint="A5"/>
      <w:spacing w:val="15"/>
    </w:rPr>
  </w:style>
  <w:style w:type="paragraph" w:styleId="Title">
    <w:name w:val="Title"/>
    <w:link w:val="TitleChar"/>
    <w:uiPriority w:val="99"/>
    <w:qFormat/>
    <w:rsid w:val="00B2464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kern w:val="28"/>
      <w:sz w:val="52"/>
      <w:szCs w:val="52"/>
    </w:rPr>
  </w:style>
  <w:style w:type="character" w:customStyle="1" w:styleId="TitleChar1">
    <w:name w:val="Title Char1"/>
    <w:basedOn w:val="DefaultParagraphFont"/>
    <w:uiPriority w:val="10"/>
    <w:rsid w:val="00166DB1"/>
    <w:rPr>
      <w:rFonts w:asciiTheme="majorHAnsi" w:eastAsiaTheme="majorEastAsia" w:hAnsiTheme="majorHAnsi" w:cstheme="majorBidi"/>
      <w:spacing w:val="-10"/>
      <w:kern w:val="28"/>
      <w:sz w:val="56"/>
      <w:szCs w:val="56"/>
    </w:rPr>
  </w:style>
  <w:style w:type="paragraph" w:styleId="Date">
    <w:name w:val="Date"/>
    <w:link w:val="DateChar"/>
    <w:uiPriority w:val="99"/>
    <w:semiHidden/>
    <w:rsid w:val="00B24642"/>
    <w:pPr>
      <w:spacing w:after="0" w:line="240" w:lineRule="auto"/>
    </w:pPr>
    <w:rPr>
      <w:rFonts w:cs="Times New Roman"/>
      <w:sz w:val="20"/>
      <w:szCs w:val="20"/>
    </w:rPr>
  </w:style>
  <w:style w:type="character" w:customStyle="1" w:styleId="DateChar1">
    <w:name w:val="Date Char1"/>
    <w:basedOn w:val="DefaultParagraphFont"/>
    <w:uiPriority w:val="99"/>
    <w:semiHidden/>
    <w:rsid w:val="00166DB1"/>
  </w:style>
  <w:style w:type="paragraph" w:styleId="EndnoteText">
    <w:name w:val="endnote text"/>
    <w:link w:val="EndnoteTextChar"/>
    <w:uiPriority w:val="99"/>
    <w:semiHidden/>
    <w:rsid w:val="00B24642"/>
    <w:pPr>
      <w:spacing w:after="0" w:line="240" w:lineRule="auto"/>
    </w:pPr>
    <w:rPr>
      <w:rFonts w:cs="Times New Roman"/>
      <w:sz w:val="20"/>
      <w:szCs w:val="20"/>
    </w:rPr>
  </w:style>
  <w:style w:type="character" w:customStyle="1" w:styleId="EndnoteTextChar1">
    <w:name w:val="Endnote Text Char1"/>
    <w:basedOn w:val="DefaultParagraphFont"/>
    <w:uiPriority w:val="99"/>
    <w:semiHidden/>
    <w:rsid w:val="00166DB1"/>
    <w:rPr>
      <w:sz w:val="20"/>
      <w:szCs w:val="20"/>
    </w:rPr>
  </w:style>
  <w:style w:type="paragraph" w:styleId="FootnoteText">
    <w:name w:val="footnote text"/>
    <w:link w:val="FootnoteTextChar"/>
    <w:uiPriority w:val="39"/>
    <w:semiHidden/>
    <w:rsid w:val="00B24642"/>
    <w:pPr>
      <w:spacing w:after="0" w:line="192" w:lineRule="atLeast"/>
    </w:pPr>
    <w:rPr>
      <w:rFonts w:cs="Times New Roman"/>
      <w:i/>
      <w:color w:val="44546A" w:themeColor="text2"/>
      <w:sz w:val="16"/>
      <w:szCs w:val="20"/>
    </w:rPr>
  </w:style>
  <w:style w:type="character" w:customStyle="1" w:styleId="FootnoteTextChar1">
    <w:name w:val="Footnote Text Char1"/>
    <w:basedOn w:val="DefaultParagraphFont"/>
    <w:uiPriority w:val="99"/>
    <w:semiHidden/>
    <w:rsid w:val="00166DB1"/>
    <w:rPr>
      <w:sz w:val="20"/>
      <w:szCs w:val="20"/>
    </w:rPr>
  </w:style>
  <w:style w:type="paragraph" w:styleId="TableofFigures">
    <w:name w:val="table of figures"/>
    <w:uiPriority w:val="99"/>
    <w:semiHidden/>
    <w:rsid w:val="00B24642"/>
    <w:pPr>
      <w:spacing w:after="0" w:line="240" w:lineRule="auto"/>
    </w:pPr>
    <w:rPr>
      <w:rFonts w:cs="Times New Roman"/>
      <w:sz w:val="20"/>
      <w:szCs w:val="20"/>
    </w:rPr>
  </w:style>
  <w:style w:type="paragraph" w:styleId="TOC1">
    <w:name w:val="toc 1"/>
    <w:uiPriority w:val="39"/>
    <w:rsid w:val="00B24642"/>
    <w:pPr>
      <w:tabs>
        <w:tab w:val="center" w:pos="6804"/>
      </w:tabs>
      <w:spacing w:after="180" w:line="280" w:lineRule="atLeast"/>
      <w:ind w:left="397" w:right="1021"/>
      <w:contextualSpacing/>
    </w:pPr>
    <w:rPr>
      <w:rFonts w:asciiTheme="majorHAnsi" w:hAnsiTheme="majorHAnsi" w:cs="Times New Roman"/>
      <w:caps/>
      <w:color w:val="000000" w:themeColor="text1"/>
      <w:spacing w:val="-2"/>
      <w:szCs w:val="20"/>
    </w:rPr>
  </w:style>
  <w:style w:type="paragraph" w:styleId="TOC2">
    <w:name w:val="toc 2"/>
    <w:uiPriority w:val="39"/>
    <w:rsid w:val="00B24642"/>
    <w:pPr>
      <w:tabs>
        <w:tab w:val="left" w:pos="397"/>
        <w:tab w:val="center" w:pos="6804"/>
      </w:tabs>
      <w:spacing w:before="180" w:after="0" w:line="360" w:lineRule="atLeast"/>
      <w:ind w:left="397" w:right="1021" w:hanging="397"/>
    </w:pPr>
    <w:rPr>
      <w:rFonts w:asciiTheme="majorHAnsi" w:hAnsiTheme="majorHAnsi" w:cs="Times New Roman"/>
      <w:caps/>
      <w:color w:val="000000" w:themeColor="text1"/>
      <w:spacing w:val="-2"/>
      <w:sz w:val="28"/>
      <w:szCs w:val="20"/>
      <w:u w:val="single"/>
    </w:rPr>
  </w:style>
  <w:style w:type="paragraph" w:styleId="TOC3">
    <w:name w:val="toc 3"/>
    <w:uiPriority w:val="39"/>
    <w:rsid w:val="00B24642"/>
    <w:pPr>
      <w:tabs>
        <w:tab w:val="left" w:pos="964"/>
        <w:tab w:val="center" w:pos="6804"/>
      </w:tabs>
      <w:spacing w:before="80" w:after="0" w:line="280" w:lineRule="atLeast"/>
      <w:ind w:left="1361" w:right="1021" w:hanging="964"/>
      <w:contextualSpacing/>
    </w:pPr>
    <w:rPr>
      <w:rFonts w:ascii="Franklin Gothic Demi" w:hAnsi="Franklin Gothic Demi" w:cs="Times New Roman"/>
      <w:caps/>
      <w:color w:val="000000" w:themeColor="text1"/>
      <w:sz w:val="20"/>
      <w:szCs w:val="20"/>
    </w:rPr>
  </w:style>
  <w:style w:type="character" w:customStyle="1" w:styleId="Heading5Char1">
    <w:name w:val="Heading 5 Char1"/>
    <w:basedOn w:val="DefaultParagraphFont"/>
    <w:uiPriority w:val="9"/>
    <w:semiHidden/>
    <w:rsid w:val="00166DB1"/>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66DB1"/>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66DB1"/>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66DB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66DB1"/>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hidden/>
    <w:uiPriority w:val="99"/>
    <w:semiHidden/>
    <w:rsid w:val="00166DB1"/>
    <w:rPr>
      <w:color w:val="0563C1" w:themeColor="hyperlink"/>
      <w:u w:val="single"/>
    </w:rPr>
  </w:style>
  <w:style w:type="paragraph" w:styleId="Caption">
    <w:name w:val="caption"/>
    <w:next w:val="BodyText"/>
    <w:link w:val="CaptionChar"/>
    <w:uiPriority w:val="14"/>
    <w:rsid w:val="00B24642"/>
    <w:pPr>
      <w:keepNext/>
      <w:keepLines/>
      <w:spacing w:before="170" w:after="85" w:line="200" w:lineRule="exact"/>
      <w:jc w:val="center"/>
    </w:pPr>
    <w:rPr>
      <w:rFonts w:ascii="Franklin Gothic Demi" w:hAnsi="Franklin Gothic Demi" w:cs="Times New Roman"/>
      <w:bCs/>
      <w:color w:val="000000" w:themeColor="text1"/>
      <w:sz w:val="17"/>
      <w:szCs w:val="18"/>
    </w:rPr>
  </w:style>
  <w:style w:type="character" w:styleId="FollowedHyperlink">
    <w:name w:val="FollowedHyperlink"/>
    <w:basedOn w:val="DefaultParagraphFont"/>
    <w:uiPriority w:val="99"/>
    <w:semiHidden/>
    <w:unhideWhenUsed/>
    <w:rsid w:val="00166DB1"/>
    <w:rPr>
      <w:color w:val="954F72" w:themeColor="followedHyperlink"/>
      <w:u w:val="single"/>
    </w:rPr>
  </w:style>
  <w:style w:type="paragraph" w:styleId="ListParagraph">
    <w:name w:val="List Paragraph"/>
    <w:basedOn w:val="Normal"/>
    <w:uiPriority w:val="34"/>
    <w:qFormat/>
    <w:rsid w:val="000121A1"/>
    <w:pPr>
      <w:ind w:left="720"/>
      <w:contextualSpacing/>
    </w:pPr>
  </w:style>
  <w:style w:type="paragraph" w:customStyle="1" w:styleId="Tablesubheading1">
    <w:name w:val="Table subheading1"/>
    <w:basedOn w:val="TableCopy"/>
    <w:qFormat/>
    <w:rsid w:val="001E4D58"/>
    <w:rPr>
      <w:color w:val="FFFFFF" w:themeColor="background1"/>
    </w:rPr>
  </w:style>
  <w:style w:type="paragraph" w:customStyle="1" w:styleId="Tablesubheading2">
    <w:name w:val="Table subheading2"/>
    <w:basedOn w:val="TableCopy"/>
    <w:qFormat/>
    <w:rsid w:val="001E4D58"/>
    <w:rPr>
      <w:b/>
      <w:i/>
    </w:rPr>
  </w:style>
  <w:style w:type="paragraph" w:customStyle="1" w:styleId="ChapterHeading">
    <w:name w:val="Chapter Heading"/>
    <w:basedOn w:val="PartHeading"/>
    <w:qFormat/>
    <w:rsid w:val="0093538D"/>
    <w:pPr>
      <w:keepNext w:val="0"/>
      <w:keepLines w:val="0"/>
      <w:pageBreakBefore w:val="0"/>
      <w:widowControl w:val="0"/>
      <w:spacing w:after="600"/>
    </w:pPr>
  </w:style>
  <w:style w:type="character" w:customStyle="1" w:styleId="Captionnotbold">
    <w:name w:val="Caption (not bold)"/>
    <w:basedOn w:val="DefaultParagraphFont"/>
    <w:uiPriority w:val="14"/>
    <w:rsid w:val="00B24642"/>
    <w:rPr>
      <w:rFonts w:asciiTheme="majorHAnsi" w:hAnsiTheme="majorHAnsi"/>
      <w:b w:val="0"/>
      <w:color w:val="000000" w:themeColor="text1"/>
    </w:rPr>
  </w:style>
  <w:style w:type="paragraph" w:styleId="TOC4">
    <w:name w:val="toc 4"/>
    <w:next w:val="BodyCopy"/>
    <w:uiPriority w:val="39"/>
    <w:rsid w:val="00B24642"/>
    <w:pPr>
      <w:tabs>
        <w:tab w:val="left" w:pos="1644"/>
        <w:tab w:val="center" w:pos="6804"/>
      </w:tabs>
      <w:spacing w:after="0" w:line="280" w:lineRule="atLeast"/>
      <w:ind w:left="1644" w:right="1021" w:hanging="680"/>
    </w:pPr>
    <w:rPr>
      <w:rFonts w:asciiTheme="majorHAnsi" w:hAnsiTheme="majorHAnsi" w:cs="Times New Roman"/>
      <w:noProof/>
      <w:color w:val="000000" w:themeColor="text1"/>
      <w:spacing w:val="-2"/>
      <w:sz w:val="20"/>
      <w:szCs w:val="20"/>
    </w:rPr>
  </w:style>
  <w:style w:type="table" w:styleId="TableGridLight">
    <w:name w:val="Grid Table Light"/>
    <w:basedOn w:val="TableNormal"/>
    <w:uiPriority w:val="40"/>
    <w:rsid w:val="00AB00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image" Target="media/image2.jpeg"/><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1.png"/><Relationship Id="rId33" Type="http://schemas.openxmlformats.org/officeDocument/2006/relationships/chart" Target="charts/chart1.xml"/><Relationship Id="rId38"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29" Type="http://schemas.openxmlformats.org/officeDocument/2006/relationships/image" Target="media/image3.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4.xml"/><Relationship Id="rId37" Type="http://schemas.openxmlformats.org/officeDocument/2006/relationships/header" Target="header18.xml"/><Relationship Id="rId40"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image" Target="media/image4.emf"/><Relationship Id="rId35" Type="http://schemas.openxmlformats.org/officeDocument/2006/relationships/header" Target="header1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MKFILESVR2012\HMA_Corporate_Drive\Jobs\1179%20Pharmacy%20Workforce%20Cost-effectiveness%20Review\Deliverables\Workforce%20Data%20(AIHW)\Jack's%20AIHW%20stuff\AIHW%20data%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'Indigenous workforce'!$C$43</c:f>
              <c:strCache>
                <c:ptCount val="1"/>
                <c:pt idx="0">
                  <c:v>Non-Indigenous pharmacist FTE</c:v>
                </c:pt>
              </c:strCache>
            </c:strRef>
          </c:tx>
          <c:spPr>
            <a:solidFill>
              <a:schemeClr val="accent1"/>
            </a:solidFill>
            <a:ln>
              <a:noFill/>
            </a:ln>
            <a:effectLst/>
          </c:spPr>
          <c:invertIfNegative val="0"/>
          <c:cat>
            <c:strRef>
              <c:f>'Indigenous workforce'!$B$44:$B$48</c:f>
              <c:strCache>
                <c:ptCount val="5"/>
                <c:pt idx="0">
                  <c:v>Major cities</c:v>
                </c:pt>
                <c:pt idx="1">
                  <c:v>Inner regional</c:v>
                </c:pt>
                <c:pt idx="2">
                  <c:v>Outer regional</c:v>
                </c:pt>
                <c:pt idx="3">
                  <c:v>Remote</c:v>
                </c:pt>
                <c:pt idx="4">
                  <c:v>Very remote</c:v>
                </c:pt>
              </c:strCache>
            </c:strRef>
          </c:cat>
          <c:val>
            <c:numRef>
              <c:f>'Indigenous workforce'!$C$44:$C$48</c:f>
              <c:numCache>
                <c:formatCode>General</c:formatCode>
                <c:ptCount val="5"/>
                <c:pt idx="0">
                  <c:v>76</c:v>
                </c:pt>
                <c:pt idx="1">
                  <c:v>63.5</c:v>
                </c:pt>
                <c:pt idx="2">
                  <c:v>61.6</c:v>
                </c:pt>
                <c:pt idx="3">
                  <c:v>51.5</c:v>
                </c:pt>
                <c:pt idx="4">
                  <c:v>34.200000000000003</c:v>
                </c:pt>
              </c:numCache>
            </c:numRef>
          </c:val>
          <c:extLst>
            <c:ext xmlns:c16="http://schemas.microsoft.com/office/drawing/2014/chart" uri="{C3380CC4-5D6E-409C-BE32-E72D297353CC}">
              <c16:uniqueId val="{00000000-D05F-49FC-8BB1-1578D4966EAB}"/>
            </c:ext>
          </c:extLst>
        </c:ser>
        <c:ser>
          <c:idx val="1"/>
          <c:order val="1"/>
          <c:tx>
            <c:strRef>
              <c:f>'Indigenous workforce'!$D$43</c:f>
              <c:strCache>
                <c:ptCount val="1"/>
                <c:pt idx="0">
                  <c:v>Aboriginal and Torres Strait Islander pharmacist FTE</c:v>
                </c:pt>
              </c:strCache>
            </c:strRef>
          </c:tx>
          <c:spPr>
            <a:solidFill>
              <a:schemeClr val="accent2"/>
            </a:solidFill>
            <a:ln>
              <a:noFill/>
            </a:ln>
            <a:effectLst/>
          </c:spPr>
          <c:invertIfNegative val="0"/>
          <c:cat>
            <c:strRef>
              <c:f>'Indigenous workforce'!$B$44:$B$48</c:f>
              <c:strCache>
                <c:ptCount val="5"/>
                <c:pt idx="0">
                  <c:v>Major cities</c:v>
                </c:pt>
                <c:pt idx="1">
                  <c:v>Inner regional</c:v>
                </c:pt>
                <c:pt idx="2">
                  <c:v>Outer regional</c:v>
                </c:pt>
                <c:pt idx="3">
                  <c:v>Remote</c:v>
                </c:pt>
                <c:pt idx="4">
                  <c:v>Very remote</c:v>
                </c:pt>
              </c:strCache>
            </c:strRef>
          </c:cat>
          <c:val>
            <c:numRef>
              <c:f>'Indigenous workforce'!$D$44:$D$48</c:f>
              <c:numCache>
                <c:formatCode>General</c:formatCode>
                <c:ptCount val="5"/>
                <c:pt idx="0">
                  <c:v>17</c:v>
                </c:pt>
                <c:pt idx="1">
                  <c:v>8.33</c:v>
                </c:pt>
                <c:pt idx="2">
                  <c:v>3.83</c:v>
                </c:pt>
                <c:pt idx="3">
                  <c:v>8.9700000000000006</c:v>
                </c:pt>
                <c:pt idx="4">
                  <c:v>0</c:v>
                </c:pt>
              </c:numCache>
            </c:numRef>
          </c:val>
          <c:extLst>
            <c:ext xmlns:c16="http://schemas.microsoft.com/office/drawing/2014/chart" uri="{C3380CC4-5D6E-409C-BE32-E72D297353CC}">
              <c16:uniqueId val="{00000001-D05F-49FC-8BB1-1578D4966EAB}"/>
            </c:ext>
          </c:extLst>
        </c:ser>
        <c:dLbls>
          <c:showLegendKey val="0"/>
          <c:showVal val="0"/>
          <c:showCatName val="0"/>
          <c:showSerName val="0"/>
          <c:showPercent val="0"/>
          <c:showBubbleSize val="0"/>
        </c:dLbls>
        <c:gapWidth val="219"/>
        <c:overlap val="-27"/>
        <c:axId val="579726536"/>
        <c:axId val="579728496"/>
      </c:barChart>
      <c:catAx>
        <c:axId val="57972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728496"/>
        <c:crosses val="autoZero"/>
        <c:auto val="1"/>
        <c:lblAlgn val="ctr"/>
        <c:lblOffset val="100"/>
        <c:noMultiLvlLbl val="0"/>
      </c:catAx>
      <c:valAx>
        <c:axId val="57972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726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ustom 1">
    <a:dk1>
      <a:sysClr val="windowText" lastClr="000000"/>
    </a:dk1>
    <a:lt1>
      <a:sysClr val="window" lastClr="FFFFFF"/>
    </a:lt1>
    <a:dk2>
      <a:srgbClr val="787878"/>
    </a:dk2>
    <a:lt2>
      <a:srgbClr val="FFF200"/>
    </a:lt2>
    <a:accent1>
      <a:srgbClr val="FFF200"/>
    </a:accent1>
    <a:accent2>
      <a:srgbClr val="4B4B4B"/>
    </a:accent2>
    <a:accent3>
      <a:srgbClr val="787878"/>
    </a:accent3>
    <a:accent4>
      <a:srgbClr val="A0A0A0"/>
    </a:accent4>
    <a:accent5>
      <a:srgbClr val="BEBEBE"/>
    </a:accent5>
    <a:accent6>
      <a:srgbClr val="DCDCDC"/>
    </a:accent6>
    <a:hlink>
      <a:srgbClr val="787878"/>
    </a:hlink>
    <a:folHlink>
      <a:srgbClr val="BEBEBE"/>
    </a:folHlink>
  </a:clrScheme>
  <a:fontScheme name="HMA Report">
    <a:majorFont>
      <a:latin typeface="Franklin Gothic Book"/>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AD8D-4457-4DDE-9C4B-33AFAA16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24322</Words>
  <Characters>141556</Characters>
  <Application>Microsoft Office Word</Application>
  <DocSecurity>0</DocSecurity>
  <Lines>3452</Lines>
  <Paragraphs>1884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2019-03-29T01:05:00Z</dcterms:created>
  <dcterms:modified xsi:type="dcterms:W3CDTF">2019-04-12T04:03:00Z</dcterms:modified>
</cp:coreProperties>
</file>