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71DF" w14:textId="056F027F" w:rsidR="004864F4" w:rsidRPr="00C85A0A" w:rsidRDefault="004864F4" w:rsidP="00136BA3">
      <w:pPr>
        <w:spacing w:before="120" w:after="0" w:line="276" w:lineRule="auto"/>
        <w:textAlignment w:val="baseline"/>
        <w:rPr>
          <w:rFonts w:ascii="Segoe UI" w:eastAsia="Times New Roman" w:hAnsi="Segoe UI" w:cs="Segoe UI"/>
          <w:b/>
          <w:bCs/>
          <w:color w:val="3F4A75"/>
          <w:sz w:val="36"/>
          <w:szCs w:val="36"/>
          <w:lang w:eastAsia="en-AU"/>
        </w:rPr>
      </w:pPr>
      <w:r w:rsidRPr="00C85A0A">
        <w:rPr>
          <w:rFonts w:ascii="Arial" w:eastAsia="Times New Roman" w:hAnsi="Arial" w:cs="Arial"/>
          <w:b/>
          <w:bCs/>
          <w:color w:val="3F4A75"/>
          <w:sz w:val="36"/>
          <w:szCs w:val="36"/>
          <w:lang w:eastAsia="en-AU"/>
        </w:rPr>
        <w:t xml:space="preserve">Opioid </w:t>
      </w:r>
      <w:r w:rsidR="00485D39" w:rsidRPr="00C85A0A">
        <w:rPr>
          <w:rFonts w:ascii="Arial" w:eastAsia="Times New Roman" w:hAnsi="Arial" w:cs="Arial"/>
          <w:b/>
          <w:bCs/>
          <w:color w:val="3F4A75"/>
          <w:sz w:val="36"/>
          <w:szCs w:val="36"/>
          <w:lang w:eastAsia="en-AU"/>
        </w:rPr>
        <w:t>dependence treatment medicines</w:t>
      </w:r>
      <w:r w:rsidR="00136BA3">
        <w:rPr>
          <w:rFonts w:ascii="Arial" w:eastAsia="Times New Roman" w:hAnsi="Arial" w:cs="Arial"/>
          <w:b/>
          <w:bCs/>
          <w:color w:val="3F4A75"/>
          <w:sz w:val="36"/>
          <w:szCs w:val="36"/>
          <w:lang w:eastAsia="en-AU"/>
        </w:rPr>
        <w:t xml:space="preserve"> - Information</w:t>
      </w:r>
      <w:r w:rsidR="00195DF7" w:rsidRPr="00C85A0A">
        <w:rPr>
          <w:rFonts w:ascii="Arial" w:eastAsia="Times New Roman" w:hAnsi="Arial" w:cs="Arial"/>
          <w:b/>
          <w:bCs/>
          <w:color w:val="3F4A75"/>
          <w:sz w:val="36"/>
          <w:szCs w:val="36"/>
          <w:lang w:eastAsia="en-AU"/>
        </w:rPr>
        <w:t xml:space="preserve"> for </w:t>
      </w:r>
      <w:r w:rsidR="00485D39" w:rsidRPr="00C85A0A">
        <w:rPr>
          <w:rFonts w:ascii="Arial" w:eastAsia="Times New Roman" w:hAnsi="Arial" w:cs="Arial"/>
          <w:b/>
          <w:bCs/>
          <w:color w:val="3F4A75"/>
          <w:sz w:val="36"/>
          <w:szCs w:val="36"/>
          <w:lang w:eastAsia="en-AU"/>
        </w:rPr>
        <w:t>p</w:t>
      </w:r>
      <w:r w:rsidR="00195DF7" w:rsidRPr="00C85A0A">
        <w:rPr>
          <w:rFonts w:ascii="Arial" w:eastAsia="Times New Roman" w:hAnsi="Arial" w:cs="Arial"/>
          <w:b/>
          <w:bCs/>
          <w:color w:val="3F4A75"/>
          <w:sz w:val="36"/>
          <w:szCs w:val="36"/>
          <w:lang w:eastAsia="en-AU"/>
        </w:rPr>
        <w:t>rescribers</w:t>
      </w:r>
    </w:p>
    <w:p w14:paraId="2AF61635" w14:textId="77777777" w:rsidR="00C36E01" w:rsidRDefault="00C36E01" w:rsidP="00C36E01">
      <w:pPr>
        <w:pStyle w:val="Heading2"/>
        <w:spacing w:before="120" w:after="120"/>
        <w:rPr>
          <w:sz w:val="28"/>
        </w:rPr>
      </w:pPr>
      <w:r>
        <w:rPr>
          <w:sz w:val="28"/>
        </w:rPr>
        <w:t>Overview</w:t>
      </w:r>
    </w:p>
    <w:p w14:paraId="5D57B699" w14:textId="441B6FDA" w:rsidR="00C85A0A" w:rsidRDefault="00C85A0A" w:rsidP="00C85A0A">
      <w:pPr>
        <w:pStyle w:val="ListBullet"/>
        <w:rPr>
          <w:rFonts w:cs="Arial"/>
          <w:b/>
          <w:bCs/>
          <w:color w:val="358189"/>
          <w:szCs w:val="22"/>
        </w:rPr>
      </w:pPr>
      <w:r w:rsidRPr="00902E4B">
        <w:rPr>
          <w:rFonts w:cs="Arial"/>
          <w:b/>
          <w:bCs/>
          <w:color w:val="358189"/>
          <w:szCs w:val="22"/>
        </w:rPr>
        <w:t xml:space="preserve">The way in which </w:t>
      </w:r>
      <w:r w:rsidR="00C70A90">
        <w:rPr>
          <w:rFonts w:cs="Arial"/>
          <w:b/>
          <w:bCs/>
          <w:color w:val="358189"/>
          <w:szCs w:val="22"/>
        </w:rPr>
        <w:t>opioid dependence treatment (</w:t>
      </w:r>
      <w:r w:rsidRPr="00902E4B">
        <w:rPr>
          <w:rFonts w:cs="Arial"/>
          <w:b/>
          <w:bCs/>
          <w:color w:val="358189"/>
          <w:szCs w:val="22"/>
        </w:rPr>
        <w:t>ODT</w:t>
      </w:r>
      <w:r w:rsidR="00C70A90">
        <w:rPr>
          <w:rFonts w:cs="Arial"/>
          <w:b/>
          <w:bCs/>
          <w:color w:val="358189"/>
          <w:szCs w:val="22"/>
        </w:rPr>
        <w:t xml:space="preserve">) </w:t>
      </w:r>
      <w:r w:rsidRPr="00902E4B">
        <w:rPr>
          <w:rFonts w:cs="Arial"/>
          <w:b/>
          <w:bCs/>
          <w:color w:val="358189"/>
          <w:szCs w:val="22"/>
        </w:rPr>
        <w:t xml:space="preserve">medicines are listed on the PBS Schedule </w:t>
      </w:r>
      <w:r w:rsidR="009C48E7">
        <w:rPr>
          <w:rFonts w:cs="Arial"/>
          <w:b/>
          <w:bCs/>
          <w:color w:val="358189"/>
          <w:szCs w:val="22"/>
        </w:rPr>
        <w:t>ha</w:t>
      </w:r>
      <w:r w:rsidRPr="00902E4B">
        <w:rPr>
          <w:rFonts w:cs="Arial"/>
          <w:b/>
          <w:bCs/>
          <w:color w:val="358189"/>
          <w:szCs w:val="22"/>
        </w:rPr>
        <w:t>s chang</w:t>
      </w:r>
      <w:r w:rsidR="009C48E7">
        <w:rPr>
          <w:rFonts w:cs="Arial"/>
          <w:b/>
          <w:bCs/>
          <w:color w:val="358189"/>
          <w:szCs w:val="22"/>
        </w:rPr>
        <w:t>ed</w:t>
      </w:r>
    </w:p>
    <w:p w14:paraId="7DECC9CD" w14:textId="41BB1FA4" w:rsidR="00C36E01" w:rsidRPr="00C36E01" w:rsidRDefault="008625E7" w:rsidP="006C2D7A">
      <w:pPr>
        <w:spacing w:after="0" w:line="276" w:lineRule="auto"/>
        <w:jc w:val="both"/>
        <w:textAlignment w:val="baseline"/>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ODT</w:t>
      </w:r>
      <w:r w:rsidR="00C36E01" w:rsidRPr="00C36E01">
        <w:rPr>
          <w:rFonts w:ascii="Arial" w:eastAsia="Times New Roman" w:hAnsi="Arial" w:cs="Arial"/>
          <w:color w:val="000000"/>
          <w:sz w:val="22"/>
          <w:szCs w:val="22"/>
          <w:lang w:eastAsia="en-AU"/>
        </w:rPr>
        <w:t xml:space="preserve"> medicines listed on the Schedule of Pharmaceutical Benefits (the PBS Schedule) include: </w:t>
      </w:r>
    </w:p>
    <w:p w14:paraId="0006BA3C" w14:textId="0AF700CE" w:rsidR="00C36E01" w:rsidRPr="00C36E01" w:rsidRDefault="00C36E01" w:rsidP="006C2D7A">
      <w:pPr>
        <w:numPr>
          <w:ilvl w:val="0"/>
          <w:numId w:val="1"/>
        </w:numPr>
        <w:spacing w:after="0" w:line="276" w:lineRule="auto"/>
        <w:ind w:left="1080" w:hanging="654"/>
        <w:jc w:val="both"/>
        <w:textAlignment w:val="baseline"/>
        <w:rPr>
          <w:rFonts w:ascii="Arial" w:eastAsia="Times New Roman" w:hAnsi="Arial" w:cs="Arial"/>
          <w:color w:val="000000"/>
          <w:sz w:val="22"/>
          <w:szCs w:val="22"/>
          <w:lang w:eastAsia="en-AU"/>
        </w:rPr>
      </w:pPr>
      <w:r w:rsidRPr="00C36E01">
        <w:rPr>
          <w:rFonts w:ascii="Arial" w:eastAsia="Times New Roman" w:hAnsi="Arial" w:cs="Arial"/>
          <w:sz w:val="22"/>
          <w:szCs w:val="22"/>
          <w:lang w:eastAsia="en-AU"/>
        </w:rPr>
        <w:t>methadone oral liquid (</w:t>
      </w:r>
      <w:r w:rsidR="009B214F">
        <w:rPr>
          <w:rFonts w:ascii="Arial" w:eastAsia="Times New Roman" w:hAnsi="Arial" w:cs="Arial"/>
          <w:sz w:val="22"/>
          <w:szCs w:val="22"/>
          <w:lang w:eastAsia="en-AU"/>
        </w:rPr>
        <w:t>Aspen Methadone Syrup</w:t>
      </w:r>
      <w:r w:rsidR="00390636">
        <w:rPr>
          <w:rFonts w:ascii="Arial" w:eastAsia="Times New Roman" w:hAnsi="Arial" w:cs="Arial"/>
          <w:sz w:val="22"/>
          <w:szCs w:val="22"/>
          <w:lang w:eastAsia="en-AU"/>
        </w:rPr>
        <w:t xml:space="preserve"> </w:t>
      </w:r>
      <w:r w:rsidR="009B214F">
        <w:rPr>
          <w:rFonts w:ascii="Arial" w:eastAsia="Times New Roman" w:hAnsi="Arial" w:cs="Arial"/>
          <w:sz w:val="22"/>
          <w:szCs w:val="22"/>
          <w:lang w:eastAsia="en-AU"/>
        </w:rPr>
        <w:t xml:space="preserve">® </w:t>
      </w:r>
      <w:r w:rsidR="00390636">
        <w:rPr>
          <w:rFonts w:ascii="Arial" w:eastAsia="Times New Roman" w:hAnsi="Arial" w:cs="Arial"/>
          <w:sz w:val="22"/>
          <w:szCs w:val="22"/>
          <w:lang w:eastAsia="en-AU"/>
        </w:rPr>
        <w:t xml:space="preserve">and </w:t>
      </w:r>
      <w:proofErr w:type="spellStart"/>
      <w:r w:rsidRPr="00C36E01">
        <w:rPr>
          <w:rFonts w:ascii="Arial" w:eastAsia="Times New Roman" w:hAnsi="Arial" w:cs="Arial"/>
          <w:sz w:val="22"/>
          <w:szCs w:val="22"/>
          <w:lang w:eastAsia="en-AU"/>
        </w:rPr>
        <w:t>Biodone</w:t>
      </w:r>
      <w:proofErr w:type="spellEnd"/>
      <w:r w:rsidR="00390636">
        <w:rPr>
          <w:rFonts w:ascii="Arial" w:eastAsia="Times New Roman" w:hAnsi="Arial" w:cs="Arial"/>
          <w:sz w:val="22"/>
          <w:szCs w:val="22"/>
          <w:lang w:eastAsia="en-AU"/>
        </w:rPr>
        <w:t xml:space="preserve"> Forte</w:t>
      </w:r>
      <w:r w:rsidRPr="00C36E01">
        <w:rPr>
          <w:rFonts w:ascii="Arial" w:eastAsia="Times New Roman" w:hAnsi="Arial" w:cs="Arial"/>
          <w:sz w:val="22"/>
          <w:szCs w:val="22"/>
          <w:lang w:eastAsia="en-AU"/>
        </w:rPr>
        <w:t xml:space="preserve"> </w:t>
      </w:r>
      <w:r w:rsidRPr="00C36E01">
        <w:rPr>
          <w:rFonts w:ascii="Arial" w:hAnsi="Arial" w:cs="Arial"/>
          <w:sz w:val="22"/>
          <w:szCs w:val="22"/>
        </w:rPr>
        <w:t>®)</w:t>
      </w:r>
    </w:p>
    <w:p w14:paraId="1D232D8C" w14:textId="77777777" w:rsidR="00C36E01" w:rsidRPr="00C36E01" w:rsidRDefault="00C36E01" w:rsidP="006C2D7A">
      <w:pPr>
        <w:numPr>
          <w:ilvl w:val="0"/>
          <w:numId w:val="1"/>
        </w:numPr>
        <w:spacing w:after="0" w:line="276" w:lineRule="auto"/>
        <w:ind w:left="1080" w:hanging="654"/>
        <w:jc w:val="both"/>
        <w:textAlignment w:val="baseline"/>
        <w:rPr>
          <w:rFonts w:ascii="Arial" w:eastAsia="Times New Roman" w:hAnsi="Arial" w:cs="Arial"/>
          <w:color w:val="000000"/>
          <w:sz w:val="22"/>
          <w:szCs w:val="22"/>
          <w:lang w:eastAsia="en-AU"/>
        </w:rPr>
      </w:pPr>
      <w:r w:rsidRPr="00C36E01">
        <w:rPr>
          <w:rFonts w:ascii="Arial" w:eastAsia="Times New Roman" w:hAnsi="Arial" w:cs="Arial"/>
          <w:sz w:val="22"/>
          <w:szCs w:val="22"/>
          <w:lang w:eastAsia="en-AU"/>
        </w:rPr>
        <w:t>buprenorphine sublingual tablets (</w:t>
      </w:r>
      <w:r w:rsidRPr="00C36E01">
        <w:rPr>
          <w:rFonts w:ascii="Arial" w:hAnsi="Arial" w:cs="Arial"/>
          <w:sz w:val="22"/>
          <w:szCs w:val="22"/>
        </w:rPr>
        <w:t xml:space="preserve">Subutex ®) </w:t>
      </w:r>
    </w:p>
    <w:p w14:paraId="69970B9B" w14:textId="77777777" w:rsidR="00C36E01" w:rsidRDefault="00C36E01" w:rsidP="006C2D7A">
      <w:pPr>
        <w:numPr>
          <w:ilvl w:val="0"/>
          <w:numId w:val="1"/>
        </w:numPr>
        <w:spacing w:after="0" w:line="276" w:lineRule="auto"/>
        <w:ind w:left="1080" w:hanging="654"/>
        <w:jc w:val="both"/>
        <w:textAlignment w:val="baseline"/>
        <w:rPr>
          <w:rFonts w:ascii="Arial" w:eastAsia="Times New Roman" w:hAnsi="Arial" w:cs="Arial"/>
          <w:color w:val="000000"/>
          <w:sz w:val="22"/>
          <w:szCs w:val="22"/>
          <w:lang w:eastAsia="en-AU"/>
        </w:rPr>
      </w:pPr>
      <w:r w:rsidRPr="00C36E01">
        <w:rPr>
          <w:rFonts w:ascii="Arial" w:eastAsia="Times New Roman" w:hAnsi="Arial" w:cs="Arial"/>
          <w:sz w:val="22"/>
          <w:szCs w:val="22"/>
          <w:lang w:eastAsia="en-AU"/>
        </w:rPr>
        <w:t>buprenorphine with naloxone sublingual films (</w:t>
      </w:r>
      <w:r w:rsidRPr="00C36E01">
        <w:rPr>
          <w:rFonts w:ascii="Arial" w:hAnsi="Arial" w:cs="Arial"/>
          <w:sz w:val="22"/>
          <w:szCs w:val="22"/>
        </w:rPr>
        <w:t>Suboxone ®)</w:t>
      </w:r>
    </w:p>
    <w:p w14:paraId="62A5262D" w14:textId="78B3209C" w:rsidR="00C36E01" w:rsidRPr="00C36E01" w:rsidRDefault="00C36E01" w:rsidP="006C2D7A">
      <w:pPr>
        <w:numPr>
          <w:ilvl w:val="0"/>
          <w:numId w:val="1"/>
        </w:numPr>
        <w:spacing w:after="120" w:line="276" w:lineRule="auto"/>
        <w:ind w:left="1077" w:hanging="652"/>
        <w:jc w:val="both"/>
        <w:textAlignment w:val="baseline"/>
        <w:rPr>
          <w:rFonts w:ascii="Arial" w:eastAsia="Times New Roman" w:hAnsi="Arial" w:cs="Arial"/>
          <w:color w:val="000000"/>
          <w:sz w:val="22"/>
          <w:szCs w:val="22"/>
          <w:lang w:eastAsia="en-AU"/>
        </w:rPr>
      </w:pPr>
      <w:r w:rsidRPr="00C36E01">
        <w:rPr>
          <w:rFonts w:ascii="Arial" w:eastAsia="Times New Roman" w:hAnsi="Arial" w:cs="Arial"/>
          <w:sz w:val="22"/>
          <w:szCs w:val="22"/>
          <w:lang w:eastAsia="en-AU"/>
        </w:rPr>
        <w:t>long-acting injectable buprenorphine products (</w:t>
      </w:r>
      <w:proofErr w:type="spellStart"/>
      <w:r w:rsidRPr="00C36E01">
        <w:rPr>
          <w:rFonts w:ascii="Arial" w:hAnsi="Arial" w:cs="Arial"/>
          <w:sz w:val="22"/>
          <w:szCs w:val="22"/>
        </w:rPr>
        <w:t>Buvidal</w:t>
      </w:r>
      <w:proofErr w:type="spellEnd"/>
      <w:r w:rsidRPr="00C36E01">
        <w:rPr>
          <w:rFonts w:ascii="Arial" w:hAnsi="Arial" w:cs="Arial"/>
          <w:sz w:val="22"/>
          <w:szCs w:val="22"/>
        </w:rPr>
        <w:t xml:space="preserve"> ® </w:t>
      </w:r>
      <w:r w:rsidR="00390636">
        <w:rPr>
          <w:rFonts w:ascii="Arial" w:hAnsi="Arial" w:cs="Arial"/>
          <w:sz w:val="22"/>
          <w:szCs w:val="22"/>
        </w:rPr>
        <w:t>and</w:t>
      </w:r>
      <w:r w:rsidRPr="00C36E01">
        <w:rPr>
          <w:rFonts w:ascii="Arial" w:hAnsi="Arial" w:cs="Arial"/>
          <w:sz w:val="22"/>
          <w:szCs w:val="22"/>
        </w:rPr>
        <w:t xml:space="preserve"> </w:t>
      </w:r>
      <w:proofErr w:type="spellStart"/>
      <w:r w:rsidRPr="00C36E01">
        <w:rPr>
          <w:rFonts w:ascii="Arial" w:hAnsi="Arial" w:cs="Arial"/>
          <w:sz w:val="22"/>
          <w:szCs w:val="22"/>
        </w:rPr>
        <w:t>Sublocade</w:t>
      </w:r>
      <w:proofErr w:type="spellEnd"/>
      <w:r w:rsidRPr="00C36E01">
        <w:rPr>
          <w:rFonts w:ascii="Arial" w:hAnsi="Arial" w:cs="Arial"/>
          <w:sz w:val="22"/>
          <w:szCs w:val="22"/>
        </w:rPr>
        <w:t xml:space="preserve"> ®)</w:t>
      </w:r>
      <w:r>
        <w:rPr>
          <w:rFonts w:ascii="Arial" w:hAnsi="Arial" w:cs="Arial"/>
          <w:sz w:val="22"/>
          <w:szCs w:val="22"/>
        </w:rPr>
        <w:t>.</w:t>
      </w:r>
    </w:p>
    <w:p w14:paraId="4871A480" w14:textId="05B9EB98" w:rsidR="00C36E01" w:rsidRPr="00C36E01" w:rsidRDefault="006C2D7A" w:rsidP="006C2D7A">
      <w:pPr>
        <w:spacing w:before="120" w:after="120" w:line="276" w:lineRule="auto"/>
        <w:jc w:val="both"/>
        <w:textAlignment w:val="baseline"/>
        <w:rPr>
          <w:rFonts w:ascii="Arial" w:eastAsia="Times New Roman" w:hAnsi="Arial" w:cs="Arial"/>
          <w:color w:val="000000"/>
          <w:sz w:val="22"/>
          <w:szCs w:val="22"/>
          <w:lang w:eastAsia="en-AU"/>
        </w:rPr>
      </w:pPr>
      <w:r>
        <w:rPr>
          <w:rFonts w:ascii="Arial" w:hAnsi="Arial" w:cs="Arial"/>
          <w:color w:val="222222"/>
          <w:sz w:val="22"/>
          <w:szCs w:val="22"/>
          <w:shd w:val="clear" w:color="auto" w:fill="FFFFFF"/>
        </w:rPr>
        <w:t>On</w:t>
      </w:r>
      <w:r w:rsidRPr="00C36E01">
        <w:rPr>
          <w:rFonts w:ascii="Arial" w:hAnsi="Arial" w:cs="Arial"/>
          <w:color w:val="222222"/>
          <w:sz w:val="22"/>
          <w:szCs w:val="22"/>
          <w:shd w:val="clear" w:color="auto" w:fill="FFFFFF"/>
        </w:rPr>
        <w:t xml:space="preserve"> </w:t>
      </w:r>
      <w:r w:rsidR="00C85A0A" w:rsidRPr="00C36E01">
        <w:rPr>
          <w:rFonts w:ascii="Arial" w:hAnsi="Arial" w:cs="Arial"/>
          <w:color w:val="222222"/>
          <w:sz w:val="22"/>
          <w:szCs w:val="22"/>
          <w:shd w:val="clear" w:color="auto" w:fill="FFFFFF"/>
        </w:rPr>
        <w:t xml:space="preserve">1 July 2023, </w:t>
      </w:r>
      <w:hyperlink r:id="rId11" w:history="1">
        <w:r w:rsidR="00C85A0A" w:rsidRPr="00C36E01">
          <w:rPr>
            <w:rStyle w:val="Hyperlink"/>
            <w:rFonts w:ascii="Arial" w:hAnsi="Arial" w:cs="Arial"/>
            <w:sz w:val="22"/>
            <w:szCs w:val="22"/>
            <w:shd w:val="clear" w:color="auto" w:fill="FFFFFF"/>
          </w:rPr>
          <w:t>ODT medicines</w:t>
        </w:r>
      </w:hyperlink>
      <w:r w:rsidR="00C85A0A" w:rsidRPr="00C36E01">
        <w:rPr>
          <w:rFonts w:ascii="Arial" w:hAnsi="Arial" w:cs="Arial"/>
          <w:color w:val="222222"/>
          <w:sz w:val="22"/>
          <w:szCs w:val="22"/>
          <w:shd w:val="clear" w:color="auto" w:fill="FFFFFF"/>
        </w:rPr>
        <w:t xml:space="preserve"> bec</w:t>
      </w:r>
      <w:r w:rsidR="009C48E7">
        <w:rPr>
          <w:rFonts w:ascii="Arial" w:hAnsi="Arial" w:cs="Arial"/>
          <w:color w:val="222222"/>
          <w:sz w:val="22"/>
          <w:szCs w:val="22"/>
          <w:shd w:val="clear" w:color="auto" w:fill="FFFFFF"/>
        </w:rPr>
        <w:t>a</w:t>
      </w:r>
      <w:r w:rsidR="00C85A0A" w:rsidRPr="00C36E01">
        <w:rPr>
          <w:rFonts w:ascii="Arial" w:hAnsi="Arial" w:cs="Arial"/>
          <w:color w:val="222222"/>
          <w:sz w:val="22"/>
          <w:szCs w:val="22"/>
          <w:shd w:val="clear" w:color="auto" w:fill="FFFFFF"/>
        </w:rPr>
        <w:t xml:space="preserve">me part of the </w:t>
      </w:r>
      <w:hyperlink r:id="rId12" w:tooltip="Highly Specialised Drugs (HSD) Program" w:history="1">
        <w:r w:rsidR="00C85A0A" w:rsidRPr="00C36E01">
          <w:rPr>
            <w:rStyle w:val="Hyperlink"/>
            <w:rFonts w:ascii="Arial" w:hAnsi="Arial" w:cs="Arial"/>
            <w:sz w:val="22"/>
            <w:szCs w:val="22"/>
            <w:shd w:val="clear" w:color="auto" w:fill="FFFFFF"/>
          </w:rPr>
          <w:t>Section 100 </w:t>
        </w:r>
        <w:r w:rsidR="00C85A0A" w:rsidRPr="00C36E01">
          <w:rPr>
            <w:rStyle w:val="Hyperlink"/>
            <w:rFonts w:ascii="Arial" w:hAnsi="Arial" w:cs="Arial"/>
            <w:sz w:val="22"/>
            <w:szCs w:val="22"/>
          </w:rPr>
          <w:t>Highly Specialised Drugs (HSD) Program</w:t>
        </w:r>
        <w:r w:rsidR="00C85A0A" w:rsidRPr="00C36E01">
          <w:rPr>
            <w:rStyle w:val="Hyperlink"/>
            <w:rFonts w:ascii="Arial" w:hAnsi="Arial" w:cs="Arial"/>
            <w:sz w:val="22"/>
            <w:szCs w:val="22"/>
            <w:shd w:val="clear" w:color="auto" w:fill="FFFFFF"/>
          </w:rPr>
          <w:t> (Community Access) arrangements</w:t>
        </w:r>
      </w:hyperlink>
      <w:r w:rsidR="00C85A0A" w:rsidRPr="00C36E01">
        <w:rPr>
          <w:rFonts w:ascii="Arial" w:hAnsi="Arial" w:cs="Arial"/>
          <w:color w:val="222222"/>
          <w:sz w:val="22"/>
          <w:szCs w:val="22"/>
          <w:shd w:val="clear" w:color="auto" w:fill="FFFFFF"/>
        </w:rPr>
        <w:t xml:space="preserve"> and the claiming of prescriptions </w:t>
      </w:r>
      <w:r>
        <w:rPr>
          <w:rFonts w:ascii="Arial" w:hAnsi="Arial" w:cs="Arial"/>
          <w:color w:val="222222"/>
          <w:sz w:val="22"/>
          <w:szCs w:val="22"/>
          <w:shd w:val="clear" w:color="auto" w:fill="FFFFFF"/>
        </w:rPr>
        <w:t>is</w:t>
      </w:r>
      <w:r w:rsidR="00C85A0A" w:rsidRPr="00C36E01">
        <w:rPr>
          <w:rFonts w:ascii="Arial" w:hAnsi="Arial" w:cs="Arial"/>
          <w:color w:val="222222"/>
          <w:sz w:val="22"/>
          <w:szCs w:val="22"/>
          <w:shd w:val="clear" w:color="auto" w:fill="FFFFFF"/>
        </w:rPr>
        <w:t xml:space="preserve"> administered by Services Australia. </w:t>
      </w:r>
    </w:p>
    <w:p w14:paraId="4D564157" w14:textId="5456F40A" w:rsidR="00C27EE0" w:rsidRDefault="00C85A0A" w:rsidP="006C2D7A">
      <w:pPr>
        <w:pStyle w:val="ListBullet"/>
        <w:jc w:val="both"/>
        <w:rPr>
          <w:rFonts w:cs="Arial"/>
          <w:szCs w:val="22"/>
          <w:lang w:eastAsia="en-AU"/>
        </w:rPr>
      </w:pPr>
      <w:r w:rsidRPr="00C36E01">
        <w:rPr>
          <w:rFonts w:cs="Arial"/>
          <w:szCs w:val="22"/>
          <w:lang w:eastAsia="en-AU"/>
        </w:rPr>
        <w:t>This means ODT medicines are prescribed, ordered, supplied (dispensed) and remunerated  just like other PBS medicines under the Section 100 HSD Program (Community Access).</w:t>
      </w:r>
    </w:p>
    <w:p w14:paraId="1E8B7342" w14:textId="4FC4D618" w:rsidR="00C85A0A" w:rsidRPr="00C36E01" w:rsidRDefault="00C85A0A" w:rsidP="006C2D7A">
      <w:pPr>
        <w:pStyle w:val="ListBullet"/>
        <w:jc w:val="both"/>
        <w:rPr>
          <w:rFonts w:cs="Arial"/>
          <w:szCs w:val="22"/>
          <w:lang w:eastAsia="en-AU"/>
        </w:rPr>
      </w:pPr>
      <w:r w:rsidRPr="00C36E01">
        <w:rPr>
          <w:rFonts w:cs="Arial"/>
          <w:szCs w:val="22"/>
          <w:lang w:eastAsia="en-AU"/>
        </w:rPr>
        <w:t xml:space="preserve">The inclusion of ODT medicines under the Section 100 HSD Program is intended to address the core issues of patient affordability and equitable access to ODT medicines through the PBS, such that access to PBS subsidised ODT medicines aligns with usual PBS arrangements including the PBS co-payment and safety net arrangements. </w:t>
      </w:r>
    </w:p>
    <w:p w14:paraId="0082ED6D" w14:textId="7B40B68F" w:rsidR="00C36E01" w:rsidRPr="00C36E01" w:rsidRDefault="00C36E01" w:rsidP="006C2D7A">
      <w:pPr>
        <w:spacing w:before="120" w:after="120" w:line="276" w:lineRule="auto"/>
        <w:jc w:val="both"/>
        <w:textAlignment w:val="baseline"/>
        <w:rPr>
          <w:rFonts w:ascii="Arial" w:hAnsi="Arial" w:cs="Arial"/>
          <w:sz w:val="22"/>
          <w:szCs w:val="22"/>
        </w:rPr>
      </w:pPr>
      <w:r w:rsidRPr="00C36E01">
        <w:rPr>
          <w:rFonts w:ascii="Arial" w:hAnsi="Arial" w:cs="Arial"/>
          <w:sz w:val="22"/>
          <w:szCs w:val="22"/>
        </w:rPr>
        <w:t>The </w:t>
      </w:r>
      <w:hyperlink r:id="rId13" w:history="1">
        <w:r w:rsidRPr="00C36E01">
          <w:rPr>
            <w:rStyle w:val="Hyperlink"/>
            <w:rFonts w:ascii="Arial" w:hAnsi="Arial" w:cs="Arial"/>
            <w:i/>
            <w:iCs/>
            <w:sz w:val="22"/>
            <w:szCs w:val="22"/>
          </w:rPr>
          <w:t>National Health (Highly specialised drugs program) Special Arrangement 2021</w:t>
        </w:r>
        <w:r w:rsidRPr="00C36E01">
          <w:rPr>
            <w:rStyle w:val="Hyperlink"/>
            <w:rFonts w:ascii="Arial" w:hAnsi="Arial" w:cs="Arial"/>
            <w:sz w:val="22"/>
            <w:szCs w:val="22"/>
          </w:rPr>
          <w:t> </w:t>
        </w:r>
      </w:hyperlink>
      <w:r w:rsidRPr="00C36E01">
        <w:rPr>
          <w:rFonts w:ascii="Arial" w:hAnsi="Arial" w:cs="Arial"/>
          <w:sz w:val="22"/>
          <w:szCs w:val="22"/>
        </w:rPr>
        <w:t>provides the legislative framework for the Section 100 HSD Program.</w:t>
      </w:r>
    </w:p>
    <w:p w14:paraId="5C2C8079" w14:textId="5B773773" w:rsidR="00C36E01" w:rsidRPr="00C36E01" w:rsidRDefault="00C36E01" w:rsidP="006C2D7A">
      <w:pPr>
        <w:pStyle w:val="ListBullet"/>
        <w:jc w:val="both"/>
        <w:rPr>
          <w:rFonts w:cs="Arial"/>
          <w:b/>
          <w:bCs/>
          <w:color w:val="358189"/>
          <w:szCs w:val="22"/>
        </w:rPr>
      </w:pPr>
      <w:r w:rsidRPr="00C36E01">
        <w:rPr>
          <w:rFonts w:cs="Arial"/>
          <w:b/>
          <w:bCs/>
          <w:color w:val="358189"/>
          <w:szCs w:val="22"/>
        </w:rPr>
        <w:t xml:space="preserve">What this means for ODT patients </w:t>
      </w:r>
    </w:p>
    <w:p w14:paraId="079729DF" w14:textId="26DCFD2D" w:rsidR="00C36E01" w:rsidRDefault="009174BB" w:rsidP="006C2D7A">
      <w:pPr>
        <w:spacing w:before="120" w:after="120" w:line="276" w:lineRule="auto"/>
        <w:jc w:val="both"/>
        <w:textAlignment w:val="baseline"/>
        <w:rPr>
          <w:rFonts w:ascii="Arial" w:hAnsi="Arial" w:cs="Arial"/>
          <w:bCs/>
          <w:iCs/>
          <w:sz w:val="22"/>
          <w:szCs w:val="22"/>
        </w:rPr>
      </w:pPr>
      <w:r>
        <w:rPr>
          <w:rFonts w:ascii="Arial" w:eastAsia="Times New Roman" w:hAnsi="Arial" w:cs="Arial"/>
          <w:color w:val="000000"/>
          <w:sz w:val="22"/>
          <w:szCs w:val="22"/>
          <w:lang w:eastAsia="en-AU"/>
        </w:rPr>
        <w:t>As of</w:t>
      </w:r>
      <w:r w:rsidRPr="00C36E01">
        <w:rPr>
          <w:rFonts w:ascii="Arial" w:eastAsia="Times New Roman" w:hAnsi="Arial" w:cs="Arial"/>
          <w:color w:val="000000"/>
          <w:sz w:val="22"/>
          <w:szCs w:val="22"/>
          <w:lang w:eastAsia="en-AU"/>
        </w:rPr>
        <w:t xml:space="preserve"> </w:t>
      </w:r>
      <w:r w:rsidR="00C36E01" w:rsidRPr="00C36E01">
        <w:rPr>
          <w:rFonts w:ascii="Arial" w:eastAsia="Times New Roman" w:hAnsi="Arial" w:cs="Arial"/>
          <w:color w:val="000000"/>
          <w:sz w:val="22"/>
          <w:szCs w:val="22"/>
          <w:lang w:eastAsia="en-AU"/>
        </w:rPr>
        <w:t>1 July 2023, u</w:t>
      </w:r>
      <w:r w:rsidR="00C36E01" w:rsidRPr="00C36E01">
        <w:rPr>
          <w:rFonts w:ascii="Arial" w:hAnsi="Arial" w:cs="Arial"/>
          <w:bCs/>
          <w:iCs/>
          <w:sz w:val="22"/>
          <w:szCs w:val="22"/>
        </w:rPr>
        <w:t xml:space="preserve">nder the Section 100 HSD Program, PBS-eligible patients pay the </w:t>
      </w:r>
      <w:hyperlink r:id="rId14" w:anchor="What_are_the_current_patient_fees_and_charges" w:history="1">
        <w:r w:rsidR="00C36E01" w:rsidRPr="00C36E01">
          <w:rPr>
            <w:rStyle w:val="Hyperlink"/>
            <w:rFonts w:ascii="Arial" w:hAnsi="Arial" w:cs="Arial"/>
            <w:sz w:val="22"/>
            <w:szCs w:val="22"/>
            <w:shd w:val="clear" w:color="auto" w:fill="FFFFFF"/>
          </w:rPr>
          <w:t>PBS co-payment</w:t>
        </w:r>
      </w:hyperlink>
      <w:r w:rsidR="00C36E01" w:rsidRPr="00C36E01">
        <w:rPr>
          <w:rFonts w:ascii="Arial" w:hAnsi="Arial" w:cs="Arial"/>
          <w:bCs/>
          <w:iCs/>
          <w:sz w:val="22"/>
          <w:szCs w:val="22"/>
        </w:rPr>
        <w:t xml:space="preserve"> for the supply of their ODT medicines</w:t>
      </w:r>
      <w:r w:rsidR="00C27EE0">
        <w:rPr>
          <w:rFonts w:ascii="Arial" w:hAnsi="Arial" w:cs="Arial"/>
          <w:bCs/>
          <w:iCs/>
          <w:sz w:val="22"/>
          <w:szCs w:val="22"/>
        </w:rPr>
        <w:t xml:space="preserve"> from PBS approved pharmacies</w:t>
      </w:r>
      <w:r w:rsidR="00C36E01" w:rsidRPr="00C36E01">
        <w:rPr>
          <w:rFonts w:ascii="Arial" w:hAnsi="Arial" w:cs="Arial"/>
          <w:sz w:val="22"/>
          <w:szCs w:val="22"/>
        </w:rPr>
        <w:t xml:space="preserve"> </w:t>
      </w:r>
      <w:r w:rsidR="00C36E01" w:rsidRPr="00C36E01">
        <w:rPr>
          <w:rFonts w:ascii="Arial" w:hAnsi="Arial" w:cs="Arial"/>
          <w:bCs/>
          <w:iCs/>
          <w:sz w:val="22"/>
          <w:szCs w:val="22"/>
        </w:rPr>
        <w:t>(usually for up to 28 days’ supply per pharmaceutical benefit prescribed)</w:t>
      </w:r>
      <w:r w:rsidR="00C27EE0">
        <w:rPr>
          <w:rFonts w:ascii="Arial" w:hAnsi="Arial" w:cs="Arial"/>
          <w:bCs/>
          <w:iCs/>
          <w:sz w:val="22"/>
          <w:szCs w:val="22"/>
        </w:rPr>
        <w:t>. T</w:t>
      </w:r>
      <w:r w:rsidR="00C36E01" w:rsidRPr="00C36E01">
        <w:rPr>
          <w:rFonts w:ascii="Arial" w:hAnsi="Arial" w:cs="Arial"/>
          <w:bCs/>
          <w:iCs/>
          <w:sz w:val="22"/>
          <w:szCs w:val="22"/>
        </w:rPr>
        <w:t>he amount paid will contribute towards the patient’s PBS Safety Net threshold.</w:t>
      </w:r>
    </w:p>
    <w:p w14:paraId="33A7E7A9" w14:textId="06E95D26" w:rsidR="00C27EE0" w:rsidRDefault="00C36E01" w:rsidP="006C2D7A">
      <w:pPr>
        <w:spacing w:before="120" w:after="120" w:line="276" w:lineRule="auto"/>
        <w:jc w:val="both"/>
        <w:textAlignment w:val="baseline"/>
        <w:rPr>
          <w:rFonts w:ascii="Arial" w:eastAsia="Times New Roman" w:hAnsi="Arial" w:cs="Arial"/>
          <w:color w:val="000000"/>
          <w:sz w:val="22"/>
          <w:szCs w:val="22"/>
          <w:lang w:eastAsia="en-AU"/>
        </w:rPr>
      </w:pPr>
      <w:r w:rsidRPr="002E34E7">
        <w:rPr>
          <w:rFonts w:ascii="Arial" w:eastAsia="Times New Roman" w:hAnsi="Arial" w:cs="Arial"/>
          <w:color w:val="000000"/>
          <w:sz w:val="22"/>
          <w:szCs w:val="22"/>
          <w:lang w:eastAsia="en-AU"/>
        </w:rPr>
        <w:t>B</w:t>
      </w:r>
      <w:r w:rsidRPr="00C27EE0">
        <w:rPr>
          <w:rFonts w:ascii="Arial" w:eastAsia="Times New Roman" w:hAnsi="Arial" w:cs="Arial"/>
          <w:color w:val="000000"/>
          <w:sz w:val="22"/>
          <w:szCs w:val="22"/>
          <w:lang w:eastAsia="en-AU"/>
        </w:rPr>
        <w:t xml:space="preserve">uprenorphine-containing ODT medicines </w:t>
      </w:r>
      <w:r w:rsidR="006C2D7A">
        <w:rPr>
          <w:rFonts w:ascii="Arial" w:eastAsia="Times New Roman" w:hAnsi="Arial" w:cs="Arial"/>
          <w:color w:val="000000"/>
          <w:sz w:val="22"/>
          <w:szCs w:val="22"/>
          <w:lang w:eastAsia="en-AU"/>
        </w:rPr>
        <w:t>are</w:t>
      </w:r>
      <w:r w:rsidRPr="00C27EE0">
        <w:rPr>
          <w:rFonts w:ascii="Arial" w:eastAsia="Times New Roman" w:hAnsi="Arial" w:cs="Arial"/>
          <w:color w:val="000000"/>
          <w:sz w:val="22"/>
          <w:szCs w:val="22"/>
          <w:lang w:eastAsia="en-AU"/>
        </w:rPr>
        <w:t xml:space="preserve"> prescribed and dispensed on a per-pack basis, like the prescribing of other PBS medicines. This means if different strengths are prescribed and supplied, each strength will attract one PBS co-payment</w:t>
      </w:r>
      <w:r w:rsidR="00C27EE0" w:rsidRPr="00C27EE0">
        <w:rPr>
          <w:rFonts w:ascii="Arial" w:eastAsia="Times New Roman" w:hAnsi="Arial" w:cs="Arial"/>
          <w:color w:val="000000"/>
          <w:sz w:val="22"/>
          <w:szCs w:val="22"/>
          <w:lang w:eastAsia="en-AU"/>
        </w:rPr>
        <w:t xml:space="preserve">. </w:t>
      </w:r>
    </w:p>
    <w:p w14:paraId="5CBCBF49" w14:textId="2E66D371" w:rsidR="00C36E01" w:rsidRPr="00C36E01" w:rsidRDefault="00C36E01" w:rsidP="006C2D7A">
      <w:pPr>
        <w:spacing w:before="120" w:after="120" w:line="276" w:lineRule="auto"/>
        <w:jc w:val="both"/>
        <w:textAlignment w:val="baseline"/>
        <w:rPr>
          <w:rFonts w:ascii="Arial" w:eastAsia="Times New Roman" w:hAnsi="Arial" w:cs="Arial"/>
          <w:color w:val="000000"/>
          <w:sz w:val="22"/>
          <w:szCs w:val="22"/>
          <w:lang w:eastAsia="en-AU"/>
        </w:rPr>
      </w:pPr>
      <w:r w:rsidRPr="00C36E01">
        <w:rPr>
          <w:rFonts w:ascii="Arial" w:eastAsia="Times New Roman" w:hAnsi="Arial" w:cs="Arial"/>
          <w:color w:val="000000"/>
          <w:sz w:val="22"/>
          <w:szCs w:val="22"/>
          <w:lang w:eastAsia="en-AU"/>
        </w:rPr>
        <w:t xml:space="preserve">Patients </w:t>
      </w:r>
      <w:r w:rsidR="006C2D7A">
        <w:rPr>
          <w:rFonts w:ascii="Arial" w:eastAsia="Times New Roman" w:hAnsi="Arial" w:cs="Arial"/>
          <w:color w:val="000000"/>
          <w:sz w:val="22"/>
          <w:szCs w:val="22"/>
          <w:lang w:eastAsia="en-AU"/>
        </w:rPr>
        <w:t>are</w:t>
      </w:r>
      <w:r w:rsidR="006C2D7A" w:rsidRPr="00C36E01">
        <w:rPr>
          <w:rFonts w:ascii="Arial" w:eastAsia="Times New Roman" w:hAnsi="Arial" w:cs="Arial"/>
          <w:color w:val="000000"/>
          <w:sz w:val="22"/>
          <w:szCs w:val="22"/>
          <w:lang w:eastAsia="en-AU"/>
        </w:rPr>
        <w:t xml:space="preserve"> </w:t>
      </w:r>
      <w:r w:rsidRPr="00C36E01">
        <w:rPr>
          <w:rFonts w:ascii="Arial" w:eastAsia="Times New Roman" w:hAnsi="Arial" w:cs="Arial"/>
          <w:color w:val="000000"/>
          <w:sz w:val="22"/>
          <w:szCs w:val="22"/>
          <w:lang w:eastAsia="en-AU"/>
        </w:rPr>
        <w:t xml:space="preserve">no longer charged private daily dispensing or dosing fees by PBS approved pharmacies to access their medicines. Prescribers are encouraged to talk to patients about </w:t>
      </w:r>
      <w:r w:rsidR="008625E7">
        <w:rPr>
          <w:rFonts w:ascii="Arial" w:eastAsia="Times New Roman" w:hAnsi="Arial" w:cs="Arial"/>
          <w:color w:val="000000"/>
          <w:sz w:val="22"/>
          <w:szCs w:val="22"/>
          <w:lang w:eastAsia="en-AU"/>
        </w:rPr>
        <w:t xml:space="preserve">the changes and </w:t>
      </w:r>
      <w:r w:rsidR="006C2D7A">
        <w:rPr>
          <w:rFonts w:ascii="Arial" w:eastAsia="Times New Roman" w:hAnsi="Arial" w:cs="Arial"/>
          <w:color w:val="000000"/>
          <w:sz w:val="22"/>
          <w:szCs w:val="22"/>
          <w:lang w:eastAsia="en-AU"/>
        </w:rPr>
        <w:t xml:space="preserve">advise patients </w:t>
      </w:r>
      <w:r w:rsidR="008625E7">
        <w:rPr>
          <w:rFonts w:ascii="Arial" w:eastAsia="Times New Roman" w:hAnsi="Arial" w:cs="Arial"/>
          <w:color w:val="000000"/>
          <w:sz w:val="22"/>
          <w:szCs w:val="22"/>
          <w:lang w:eastAsia="en-AU"/>
        </w:rPr>
        <w:t>that</w:t>
      </w:r>
      <w:r w:rsidR="00C27EE0">
        <w:rPr>
          <w:rFonts w:ascii="Arial" w:eastAsia="Times New Roman" w:hAnsi="Arial" w:cs="Arial"/>
          <w:color w:val="000000"/>
          <w:sz w:val="22"/>
          <w:szCs w:val="22"/>
          <w:lang w:eastAsia="en-AU"/>
        </w:rPr>
        <w:t xml:space="preserve"> they will </w:t>
      </w:r>
      <w:r w:rsidR="006C2D7A">
        <w:rPr>
          <w:rFonts w:ascii="Arial" w:eastAsia="Times New Roman" w:hAnsi="Arial" w:cs="Arial"/>
          <w:color w:val="000000"/>
          <w:sz w:val="22"/>
          <w:szCs w:val="22"/>
          <w:lang w:eastAsia="en-AU"/>
        </w:rPr>
        <w:t>be paying</w:t>
      </w:r>
      <w:r w:rsidRPr="00C36E01">
        <w:rPr>
          <w:rFonts w:ascii="Arial" w:eastAsia="Times New Roman" w:hAnsi="Arial" w:cs="Arial"/>
          <w:color w:val="000000"/>
          <w:sz w:val="22"/>
          <w:szCs w:val="22"/>
          <w:lang w:eastAsia="en-AU"/>
        </w:rPr>
        <w:t xml:space="preserve"> the PBS co-payment for ODT medicines. </w:t>
      </w:r>
    </w:p>
    <w:p w14:paraId="277C0730" w14:textId="77777777" w:rsidR="00C36E01" w:rsidRDefault="00C36E01" w:rsidP="00324A28">
      <w:pPr>
        <w:spacing w:before="240" w:after="120" w:line="276" w:lineRule="auto"/>
        <w:textAlignment w:val="baseline"/>
        <w:rPr>
          <w:rFonts w:ascii="Arial" w:eastAsia="Times New Roman" w:hAnsi="Arial" w:cs="Arial"/>
          <w:b/>
          <w:bCs/>
          <w:color w:val="358189"/>
          <w:sz w:val="28"/>
          <w:szCs w:val="28"/>
          <w:lang w:eastAsia="en-AU"/>
        </w:rPr>
      </w:pPr>
    </w:p>
    <w:p w14:paraId="06ED33AA" w14:textId="54E3B5F5" w:rsidR="000A22C9" w:rsidRDefault="00C27EE0" w:rsidP="000A22C9">
      <w:pPr>
        <w:pStyle w:val="Heading2"/>
        <w:spacing w:before="120" w:after="120"/>
        <w:rPr>
          <w:sz w:val="28"/>
        </w:rPr>
      </w:pPr>
      <w:r w:rsidRPr="00C27EE0">
        <w:rPr>
          <w:sz w:val="28"/>
        </w:rPr>
        <w:lastRenderedPageBreak/>
        <w:t xml:space="preserve">Prescribing ODT medicines under the </w:t>
      </w:r>
      <w:r w:rsidRPr="00446517">
        <w:rPr>
          <w:sz w:val="28"/>
        </w:rPr>
        <w:t>Section 100 HSD Program community access arrangements</w:t>
      </w:r>
    </w:p>
    <w:p w14:paraId="1A5BA2EB" w14:textId="510AE7D7" w:rsidR="000A22C9" w:rsidRPr="0024356A" w:rsidRDefault="009174BB" w:rsidP="000A22C9">
      <w:pPr>
        <w:spacing w:before="120" w:after="120" w:line="276" w:lineRule="auto"/>
        <w:textAlignment w:val="baseline"/>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As of</w:t>
      </w:r>
      <w:r w:rsidRPr="0038686E">
        <w:rPr>
          <w:rFonts w:ascii="Arial" w:eastAsia="Times New Roman" w:hAnsi="Arial" w:cs="Arial"/>
          <w:color w:val="000000"/>
          <w:sz w:val="22"/>
          <w:szCs w:val="22"/>
          <w:lang w:eastAsia="en-AU"/>
        </w:rPr>
        <w:t xml:space="preserve"> </w:t>
      </w:r>
      <w:r w:rsidR="000A22C9" w:rsidRPr="0038686E">
        <w:rPr>
          <w:rFonts w:ascii="Arial" w:eastAsia="Times New Roman" w:hAnsi="Arial" w:cs="Arial"/>
          <w:color w:val="000000"/>
          <w:sz w:val="22"/>
          <w:szCs w:val="22"/>
          <w:lang w:eastAsia="en-AU"/>
        </w:rPr>
        <w:t xml:space="preserve">1 July 2023, like other PBS medicines, </w:t>
      </w:r>
      <w:bookmarkStart w:id="0" w:name="_Hlk137475103"/>
      <w:r w:rsidR="000A22C9" w:rsidRPr="0038686E">
        <w:rPr>
          <w:rFonts w:ascii="Arial" w:eastAsia="Times New Roman" w:hAnsi="Arial" w:cs="Arial"/>
          <w:color w:val="000000"/>
          <w:sz w:val="22"/>
          <w:szCs w:val="22"/>
          <w:lang w:eastAsia="en-AU"/>
        </w:rPr>
        <w:t>new prescriptions that are written by eligible prescribers (</w:t>
      </w:r>
      <w:r w:rsidR="00A13366" w:rsidRPr="0038686E">
        <w:rPr>
          <w:rFonts w:ascii="Arial" w:eastAsia="Times New Roman" w:hAnsi="Arial" w:cs="Arial"/>
          <w:color w:val="000000"/>
          <w:sz w:val="22"/>
          <w:szCs w:val="22"/>
          <w:lang w:eastAsia="en-AU"/>
        </w:rPr>
        <w:t>i.e.,</w:t>
      </w:r>
      <w:r w:rsidR="000A22C9" w:rsidRPr="0038686E">
        <w:rPr>
          <w:rFonts w:ascii="Arial" w:eastAsia="Times New Roman" w:hAnsi="Arial" w:cs="Arial"/>
          <w:color w:val="000000"/>
          <w:sz w:val="22"/>
          <w:szCs w:val="22"/>
          <w:lang w:eastAsia="en-AU"/>
        </w:rPr>
        <w:t xml:space="preserve"> PBS eligible medical practitioners and nurse </w:t>
      </w:r>
      <w:r w:rsidR="00A13366" w:rsidRPr="0038686E">
        <w:rPr>
          <w:rFonts w:ascii="Arial" w:eastAsia="Times New Roman" w:hAnsi="Arial" w:cs="Arial"/>
          <w:color w:val="000000"/>
          <w:sz w:val="22"/>
          <w:szCs w:val="22"/>
          <w:lang w:eastAsia="en-AU"/>
        </w:rPr>
        <w:t>practitioners</w:t>
      </w:r>
      <w:r w:rsidR="000A22C9" w:rsidRPr="0038686E">
        <w:rPr>
          <w:rFonts w:ascii="Arial" w:eastAsia="Times New Roman" w:hAnsi="Arial" w:cs="Arial"/>
          <w:color w:val="000000"/>
          <w:sz w:val="22"/>
          <w:szCs w:val="22"/>
          <w:lang w:eastAsia="en-AU"/>
        </w:rPr>
        <w:t>) for ODT medicines will need to meet the PBS requirements to be dispensed</w:t>
      </w:r>
      <w:bookmarkEnd w:id="0"/>
      <w:r w:rsidR="000A22C9" w:rsidRPr="0038686E">
        <w:rPr>
          <w:rFonts w:ascii="Arial" w:eastAsia="Times New Roman" w:hAnsi="Arial" w:cs="Arial"/>
          <w:color w:val="000000"/>
          <w:sz w:val="22"/>
          <w:szCs w:val="22"/>
          <w:lang w:eastAsia="en-AU"/>
        </w:rPr>
        <w:t xml:space="preserve">. Requirements for PBS prescriptions are provided by Part 5 of the </w:t>
      </w:r>
      <w:hyperlink r:id="rId15" w:history="1">
        <w:r w:rsidR="000A22C9" w:rsidRPr="0038686E">
          <w:rPr>
            <w:rStyle w:val="Hyperlink"/>
            <w:rFonts w:ascii="Arial" w:eastAsia="Times New Roman" w:hAnsi="Arial" w:cs="Arial"/>
            <w:i/>
            <w:iCs/>
            <w:sz w:val="22"/>
            <w:szCs w:val="22"/>
            <w:lang w:eastAsia="en-AU"/>
          </w:rPr>
          <w:t>National Health (Pharmaceutical Benefits) Regulations 2017</w:t>
        </w:r>
      </w:hyperlink>
      <w:r w:rsidR="000A22C9" w:rsidRPr="0038686E">
        <w:rPr>
          <w:rFonts w:ascii="Arial" w:eastAsia="Times New Roman" w:hAnsi="Arial" w:cs="Arial"/>
          <w:i/>
          <w:iCs/>
          <w:color w:val="000000"/>
          <w:sz w:val="22"/>
          <w:szCs w:val="22"/>
          <w:lang w:eastAsia="en-AU"/>
        </w:rPr>
        <w:t>.</w:t>
      </w:r>
      <w:r w:rsidR="000A22C9" w:rsidRPr="0038686E">
        <w:rPr>
          <w:rFonts w:ascii="Arial" w:eastAsia="Times New Roman" w:hAnsi="Arial" w:cs="Arial"/>
          <w:color w:val="000000"/>
          <w:sz w:val="22"/>
          <w:szCs w:val="22"/>
          <w:lang w:eastAsia="en-AU"/>
        </w:rPr>
        <w:t xml:space="preserve"> </w:t>
      </w:r>
      <w:r w:rsidR="0038686E">
        <w:rPr>
          <w:rFonts w:ascii="Arial" w:eastAsia="Times New Roman" w:hAnsi="Arial" w:cs="Arial"/>
          <w:color w:val="000000"/>
          <w:sz w:val="22"/>
          <w:szCs w:val="22"/>
          <w:lang w:eastAsia="en-AU"/>
        </w:rPr>
        <w:t xml:space="preserve">Note: </w:t>
      </w:r>
      <w:r w:rsidR="0038686E" w:rsidRPr="0038686E">
        <w:rPr>
          <w:rFonts w:ascii="Arial" w:eastAsia="Times New Roman" w:hAnsi="Arial" w:cs="Arial"/>
          <w:color w:val="000000"/>
          <w:sz w:val="22"/>
          <w:szCs w:val="22"/>
          <w:lang w:eastAsia="en-AU"/>
        </w:rPr>
        <w:t xml:space="preserve">PBS stationery can be ordered through </w:t>
      </w:r>
      <w:hyperlink r:id="rId16" w:history="1">
        <w:r w:rsidR="0038686E" w:rsidRPr="0038686E">
          <w:rPr>
            <w:rStyle w:val="Hyperlink"/>
            <w:rFonts w:ascii="Arial" w:eastAsia="Times New Roman" w:hAnsi="Arial" w:cs="Arial"/>
            <w:sz w:val="22"/>
            <w:szCs w:val="22"/>
            <w:lang w:eastAsia="en-AU"/>
          </w:rPr>
          <w:t>Services Australia</w:t>
        </w:r>
      </w:hyperlink>
      <w:r w:rsidR="0038686E" w:rsidRPr="0038686E">
        <w:rPr>
          <w:rFonts w:ascii="Arial" w:eastAsia="Times New Roman" w:hAnsi="Arial" w:cs="Arial"/>
          <w:color w:val="000000"/>
          <w:sz w:val="22"/>
          <w:szCs w:val="22"/>
          <w:lang w:eastAsia="en-AU"/>
        </w:rPr>
        <w:t>.</w:t>
      </w:r>
    </w:p>
    <w:p w14:paraId="4885C49F" w14:textId="221F1631" w:rsidR="000A22C9" w:rsidRDefault="000A22C9" w:rsidP="000A22C9">
      <w:pPr>
        <w:spacing w:before="120" w:after="120" w:line="276" w:lineRule="auto"/>
        <w:textAlignment w:val="baseline"/>
        <w:rPr>
          <w:rFonts w:ascii="Arial" w:eastAsia="Times New Roman" w:hAnsi="Arial" w:cs="Arial"/>
          <w:color w:val="000000"/>
          <w:sz w:val="22"/>
          <w:szCs w:val="22"/>
          <w:lang w:eastAsia="en-AU"/>
        </w:rPr>
      </w:pPr>
      <w:r w:rsidRPr="004864F4">
        <w:rPr>
          <w:rFonts w:ascii="Arial" w:eastAsia="Times New Roman" w:hAnsi="Arial" w:cs="Arial"/>
          <w:b/>
          <w:bCs/>
          <w:color w:val="000000"/>
          <w:sz w:val="22"/>
          <w:szCs w:val="22"/>
          <w:lang w:eastAsia="en-AU"/>
        </w:rPr>
        <w:t xml:space="preserve">Table </w:t>
      </w:r>
      <w:r>
        <w:rPr>
          <w:rFonts w:ascii="Arial" w:eastAsia="Times New Roman" w:hAnsi="Arial" w:cs="Arial"/>
          <w:b/>
          <w:bCs/>
          <w:color w:val="000000"/>
          <w:sz w:val="22"/>
          <w:szCs w:val="22"/>
          <w:lang w:eastAsia="en-AU"/>
        </w:rPr>
        <w:t>1</w:t>
      </w:r>
      <w:r w:rsidRPr="004864F4">
        <w:rPr>
          <w:rFonts w:ascii="Arial" w:eastAsia="Times New Roman" w:hAnsi="Arial" w:cs="Arial"/>
          <w:b/>
          <w:bCs/>
          <w:color w:val="000000"/>
          <w:sz w:val="22"/>
          <w:szCs w:val="22"/>
          <w:lang w:eastAsia="en-AU"/>
        </w:rPr>
        <w:t xml:space="preserve">. </w:t>
      </w:r>
      <w:r>
        <w:rPr>
          <w:rFonts w:ascii="Arial" w:eastAsia="Times New Roman" w:hAnsi="Arial" w:cs="Arial"/>
          <w:b/>
          <w:bCs/>
          <w:color w:val="000000"/>
          <w:sz w:val="22"/>
          <w:szCs w:val="22"/>
          <w:lang w:eastAsia="en-AU"/>
        </w:rPr>
        <w:t xml:space="preserve">Writing </w:t>
      </w:r>
      <w:r w:rsidRPr="004864F4">
        <w:rPr>
          <w:rFonts w:ascii="Arial" w:eastAsia="Times New Roman" w:hAnsi="Arial" w:cs="Arial"/>
          <w:b/>
          <w:bCs/>
          <w:color w:val="000000"/>
          <w:sz w:val="22"/>
          <w:szCs w:val="22"/>
          <w:lang w:eastAsia="en-AU"/>
        </w:rPr>
        <w:t xml:space="preserve">PBS </w:t>
      </w:r>
      <w:r w:rsidR="0038686E">
        <w:rPr>
          <w:rFonts w:ascii="Arial" w:eastAsia="Times New Roman" w:hAnsi="Arial" w:cs="Arial"/>
          <w:b/>
          <w:bCs/>
          <w:color w:val="000000"/>
          <w:sz w:val="22"/>
          <w:szCs w:val="22"/>
          <w:lang w:eastAsia="en-AU"/>
        </w:rPr>
        <w:t>P</w:t>
      </w:r>
      <w:r w:rsidRPr="004864F4">
        <w:rPr>
          <w:rFonts w:ascii="Arial" w:eastAsia="Times New Roman" w:hAnsi="Arial" w:cs="Arial"/>
          <w:b/>
          <w:bCs/>
          <w:color w:val="000000"/>
          <w:sz w:val="22"/>
          <w:szCs w:val="22"/>
          <w:lang w:eastAsia="en-AU"/>
        </w:rPr>
        <w:t>rescriptions</w:t>
      </w:r>
      <w:r w:rsidRPr="004864F4">
        <w:rPr>
          <w:rFonts w:ascii="Arial" w:eastAsia="Times New Roman" w:hAnsi="Arial" w:cs="Arial"/>
          <w:color w:val="000000"/>
          <w:sz w:val="22"/>
          <w:szCs w:val="22"/>
          <w:lang w:eastAsia="en-AU"/>
        </w:rPr>
        <w:t> </w:t>
      </w:r>
    </w:p>
    <w:tbl>
      <w:tblPr>
        <w:tblStyle w:val="DOHACtable"/>
        <w:tblW w:w="9512" w:type="dxa"/>
        <w:tblLook w:val="04A0" w:firstRow="1" w:lastRow="0" w:firstColumn="1" w:lastColumn="0" w:noHBand="0" w:noVBand="1"/>
      </w:tblPr>
      <w:tblGrid>
        <w:gridCol w:w="2122"/>
        <w:gridCol w:w="7390"/>
      </w:tblGrid>
      <w:tr w:rsidR="000A22C9" w:rsidRPr="004864F4" w14:paraId="2389AB3B" w14:textId="77777777" w:rsidTr="009B214F">
        <w:trPr>
          <w:cnfStyle w:val="100000000000" w:firstRow="1" w:lastRow="0" w:firstColumn="0" w:lastColumn="0" w:oddVBand="0" w:evenVBand="0" w:oddHBand="0" w:evenHBand="0" w:firstRowFirstColumn="0" w:firstRowLastColumn="0" w:lastRowFirstColumn="0" w:lastRowLastColumn="0"/>
          <w:trHeight w:val="300"/>
        </w:trPr>
        <w:tc>
          <w:tcPr>
            <w:tcW w:w="2122" w:type="dxa"/>
            <w:shd w:val="clear" w:color="auto" w:fill="1F3864" w:themeFill="accent1" w:themeFillShade="80"/>
            <w:hideMark/>
          </w:tcPr>
          <w:p w14:paraId="4ED4EAE4" w14:textId="77777777" w:rsidR="000A22C9" w:rsidRPr="000A22C9" w:rsidRDefault="000A22C9" w:rsidP="00FB3D35">
            <w:pPr>
              <w:spacing w:before="120" w:after="120" w:line="276" w:lineRule="auto"/>
              <w:textAlignment w:val="baseline"/>
              <w:rPr>
                <w:rFonts w:eastAsia="Times New Roman"/>
                <w:color w:val="auto"/>
                <w:sz w:val="20"/>
                <w:szCs w:val="20"/>
                <w:lang w:eastAsia="en-AU"/>
              </w:rPr>
            </w:pPr>
            <w:r w:rsidRPr="000A22C9">
              <w:rPr>
                <w:rFonts w:ascii="Arial" w:eastAsia="Times New Roman" w:hAnsi="Arial" w:cs="Arial"/>
                <w:color w:val="auto"/>
                <w:sz w:val="20"/>
                <w:szCs w:val="20"/>
                <w:lang w:eastAsia="en-AU"/>
              </w:rPr>
              <w:t>Prescription requirement </w:t>
            </w:r>
          </w:p>
        </w:tc>
        <w:tc>
          <w:tcPr>
            <w:tcW w:w="7390" w:type="dxa"/>
            <w:shd w:val="clear" w:color="auto" w:fill="1F3864" w:themeFill="accent1" w:themeFillShade="80"/>
            <w:hideMark/>
          </w:tcPr>
          <w:p w14:paraId="59441294" w14:textId="77777777" w:rsidR="000A22C9" w:rsidRPr="000A22C9" w:rsidRDefault="000A22C9" w:rsidP="00FB3D35">
            <w:pPr>
              <w:spacing w:before="120" w:after="120" w:line="276" w:lineRule="auto"/>
              <w:textAlignment w:val="baseline"/>
              <w:rPr>
                <w:rFonts w:eastAsia="Times New Roman"/>
                <w:color w:val="auto"/>
                <w:sz w:val="20"/>
                <w:szCs w:val="20"/>
                <w:lang w:eastAsia="en-AU"/>
              </w:rPr>
            </w:pPr>
            <w:r w:rsidRPr="000A22C9">
              <w:rPr>
                <w:rFonts w:ascii="Arial" w:eastAsia="Times New Roman" w:hAnsi="Arial" w:cs="Arial"/>
                <w:color w:val="auto"/>
                <w:sz w:val="20"/>
                <w:szCs w:val="20"/>
                <w:lang w:eastAsia="en-AU"/>
              </w:rPr>
              <w:t>Description </w:t>
            </w:r>
          </w:p>
        </w:tc>
      </w:tr>
      <w:tr w:rsidR="000A22C9" w:rsidRPr="004864F4" w14:paraId="3052510D" w14:textId="77777777" w:rsidTr="009B214F">
        <w:trPr>
          <w:trHeight w:val="300"/>
        </w:trPr>
        <w:tc>
          <w:tcPr>
            <w:tcW w:w="2122" w:type="dxa"/>
            <w:hideMark/>
          </w:tcPr>
          <w:p w14:paraId="737ACCC0" w14:textId="77777777" w:rsidR="000A22C9" w:rsidRPr="000A22C9" w:rsidRDefault="000A22C9" w:rsidP="00FB3D35">
            <w:pPr>
              <w:spacing w:before="120" w:after="120" w:line="276" w:lineRule="auto"/>
              <w:textAlignment w:val="baseline"/>
              <w:rPr>
                <w:rFonts w:eastAsia="Times New Roman"/>
                <w:color w:val="000000"/>
                <w:sz w:val="20"/>
                <w:szCs w:val="20"/>
                <w:lang w:eastAsia="en-AU"/>
              </w:rPr>
            </w:pPr>
            <w:r w:rsidRPr="000A22C9">
              <w:rPr>
                <w:rFonts w:ascii="Arial" w:eastAsia="Times New Roman" w:hAnsi="Arial" w:cs="Arial"/>
                <w:color w:val="000000"/>
                <w:sz w:val="20"/>
                <w:szCs w:val="20"/>
                <w:lang w:eastAsia="en-AU"/>
              </w:rPr>
              <w:t>Prescriber details </w:t>
            </w:r>
          </w:p>
        </w:tc>
        <w:tc>
          <w:tcPr>
            <w:tcW w:w="7390" w:type="dxa"/>
            <w:hideMark/>
          </w:tcPr>
          <w:p w14:paraId="490DC52E" w14:textId="552F1936" w:rsidR="000A22C9" w:rsidRPr="000A22C9" w:rsidRDefault="000A22C9" w:rsidP="00FB3D35">
            <w:pPr>
              <w:spacing w:before="120" w:after="120" w:line="276" w:lineRule="auto"/>
              <w:textAlignment w:val="baseline"/>
              <w:rPr>
                <w:rFonts w:eastAsia="Times New Roman"/>
                <w:color w:val="000000"/>
                <w:sz w:val="20"/>
                <w:szCs w:val="20"/>
                <w:lang w:eastAsia="en-AU"/>
              </w:rPr>
            </w:pPr>
            <w:r w:rsidRPr="000A22C9">
              <w:rPr>
                <w:rFonts w:ascii="Arial" w:eastAsia="Times New Roman" w:hAnsi="Arial" w:cs="Arial"/>
                <w:color w:val="000000"/>
                <w:sz w:val="20"/>
                <w:szCs w:val="20"/>
                <w:lang w:eastAsia="en-AU"/>
              </w:rPr>
              <w:t xml:space="preserve">Prescriber details must be included on the prescription. This includes the prescribers’ PBS </w:t>
            </w:r>
            <w:r w:rsidR="000B0A44">
              <w:rPr>
                <w:rFonts w:ascii="Arial" w:eastAsia="Times New Roman" w:hAnsi="Arial" w:cs="Arial"/>
                <w:color w:val="000000"/>
                <w:sz w:val="20"/>
                <w:szCs w:val="20"/>
                <w:lang w:eastAsia="en-AU"/>
              </w:rPr>
              <w:t>Prescriber</w:t>
            </w:r>
            <w:r w:rsidR="000B0A44" w:rsidRPr="000A22C9">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N</w:t>
            </w:r>
            <w:r w:rsidRPr="000A22C9">
              <w:rPr>
                <w:rFonts w:ascii="Arial" w:eastAsia="Times New Roman" w:hAnsi="Arial" w:cs="Arial"/>
                <w:color w:val="000000"/>
                <w:sz w:val="20"/>
                <w:szCs w:val="20"/>
                <w:lang w:eastAsia="en-AU"/>
              </w:rPr>
              <w:t>umber, date</w:t>
            </w:r>
            <w:r w:rsidR="006C2D7A">
              <w:rPr>
                <w:rFonts w:ascii="Arial" w:eastAsia="Times New Roman" w:hAnsi="Arial" w:cs="Arial"/>
                <w:color w:val="000000"/>
                <w:sz w:val="20"/>
                <w:szCs w:val="20"/>
                <w:lang w:eastAsia="en-AU"/>
              </w:rPr>
              <w:t>,</w:t>
            </w:r>
            <w:r w:rsidRPr="000A22C9">
              <w:rPr>
                <w:rFonts w:ascii="Arial" w:eastAsia="Times New Roman" w:hAnsi="Arial" w:cs="Arial"/>
                <w:color w:val="000000"/>
                <w:sz w:val="20"/>
                <w:szCs w:val="20"/>
                <w:lang w:eastAsia="en-AU"/>
              </w:rPr>
              <w:t xml:space="preserve"> and signature.</w:t>
            </w:r>
          </w:p>
        </w:tc>
      </w:tr>
      <w:tr w:rsidR="000A22C9" w:rsidRPr="004864F4" w14:paraId="2639CF31" w14:textId="77777777" w:rsidTr="009B214F">
        <w:trPr>
          <w:trHeight w:val="300"/>
        </w:trPr>
        <w:tc>
          <w:tcPr>
            <w:tcW w:w="2122" w:type="dxa"/>
            <w:hideMark/>
          </w:tcPr>
          <w:p w14:paraId="60FC234E" w14:textId="10BB22B3" w:rsidR="000A22C9" w:rsidRPr="000A22C9" w:rsidRDefault="000A22C9" w:rsidP="00FB3D35">
            <w:pPr>
              <w:spacing w:before="120" w:after="120" w:line="276" w:lineRule="auto"/>
              <w:textAlignment w:val="baseline"/>
              <w:rPr>
                <w:rFonts w:eastAsia="Times New Roman"/>
                <w:color w:val="000000"/>
                <w:sz w:val="20"/>
                <w:szCs w:val="20"/>
                <w:lang w:eastAsia="en-AU"/>
              </w:rPr>
            </w:pPr>
            <w:r w:rsidRPr="000A22C9">
              <w:rPr>
                <w:rFonts w:ascii="Arial" w:eastAsia="Times New Roman" w:hAnsi="Arial" w:cs="Arial"/>
                <w:color w:val="000000"/>
                <w:sz w:val="20"/>
                <w:szCs w:val="20"/>
                <w:lang w:eastAsia="en-AU"/>
              </w:rPr>
              <w:t xml:space="preserve">PBS Authority </w:t>
            </w:r>
            <w:r w:rsidR="00A13366">
              <w:rPr>
                <w:rFonts w:ascii="Arial" w:eastAsia="Times New Roman" w:hAnsi="Arial" w:cs="Arial"/>
                <w:color w:val="000000"/>
                <w:sz w:val="20"/>
                <w:szCs w:val="20"/>
                <w:lang w:eastAsia="en-AU"/>
              </w:rPr>
              <w:t>N</w:t>
            </w:r>
            <w:r w:rsidRPr="000A22C9">
              <w:rPr>
                <w:rFonts w:ascii="Arial" w:eastAsia="Times New Roman" w:hAnsi="Arial" w:cs="Arial"/>
                <w:color w:val="000000"/>
                <w:sz w:val="20"/>
                <w:szCs w:val="20"/>
                <w:lang w:eastAsia="en-AU"/>
              </w:rPr>
              <w:t>umbers and codes </w:t>
            </w:r>
          </w:p>
        </w:tc>
        <w:tc>
          <w:tcPr>
            <w:tcW w:w="7390" w:type="dxa"/>
            <w:hideMark/>
          </w:tcPr>
          <w:p w14:paraId="43E36165" w14:textId="3A17D80B" w:rsidR="000A22C9" w:rsidRPr="000A22C9" w:rsidRDefault="000A22C9" w:rsidP="00FB3D35">
            <w:pPr>
              <w:spacing w:before="120" w:after="120" w:line="276" w:lineRule="auto"/>
              <w:textAlignment w:val="baseline"/>
              <w:rPr>
                <w:rFonts w:ascii="Arial" w:eastAsia="Times New Roman" w:hAnsi="Arial" w:cs="Arial"/>
                <w:color w:val="000000"/>
                <w:sz w:val="20"/>
                <w:szCs w:val="20"/>
                <w:lang w:eastAsia="en-AU"/>
              </w:rPr>
            </w:pPr>
            <w:r w:rsidRPr="000A22C9">
              <w:rPr>
                <w:rFonts w:ascii="Arial" w:eastAsia="Times New Roman" w:hAnsi="Arial" w:cs="Arial"/>
                <w:color w:val="000000"/>
                <w:sz w:val="20"/>
                <w:szCs w:val="20"/>
                <w:lang w:eastAsia="en-AU"/>
              </w:rPr>
              <w:t xml:space="preserve">Each prescription will need to have a </w:t>
            </w:r>
            <w:r w:rsidRPr="00A13366">
              <w:rPr>
                <w:rFonts w:ascii="Arial" w:eastAsia="Times New Roman" w:hAnsi="Arial" w:cs="Arial"/>
                <w:color w:val="000000"/>
                <w:sz w:val="20"/>
                <w:szCs w:val="20"/>
                <w:u w:val="single"/>
                <w:lang w:eastAsia="en-AU"/>
              </w:rPr>
              <w:t xml:space="preserve">PBS Authority </w:t>
            </w:r>
            <w:r w:rsidR="008625E7">
              <w:rPr>
                <w:rFonts w:ascii="Arial" w:eastAsia="Times New Roman" w:hAnsi="Arial" w:cs="Arial"/>
                <w:color w:val="000000"/>
                <w:sz w:val="20"/>
                <w:szCs w:val="20"/>
                <w:u w:val="single"/>
                <w:lang w:eastAsia="en-AU"/>
              </w:rPr>
              <w:t xml:space="preserve">Prescription </w:t>
            </w:r>
            <w:r w:rsidRPr="00A13366">
              <w:rPr>
                <w:rFonts w:ascii="Arial" w:eastAsia="Times New Roman" w:hAnsi="Arial" w:cs="Arial"/>
                <w:color w:val="000000"/>
                <w:sz w:val="20"/>
                <w:szCs w:val="20"/>
                <w:u w:val="single"/>
                <w:lang w:eastAsia="en-AU"/>
              </w:rPr>
              <w:t>Number</w:t>
            </w:r>
            <w:r w:rsidRPr="000A22C9">
              <w:rPr>
                <w:rFonts w:ascii="Arial" w:eastAsia="Times New Roman" w:hAnsi="Arial" w:cs="Arial"/>
                <w:color w:val="000000"/>
                <w:sz w:val="20"/>
                <w:szCs w:val="20"/>
                <w:lang w:eastAsia="en-AU"/>
              </w:rPr>
              <w:t xml:space="preserve"> that is pre-prepared on an authority prescription pad or generated through prescribing software for printed prescriptions or electronic prescriptions.</w:t>
            </w:r>
          </w:p>
          <w:p w14:paraId="051C356A" w14:textId="6BBCB5E2" w:rsidR="000A22C9" w:rsidRPr="000A22C9" w:rsidRDefault="000A22C9" w:rsidP="008625E7">
            <w:pPr>
              <w:spacing w:before="120" w:after="120" w:line="276" w:lineRule="auto"/>
              <w:textAlignment w:val="baseline"/>
              <w:rPr>
                <w:rFonts w:ascii="Arial" w:eastAsia="Times New Roman" w:hAnsi="Arial" w:cs="Arial"/>
                <w:color w:val="000000"/>
                <w:sz w:val="20"/>
                <w:szCs w:val="20"/>
                <w:lang w:eastAsia="en-AU"/>
              </w:rPr>
            </w:pPr>
            <w:r w:rsidRPr="000A22C9">
              <w:rPr>
                <w:rFonts w:ascii="Arial" w:eastAsia="Times New Roman" w:hAnsi="Arial" w:cs="Arial"/>
                <w:color w:val="000000"/>
                <w:sz w:val="20"/>
                <w:szCs w:val="20"/>
                <w:lang w:eastAsia="en-AU"/>
              </w:rPr>
              <w:t xml:space="preserve">Each script must also include the relevant </w:t>
            </w:r>
            <w:r w:rsidRPr="000A2D42">
              <w:rPr>
                <w:rFonts w:ascii="Arial" w:eastAsia="Times New Roman" w:hAnsi="Arial" w:cs="Arial"/>
                <w:color w:val="000000"/>
                <w:sz w:val="20"/>
                <w:szCs w:val="20"/>
                <w:u w:val="single"/>
                <w:lang w:eastAsia="en-AU"/>
              </w:rPr>
              <w:t>Authority Approval code</w:t>
            </w:r>
            <w:r w:rsidRPr="000A22C9">
              <w:rPr>
                <w:rFonts w:ascii="Arial" w:eastAsia="Times New Roman" w:hAnsi="Arial" w:cs="Arial"/>
                <w:color w:val="000000"/>
                <w:sz w:val="20"/>
                <w:szCs w:val="20"/>
                <w:lang w:eastAsia="en-AU"/>
              </w:rPr>
              <w:t xml:space="preserve"> </w:t>
            </w:r>
            <w:r w:rsidR="009B214F">
              <w:rPr>
                <w:rFonts w:ascii="Arial" w:eastAsia="Times New Roman" w:hAnsi="Arial" w:cs="Arial"/>
                <w:color w:val="000000"/>
                <w:sz w:val="20"/>
                <w:szCs w:val="20"/>
                <w:lang w:eastAsia="en-AU"/>
              </w:rPr>
              <w:t xml:space="preserve">i.e., the </w:t>
            </w:r>
            <w:r w:rsidRPr="008625E7">
              <w:rPr>
                <w:rFonts w:ascii="Arial" w:eastAsia="Times New Roman" w:hAnsi="Arial" w:cs="Arial"/>
                <w:color w:val="000000"/>
                <w:sz w:val="20"/>
                <w:szCs w:val="20"/>
                <w:u w:val="single"/>
                <w:lang w:eastAsia="en-AU"/>
              </w:rPr>
              <w:t>Streamlined code</w:t>
            </w:r>
            <w:r w:rsidRPr="000A22C9">
              <w:rPr>
                <w:rFonts w:ascii="Arial" w:eastAsia="Times New Roman" w:hAnsi="Arial" w:cs="Arial"/>
                <w:color w:val="000000"/>
                <w:sz w:val="20"/>
                <w:szCs w:val="20"/>
                <w:lang w:eastAsia="en-AU"/>
              </w:rPr>
              <w:t xml:space="preserve"> for up to the maximum quantity</w:t>
            </w:r>
            <w:r>
              <w:rPr>
                <w:rFonts w:ascii="Arial" w:eastAsia="Times New Roman" w:hAnsi="Arial" w:cs="Arial"/>
                <w:color w:val="000000"/>
                <w:sz w:val="20"/>
                <w:szCs w:val="20"/>
                <w:lang w:eastAsia="en-AU"/>
              </w:rPr>
              <w:t xml:space="preserve">. </w:t>
            </w:r>
            <w:r w:rsidR="008625E7">
              <w:rPr>
                <w:rFonts w:ascii="Arial" w:eastAsia="Times New Roman" w:hAnsi="Arial" w:cs="Arial"/>
                <w:color w:val="000000"/>
                <w:sz w:val="20"/>
                <w:szCs w:val="20"/>
                <w:lang w:eastAsia="en-AU"/>
              </w:rPr>
              <w:t>Prescriptions for a</w:t>
            </w:r>
            <w:r w:rsidRPr="000A22C9">
              <w:rPr>
                <w:rFonts w:ascii="Arial" w:eastAsia="Times New Roman" w:hAnsi="Arial" w:cs="Arial"/>
                <w:color w:val="000000"/>
                <w:sz w:val="20"/>
                <w:szCs w:val="20"/>
                <w:lang w:eastAsia="en-AU"/>
              </w:rPr>
              <w:t xml:space="preserve">pproved authorities for increased quantities </w:t>
            </w:r>
            <w:r w:rsidR="008625E7">
              <w:rPr>
                <w:rFonts w:ascii="Arial" w:eastAsia="Times New Roman" w:hAnsi="Arial" w:cs="Arial"/>
                <w:color w:val="000000"/>
                <w:sz w:val="20"/>
                <w:szCs w:val="20"/>
                <w:lang w:eastAsia="en-AU"/>
              </w:rPr>
              <w:t xml:space="preserve">of oral and sublingual ODT medicines </w:t>
            </w:r>
            <w:r w:rsidRPr="000A22C9">
              <w:rPr>
                <w:rFonts w:ascii="Arial" w:eastAsia="Times New Roman" w:hAnsi="Arial" w:cs="Arial"/>
                <w:color w:val="000000"/>
                <w:sz w:val="20"/>
                <w:szCs w:val="20"/>
                <w:lang w:eastAsia="en-AU"/>
              </w:rPr>
              <w:t xml:space="preserve">will have an </w:t>
            </w:r>
            <w:r w:rsidRPr="000A2D42">
              <w:rPr>
                <w:rFonts w:ascii="Arial" w:eastAsia="Times New Roman" w:hAnsi="Arial" w:cs="Arial"/>
                <w:color w:val="000000"/>
                <w:sz w:val="20"/>
                <w:szCs w:val="20"/>
                <w:u w:val="single"/>
                <w:lang w:eastAsia="en-AU"/>
              </w:rPr>
              <w:t>Authority Approval Number</w:t>
            </w:r>
            <w:r w:rsidR="009B214F" w:rsidRPr="000A2D42">
              <w:rPr>
                <w:rFonts w:ascii="Arial" w:eastAsia="Times New Roman" w:hAnsi="Arial" w:cs="Arial"/>
                <w:color w:val="000000"/>
                <w:sz w:val="20"/>
                <w:szCs w:val="20"/>
                <w:u w:val="single"/>
                <w:lang w:eastAsia="en-AU"/>
              </w:rPr>
              <w:t>.</w:t>
            </w:r>
            <w:r w:rsidR="009B214F">
              <w:rPr>
                <w:rFonts w:ascii="Arial" w:eastAsia="Times New Roman" w:hAnsi="Arial" w:cs="Arial"/>
                <w:color w:val="000000"/>
                <w:sz w:val="20"/>
                <w:szCs w:val="20"/>
                <w:lang w:eastAsia="en-AU"/>
              </w:rPr>
              <w:t xml:space="preserve"> </w:t>
            </w:r>
          </w:p>
        </w:tc>
      </w:tr>
      <w:tr w:rsidR="000A22C9" w:rsidRPr="004864F4" w14:paraId="6FF6B96F" w14:textId="77777777" w:rsidTr="009B214F">
        <w:trPr>
          <w:trHeight w:val="300"/>
        </w:trPr>
        <w:tc>
          <w:tcPr>
            <w:tcW w:w="2122" w:type="dxa"/>
            <w:hideMark/>
          </w:tcPr>
          <w:p w14:paraId="12CE60AC" w14:textId="77777777" w:rsidR="000A22C9" w:rsidRPr="000A22C9" w:rsidRDefault="000A22C9" w:rsidP="00FB3D35">
            <w:pPr>
              <w:spacing w:before="120" w:after="120" w:line="276" w:lineRule="auto"/>
              <w:textAlignment w:val="baseline"/>
              <w:rPr>
                <w:rFonts w:eastAsia="Times New Roman"/>
                <w:color w:val="000000"/>
                <w:sz w:val="20"/>
                <w:szCs w:val="20"/>
                <w:lang w:eastAsia="en-AU"/>
              </w:rPr>
            </w:pPr>
            <w:r w:rsidRPr="000A22C9">
              <w:rPr>
                <w:rFonts w:ascii="Arial" w:eastAsia="Times New Roman" w:hAnsi="Arial" w:cs="Arial"/>
                <w:color w:val="000000"/>
                <w:sz w:val="20"/>
                <w:szCs w:val="20"/>
                <w:lang w:eastAsia="en-AU"/>
              </w:rPr>
              <w:t xml:space="preserve">Patient details </w:t>
            </w:r>
          </w:p>
        </w:tc>
        <w:tc>
          <w:tcPr>
            <w:tcW w:w="7390" w:type="dxa"/>
            <w:hideMark/>
          </w:tcPr>
          <w:p w14:paraId="125F601B" w14:textId="77777777" w:rsidR="000A22C9" w:rsidRPr="000A22C9" w:rsidRDefault="000A22C9" w:rsidP="00FB3D35">
            <w:pPr>
              <w:spacing w:before="120" w:after="120" w:line="276" w:lineRule="auto"/>
              <w:textAlignment w:val="baseline"/>
              <w:rPr>
                <w:rFonts w:eastAsia="Times New Roman"/>
                <w:color w:val="000000"/>
                <w:sz w:val="20"/>
                <w:szCs w:val="20"/>
                <w:lang w:eastAsia="en-AU"/>
              </w:rPr>
            </w:pPr>
            <w:r w:rsidRPr="000A22C9">
              <w:rPr>
                <w:rFonts w:ascii="Arial" w:eastAsia="Times New Roman" w:hAnsi="Arial" w:cs="Arial"/>
                <w:color w:val="000000"/>
                <w:sz w:val="20"/>
                <w:szCs w:val="20"/>
                <w:lang w:eastAsia="en-AU"/>
              </w:rPr>
              <w:t>Patient’s name, residential address, Medicare details and any concession or entitlement card details. </w:t>
            </w:r>
          </w:p>
        </w:tc>
      </w:tr>
      <w:tr w:rsidR="009B214F" w:rsidRPr="004864F4" w14:paraId="547E300E" w14:textId="77777777" w:rsidTr="009B214F">
        <w:trPr>
          <w:trHeight w:val="300"/>
        </w:trPr>
        <w:tc>
          <w:tcPr>
            <w:tcW w:w="2122" w:type="dxa"/>
          </w:tcPr>
          <w:p w14:paraId="65D64369" w14:textId="64635ED8" w:rsidR="009B214F" w:rsidRPr="000A22C9" w:rsidRDefault="009B214F" w:rsidP="00FB3D35">
            <w:pPr>
              <w:spacing w:before="120" w:after="120" w:line="276" w:lineRule="auto"/>
              <w:textAlignment w:val="baseline"/>
              <w:rPr>
                <w:rFonts w:ascii="Arial" w:eastAsia="Times New Roman" w:hAnsi="Arial" w:cs="Arial"/>
                <w:color w:val="000000"/>
                <w:sz w:val="20"/>
                <w:szCs w:val="20"/>
                <w:lang w:eastAsia="en-AU"/>
              </w:rPr>
            </w:pPr>
            <w:r w:rsidRPr="000A22C9">
              <w:rPr>
                <w:rFonts w:ascii="Arial" w:eastAsia="Times New Roman" w:hAnsi="Arial" w:cs="Arial"/>
                <w:color w:val="000000"/>
                <w:sz w:val="20"/>
                <w:szCs w:val="20"/>
                <w:lang w:eastAsia="en-AU"/>
              </w:rPr>
              <w:t>Medication and dose </w:t>
            </w:r>
          </w:p>
        </w:tc>
        <w:tc>
          <w:tcPr>
            <w:tcW w:w="7390" w:type="dxa"/>
          </w:tcPr>
          <w:p w14:paraId="67E4EDA8" w14:textId="42A00388" w:rsidR="009B214F" w:rsidRPr="000A22C9" w:rsidRDefault="009B214F" w:rsidP="00FB3D35">
            <w:pPr>
              <w:spacing w:before="120" w:after="120" w:line="276" w:lineRule="auto"/>
              <w:textAlignment w:val="baseline"/>
              <w:rPr>
                <w:rFonts w:ascii="Arial" w:eastAsia="Times New Roman" w:hAnsi="Arial" w:cs="Arial"/>
                <w:color w:val="000000"/>
                <w:sz w:val="20"/>
                <w:szCs w:val="20"/>
                <w:lang w:eastAsia="en-AU"/>
              </w:rPr>
            </w:pPr>
            <w:r w:rsidRPr="009B214F">
              <w:rPr>
                <w:rFonts w:ascii="Arial" w:eastAsia="Times New Roman" w:hAnsi="Arial" w:cs="Arial"/>
                <w:color w:val="000000"/>
                <w:sz w:val="20"/>
                <w:szCs w:val="20"/>
                <w:lang w:eastAsia="en-AU"/>
              </w:rPr>
              <w:t xml:space="preserve">Details of the </w:t>
            </w:r>
            <w:r w:rsidR="008625E7">
              <w:rPr>
                <w:rFonts w:ascii="Arial" w:eastAsia="Times New Roman" w:hAnsi="Arial" w:cs="Arial"/>
                <w:color w:val="000000"/>
                <w:sz w:val="20"/>
                <w:szCs w:val="20"/>
                <w:lang w:eastAsia="en-AU"/>
              </w:rPr>
              <w:t xml:space="preserve">pharmaceutical benefit </w:t>
            </w:r>
            <w:r w:rsidRPr="009B214F">
              <w:rPr>
                <w:rFonts w:ascii="Arial" w:eastAsia="Times New Roman" w:hAnsi="Arial" w:cs="Arial"/>
                <w:color w:val="000000"/>
                <w:sz w:val="20"/>
                <w:szCs w:val="20"/>
                <w:lang w:eastAsia="en-AU"/>
              </w:rPr>
              <w:t>i.e., name</w:t>
            </w:r>
            <w:r w:rsidR="008625E7">
              <w:rPr>
                <w:rFonts w:ascii="Arial" w:eastAsia="Times New Roman" w:hAnsi="Arial" w:cs="Arial"/>
                <w:color w:val="000000"/>
                <w:sz w:val="20"/>
                <w:szCs w:val="20"/>
                <w:lang w:eastAsia="en-AU"/>
              </w:rPr>
              <w:t xml:space="preserve"> of drug</w:t>
            </w:r>
            <w:r w:rsidRPr="009B214F">
              <w:rPr>
                <w:rFonts w:ascii="Arial" w:eastAsia="Times New Roman" w:hAnsi="Arial" w:cs="Arial"/>
                <w:color w:val="000000"/>
                <w:sz w:val="20"/>
                <w:szCs w:val="20"/>
                <w:lang w:eastAsia="en-AU"/>
              </w:rPr>
              <w:t>, form, strength.</w:t>
            </w:r>
          </w:p>
        </w:tc>
      </w:tr>
      <w:tr w:rsidR="000A22C9" w:rsidRPr="004864F4" w14:paraId="23DBA808" w14:textId="77777777" w:rsidTr="009B214F">
        <w:trPr>
          <w:trHeight w:val="300"/>
        </w:trPr>
        <w:tc>
          <w:tcPr>
            <w:tcW w:w="2122" w:type="dxa"/>
            <w:hideMark/>
          </w:tcPr>
          <w:p w14:paraId="25004DE1" w14:textId="77777777" w:rsidR="000A22C9" w:rsidRPr="000A22C9" w:rsidRDefault="000A22C9" w:rsidP="00FB3D35">
            <w:pPr>
              <w:spacing w:before="120" w:after="120" w:line="276" w:lineRule="auto"/>
              <w:textAlignment w:val="baseline"/>
              <w:rPr>
                <w:rFonts w:eastAsia="Times New Roman"/>
                <w:color w:val="000000"/>
                <w:sz w:val="20"/>
                <w:szCs w:val="20"/>
                <w:lang w:eastAsia="en-AU"/>
              </w:rPr>
            </w:pPr>
            <w:r w:rsidRPr="000A22C9">
              <w:rPr>
                <w:rFonts w:ascii="Arial" w:eastAsia="Times New Roman" w:hAnsi="Arial" w:cs="Arial"/>
                <w:color w:val="000000"/>
                <w:sz w:val="20"/>
                <w:szCs w:val="20"/>
                <w:lang w:eastAsia="en-AU"/>
              </w:rPr>
              <w:t>Maximum quantity and repeats </w:t>
            </w:r>
          </w:p>
        </w:tc>
        <w:tc>
          <w:tcPr>
            <w:tcW w:w="7390" w:type="dxa"/>
            <w:hideMark/>
          </w:tcPr>
          <w:p w14:paraId="168267FA" w14:textId="1E26A11B" w:rsidR="000A22C9" w:rsidRPr="008625E7" w:rsidRDefault="008625E7" w:rsidP="00FB3D35">
            <w:pPr>
              <w:spacing w:before="120" w:after="120" w:line="276" w:lineRule="auto"/>
              <w:textAlignment w:val="baseline"/>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T</w:t>
            </w:r>
            <w:r w:rsidR="000A22C9" w:rsidRPr="000A22C9">
              <w:rPr>
                <w:rFonts w:ascii="Arial" w:eastAsia="Times New Roman" w:hAnsi="Arial" w:cs="Arial"/>
                <w:color w:val="000000"/>
                <w:sz w:val="20"/>
                <w:szCs w:val="20"/>
                <w:lang w:eastAsia="en-AU"/>
              </w:rPr>
              <w:t>he total quantity or number of units to be supplied and the number of repeats.</w:t>
            </w:r>
            <w:r>
              <w:rPr>
                <w:rFonts w:ascii="Arial" w:eastAsia="Times New Roman" w:hAnsi="Arial" w:cs="Arial"/>
                <w:color w:val="000000"/>
                <w:sz w:val="20"/>
                <w:szCs w:val="20"/>
                <w:lang w:eastAsia="en-AU"/>
              </w:rPr>
              <w:t xml:space="preserve"> See Table </w:t>
            </w:r>
            <w:r w:rsidR="002F6B7A">
              <w:rPr>
                <w:rFonts w:ascii="Arial" w:eastAsia="Times New Roman" w:hAnsi="Arial" w:cs="Arial"/>
                <w:color w:val="000000"/>
                <w:sz w:val="20"/>
                <w:szCs w:val="20"/>
                <w:lang w:eastAsia="en-AU"/>
              </w:rPr>
              <w:t>2</w:t>
            </w:r>
            <w:r>
              <w:rPr>
                <w:rFonts w:ascii="Arial" w:eastAsia="Times New Roman" w:hAnsi="Arial" w:cs="Arial"/>
                <w:color w:val="000000"/>
                <w:sz w:val="20"/>
                <w:szCs w:val="20"/>
                <w:lang w:eastAsia="en-AU"/>
              </w:rPr>
              <w:t xml:space="preserve"> for maximum quantities.</w:t>
            </w:r>
          </w:p>
        </w:tc>
      </w:tr>
      <w:tr w:rsidR="000A22C9" w:rsidRPr="004864F4" w14:paraId="1B9B294F" w14:textId="77777777" w:rsidTr="009B214F">
        <w:trPr>
          <w:trHeight w:val="300"/>
        </w:trPr>
        <w:tc>
          <w:tcPr>
            <w:tcW w:w="2122" w:type="dxa"/>
            <w:hideMark/>
          </w:tcPr>
          <w:p w14:paraId="4ACE530C" w14:textId="77777777" w:rsidR="000A22C9" w:rsidRPr="000A22C9" w:rsidRDefault="000A22C9" w:rsidP="00FB3D35">
            <w:pPr>
              <w:spacing w:before="120" w:after="120" w:line="276" w:lineRule="auto"/>
              <w:textAlignment w:val="baseline"/>
              <w:rPr>
                <w:rFonts w:eastAsia="Times New Roman"/>
                <w:color w:val="000000"/>
                <w:sz w:val="20"/>
                <w:szCs w:val="20"/>
                <w:lang w:eastAsia="en-AU"/>
              </w:rPr>
            </w:pPr>
            <w:r w:rsidRPr="000A22C9">
              <w:rPr>
                <w:rFonts w:ascii="Arial" w:eastAsia="Times New Roman" w:hAnsi="Arial" w:cs="Arial"/>
                <w:color w:val="000000"/>
                <w:sz w:val="20"/>
                <w:szCs w:val="20"/>
                <w:lang w:eastAsia="en-AU"/>
              </w:rPr>
              <w:t>Directions </w:t>
            </w:r>
          </w:p>
        </w:tc>
        <w:tc>
          <w:tcPr>
            <w:tcW w:w="7390" w:type="dxa"/>
            <w:hideMark/>
          </w:tcPr>
          <w:p w14:paraId="6854E326" w14:textId="4309974C" w:rsidR="000A22C9" w:rsidRPr="000A22C9" w:rsidRDefault="000A22C9" w:rsidP="00FB3D35">
            <w:pPr>
              <w:spacing w:before="120" w:after="120" w:line="276" w:lineRule="auto"/>
              <w:textAlignment w:val="baseline"/>
              <w:rPr>
                <w:rFonts w:eastAsia="Times New Roman"/>
                <w:color w:val="000000"/>
                <w:sz w:val="20"/>
                <w:szCs w:val="20"/>
                <w:lang w:eastAsia="en-AU"/>
              </w:rPr>
            </w:pPr>
            <w:r w:rsidRPr="000A22C9">
              <w:rPr>
                <w:rFonts w:ascii="Arial" w:eastAsia="Times New Roman" w:hAnsi="Arial" w:cs="Arial"/>
                <w:color w:val="000000"/>
                <w:sz w:val="20"/>
                <w:szCs w:val="20"/>
                <w:lang w:eastAsia="en-AU"/>
              </w:rPr>
              <w:t xml:space="preserve">Provide clear dosing instructions including </w:t>
            </w:r>
            <w:r w:rsidR="008625E7">
              <w:rPr>
                <w:rFonts w:ascii="Arial" w:eastAsia="Times New Roman" w:hAnsi="Arial" w:cs="Arial"/>
                <w:color w:val="000000"/>
                <w:sz w:val="20"/>
                <w:szCs w:val="20"/>
                <w:lang w:eastAsia="en-AU"/>
              </w:rPr>
              <w:t>the</w:t>
            </w:r>
            <w:r w:rsidRPr="000A22C9">
              <w:rPr>
                <w:rFonts w:ascii="Arial" w:eastAsia="Times New Roman" w:hAnsi="Arial" w:cs="Arial"/>
                <w:color w:val="000000"/>
                <w:sz w:val="20"/>
                <w:szCs w:val="20"/>
                <w:lang w:eastAsia="en-AU"/>
              </w:rPr>
              <w:t xml:space="preserve"> daily dose</w:t>
            </w:r>
            <w:r w:rsidR="00526989">
              <w:rPr>
                <w:rFonts w:ascii="Arial" w:eastAsia="Times New Roman" w:hAnsi="Arial" w:cs="Arial"/>
                <w:color w:val="000000"/>
                <w:sz w:val="20"/>
                <w:szCs w:val="20"/>
                <w:lang w:eastAsia="en-AU"/>
              </w:rPr>
              <w:t xml:space="preserve"> and </w:t>
            </w:r>
            <w:r w:rsidRPr="000A22C9">
              <w:rPr>
                <w:rFonts w:ascii="Arial" w:eastAsia="Times New Roman" w:hAnsi="Arial" w:cs="Arial"/>
                <w:color w:val="000000"/>
                <w:sz w:val="20"/>
                <w:szCs w:val="20"/>
                <w:lang w:eastAsia="en-AU"/>
              </w:rPr>
              <w:t xml:space="preserve">any </w:t>
            </w:r>
            <w:r w:rsidR="00526989">
              <w:rPr>
                <w:rFonts w:ascii="Arial" w:eastAsia="Times New Roman" w:hAnsi="Arial" w:cs="Arial"/>
                <w:color w:val="000000"/>
                <w:sz w:val="20"/>
                <w:szCs w:val="20"/>
                <w:lang w:eastAsia="en-AU"/>
              </w:rPr>
              <w:t xml:space="preserve">dose </w:t>
            </w:r>
            <w:r w:rsidRPr="000A22C9">
              <w:rPr>
                <w:rFonts w:ascii="Arial" w:eastAsia="Times New Roman" w:hAnsi="Arial" w:cs="Arial"/>
                <w:color w:val="000000"/>
                <w:sz w:val="20"/>
                <w:szCs w:val="20"/>
                <w:lang w:eastAsia="en-AU"/>
              </w:rPr>
              <w:t>variations applicable. Additional clinical instructions</w:t>
            </w:r>
            <w:r w:rsidR="00526989">
              <w:rPr>
                <w:rFonts w:ascii="Arial" w:eastAsia="Times New Roman" w:hAnsi="Arial" w:cs="Arial"/>
                <w:color w:val="000000"/>
                <w:sz w:val="20"/>
                <w:szCs w:val="20"/>
                <w:lang w:eastAsia="en-AU"/>
              </w:rPr>
              <w:t xml:space="preserve"> e.g. take-away dosing instructions</w:t>
            </w:r>
            <w:r w:rsidRPr="000A22C9">
              <w:rPr>
                <w:rFonts w:ascii="Arial" w:eastAsia="Times New Roman" w:hAnsi="Arial" w:cs="Arial"/>
                <w:color w:val="000000"/>
                <w:sz w:val="20"/>
                <w:szCs w:val="20"/>
                <w:lang w:eastAsia="en-AU"/>
              </w:rPr>
              <w:t xml:space="preserve"> may be supplied separate to the PBS prescription.</w:t>
            </w:r>
          </w:p>
        </w:tc>
      </w:tr>
      <w:tr w:rsidR="000A22C9" w:rsidRPr="004864F4" w14:paraId="41A8AA10" w14:textId="77777777" w:rsidTr="009B214F">
        <w:trPr>
          <w:trHeight w:val="300"/>
        </w:trPr>
        <w:tc>
          <w:tcPr>
            <w:tcW w:w="2122" w:type="dxa"/>
          </w:tcPr>
          <w:p w14:paraId="0343F4D0" w14:textId="77777777" w:rsidR="000A22C9" w:rsidRPr="000A22C9" w:rsidRDefault="000A22C9" w:rsidP="00FB3D35">
            <w:pPr>
              <w:spacing w:before="120" w:after="120" w:line="276" w:lineRule="auto"/>
              <w:textAlignment w:val="baseline"/>
              <w:rPr>
                <w:rFonts w:ascii="Arial" w:eastAsia="Times New Roman" w:hAnsi="Arial" w:cs="Arial"/>
                <w:color w:val="000000"/>
                <w:sz w:val="20"/>
                <w:szCs w:val="20"/>
                <w:lang w:eastAsia="en-AU"/>
              </w:rPr>
            </w:pPr>
            <w:r w:rsidRPr="000A22C9">
              <w:rPr>
                <w:rFonts w:ascii="Arial" w:eastAsia="Times New Roman" w:hAnsi="Arial" w:cs="Arial"/>
                <w:color w:val="000000"/>
                <w:sz w:val="20"/>
                <w:szCs w:val="20"/>
                <w:lang w:eastAsia="en-AU"/>
              </w:rPr>
              <w:t>Schedule 8 requirements</w:t>
            </w:r>
          </w:p>
        </w:tc>
        <w:tc>
          <w:tcPr>
            <w:tcW w:w="7390" w:type="dxa"/>
          </w:tcPr>
          <w:p w14:paraId="61136F7B" w14:textId="2FDB90B4" w:rsidR="000A22C9" w:rsidRPr="000A22C9" w:rsidRDefault="000A22C9" w:rsidP="00FB3D35">
            <w:pPr>
              <w:spacing w:before="120" w:after="120" w:line="276" w:lineRule="auto"/>
              <w:textAlignment w:val="baseline"/>
              <w:rPr>
                <w:rFonts w:ascii="Arial" w:eastAsia="Times New Roman" w:hAnsi="Arial" w:cs="Arial"/>
                <w:color w:val="000000"/>
                <w:sz w:val="20"/>
                <w:szCs w:val="20"/>
                <w:lang w:eastAsia="en-AU"/>
              </w:rPr>
            </w:pPr>
            <w:r w:rsidRPr="000A22C9">
              <w:rPr>
                <w:rFonts w:ascii="Arial" w:eastAsia="Times New Roman" w:hAnsi="Arial" w:cs="Arial"/>
                <w:color w:val="000000"/>
                <w:sz w:val="20"/>
                <w:szCs w:val="20"/>
                <w:lang w:eastAsia="en-AU"/>
              </w:rPr>
              <w:t xml:space="preserve">Continue to follow the requirements for writing </w:t>
            </w:r>
            <w:r w:rsidR="008625E7">
              <w:rPr>
                <w:rFonts w:ascii="Arial" w:eastAsia="Times New Roman" w:hAnsi="Arial" w:cs="Arial"/>
                <w:color w:val="000000"/>
                <w:sz w:val="20"/>
                <w:szCs w:val="20"/>
                <w:lang w:eastAsia="en-AU"/>
              </w:rPr>
              <w:t>S</w:t>
            </w:r>
            <w:r w:rsidRPr="000A22C9">
              <w:rPr>
                <w:rFonts w:ascii="Arial" w:eastAsia="Times New Roman" w:hAnsi="Arial" w:cs="Arial"/>
                <w:color w:val="000000"/>
                <w:sz w:val="20"/>
                <w:szCs w:val="20"/>
                <w:lang w:eastAsia="en-AU"/>
              </w:rPr>
              <w:t xml:space="preserve">chedule 8 </w:t>
            </w:r>
            <w:r w:rsidR="008625E7">
              <w:rPr>
                <w:rFonts w:ascii="Arial" w:eastAsia="Times New Roman" w:hAnsi="Arial" w:cs="Arial"/>
                <w:color w:val="000000"/>
                <w:sz w:val="20"/>
                <w:szCs w:val="20"/>
                <w:lang w:eastAsia="en-AU"/>
              </w:rPr>
              <w:t xml:space="preserve">(Controlled Drug) </w:t>
            </w:r>
            <w:r w:rsidRPr="000A22C9">
              <w:rPr>
                <w:rFonts w:ascii="Arial" w:eastAsia="Times New Roman" w:hAnsi="Arial" w:cs="Arial"/>
                <w:color w:val="000000"/>
                <w:sz w:val="20"/>
                <w:szCs w:val="20"/>
                <w:lang w:eastAsia="en-AU"/>
              </w:rPr>
              <w:t>prescriptions of your state or territory.</w:t>
            </w:r>
          </w:p>
        </w:tc>
      </w:tr>
    </w:tbl>
    <w:p w14:paraId="2891CDF5" w14:textId="77777777" w:rsidR="00D15BEA" w:rsidRDefault="00D15BEA" w:rsidP="004A1ACE">
      <w:pPr>
        <w:tabs>
          <w:tab w:val="left" w:pos="2490"/>
        </w:tabs>
        <w:spacing w:before="240" w:after="120" w:line="276" w:lineRule="auto"/>
        <w:textAlignment w:val="baseline"/>
        <w:rPr>
          <w:rFonts w:ascii="Arial" w:eastAsia="Times New Roman" w:hAnsi="Arial" w:cs="Arial"/>
          <w:b/>
          <w:bCs/>
          <w:color w:val="358189"/>
          <w:sz w:val="22"/>
          <w:szCs w:val="22"/>
        </w:rPr>
      </w:pPr>
    </w:p>
    <w:p w14:paraId="44AD0B54" w14:textId="77777777" w:rsidR="00D15BEA" w:rsidRDefault="00D15BEA">
      <w:pPr>
        <w:rPr>
          <w:rFonts w:ascii="Arial" w:eastAsia="Times New Roman" w:hAnsi="Arial" w:cs="Arial"/>
          <w:b/>
          <w:bCs/>
          <w:color w:val="358189"/>
          <w:sz w:val="22"/>
          <w:szCs w:val="22"/>
        </w:rPr>
      </w:pPr>
      <w:r>
        <w:rPr>
          <w:rFonts w:ascii="Arial" w:eastAsia="Times New Roman" w:hAnsi="Arial" w:cs="Arial"/>
          <w:b/>
          <w:bCs/>
          <w:color w:val="358189"/>
          <w:sz w:val="22"/>
          <w:szCs w:val="22"/>
        </w:rPr>
        <w:br w:type="page"/>
      </w:r>
    </w:p>
    <w:p w14:paraId="7412FEFA" w14:textId="7C96EA72" w:rsidR="00F90C1D" w:rsidRPr="004A1ACE" w:rsidRDefault="00F90C1D" w:rsidP="004A1ACE">
      <w:pPr>
        <w:tabs>
          <w:tab w:val="left" w:pos="2490"/>
        </w:tabs>
        <w:spacing w:before="240" w:after="120" w:line="276" w:lineRule="auto"/>
        <w:textAlignment w:val="baseline"/>
        <w:rPr>
          <w:rFonts w:ascii="Arial" w:eastAsia="Times New Roman" w:hAnsi="Arial" w:cs="Arial"/>
          <w:b/>
          <w:bCs/>
          <w:color w:val="358189"/>
          <w:sz w:val="28"/>
          <w:szCs w:val="28"/>
          <w:lang w:eastAsia="en-AU"/>
        </w:rPr>
      </w:pPr>
      <w:r w:rsidRPr="00F90C1D">
        <w:rPr>
          <w:rFonts w:ascii="Arial" w:eastAsia="Times New Roman" w:hAnsi="Arial" w:cs="Arial"/>
          <w:b/>
          <w:bCs/>
          <w:color w:val="358189"/>
          <w:sz w:val="22"/>
          <w:szCs w:val="22"/>
        </w:rPr>
        <w:lastRenderedPageBreak/>
        <w:t>Prescribing ODT medicines – maximum quantities and repeats</w:t>
      </w:r>
    </w:p>
    <w:p w14:paraId="6E354D82" w14:textId="41199D44" w:rsidR="00E83FA8" w:rsidRDefault="00F90C1D" w:rsidP="006C2D7A">
      <w:pPr>
        <w:spacing w:before="120" w:after="120" w:line="276" w:lineRule="auto"/>
        <w:jc w:val="both"/>
        <w:textAlignment w:val="baseline"/>
        <w:rPr>
          <w:rFonts w:ascii="Arial" w:eastAsia="Times New Roman" w:hAnsi="Arial" w:cs="Arial"/>
          <w:color w:val="000000"/>
          <w:sz w:val="22"/>
          <w:szCs w:val="22"/>
          <w:lang w:eastAsia="en-AU"/>
        </w:rPr>
      </w:pPr>
      <w:r w:rsidRPr="00F90C1D">
        <w:rPr>
          <w:rFonts w:ascii="Arial" w:eastAsia="Times New Roman" w:hAnsi="Arial" w:cs="Arial"/>
          <w:color w:val="000000"/>
          <w:sz w:val="22"/>
          <w:szCs w:val="22"/>
          <w:lang w:eastAsia="en-AU"/>
        </w:rPr>
        <w:t xml:space="preserve">Maximum quantities for ODT medicines are </w:t>
      </w:r>
      <w:r w:rsidRPr="00E83FA8">
        <w:rPr>
          <w:rFonts w:ascii="Arial" w:eastAsia="Times New Roman" w:hAnsi="Arial" w:cs="Arial"/>
          <w:color w:val="000000"/>
          <w:sz w:val="22"/>
          <w:szCs w:val="22"/>
          <w:u w:val="single"/>
          <w:lang w:eastAsia="en-AU"/>
        </w:rPr>
        <w:t>equivalent to 28 days of the maximum dose per day</w:t>
      </w:r>
      <w:r w:rsidRPr="00F90C1D">
        <w:rPr>
          <w:rFonts w:ascii="Arial" w:eastAsia="Times New Roman" w:hAnsi="Arial" w:cs="Arial"/>
          <w:color w:val="000000"/>
          <w:sz w:val="22"/>
          <w:szCs w:val="22"/>
          <w:lang w:eastAsia="en-AU"/>
        </w:rPr>
        <w:t xml:space="preserve"> in line with national guidelines</w:t>
      </w:r>
      <w:r w:rsidRPr="00F90C1D">
        <w:rPr>
          <w:rFonts w:ascii="Arial" w:eastAsia="Times New Roman" w:hAnsi="Arial" w:cs="Arial"/>
          <w:color w:val="000000"/>
          <w:sz w:val="22"/>
          <w:szCs w:val="22"/>
          <w:vertAlign w:val="superscript"/>
          <w:lang w:eastAsia="en-AU"/>
        </w:rPr>
        <w:footnoteReference w:id="1"/>
      </w:r>
      <w:r w:rsidR="004A1ACE">
        <w:rPr>
          <w:rFonts w:ascii="Arial" w:eastAsia="Times New Roman" w:hAnsi="Arial" w:cs="Arial"/>
          <w:color w:val="000000"/>
          <w:sz w:val="22"/>
          <w:szCs w:val="22"/>
          <w:lang w:eastAsia="en-AU"/>
        </w:rPr>
        <w:t xml:space="preserve"> (refer Table </w:t>
      </w:r>
      <w:r w:rsidR="002F6B7A">
        <w:rPr>
          <w:rFonts w:ascii="Arial" w:eastAsia="Times New Roman" w:hAnsi="Arial" w:cs="Arial"/>
          <w:color w:val="000000"/>
          <w:sz w:val="22"/>
          <w:szCs w:val="22"/>
          <w:lang w:eastAsia="en-AU"/>
        </w:rPr>
        <w:t>2</w:t>
      </w:r>
      <w:r w:rsidR="004A1ACE">
        <w:rPr>
          <w:rFonts w:ascii="Arial" w:eastAsia="Times New Roman" w:hAnsi="Arial" w:cs="Arial"/>
          <w:color w:val="000000"/>
          <w:sz w:val="22"/>
          <w:szCs w:val="22"/>
          <w:lang w:eastAsia="en-AU"/>
        </w:rPr>
        <w:t xml:space="preserve"> below). </w:t>
      </w:r>
    </w:p>
    <w:p w14:paraId="145C2409" w14:textId="2A6D02A4" w:rsidR="004A1ACE" w:rsidRDefault="004A1ACE" w:rsidP="006C2D7A">
      <w:pPr>
        <w:autoSpaceDE w:val="0"/>
        <w:autoSpaceDN w:val="0"/>
        <w:adjustRightInd w:val="0"/>
        <w:jc w:val="both"/>
        <w:rPr>
          <w:rFonts w:ascii="Arial" w:hAnsi="Arial" w:cs="Arial"/>
          <w:sz w:val="22"/>
          <w:szCs w:val="22"/>
        </w:rPr>
      </w:pPr>
      <w:r w:rsidRPr="00E83FA8">
        <w:rPr>
          <w:rFonts w:ascii="Arial" w:hAnsi="Arial" w:cs="Arial"/>
          <w:sz w:val="22"/>
          <w:szCs w:val="22"/>
        </w:rPr>
        <w:t xml:space="preserve">Prescriptions for ODT medicines require a </w:t>
      </w:r>
      <w:r w:rsidRPr="00E83FA8">
        <w:rPr>
          <w:rFonts w:ascii="Arial" w:hAnsi="Arial" w:cs="Arial"/>
          <w:sz w:val="22"/>
          <w:szCs w:val="22"/>
          <w:u w:val="single"/>
        </w:rPr>
        <w:t>Streamlined Authority Code</w:t>
      </w:r>
      <w:r w:rsidRPr="00E83FA8">
        <w:rPr>
          <w:rFonts w:ascii="Arial" w:hAnsi="Arial" w:cs="Arial"/>
          <w:sz w:val="22"/>
          <w:szCs w:val="22"/>
        </w:rPr>
        <w:t xml:space="preserve"> up to the maximum quantity. </w:t>
      </w:r>
    </w:p>
    <w:p w14:paraId="2DDF2EC2" w14:textId="5D13DFCD" w:rsidR="004A1ACE" w:rsidRPr="00D80A46" w:rsidRDefault="004A1ACE" w:rsidP="006C2D7A">
      <w:pPr>
        <w:autoSpaceDE w:val="0"/>
        <w:autoSpaceDN w:val="0"/>
        <w:adjustRightInd w:val="0"/>
        <w:jc w:val="both"/>
        <w:rPr>
          <w:rFonts w:ascii="Arial" w:hAnsi="Arial" w:cs="Arial"/>
          <w:b/>
          <w:bCs/>
          <w:sz w:val="22"/>
          <w:szCs w:val="22"/>
        </w:rPr>
      </w:pPr>
      <w:r w:rsidRPr="00E83FA8">
        <w:rPr>
          <w:rFonts w:ascii="Arial" w:hAnsi="Arial" w:cs="Arial"/>
          <w:sz w:val="22"/>
          <w:szCs w:val="22"/>
        </w:rPr>
        <w:t xml:space="preserve">Approval for increased quantities may be sought through Services Australia for methadone and </w:t>
      </w:r>
      <w:r>
        <w:rPr>
          <w:rFonts w:ascii="Arial" w:hAnsi="Arial" w:cs="Arial"/>
          <w:sz w:val="22"/>
          <w:szCs w:val="22"/>
        </w:rPr>
        <w:t xml:space="preserve">buprenorphine containing </w:t>
      </w:r>
      <w:r w:rsidRPr="00E83FA8">
        <w:rPr>
          <w:rFonts w:ascii="Arial" w:hAnsi="Arial" w:cs="Arial"/>
          <w:sz w:val="22"/>
          <w:szCs w:val="22"/>
        </w:rPr>
        <w:t xml:space="preserve">sublingual </w:t>
      </w:r>
      <w:r>
        <w:rPr>
          <w:rFonts w:ascii="Arial" w:hAnsi="Arial" w:cs="Arial"/>
          <w:sz w:val="22"/>
          <w:szCs w:val="22"/>
        </w:rPr>
        <w:t xml:space="preserve">tablets and film. </w:t>
      </w:r>
      <w:r w:rsidRPr="00D80A46">
        <w:rPr>
          <w:rFonts w:ascii="Arial" w:hAnsi="Arial" w:cs="Arial"/>
          <w:b/>
          <w:bCs/>
          <w:color w:val="000000"/>
          <w:sz w:val="22"/>
          <w:szCs w:val="22"/>
        </w:rPr>
        <w:t>Prescribers can request approval for increased quantities through Services Australia either by calling telephone number 1800</w:t>
      </w:r>
      <w:r w:rsidR="00D80A46" w:rsidRPr="00D80A46">
        <w:rPr>
          <w:rFonts w:ascii="Arial" w:hAnsi="Arial" w:cs="Arial"/>
          <w:b/>
          <w:bCs/>
          <w:color w:val="000000"/>
          <w:sz w:val="22"/>
          <w:szCs w:val="22"/>
        </w:rPr>
        <w:t> </w:t>
      </w:r>
      <w:r w:rsidRPr="00D80A46">
        <w:rPr>
          <w:rFonts w:ascii="Arial" w:hAnsi="Arial" w:cs="Arial"/>
          <w:b/>
          <w:bCs/>
          <w:color w:val="000000"/>
          <w:sz w:val="22"/>
          <w:szCs w:val="22"/>
        </w:rPr>
        <w:t xml:space="preserve">888 333 or applying </w:t>
      </w:r>
      <w:hyperlink r:id="rId17" w:history="1">
        <w:r w:rsidRPr="00D80A46">
          <w:rPr>
            <w:rStyle w:val="Hyperlink"/>
            <w:rFonts w:ascii="Arial" w:hAnsi="Arial" w:cs="Arial"/>
            <w:b/>
            <w:bCs/>
            <w:sz w:val="22"/>
            <w:szCs w:val="22"/>
          </w:rPr>
          <w:t>online</w:t>
        </w:r>
      </w:hyperlink>
      <w:r w:rsidRPr="00D80A46">
        <w:rPr>
          <w:rFonts w:ascii="Arial" w:hAnsi="Arial" w:cs="Arial"/>
          <w:b/>
          <w:bCs/>
          <w:color w:val="000000"/>
          <w:sz w:val="22"/>
          <w:szCs w:val="22"/>
        </w:rPr>
        <w:t xml:space="preserve">. </w:t>
      </w:r>
    </w:p>
    <w:p w14:paraId="4C7DE237" w14:textId="199CD800" w:rsidR="004A1ACE" w:rsidRPr="00287292" w:rsidRDefault="004A1ACE" w:rsidP="006C2D7A">
      <w:pPr>
        <w:jc w:val="both"/>
        <w:rPr>
          <w:rFonts w:ascii="Arial" w:hAnsi="Arial" w:cs="Arial"/>
          <w:sz w:val="22"/>
          <w:szCs w:val="22"/>
        </w:rPr>
      </w:pPr>
      <w:r w:rsidRPr="00E83FA8">
        <w:rPr>
          <w:rFonts w:ascii="Arial" w:hAnsi="Arial" w:cs="Arial"/>
          <w:sz w:val="22"/>
          <w:szCs w:val="22"/>
        </w:rPr>
        <w:t xml:space="preserve">Up to </w:t>
      </w:r>
      <w:r w:rsidR="00287292">
        <w:rPr>
          <w:rFonts w:ascii="Arial" w:hAnsi="Arial" w:cs="Arial"/>
          <w:sz w:val="22"/>
          <w:szCs w:val="22"/>
        </w:rPr>
        <w:t>5</w:t>
      </w:r>
      <w:r w:rsidRPr="00E83FA8">
        <w:rPr>
          <w:rFonts w:ascii="Arial" w:hAnsi="Arial" w:cs="Arial"/>
          <w:sz w:val="22"/>
          <w:szCs w:val="22"/>
        </w:rPr>
        <w:t xml:space="preserve"> repeats </w:t>
      </w:r>
      <w:r w:rsidR="006C2D7A">
        <w:rPr>
          <w:rFonts w:ascii="Arial" w:hAnsi="Arial" w:cs="Arial"/>
          <w:sz w:val="22"/>
          <w:szCs w:val="22"/>
        </w:rPr>
        <w:t>can</w:t>
      </w:r>
      <w:r w:rsidRPr="00E83FA8">
        <w:rPr>
          <w:rFonts w:ascii="Arial" w:hAnsi="Arial" w:cs="Arial"/>
          <w:sz w:val="22"/>
          <w:szCs w:val="22"/>
        </w:rPr>
        <w:t xml:space="preserve"> be prescribed for ODT medicines (that is</w:t>
      </w:r>
      <w:r w:rsidR="00B84D56">
        <w:rPr>
          <w:rFonts w:ascii="Arial" w:hAnsi="Arial" w:cs="Arial"/>
          <w:sz w:val="22"/>
          <w:szCs w:val="22"/>
        </w:rPr>
        <w:t xml:space="preserve"> up to</w:t>
      </w:r>
      <w:r w:rsidRPr="00E83FA8">
        <w:rPr>
          <w:rFonts w:ascii="Arial" w:hAnsi="Arial" w:cs="Arial"/>
          <w:sz w:val="22"/>
          <w:szCs w:val="22"/>
        </w:rPr>
        <w:t xml:space="preserve"> </w:t>
      </w:r>
      <w:r w:rsidR="00287292">
        <w:rPr>
          <w:rFonts w:ascii="Arial" w:hAnsi="Arial" w:cs="Arial"/>
          <w:sz w:val="22"/>
          <w:szCs w:val="22"/>
        </w:rPr>
        <w:t>6</w:t>
      </w:r>
      <w:r w:rsidRPr="00E83FA8">
        <w:rPr>
          <w:rFonts w:ascii="Arial" w:hAnsi="Arial" w:cs="Arial"/>
          <w:sz w:val="22"/>
          <w:szCs w:val="22"/>
        </w:rPr>
        <w:t xml:space="preserve"> months total supply when including the original</w:t>
      </w:r>
      <w:r w:rsidRPr="00287292">
        <w:rPr>
          <w:rFonts w:ascii="Arial" w:hAnsi="Arial" w:cs="Arial"/>
          <w:sz w:val="22"/>
          <w:szCs w:val="22"/>
        </w:rPr>
        <w:t>).</w:t>
      </w:r>
      <w:r w:rsidR="00287292" w:rsidRPr="00287292">
        <w:rPr>
          <w:rFonts w:ascii="Arial" w:hAnsi="Arial" w:cs="Arial"/>
          <w:sz w:val="22"/>
          <w:szCs w:val="22"/>
        </w:rPr>
        <w:t xml:space="preserve"> </w:t>
      </w:r>
      <w:r w:rsidR="00287292" w:rsidRPr="009B4BDE">
        <w:rPr>
          <w:rFonts w:ascii="Arial" w:hAnsi="Arial" w:cs="Arial"/>
          <w:sz w:val="22"/>
          <w:szCs w:val="22"/>
        </w:rPr>
        <w:t>A medical practitioner must not request the maximum listed quantity or number of repeats if lesser quantity or repeats are sufficient for the patient's needs.</w:t>
      </w:r>
    </w:p>
    <w:p w14:paraId="7CABA0C2" w14:textId="1BF4C7BC" w:rsidR="00D80A46" w:rsidRPr="004A1ACE" w:rsidRDefault="00D80A46" w:rsidP="006C2D7A">
      <w:pPr>
        <w:jc w:val="both"/>
        <w:rPr>
          <w:rFonts w:ascii="Arial" w:hAnsi="Arial" w:cs="Arial"/>
          <w:sz w:val="22"/>
          <w:szCs w:val="22"/>
        </w:rPr>
      </w:pPr>
      <w:r w:rsidRPr="00D80A46">
        <w:rPr>
          <w:rFonts w:ascii="Arial" w:hAnsi="Arial" w:cs="Arial"/>
          <w:sz w:val="22"/>
          <w:szCs w:val="22"/>
        </w:rPr>
        <w:t>Some patients require different strengths of buprenorphine</w:t>
      </w:r>
      <w:r w:rsidR="00D15BEA">
        <w:rPr>
          <w:rFonts w:ascii="Arial" w:hAnsi="Arial" w:cs="Arial"/>
          <w:sz w:val="22"/>
          <w:szCs w:val="22"/>
        </w:rPr>
        <w:t>-</w:t>
      </w:r>
      <w:r w:rsidRPr="00D80A46">
        <w:rPr>
          <w:rFonts w:ascii="Arial" w:hAnsi="Arial" w:cs="Arial"/>
          <w:sz w:val="22"/>
          <w:szCs w:val="22"/>
        </w:rPr>
        <w:t xml:space="preserve">containing sublingual tablets and film to make up their daily dose. A separate PBS prescription is required for each strength. </w:t>
      </w:r>
    </w:p>
    <w:p w14:paraId="0D22A3C5" w14:textId="16C6475E" w:rsidR="00E83FA8" w:rsidRPr="00E83FA8" w:rsidRDefault="00E83FA8" w:rsidP="00E83FA8">
      <w:pPr>
        <w:spacing w:before="240"/>
        <w:rPr>
          <w:rFonts w:ascii="Segoe UI" w:eastAsia="Times New Roman" w:hAnsi="Segoe UI" w:cs="Segoe UI"/>
          <w:color w:val="000000"/>
          <w:sz w:val="18"/>
          <w:szCs w:val="18"/>
          <w:lang w:eastAsia="en-AU"/>
        </w:rPr>
      </w:pPr>
      <w:r w:rsidRPr="00E83FA8">
        <w:rPr>
          <w:rFonts w:ascii="Arial" w:eastAsia="Times New Roman" w:hAnsi="Arial" w:cs="Arial"/>
          <w:b/>
          <w:bCs/>
          <w:color w:val="000000"/>
          <w:sz w:val="22"/>
          <w:szCs w:val="22"/>
          <w:lang w:eastAsia="en-AU"/>
        </w:rPr>
        <w:t xml:space="preserve">Table </w:t>
      </w:r>
      <w:r w:rsidR="002F6B7A">
        <w:rPr>
          <w:rFonts w:ascii="Arial" w:eastAsia="Times New Roman" w:hAnsi="Arial" w:cs="Arial"/>
          <w:b/>
          <w:bCs/>
          <w:color w:val="000000"/>
          <w:sz w:val="22"/>
          <w:szCs w:val="22"/>
          <w:lang w:eastAsia="en-AU"/>
        </w:rPr>
        <w:t>2</w:t>
      </w:r>
      <w:r w:rsidRPr="00E83FA8">
        <w:rPr>
          <w:rFonts w:ascii="Arial" w:eastAsia="Times New Roman" w:hAnsi="Arial" w:cs="Arial"/>
          <w:b/>
          <w:bCs/>
          <w:color w:val="000000"/>
          <w:sz w:val="22"/>
          <w:szCs w:val="22"/>
          <w:lang w:eastAsia="en-AU"/>
        </w:rPr>
        <w:t>. Maximum quantities of ODT medicines</w:t>
      </w:r>
    </w:p>
    <w:tbl>
      <w:tblPr>
        <w:tblStyle w:val="DepartmentofHealthtable"/>
        <w:tblW w:w="9026" w:type="dxa"/>
        <w:tblLayout w:type="fixed"/>
        <w:tblLook w:val="04A0" w:firstRow="1" w:lastRow="0" w:firstColumn="1" w:lastColumn="0" w:noHBand="0" w:noVBand="1"/>
      </w:tblPr>
      <w:tblGrid>
        <w:gridCol w:w="3261"/>
        <w:gridCol w:w="2409"/>
        <w:gridCol w:w="1701"/>
        <w:gridCol w:w="1655"/>
      </w:tblGrid>
      <w:tr w:rsidR="00E83FA8" w:rsidRPr="004A1ACE" w14:paraId="09E98176" w14:textId="77777777" w:rsidTr="00FB3D35">
        <w:trPr>
          <w:cnfStyle w:val="100000000000" w:firstRow="1" w:lastRow="0" w:firstColumn="0" w:lastColumn="0" w:oddVBand="0" w:evenVBand="0" w:oddHBand="0" w:evenHBand="0" w:firstRowFirstColumn="0" w:firstRowLastColumn="0" w:lastRowFirstColumn="0" w:lastRowLastColumn="0"/>
          <w:trHeight w:val="416"/>
          <w:tblHeader/>
        </w:trPr>
        <w:tc>
          <w:tcPr>
            <w:cnfStyle w:val="001000000000" w:firstRow="0" w:lastRow="0" w:firstColumn="1" w:lastColumn="0" w:oddVBand="0" w:evenVBand="0" w:oddHBand="0" w:evenHBand="0" w:firstRowFirstColumn="0" w:firstRowLastColumn="0" w:lastRowFirstColumn="0" w:lastRowLastColumn="0"/>
            <w:tcW w:w="3261" w:type="dxa"/>
          </w:tcPr>
          <w:p w14:paraId="04F167E1" w14:textId="77777777" w:rsidR="00E83FA8" w:rsidRPr="004A1ACE" w:rsidRDefault="00E83FA8" w:rsidP="00FB3D35">
            <w:pPr>
              <w:spacing w:before="80" w:after="80" w:line="276" w:lineRule="auto"/>
              <w:rPr>
                <w:rFonts w:eastAsia="Cambria" w:cs="Arial"/>
                <w:b/>
                <w:bCs/>
                <w:color w:val="FFFFFF"/>
                <w:sz w:val="20"/>
                <w:lang w:val="en-US"/>
              </w:rPr>
            </w:pPr>
            <w:r w:rsidRPr="004A1ACE">
              <w:rPr>
                <w:rFonts w:eastAsia="Cambria" w:cs="Arial"/>
                <w:b/>
                <w:bCs/>
                <w:color w:val="FFFFFF"/>
                <w:sz w:val="20"/>
                <w:lang w:val="en-US"/>
              </w:rPr>
              <w:t>Pharmaceutical Benefit</w:t>
            </w:r>
          </w:p>
        </w:tc>
        <w:tc>
          <w:tcPr>
            <w:tcW w:w="2409" w:type="dxa"/>
          </w:tcPr>
          <w:p w14:paraId="3C2AD5C4" w14:textId="77777777" w:rsidR="00E83FA8" w:rsidRPr="004A1ACE" w:rsidRDefault="00E83FA8" w:rsidP="00FB3D35">
            <w:pPr>
              <w:spacing w:before="80" w:after="80" w:line="276" w:lineRule="auto"/>
              <w:cnfStyle w:val="100000000000" w:firstRow="1" w:lastRow="0" w:firstColumn="0" w:lastColumn="0" w:oddVBand="0" w:evenVBand="0" w:oddHBand="0" w:evenHBand="0" w:firstRowFirstColumn="0" w:firstRowLastColumn="0" w:lastRowFirstColumn="0" w:lastRowLastColumn="0"/>
              <w:rPr>
                <w:rFonts w:eastAsia="Cambria" w:cs="Arial"/>
                <w:b/>
                <w:bCs/>
                <w:color w:val="FFFFFF"/>
                <w:sz w:val="20"/>
                <w:lang w:val="en-US"/>
              </w:rPr>
            </w:pPr>
            <w:r w:rsidRPr="004A1ACE">
              <w:rPr>
                <w:rFonts w:eastAsia="Cambria" w:cs="Arial"/>
                <w:b/>
                <w:bCs/>
                <w:color w:val="FFFFFF"/>
                <w:sz w:val="20"/>
                <w:lang w:val="en-US"/>
              </w:rPr>
              <w:t>Brands available</w:t>
            </w:r>
          </w:p>
        </w:tc>
        <w:tc>
          <w:tcPr>
            <w:tcW w:w="1701" w:type="dxa"/>
          </w:tcPr>
          <w:p w14:paraId="52578E6D" w14:textId="77777777" w:rsidR="00E83FA8" w:rsidRPr="004A1ACE" w:rsidRDefault="00E83FA8" w:rsidP="00FB3D35">
            <w:pPr>
              <w:spacing w:before="80" w:after="80" w:line="276" w:lineRule="auto"/>
              <w:cnfStyle w:val="100000000000" w:firstRow="1" w:lastRow="0" w:firstColumn="0" w:lastColumn="0" w:oddVBand="0" w:evenVBand="0" w:oddHBand="0" w:evenHBand="0" w:firstRowFirstColumn="0" w:firstRowLastColumn="0" w:lastRowFirstColumn="0" w:lastRowLastColumn="0"/>
              <w:rPr>
                <w:rFonts w:eastAsia="Cambria" w:cs="Arial"/>
                <w:b/>
                <w:bCs/>
                <w:color w:val="FFFFFF"/>
                <w:sz w:val="20"/>
                <w:lang w:val="en-US"/>
              </w:rPr>
            </w:pPr>
            <w:r w:rsidRPr="004A1ACE">
              <w:rPr>
                <w:rFonts w:eastAsia="Cambria" w:cs="Arial"/>
                <w:b/>
                <w:bCs/>
                <w:color w:val="FFFFFF"/>
                <w:sz w:val="20"/>
                <w:lang w:val="en-US"/>
              </w:rPr>
              <w:t>Maximum Quantity</w:t>
            </w:r>
          </w:p>
        </w:tc>
        <w:tc>
          <w:tcPr>
            <w:tcW w:w="1655" w:type="dxa"/>
          </w:tcPr>
          <w:p w14:paraId="03FFDDB8" w14:textId="77777777" w:rsidR="00E83FA8" w:rsidRPr="004A1ACE" w:rsidRDefault="00E83FA8" w:rsidP="00FB3D35">
            <w:pPr>
              <w:spacing w:before="80" w:after="80" w:line="276" w:lineRule="auto"/>
              <w:jc w:val="center"/>
              <w:cnfStyle w:val="100000000000" w:firstRow="1" w:lastRow="0" w:firstColumn="0" w:lastColumn="0" w:oddVBand="0" w:evenVBand="0" w:oddHBand="0" w:evenHBand="0" w:firstRowFirstColumn="0" w:firstRowLastColumn="0" w:lastRowFirstColumn="0" w:lastRowLastColumn="0"/>
              <w:rPr>
                <w:rFonts w:eastAsia="Cambria" w:cs="Arial"/>
                <w:b/>
                <w:bCs/>
                <w:color w:val="FFFFFF"/>
                <w:sz w:val="20"/>
                <w:lang w:val="en-US"/>
              </w:rPr>
            </w:pPr>
            <w:r w:rsidRPr="004A1ACE">
              <w:rPr>
                <w:rFonts w:eastAsia="Cambria" w:cs="Arial"/>
                <w:b/>
                <w:bCs/>
                <w:color w:val="FFFFFF"/>
                <w:sz w:val="20"/>
                <w:lang w:val="en-US"/>
              </w:rPr>
              <w:t>Packs</w:t>
            </w:r>
          </w:p>
        </w:tc>
      </w:tr>
      <w:tr w:rsidR="00E83FA8" w:rsidRPr="004A1ACE" w14:paraId="43AFCAAE" w14:textId="77777777" w:rsidTr="00FB3D35">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261" w:type="dxa"/>
          </w:tcPr>
          <w:p w14:paraId="5E184662" w14:textId="77777777" w:rsidR="00E83FA8" w:rsidRPr="004A1ACE" w:rsidRDefault="00E83FA8" w:rsidP="00FB3D35">
            <w:pPr>
              <w:spacing w:before="60" w:after="60"/>
              <w:ind w:hanging="12"/>
              <w:rPr>
                <w:rFonts w:cs="Arial"/>
                <w:sz w:val="20"/>
              </w:rPr>
            </w:pPr>
            <w:r w:rsidRPr="004A1ACE">
              <w:rPr>
                <w:rFonts w:cs="Arial"/>
                <w:sz w:val="20"/>
              </w:rPr>
              <w:t>Methadone hydrochloride 5 mg/mL oral liquid 1L</w:t>
            </w:r>
          </w:p>
        </w:tc>
        <w:tc>
          <w:tcPr>
            <w:tcW w:w="2409" w:type="dxa"/>
          </w:tcPr>
          <w:p w14:paraId="6451187B" w14:textId="77777777" w:rsidR="00E83FA8" w:rsidRPr="004A1ACE" w:rsidRDefault="00E83FA8" w:rsidP="00FB3D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Aspen Methadone Syrup ®</w:t>
            </w:r>
          </w:p>
          <w:p w14:paraId="162522B1" w14:textId="77777777" w:rsidR="00E83FA8" w:rsidRPr="004A1ACE" w:rsidRDefault="00E83FA8" w:rsidP="00FB3D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proofErr w:type="spellStart"/>
            <w:r w:rsidRPr="004A1ACE">
              <w:rPr>
                <w:rFonts w:cs="Arial"/>
                <w:sz w:val="20"/>
              </w:rPr>
              <w:t>Biodone</w:t>
            </w:r>
            <w:proofErr w:type="spellEnd"/>
            <w:r w:rsidRPr="004A1ACE">
              <w:rPr>
                <w:rFonts w:cs="Arial"/>
                <w:sz w:val="20"/>
              </w:rPr>
              <w:t xml:space="preserve"> ®</w:t>
            </w:r>
          </w:p>
        </w:tc>
        <w:tc>
          <w:tcPr>
            <w:tcW w:w="1701" w:type="dxa"/>
          </w:tcPr>
          <w:p w14:paraId="29B0AB61" w14:textId="77777777" w:rsidR="00E83FA8" w:rsidRPr="004A1ACE" w:rsidRDefault="00E83FA8" w:rsidP="00FB3D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840 mL</w:t>
            </w:r>
          </w:p>
        </w:tc>
        <w:tc>
          <w:tcPr>
            <w:tcW w:w="1655" w:type="dxa"/>
          </w:tcPr>
          <w:p w14:paraId="79AB8239" w14:textId="77777777" w:rsidR="00E83FA8" w:rsidRPr="004A1ACE" w:rsidRDefault="00E83FA8" w:rsidP="00FB3D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0.84 bottles</w:t>
            </w:r>
          </w:p>
        </w:tc>
      </w:tr>
      <w:tr w:rsidR="00E83FA8" w:rsidRPr="004A1ACE" w14:paraId="16455EE6" w14:textId="77777777" w:rsidTr="00FB3D35">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261" w:type="dxa"/>
          </w:tcPr>
          <w:p w14:paraId="49FF465C" w14:textId="77777777" w:rsidR="00E83FA8" w:rsidRPr="004A1ACE" w:rsidRDefault="00E83FA8" w:rsidP="00FB3D35">
            <w:pPr>
              <w:spacing w:before="60" w:after="60"/>
              <w:ind w:hanging="12"/>
              <w:rPr>
                <w:rFonts w:cs="Arial"/>
                <w:sz w:val="20"/>
              </w:rPr>
            </w:pPr>
            <w:r w:rsidRPr="004A1ACE">
              <w:rPr>
                <w:rFonts w:cs="Arial"/>
                <w:sz w:val="20"/>
              </w:rPr>
              <w:t>Methadone hydrochloride 5 mg/mL oral liquid 200 mL</w:t>
            </w:r>
          </w:p>
        </w:tc>
        <w:tc>
          <w:tcPr>
            <w:tcW w:w="2409" w:type="dxa"/>
          </w:tcPr>
          <w:p w14:paraId="613B0665" w14:textId="77777777" w:rsidR="00E83FA8" w:rsidRPr="004A1ACE" w:rsidRDefault="00E83FA8" w:rsidP="00FB3D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Aspen Methadone Syrup ®</w:t>
            </w:r>
          </w:p>
          <w:p w14:paraId="30713BC4" w14:textId="77777777" w:rsidR="00E83FA8" w:rsidRPr="004A1ACE" w:rsidRDefault="00E83FA8" w:rsidP="00FB3D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proofErr w:type="spellStart"/>
            <w:r w:rsidRPr="004A1ACE">
              <w:rPr>
                <w:rFonts w:cs="Arial"/>
                <w:sz w:val="20"/>
              </w:rPr>
              <w:t>Biodone</w:t>
            </w:r>
            <w:proofErr w:type="spellEnd"/>
            <w:r w:rsidRPr="004A1ACE">
              <w:rPr>
                <w:rFonts w:cs="Arial"/>
                <w:sz w:val="20"/>
              </w:rPr>
              <w:t xml:space="preserve"> Forte ®</w:t>
            </w:r>
          </w:p>
        </w:tc>
        <w:tc>
          <w:tcPr>
            <w:tcW w:w="1701" w:type="dxa"/>
          </w:tcPr>
          <w:p w14:paraId="030E9756" w14:textId="77777777" w:rsidR="00E83FA8" w:rsidRPr="004A1ACE" w:rsidRDefault="00E83FA8" w:rsidP="00FB3D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840 mL</w:t>
            </w:r>
          </w:p>
        </w:tc>
        <w:tc>
          <w:tcPr>
            <w:tcW w:w="1655" w:type="dxa"/>
          </w:tcPr>
          <w:p w14:paraId="61D07C82" w14:textId="77777777" w:rsidR="00E83FA8" w:rsidRPr="004A1ACE" w:rsidRDefault="00E83FA8" w:rsidP="00FB3D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4.2 bottles</w:t>
            </w:r>
          </w:p>
        </w:tc>
      </w:tr>
      <w:tr w:rsidR="00E83FA8" w:rsidRPr="004A1ACE" w14:paraId="670069A0" w14:textId="77777777" w:rsidTr="00FB3D35">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261" w:type="dxa"/>
          </w:tcPr>
          <w:p w14:paraId="7E565599" w14:textId="77777777" w:rsidR="00E83FA8" w:rsidRPr="004A1ACE" w:rsidRDefault="00E83FA8" w:rsidP="00FB3D35">
            <w:pPr>
              <w:spacing w:before="60" w:after="60"/>
              <w:ind w:hanging="12"/>
              <w:rPr>
                <w:rFonts w:cs="Arial"/>
                <w:sz w:val="20"/>
              </w:rPr>
            </w:pPr>
            <w:r w:rsidRPr="004A1ACE">
              <w:rPr>
                <w:rFonts w:cs="Arial"/>
                <w:sz w:val="20"/>
              </w:rPr>
              <w:t xml:space="preserve">Buprenorphine 2 mg + naloxone 500 microgram sublingual film </w:t>
            </w:r>
          </w:p>
        </w:tc>
        <w:tc>
          <w:tcPr>
            <w:tcW w:w="2409" w:type="dxa"/>
          </w:tcPr>
          <w:p w14:paraId="511EC9B0" w14:textId="77777777" w:rsidR="00E83FA8" w:rsidRPr="004A1ACE" w:rsidRDefault="00E83FA8" w:rsidP="00FB3D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Suboxone ®</w:t>
            </w:r>
          </w:p>
        </w:tc>
        <w:tc>
          <w:tcPr>
            <w:tcW w:w="1701" w:type="dxa"/>
          </w:tcPr>
          <w:p w14:paraId="252C4F90" w14:textId="77777777" w:rsidR="00E83FA8" w:rsidRPr="004A1ACE" w:rsidRDefault="00E83FA8" w:rsidP="00FB3D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84</w:t>
            </w:r>
          </w:p>
        </w:tc>
        <w:tc>
          <w:tcPr>
            <w:tcW w:w="1655" w:type="dxa"/>
          </w:tcPr>
          <w:p w14:paraId="2FF50CFF" w14:textId="77777777" w:rsidR="00E83FA8" w:rsidRPr="004A1ACE" w:rsidRDefault="00E83FA8" w:rsidP="00FB3D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3 packs</w:t>
            </w:r>
          </w:p>
        </w:tc>
      </w:tr>
      <w:tr w:rsidR="00E83FA8" w:rsidRPr="004A1ACE" w14:paraId="7E2DCB3E" w14:textId="77777777" w:rsidTr="00FB3D35">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15E11AE9" w14:textId="77777777" w:rsidR="00E83FA8" w:rsidRPr="004A1ACE" w:rsidRDefault="00E83FA8" w:rsidP="00FB3D35">
            <w:pPr>
              <w:spacing w:before="60" w:after="60"/>
              <w:ind w:hanging="12"/>
              <w:rPr>
                <w:rFonts w:cs="Arial"/>
                <w:sz w:val="20"/>
              </w:rPr>
            </w:pPr>
            <w:r w:rsidRPr="004A1ACE">
              <w:rPr>
                <w:rFonts w:cs="Arial"/>
                <w:sz w:val="20"/>
              </w:rPr>
              <w:t xml:space="preserve">Buprenorphine 8 mg + naloxone 2 mg sublingual film </w:t>
            </w:r>
          </w:p>
        </w:tc>
        <w:tc>
          <w:tcPr>
            <w:tcW w:w="2409" w:type="dxa"/>
          </w:tcPr>
          <w:p w14:paraId="77D212D1" w14:textId="77777777" w:rsidR="00E83FA8" w:rsidRPr="004A1ACE" w:rsidRDefault="00E83FA8" w:rsidP="00FB3D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Suboxone ®</w:t>
            </w:r>
          </w:p>
        </w:tc>
        <w:tc>
          <w:tcPr>
            <w:tcW w:w="1701" w:type="dxa"/>
          </w:tcPr>
          <w:p w14:paraId="5128C247" w14:textId="77777777" w:rsidR="00E83FA8" w:rsidRPr="004A1ACE" w:rsidRDefault="00E83FA8" w:rsidP="00FB3D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112</w:t>
            </w:r>
          </w:p>
        </w:tc>
        <w:tc>
          <w:tcPr>
            <w:tcW w:w="1655" w:type="dxa"/>
          </w:tcPr>
          <w:p w14:paraId="23B1FC6E" w14:textId="77777777" w:rsidR="00E83FA8" w:rsidRPr="004A1ACE" w:rsidRDefault="00E83FA8" w:rsidP="00FB3D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4 packs</w:t>
            </w:r>
          </w:p>
        </w:tc>
      </w:tr>
      <w:tr w:rsidR="00E83FA8" w:rsidRPr="004A1ACE" w14:paraId="490E313B" w14:textId="77777777" w:rsidTr="00FB3D3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3DDB0E12" w14:textId="77777777" w:rsidR="00E83FA8" w:rsidRPr="004A1ACE" w:rsidRDefault="00E83FA8" w:rsidP="00FB3D35">
            <w:pPr>
              <w:spacing w:before="60" w:after="60"/>
              <w:ind w:hanging="12"/>
              <w:rPr>
                <w:rFonts w:cs="Arial"/>
                <w:sz w:val="20"/>
              </w:rPr>
            </w:pPr>
            <w:r w:rsidRPr="004A1ACE">
              <w:rPr>
                <w:rFonts w:cs="Arial"/>
                <w:sz w:val="20"/>
              </w:rPr>
              <w:t xml:space="preserve">Buprenorphine 0.4 mg sublingual tablet </w:t>
            </w:r>
          </w:p>
        </w:tc>
        <w:tc>
          <w:tcPr>
            <w:tcW w:w="2409" w:type="dxa"/>
          </w:tcPr>
          <w:p w14:paraId="17B7AED2" w14:textId="77777777" w:rsidR="00E83FA8" w:rsidRPr="004A1ACE" w:rsidRDefault="00E83FA8" w:rsidP="00FB3D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Subutex ®</w:t>
            </w:r>
          </w:p>
        </w:tc>
        <w:tc>
          <w:tcPr>
            <w:tcW w:w="1701" w:type="dxa"/>
          </w:tcPr>
          <w:p w14:paraId="7CBA5F70" w14:textId="77777777" w:rsidR="00E83FA8" w:rsidRPr="004A1ACE" w:rsidRDefault="00E83FA8" w:rsidP="00FB3D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28</w:t>
            </w:r>
          </w:p>
        </w:tc>
        <w:tc>
          <w:tcPr>
            <w:tcW w:w="1655" w:type="dxa"/>
          </w:tcPr>
          <w:p w14:paraId="14EC51E3" w14:textId="77777777" w:rsidR="00E83FA8" w:rsidRPr="004A1ACE" w:rsidRDefault="00E83FA8" w:rsidP="00FB3D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4 packs</w:t>
            </w:r>
          </w:p>
        </w:tc>
      </w:tr>
      <w:tr w:rsidR="00E83FA8" w:rsidRPr="004A1ACE" w14:paraId="10E600C7" w14:textId="77777777" w:rsidTr="00FB3D35">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40836E03" w14:textId="77777777" w:rsidR="00E83FA8" w:rsidRPr="004A1ACE" w:rsidRDefault="00E83FA8" w:rsidP="00FB3D35">
            <w:pPr>
              <w:spacing w:before="60" w:after="60"/>
              <w:ind w:hanging="12"/>
              <w:rPr>
                <w:rFonts w:cs="Arial"/>
                <w:sz w:val="20"/>
              </w:rPr>
            </w:pPr>
            <w:r w:rsidRPr="004A1ACE">
              <w:rPr>
                <w:rFonts w:cs="Arial"/>
                <w:sz w:val="20"/>
              </w:rPr>
              <w:t>Buprenorphine 2 mg sublingual tablet</w:t>
            </w:r>
          </w:p>
        </w:tc>
        <w:tc>
          <w:tcPr>
            <w:tcW w:w="2409" w:type="dxa"/>
          </w:tcPr>
          <w:p w14:paraId="0D20512B" w14:textId="77777777" w:rsidR="00E83FA8" w:rsidRPr="004A1ACE" w:rsidRDefault="00E83FA8" w:rsidP="00FB3D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Subutex ®</w:t>
            </w:r>
          </w:p>
        </w:tc>
        <w:tc>
          <w:tcPr>
            <w:tcW w:w="1701" w:type="dxa"/>
          </w:tcPr>
          <w:p w14:paraId="2BD69D90" w14:textId="77777777" w:rsidR="00E83FA8" w:rsidRPr="004A1ACE" w:rsidRDefault="00E83FA8" w:rsidP="00FB3D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84</w:t>
            </w:r>
          </w:p>
        </w:tc>
        <w:tc>
          <w:tcPr>
            <w:tcW w:w="1655" w:type="dxa"/>
          </w:tcPr>
          <w:p w14:paraId="636766F7" w14:textId="77777777" w:rsidR="00E83FA8" w:rsidRPr="004A1ACE" w:rsidRDefault="00E83FA8" w:rsidP="00FB3D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12 packs</w:t>
            </w:r>
          </w:p>
        </w:tc>
      </w:tr>
      <w:tr w:rsidR="00E83FA8" w:rsidRPr="004A1ACE" w14:paraId="137E39D8" w14:textId="77777777" w:rsidTr="00FB3D3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62B88D1C" w14:textId="77777777" w:rsidR="00E83FA8" w:rsidRPr="004A1ACE" w:rsidRDefault="00E83FA8" w:rsidP="00FB3D35">
            <w:pPr>
              <w:spacing w:before="60" w:after="60"/>
              <w:ind w:hanging="12"/>
              <w:rPr>
                <w:rFonts w:cs="Arial"/>
                <w:sz w:val="20"/>
              </w:rPr>
            </w:pPr>
            <w:r w:rsidRPr="004A1ACE">
              <w:rPr>
                <w:rFonts w:cs="Arial"/>
                <w:sz w:val="20"/>
              </w:rPr>
              <w:t>Buprenorphine 8 mg sublingual tablet</w:t>
            </w:r>
          </w:p>
        </w:tc>
        <w:tc>
          <w:tcPr>
            <w:tcW w:w="2409" w:type="dxa"/>
          </w:tcPr>
          <w:p w14:paraId="5D0A5B90" w14:textId="77777777" w:rsidR="00E83FA8" w:rsidRPr="004A1ACE" w:rsidRDefault="00E83FA8" w:rsidP="00FB3D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Subutex ®</w:t>
            </w:r>
          </w:p>
        </w:tc>
        <w:tc>
          <w:tcPr>
            <w:tcW w:w="1701" w:type="dxa"/>
          </w:tcPr>
          <w:p w14:paraId="71678ED5" w14:textId="77777777" w:rsidR="00E83FA8" w:rsidRPr="004A1ACE" w:rsidRDefault="00E83FA8" w:rsidP="00FB3D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112</w:t>
            </w:r>
          </w:p>
        </w:tc>
        <w:tc>
          <w:tcPr>
            <w:tcW w:w="1655" w:type="dxa"/>
          </w:tcPr>
          <w:p w14:paraId="2CDF7452" w14:textId="77777777" w:rsidR="00E83FA8" w:rsidRPr="004A1ACE" w:rsidRDefault="00E83FA8" w:rsidP="00FB3D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16 packs</w:t>
            </w:r>
          </w:p>
        </w:tc>
      </w:tr>
      <w:tr w:rsidR="00E83FA8" w:rsidRPr="004A1ACE" w14:paraId="1B12D42A" w14:textId="77777777" w:rsidTr="00FB3D35">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6C7DD4F4" w14:textId="77777777" w:rsidR="00E83FA8" w:rsidRPr="004A1ACE" w:rsidRDefault="00E83FA8" w:rsidP="00FB3D35">
            <w:pPr>
              <w:spacing w:before="60" w:after="60"/>
              <w:rPr>
                <w:rFonts w:cs="Arial"/>
                <w:sz w:val="20"/>
              </w:rPr>
            </w:pPr>
            <w:r w:rsidRPr="004A1ACE">
              <w:rPr>
                <w:rFonts w:cs="Arial"/>
                <w:sz w:val="20"/>
              </w:rPr>
              <w:t>Buprenorphine modified release injection, 8 mg, 24 mg, or 32 mg syringe</w:t>
            </w:r>
          </w:p>
        </w:tc>
        <w:tc>
          <w:tcPr>
            <w:tcW w:w="2409" w:type="dxa"/>
          </w:tcPr>
          <w:p w14:paraId="325F8B67" w14:textId="77777777" w:rsidR="00E83FA8" w:rsidRPr="004A1ACE" w:rsidRDefault="00E83FA8" w:rsidP="00FB3D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proofErr w:type="spellStart"/>
            <w:r w:rsidRPr="004A1ACE">
              <w:rPr>
                <w:rFonts w:cs="Arial"/>
                <w:sz w:val="20"/>
              </w:rPr>
              <w:t>Buvidal</w:t>
            </w:r>
            <w:proofErr w:type="spellEnd"/>
            <w:r w:rsidRPr="004A1ACE">
              <w:rPr>
                <w:rFonts w:cs="Arial"/>
                <w:sz w:val="20"/>
              </w:rPr>
              <w:t xml:space="preserve"> Weekly ®</w:t>
            </w:r>
          </w:p>
        </w:tc>
        <w:tc>
          <w:tcPr>
            <w:tcW w:w="1701" w:type="dxa"/>
          </w:tcPr>
          <w:p w14:paraId="1673C483" w14:textId="77777777" w:rsidR="00E83FA8" w:rsidRPr="004A1ACE" w:rsidRDefault="00E83FA8" w:rsidP="00FB3D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4</w:t>
            </w:r>
          </w:p>
        </w:tc>
        <w:tc>
          <w:tcPr>
            <w:tcW w:w="1655" w:type="dxa"/>
          </w:tcPr>
          <w:p w14:paraId="7246A41D" w14:textId="77777777" w:rsidR="00E83FA8" w:rsidRPr="004A1ACE" w:rsidRDefault="00E83FA8" w:rsidP="00FB3D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 injection per pack x4</w:t>
            </w:r>
          </w:p>
        </w:tc>
      </w:tr>
      <w:tr w:rsidR="00E83FA8" w:rsidRPr="004A1ACE" w14:paraId="7CCD0A08" w14:textId="77777777" w:rsidTr="00FB3D3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3C620AD4" w14:textId="77777777" w:rsidR="00E83FA8" w:rsidRPr="004A1ACE" w:rsidRDefault="00E83FA8" w:rsidP="00FB3D35">
            <w:pPr>
              <w:spacing w:after="90"/>
              <w:rPr>
                <w:rFonts w:cs="Arial"/>
                <w:color w:val="222222"/>
                <w:sz w:val="20"/>
              </w:rPr>
            </w:pPr>
            <w:r w:rsidRPr="004A1ACE">
              <w:rPr>
                <w:rFonts w:cs="Arial"/>
                <w:color w:val="222222"/>
                <w:sz w:val="20"/>
                <w:bdr w:val="none" w:sz="0" w:space="0" w:color="auto" w:frame="1"/>
              </w:rPr>
              <w:t>Buprenorphine modified release injection, 16 mg 64 mg, 96 mg 128 mg, or 160 mg syringe</w:t>
            </w:r>
          </w:p>
        </w:tc>
        <w:tc>
          <w:tcPr>
            <w:tcW w:w="2409" w:type="dxa"/>
          </w:tcPr>
          <w:p w14:paraId="18462A01" w14:textId="77777777" w:rsidR="00E83FA8" w:rsidRPr="004A1ACE" w:rsidRDefault="00E83FA8" w:rsidP="00FB3D35">
            <w:pPr>
              <w:spacing w:before="60" w:after="60"/>
              <w:cnfStyle w:val="000000100000" w:firstRow="0" w:lastRow="0" w:firstColumn="0" w:lastColumn="0" w:oddVBand="0" w:evenVBand="0" w:oddHBand="1" w:evenHBand="0" w:firstRowFirstColumn="0" w:firstRowLastColumn="0" w:lastRowFirstColumn="0" w:lastRowLastColumn="0"/>
              <w:rPr>
                <w:rFonts w:cs="Arial"/>
                <w:sz w:val="20"/>
              </w:rPr>
            </w:pPr>
            <w:proofErr w:type="spellStart"/>
            <w:r w:rsidRPr="004A1ACE">
              <w:rPr>
                <w:rFonts w:cs="Arial"/>
                <w:sz w:val="20"/>
              </w:rPr>
              <w:t>Buvidal</w:t>
            </w:r>
            <w:proofErr w:type="spellEnd"/>
            <w:r w:rsidRPr="004A1ACE">
              <w:rPr>
                <w:rFonts w:cs="Arial"/>
                <w:sz w:val="20"/>
              </w:rPr>
              <w:t xml:space="preserve"> Monthly ®</w:t>
            </w:r>
          </w:p>
        </w:tc>
        <w:tc>
          <w:tcPr>
            <w:tcW w:w="1701" w:type="dxa"/>
          </w:tcPr>
          <w:p w14:paraId="56C62AAC" w14:textId="77777777" w:rsidR="00E83FA8" w:rsidRPr="004A1ACE" w:rsidRDefault="00E83FA8" w:rsidP="00FB3D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1</w:t>
            </w:r>
          </w:p>
        </w:tc>
        <w:tc>
          <w:tcPr>
            <w:tcW w:w="1655" w:type="dxa"/>
          </w:tcPr>
          <w:p w14:paraId="0B5FFF2D" w14:textId="77777777" w:rsidR="00E83FA8" w:rsidRPr="004A1ACE" w:rsidRDefault="00E83FA8" w:rsidP="00FB3D35">
            <w:pPr>
              <w:spacing w:before="60" w:after="60"/>
              <w:ind w:left="179" w:hanging="12"/>
              <w:cnfStyle w:val="000000100000" w:firstRow="0" w:lastRow="0" w:firstColumn="0" w:lastColumn="0" w:oddVBand="0" w:evenVBand="0" w:oddHBand="1" w:evenHBand="0" w:firstRowFirstColumn="0" w:firstRowLastColumn="0" w:lastRowFirstColumn="0" w:lastRowLastColumn="0"/>
              <w:rPr>
                <w:rFonts w:cs="Arial"/>
                <w:sz w:val="20"/>
              </w:rPr>
            </w:pPr>
            <w:r w:rsidRPr="004A1ACE">
              <w:rPr>
                <w:rFonts w:cs="Arial"/>
                <w:sz w:val="20"/>
              </w:rPr>
              <w:t>1 injection per pack</w:t>
            </w:r>
          </w:p>
        </w:tc>
      </w:tr>
      <w:tr w:rsidR="00E83FA8" w:rsidRPr="004A1ACE" w14:paraId="0A002E3A" w14:textId="77777777" w:rsidTr="00FB3D35">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261" w:type="dxa"/>
          </w:tcPr>
          <w:p w14:paraId="6106C6F2" w14:textId="77777777" w:rsidR="00E83FA8" w:rsidRPr="004A1ACE" w:rsidRDefault="00E83FA8" w:rsidP="00FB3D35">
            <w:pPr>
              <w:spacing w:after="90"/>
              <w:rPr>
                <w:rFonts w:cs="Arial"/>
                <w:sz w:val="20"/>
              </w:rPr>
            </w:pPr>
            <w:r w:rsidRPr="004A1ACE">
              <w:rPr>
                <w:rFonts w:cs="Arial"/>
                <w:color w:val="222222"/>
                <w:sz w:val="20"/>
                <w:bdr w:val="none" w:sz="0" w:space="0" w:color="auto" w:frame="1"/>
              </w:rPr>
              <w:lastRenderedPageBreak/>
              <w:t>B</w:t>
            </w:r>
            <w:r w:rsidRPr="004A1ACE">
              <w:rPr>
                <w:rFonts w:cs="Arial"/>
                <w:sz w:val="20"/>
                <w:bdr w:val="none" w:sz="0" w:space="0" w:color="auto" w:frame="1"/>
              </w:rPr>
              <w:t>uprenorphine modified release injection, 100 mg or 300 mg syringe</w:t>
            </w:r>
          </w:p>
        </w:tc>
        <w:tc>
          <w:tcPr>
            <w:tcW w:w="2409" w:type="dxa"/>
          </w:tcPr>
          <w:p w14:paraId="5C0B1D6F" w14:textId="77777777" w:rsidR="00E83FA8" w:rsidRPr="004A1ACE" w:rsidRDefault="00E83FA8" w:rsidP="00FB3D35">
            <w:pPr>
              <w:spacing w:before="60" w:after="60"/>
              <w:cnfStyle w:val="000000010000" w:firstRow="0" w:lastRow="0" w:firstColumn="0" w:lastColumn="0" w:oddVBand="0" w:evenVBand="0" w:oddHBand="0" w:evenHBand="1" w:firstRowFirstColumn="0" w:firstRowLastColumn="0" w:lastRowFirstColumn="0" w:lastRowLastColumn="0"/>
              <w:rPr>
                <w:rFonts w:cs="Arial"/>
                <w:sz w:val="20"/>
              </w:rPr>
            </w:pPr>
            <w:proofErr w:type="spellStart"/>
            <w:r w:rsidRPr="004A1ACE">
              <w:rPr>
                <w:rFonts w:cs="Arial"/>
                <w:sz w:val="20"/>
              </w:rPr>
              <w:t>Sublocade</w:t>
            </w:r>
            <w:proofErr w:type="spellEnd"/>
            <w:r w:rsidRPr="004A1ACE">
              <w:rPr>
                <w:rFonts w:cs="Arial"/>
                <w:sz w:val="20"/>
              </w:rPr>
              <w:t xml:space="preserve"> ®</w:t>
            </w:r>
          </w:p>
        </w:tc>
        <w:tc>
          <w:tcPr>
            <w:tcW w:w="1701" w:type="dxa"/>
          </w:tcPr>
          <w:p w14:paraId="31751E44" w14:textId="77777777" w:rsidR="00E83FA8" w:rsidRPr="004A1ACE" w:rsidRDefault="00E83FA8" w:rsidP="00FB3D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w:t>
            </w:r>
          </w:p>
        </w:tc>
        <w:tc>
          <w:tcPr>
            <w:tcW w:w="1655" w:type="dxa"/>
          </w:tcPr>
          <w:p w14:paraId="7516E29A" w14:textId="77777777" w:rsidR="00E83FA8" w:rsidRPr="004A1ACE" w:rsidRDefault="00E83FA8" w:rsidP="00FB3D35">
            <w:pPr>
              <w:spacing w:before="60" w:after="60"/>
              <w:ind w:left="179" w:hanging="12"/>
              <w:cnfStyle w:val="000000010000" w:firstRow="0" w:lastRow="0" w:firstColumn="0" w:lastColumn="0" w:oddVBand="0" w:evenVBand="0" w:oddHBand="0" w:evenHBand="1" w:firstRowFirstColumn="0" w:firstRowLastColumn="0" w:lastRowFirstColumn="0" w:lastRowLastColumn="0"/>
              <w:rPr>
                <w:rFonts w:cs="Arial"/>
                <w:sz w:val="20"/>
              </w:rPr>
            </w:pPr>
            <w:r w:rsidRPr="004A1ACE">
              <w:rPr>
                <w:rFonts w:cs="Arial"/>
                <w:sz w:val="20"/>
              </w:rPr>
              <w:t>1 injection per pack</w:t>
            </w:r>
          </w:p>
        </w:tc>
      </w:tr>
    </w:tbl>
    <w:p w14:paraId="57231CBD" w14:textId="349063FF" w:rsidR="00F0301B" w:rsidRPr="00CE0E52" w:rsidRDefault="00F0301B" w:rsidP="00CE0E52">
      <w:pPr>
        <w:tabs>
          <w:tab w:val="left" w:pos="2490"/>
        </w:tabs>
        <w:spacing w:before="240" w:after="120" w:line="276" w:lineRule="auto"/>
        <w:textAlignment w:val="baseline"/>
        <w:rPr>
          <w:rFonts w:ascii="Arial" w:eastAsia="Times New Roman" w:hAnsi="Arial" w:cs="Arial"/>
          <w:b/>
          <w:bCs/>
          <w:color w:val="358189"/>
          <w:sz w:val="22"/>
          <w:szCs w:val="22"/>
        </w:rPr>
      </w:pPr>
      <w:r w:rsidRPr="00CE0E52">
        <w:rPr>
          <w:rFonts w:ascii="Arial" w:eastAsia="Times New Roman" w:hAnsi="Arial" w:cs="Arial"/>
          <w:b/>
          <w:bCs/>
          <w:color w:val="358189"/>
          <w:sz w:val="22"/>
          <w:szCs w:val="22"/>
        </w:rPr>
        <w:t>Directions for patient dosing</w:t>
      </w:r>
      <w:r w:rsidR="002E34E7">
        <w:rPr>
          <w:rFonts w:ascii="Arial" w:eastAsia="Times New Roman" w:hAnsi="Arial" w:cs="Arial"/>
          <w:b/>
          <w:bCs/>
          <w:color w:val="358189"/>
          <w:sz w:val="22"/>
          <w:szCs w:val="22"/>
        </w:rPr>
        <w:t xml:space="preserve"> and take-aways</w:t>
      </w:r>
    </w:p>
    <w:p w14:paraId="338768B1" w14:textId="2306BD50" w:rsidR="00F0301B" w:rsidRPr="004864F4" w:rsidRDefault="00F0301B" w:rsidP="006C2D7A">
      <w:pPr>
        <w:spacing w:before="120" w:after="120" w:line="276" w:lineRule="auto"/>
        <w:jc w:val="both"/>
        <w:textAlignment w:val="baseline"/>
        <w:rPr>
          <w:rFonts w:ascii="Segoe UI" w:eastAsia="Times New Roman" w:hAnsi="Segoe UI" w:cs="Segoe UI"/>
          <w:color w:val="000000"/>
          <w:sz w:val="18"/>
          <w:szCs w:val="18"/>
          <w:lang w:eastAsia="en-AU"/>
        </w:rPr>
      </w:pPr>
      <w:r w:rsidRPr="004864F4">
        <w:rPr>
          <w:rFonts w:ascii="Arial" w:eastAsia="Times New Roman" w:hAnsi="Arial" w:cs="Arial"/>
          <w:color w:val="000000"/>
          <w:sz w:val="22"/>
          <w:szCs w:val="22"/>
          <w:lang w:eastAsia="en-AU"/>
        </w:rPr>
        <w:t xml:space="preserve">It is common for patients to be on a variable dose </w:t>
      </w:r>
      <w:r>
        <w:rPr>
          <w:rFonts w:ascii="Arial" w:eastAsia="Times New Roman" w:hAnsi="Arial" w:cs="Arial"/>
          <w:color w:val="000000"/>
          <w:sz w:val="22"/>
          <w:szCs w:val="22"/>
          <w:lang w:eastAsia="en-AU"/>
        </w:rPr>
        <w:t>of ODT medication</w:t>
      </w:r>
      <w:r w:rsidR="00CE0E52">
        <w:rPr>
          <w:rFonts w:ascii="Arial" w:eastAsia="Times New Roman" w:hAnsi="Arial" w:cs="Arial"/>
          <w:color w:val="000000"/>
          <w:sz w:val="22"/>
          <w:szCs w:val="22"/>
          <w:lang w:eastAsia="en-AU"/>
        </w:rPr>
        <w:t>. This may occur</w:t>
      </w:r>
      <w:r w:rsidR="006C2D7A">
        <w:rPr>
          <w:rFonts w:ascii="Arial" w:eastAsia="Times New Roman" w:hAnsi="Arial" w:cs="Arial"/>
          <w:color w:val="000000"/>
          <w:sz w:val="22"/>
          <w:szCs w:val="22"/>
          <w:lang w:eastAsia="en-AU"/>
        </w:rPr>
        <w:t>,</w:t>
      </w:r>
      <w:r w:rsidR="00CE0E52">
        <w:rPr>
          <w:rFonts w:ascii="Arial" w:eastAsia="Times New Roman" w:hAnsi="Arial" w:cs="Arial"/>
          <w:color w:val="000000"/>
          <w:sz w:val="22"/>
          <w:szCs w:val="22"/>
          <w:lang w:eastAsia="en-AU"/>
        </w:rPr>
        <w:t xml:space="preserve"> for example</w:t>
      </w:r>
      <w:r w:rsidR="006C2D7A">
        <w:rPr>
          <w:rFonts w:ascii="Arial" w:eastAsia="Times New Roman" w:hAnsi="Arial" w:cs="Arial"/>
          <w:color w:val="000000"/>
          <w:sz w:val="22"/>
          <w:szCs w:val="22"/>
          <w:lang w:eastAsia="en-AU"/>
        </w:rPr>
        <w:t>,</w:t>
      </w:r>
      <w:r w:rsidR="00CE0E52">
        <w:rPr>
          <w:rFonts w:ascii="Arial" w:eastAsia="Times New Roman" w:hAnsi="Arial" w:cs="Arial"/>
          <w:color w:val="000000"/>
          <w:sz w:val="22"/>
          <w:szCs w:val="22"/>
          <w:lang w:eastAsia="en-AU"/>
        </w:rPr>
        <w:t xml:space="preserve"> </w:t>
      </w:r>
      <w:r>
        <w:rPr>
          <w:rFonts w:ascii="Arial" w:eastAsia="Times New Roman" w:hAnsi="Arial" w:cs="Arial"/>
          <w:color w:val="000000"/>
          <w:sz w:val="22"/>
          <w:szCs w:val="22"/>
          <w:lang w:eastAsia="en-AU"/>
        </w:rPr>
        <w:t xml:space="preserve">during initiation or when the patient is changing medication. </w:t>
      </w:r>
      <w:r w:rsidRPr="004864F4">
        <w:rPr>
          <w:rFonts w:ascii="Arial" w:eastAsia="Times New Roman" w:hAnsi="Arial" w:cs="Arial"/>
          <w:color w:val="000000"/>
          <w:sz w:val="22"/>
          <w:szCs w:val="22"/>
          <w:lang w:eastAsia="en-AU"/>
        </w:rPr>
        <w:t> </w:t>
      </w:r>
    </w:p>
    <w:p w14:paraId="4A5F6122" w14:textId="77777777" w:rsidR="00F0301B" w:rsidRPr="00F0301B" w:rsidRDefault="00F0301B" w:rsidP="006C2D7A">
      <w:pPr>
        <w:spacing w:before="120" w:after="120" w:line="276" w:lineRule="auto"/>
        <w:jc w:val="both"/>
        <w:textAlignment w:val="baseline"/>
        <w:rPr>
          <w:rFonts w:ascii="Arial" w:eastAsia="Times New Roman" w:hAnsi="Arial" w:cs="Arial"/>
          <w:color w:val="000000"/>
          <w:sz w:val="22"/>
          <w:szCs w:val="22"/>
          <w:lang w:eastAsia="en-AU"/>
        </w:rPr>
      </w:pPr>
      <w:r w:rsidRPr="00F0301B">
        <w:rPr>
          <w:rFonts w:ascii="Arial" w:eastAsia="Times New Roman" w:hAnsi="Arial" w:cs="Arial"/>
          <w:color w:val="000000"/>
          <w:sz w:val="22"/>
          <w:szCs w:val="22"/>
          <w:lang w:eastAsia="en-AU"/>
        </w:rPr>
        <w:t xml:space="preserve">Prescribers are encouraged to prescribe only the quantities and repeats that are suitable for the patient’s clinical needs (including during medication initiation) until their next review. </w:t>
      </w:r>
    </w:p>
    <w:p w14:paraId="77769C79" w14:textId="77777777" w:rsidR="00CE0E52" w:rsidRPr="004864F4" w:rsidRDefault="00CE0E52" w:rsidP="006C2D7A">
      <w:pPr>
        <w:spacing w:before="120" w:after="120" w:line="276" w:lineRule="auto"/>
        <w:jc w:val="both"/>
        <w:textAlignment w:val="baseline"/>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P</w:t>
      </w:r>
      <w:r w:rsidRPr="004864F4">
        <w:rPr>
          <w:rFonts w:ascii="Arial" w:eastAsia="Times New Roman" w:hAnsi="Arial" w:cs="Arial"/>
          <w:color w:val="000000"/>
          <w:sz w:val="22"/>
          <w:szCs w:val="22"/>
          <w:lang w:eastAsia="en-AU"/>
        </w:rPr>
        <w:t>atient</w:t>
      </w:r>
      <w:r>
        <w:rPr>
          <w:rFonts w:ascii="Arial" w:eastAsia="Times New Roman" w:hAnsi="Arial" w:cs="Arial"/>
          <w:color w:val="000000"/>
          <w:sz w:val="22"/>
          <w:szCs w:val="22"/>
          <w:lang w:eastAsia="en-AU"/>
        </w:rPr>
        <w:t>s</w:t>
      </w:r>
      <w:r w:rsidRPr="004864F4">
        <w:rPr>
          <w:rFonts w:ascii="Arial" w:eastAsia="Times New Roman" w:hAnsi="Arial" w:cs="Arial"/>
          <w:color w:val="000000"/>
          <w:sz w:val="22"/>
          <w:szCs w:val="22"/>
          <w:lang w:eastAsia="en-AU"/>
        </w:rPr>
        <w:t xml:space="preserve"> will </w:t>
      </w:r>
      <w:r>
        <w:rPr>
          <w:rFonts w:ascii="Arial" w:eastAsia="Times New Roman" w:hAnsi="Arial" w:cs="Arial"/>
          <w:color w:val="000000"/>
          <w:sz w:val="22"/>
          <w:szCs w:val="22"/>
          <w:lang w:eastAsia="en-AU"/>
        </w:rPr>
        <w:t>continue to</w:t>
      </w:r>
      <w:r w:rsidRPr="004864F4">
        <w:rPr>
          <w:rFonts w:ascii="Arial" w:eastAsia="Times New Roman" w:hAnsi="Arial" w:cs="Arial"/>
          <w:color w:val="000000"/>
          <w:sz w:val="22"/>
          <w:szCs w:val="22"/>
          <w:lang w:eastAsia="en-AU"/>
        </w:rPr>
        <w:t xml:space="preserve"> be dosed</w:t>
      </w:r>
      <w:r>
        <w:rPr>
          <w:rFonts w:ascii="Arial" w:eastAsia="Times New Roman" w:hAnsi="Arial" w:cs="Arial"/>
          <w:color w:val="000000"/>
          <w:sz w:val="22"/>
          <w:szCs w:val="22"/>
          <w:lang w:eastAsia="en-AU"/>
        </w:rPr>
        <w:t xml:space="preserve"> by their pharmacy</w:t>
      </w:r>
      <w:r w:rsidRPr="004864F4">
        <w:rPr>
          <w:rFonts w:ascii="Arial" w:eastAsia="Times New Roman" w:hAnsi="Arial" w:cs="Arial"/>
          <w:color w:val="000000"/>
          <w:sz w:val="22"/>
          <w:szCs w:val="22"/>
          <w:lang w:eastAsia="en-AU"/>
        </w:rPr>
        <w:t xml:space="preserve"> according to the dosing schedule </w:t>
      </w:r>
      <w:r>
        <w:rPr>
          <w:rFonts w:ascii="Arial" w:eastAsia="Times New Roman" w:hAnsi="Arial" w:cs="Arial"/>
          <w:color w:val="000000"/>
          <w:sz w:val="22"/>
          <w:szCs w:val="22"/>
          <w:lang w:eastAsia="en-AU"/>
        </w:rPr>
        <w:t>provided</w:t>
      </w:r>
      <w:r w:rsidRPr="004864F4">
        <w:rPr>
          <w:rFonts w:ascii="Arial" w:eastAsia="Times New Roman" w:hAnsi="Arial" w:cs="Arial"/>
          <w:color w:val="000000"/>
          <w:sz w:val="22"/>
          <w:szCs w:val="22"/>
          <w:lang w:eastAsia="en-AU"/>
        </w:rPr>
        <w:t>. </w:t>
      </w:r>
      <w:r>
        <w:rPr>
          <w:rFonts w:ascii="Arial" w:eastAsia="Times New Roman" w:hAnsi="Arial" w:cs="Arial"/>
          <w:color w:val="000000"/>
          <w:sz w:val="22"/>
          <w:szCs w:val="22"/>
          <w:lang w:eastAsia="en-AU"/>
        </w:rPr>
        <w:t xml:space="preserve">Dosing will continue to be </w:t>
      </w:r>
      <w:r w:rsidRPr="004864F4">
        <w:rPr>
          <w:rFonts w:ascii="Arial" w:eastAsia="Times New Roman" w:hAnsi="Arial" w:cs="Arial"/>
          <w:color w:val="000000"/>
          <w:sz w:val="22"/>
          <w:szCs w:val="22"/>
          <w:lang w:eastAsia="en-AU"/>
        </w:rPr>
        <w:t>recorded as per current practice</w:t>
      </w:r>
      <w:r>
        <w:rPr>
          <w:rFonts w:ascii="Arial" w:eastAsia="Times New Roman" w:hAnsi="Arial" w:cs="Arial"/>
          <w:color w:val="000000"/>
          <w:sz w:val="22"/>
          <w:szCs w:val="22"/>
          <w:lang w:eastAsia="en-AU"/>
        </w:rPr>
        <w:t xml:space="preserve"> according to state and territory requirements</w:t>
      </w:r>
      <w:r w:rsidRPr="004864F4">
        <w:rPr>
          <w:rFonts w:ascii="Arial" w:eastAsia="Times New Roman" w:hAnsi="Arial" w:cs="Arial"/>
          <w:color w:val="000000"/>
          <w:sz w:val="22"/>
          <w:szCs w:val="22"/>
          <w:lang w:eastAsia="en-AU"/>
        </w:rPr>
        <w:t>. </w:t>
      </w:r>
    </w:p>
    <w:p w14:paraId="608F49F4" w14:textId="7248A9E4" w:rsidR="00CE0E52" w:rsidRPr="00CE0E52" w:rsidRDefault="00CE0E52" w:rsidP="006C2D7A">
      <w:pPr>
        <w:spacing w:before="120" w:after="120" w:line="276" w:lineRule="auto"/>
        <w:jc w:val="both"/>
        <w:textAlignment w:val="baseline"/>
        <w:rPr>
          <w:rFonts w:ascii="Arial" w:eastAsia="Times New Roman" w:hAnsi="Arial" w:cs="Arial"/>
          <w:color w:val="000000"/>
          <w:sz w:val="22"/>
          <w:szCs w:val="22"/>
          <w:lang w:eastAsia="en-AU"/>
        </w:rPr>
      </w:pPr>
      <w:r w:rsidRPr="00CE0E52">
        <w:rPr>
          <w:rFonts w:ascii="Arial" w:eastAsia="Times New Roman" w:hAnsi="Arial" w:cs="Arial"/>
          <w:color w:val="000000"/>
          <w:sz w:val="22"/>
          <w:szCs w:val="22"/>
          <w:lang w:eastAsia="en-AU"/>
        </w:rPr>
        <w:t>Additional clinical instructions can be provided separate to the PBS prescription (which provides a total supply quantity</w:t>
      </w:r>
      <w:r>
        <w:rPr>
          <w:rFonts w:ascii="Arial" w:eastAsia="Times New Roman" w:hAnsi="Arial" w:cs="Arial"/>
          <w:color w:val="000000"/>
          <w:sz w:val="22"/>
          <w:szCs w:val="22"/>
          <w:lang w:eastAsia="en-AU"/>
        </w:rPr>
        <w:t xml:space="preserve"> for the medication</w:t>
      </w:r>
      <w:r w:rsidRPr="00CE0E52">
        <w:rPr>
          <w:rFonts w:ascii="Arial" w:eastAsia="Times New Roman" w:hAnsi="Arial" w:cs="Arial"/>
          <w:color w:val="000000"/>
          <w:sz w:val="22"/>
          <w:szCs w:val="22"/>
          <w:lang w:eastAsia="en-AU"/>
        </w:rPr>
        <w:t xml:space="preserve">). In line with state and territory ODT program requirements, prescribers are encouraged to continue to provide clear daily dosing instructions </w:t>
      </w:r>
      <w:r w:rsidRPr="00CE0E52">
        <w:rPr>
          <w:rFonts w:ascii="Arial" w:eastAsia="Times New Roman" w:hAnsi="Arial" w:cs="Arial"/>
          <w:color w:val="000000"/>
          <w:sz w:val="22"/>
          <w:szCs w:val="22"/>
          <w:u w:val="single"/>
          <w:lang w:eastAsia="en-AU"/>
        </w:rPr>
        <w:t>including dose variations and take away arrangements to the PBS approved supplier,</w:t>
      </w:r>
      <w:r w:rsidRPr="00CE0E52">
        <w:rPr>
          <w:rFonts w:ascii="Arial" w:eastAsia="Times New Roman" w:hAnsi="Arial" w:cs="Arial"/>
          <w:color w:val="000000"/>
          <w:sz w:val="22"/>
          <w:szCs w:val="22"/>
          <w:lang w:eastAsia="en-AU"/>
        </w:rPr>
        <w:t xml:space="preserve"> to support the dose administration (staged supply)</w:t>
      </w:r>
      <w:r>
        <w:rPr>
          <w:rFonts w:ascii="Arial" w:eastAsia="Times New Roman" w:hAnsi="Arial" w:cs="Arial"/>
          <w:color w:val="000000"/>
          <w:sz w:val="22"/>
          <w:szCs w:val="22"/>
          <w:lang w:eastAsia="en-AU"/>
        </w:rPr>
        <w:t xml:space="preserve"> </w:t>
      </w:r>
      <w:r w:rsidRPr="00CE0E52">
        <w:rPr>
          <w:rFonts w:ascii="Arial" w:eastAsia="Times New Roman" w:hAnsi="Arial" w:cs="Arial"/>
          <w:color w:val="000000"/>
          <w:sz w:val="22"/>
          <w:szCs w:val="22"/>
          <w:lang w:eastAsia="en-AU"/>
        </w:rPr>
        <w:t xml:space="preserve">of these medicines to patients. </w:t>
      </w:r>
    </w:p>
    <w:p w14:paraId="14857D08" w14:textId="43816568" w:rsidR="00CE0E52" w:rsidRDefault="00CE0E52" w:rsidP="006C2D7A">
      <w:pPr>
        <w:pStyle w:val="ListParagraph"/>
        <w:numPr>
          <w:ilvl w:val="0"/>
          <w:numId w:val="12"/>
        </w:numPr>
        <w:spacing w:before="120" w:after="120" w:line="276" w:lineRule="auto"/>
        <w:ind w:left="714" w:hanging="357"/>
        <w:contextualSpacing w:val="0"/>
        <w:jc w:val="both"/>
        <w:textAlignment w:val="baseline"/>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i</w:t>
      </w:r>
      <w:r w:rsidRPr="00CE0E52">
        <w:rPr>
          <w:rFonts w:ascii="Arial" w:eastAsia="Times New Roman" w:hAnsi="Arial" w:cs="Arial"/>
          <w:color w:val="000000"/>
          <w:sz w:val="22"/>
          <w:szCs w:val="22"/>
          <w:lang w:eastAsia="en-AU"/>
        </w:rPr>
        <w:t xml:space="preserve">f the patient is on a variable dose where the dose may increase according to a specific regimen, the quantity on the </w:t>
      </w:r>
      <w:r w:rsidR="00961B3E">
        <w:rPr>
          <w:rFonts w:ascii="Arial" w:eastAsia="Times New Roman" w:hAnsi="Arial" w:cs="Arial"/>
          <w:color w:val="000000"/>
          <w:sz w:val="22"/>
          <w:szCs w:val="22"/>
          <w:lang w:eastAsia="en-AU"/>
        </w:rPr>
        <w:t xml:space="preserve">PBS </w:t>
      </w:r>
      <w:r w:rsidRPr="00CE0E52">
        <w:rPr>
          <w:rFonts w:ascii="Arial" w:eastAsia="Times New Roman" w:hAnsi="Arial" w:cs="Arial"/>
          <w:color w:val="000000"/>
          <w:sz w:val="22"/>
          <w:szCs w:val="22"/>
          <w:lang w:eastAsia="en-AU"/>
        </w:rPr>
        <w:t>prescription should be the sum of the variable doses each day up to 28 days</w:t>
      </w:r>
    </w:p>
    <w:p w14:paraId="1F8AFB6D" w14:textId="27E22471" w:rsidR="00CE0E52" w:rsidRDefault="00CE0E52" w:rsidP="006C2D7A">
      <w:pPr>
        <w:pStyle w:val="ListParagraph"/>
        <w:numPr>
          <w:ilvl w:val="0"/>
          <w:numId w:val="12"/>
        </w:numPr>
        <w:spacing w:before="120" w:after="120" w:line="276" w:lineRule="auto"/>
        <w:ind w:left="714" w:hanging="357"/>
        <w:contextualSpacing w:val="0"/>
        <w:jc w:val="both"/>
        <w:textAlignment w:val="baseline"/>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i</w:t>
      </w:r>
      <w:r w:rsidRPr="00CE0E52">
        <w:rPr>
          <w:rFonts w:ascii="Arial" w:eastAsia="Times New Roman" w:hAnsi="Arial" w:cs="Arial"/>
          <w:color w:val="000000"/>
          <w:sz w:val="22"/>
          <w:szCs w:val="22"/>
          <w:lang w:eastAsia="en-AU"/>
        </w:rPr>
        <w:t xml:space="preserve">f the patient is dosed within a range each day, the quantity on the </w:t>
      </w:r>
      <w:r w:rsidR="00961B3E">
        <w:rPr>
          <w:rFonts w:ascii="Arial" w:eastAsia="Times New Roman" w:hAnsi="Arial" w:cs="Arial"/>
          <w:color w:val="000000"/>
          <w:sz w:val="22"/>
          <w:szCs w:val="22"/>
          <w:lang w:eastAsia="en-AU"/>
        </w:rPr>
        <w:t xml:space="preserve">PBS </w:t>
      </w:r>
      <w:r w:rsidRPr="00CE0E52">
        <w:rPr>
          <w:rFonts w:ascii="Arial" w:eastAsia="Times New Roman" w:hAnsi="Arial" w:cs="Arial"/>
          <w:color w:val="000000"/>
          <w:sz w:val="22"/>
          <w:szCs w:val="22"/>
          <w:lang w:eastAsia="en-AU"/>
        </w:rPr>
        <w:t xml:space="preserve">prescription should be calculated according to the maximum dose in the range per day (multiplied by up to 28 days). This will ensure the prescription covers a sufficient quantity </w:t>
      </w:r>
      <w:r>
        <w:rPr>
          <w:rFonts w:ascii="Arial" w:eastAsia="Times New Roman" w:hAnsi="Arial" w:cs="Arial"/>
          <w:color w:val="000000"/>
          <w:sz w:val="22"/>
          <w:szCs w:val="22"/>
          <w:lang w:eastAsia="en-AU"/>
        </w:rPr>
        <w:t>should</w:t>
      </w:r>
      <w:r w:rsidRPr="00CE0E52">
        <w:rPr>
          <w:rFonts w:ascii="Arial" w:eastAsia="Times New Roman" w:hAnsi="Arial" w:cs="Arial"/>
          <w:color w:val="000000"/>
          <w:sz w:val="22"/>
          <w:szCs w:val="22"/>
          <w:lang w:eastAsia="en-AU"/>
        </w:rPr>
        <w:t xml:space="preserve"> the patient receive the maximum dose each day</w:t>
      </w:r>
    </w:p>
    <w:p w14:paraId="21C7886C" w14:textId="12777ECC" w:rsidR="00CE0E52" w:rsidRPr="00CE0E52" w:rsidRDefault="00CE0E52" w:rsidP="006C2D7A">
      <w:pPr>
        <w:pStyle w:val="ListParagraph"/>
        <w:numPr>
          <w:ilvl w:val="0"/>
          <w:numId w:val="12"/>
        </w:numPr>
        <w:spacing w:before="120" w:after="120" w:line="276" w:lineRule="auto"/>
        <w:jc w:val="both"/>
        <w:textAlignment w:val="baseline"/>
        <w:rPr>
          <w:rFonts w:ascii="Arial" w:eastAsia="Times New Roman" w:hAnsi="Arial" w:cs="Arial"/>
          <w:color w:val="000000"/>
          <w:sz w:val="22"/>
          <w:szCs w:val="22"/>
          <w:lang w:eastAsia="en-AU"/>
        </w:rPr>
      </w:pPr>
      <w:r>
        <w:rPr>
          <w:rFonts w:ascii="Arial" w:eastAsia="Times New Roman" w:hAnsi="Arial" w:cs="Arial"/>
          <w:color w:val="000000"/>
          <w:sz w:val="22"/>
          <w:szCs w:val="22"/>
          <w:lang w:eastAsia="en-AU"/>
        </w:rPr>
        <w:t>i</w:t>
      </w:r>
      <w:r w:rsidRPr="00CE0E52">
        <w:rPr>
          <w:rFonts w:ascii="Arial" w:eastAsia="Times New Roman" w:hAnsi="Arial" w:cs="Arial"/>
          <w:color w:val="000000"/>
          <w:sz w:val="22"/>
          <w:szCs w:val="22"/>
          <w:lang w:eastAsia="en-AU"/>
        </w:rPr>
        <w:t xml:space="preserve">f the patient has missed </w:t>
      </w:r>
      <w:r w:rsidR="006C2D7A">
        <w:rPr>
          <w:rFonts w:ascii="Arial" w:eastAsia="Times New Roman" w:hAnsi="Arial" w:cs="Arial"/>
          <w:color w:val="000000"/>
          <w:sz w:val="22"/>
          <w:szCs w:val="22"/>
          <w:lang w:eastAsia="en-AU"/>
        </w:rPr>
        <w:t xml:space="preserve">a </w:t>
      </w:r>
      <w:r w:rsidRPr="00CE0E52">
        <w:rPr>
          <w:rFonts w:ascii="Arial" w:eastAsia="Times New Roman" w:hAnsi="Arial" w:cs="Arial"/>
          <w:color w:val="000000"/>
          <w:sz w:val="22"/>
          <w:szCs w:val="22"/>
          <w:lang w:eastAsia="en-AU"/>
        </w:rPr>
        <w:t>dose</w:t>
      </w:r>
      <w:r>
        <w:rPr>
          <w:rFonts w:ascii="Arial" w:eastAsia="Times New Roman" w:hAnsi="Arial" w:cs="Arial"/>
          <w:color w:val="000000"/>
          <w:sz w:val="22"/>
          <w:szCs w:val="22"/>
          <w:lang w:eastAsia="en-AU"/>
        </w:rPr>
        <w:t>/</w:t>
      </w:r>
      <w:r w:rsidRPr="00CE0E52">
        <w:rPr>
          <w:rFonts w:ascii="Arial" w:eastAsia="Times New Roman" w:hAnsi="Arial" w:cs="Arial"/>
          <w:color w:val="000000"/>
          <w:sz w:val="22"/>
          <w:szCs w:val="22"/>
          <w:lang w:eastAsia="en-AU"/>
        </w:rPr>
        <w:t xml:space="preserve">s and they are prescribed a new dose, updated clinical </w:t>
      </w:r>
      <w:r>
        <w:rPr>
          <w:rFonts w:ascii="Arial" w:eastAsia="Times New Roman" w:hAnsi="Arial" w:cs="Arial"/>
          <w:color w:val="000000"/>
          <w:sz w:val="22"/>
          <w:szCs w:val="22"/>
          <w:lang w:eastAsia="en-AU"/>
        </w:rPr>
        <w:t>directions</w:t>
      </w:r>
      <w:r w:rsidRPr="00CE0E52">
        <w:rPr>
          <w:rFonts w:ascii="Arial" w:eastAsia="Times New Roman" w:hAnsi="Arial" w:cs="Arial"/>
          <w:color w:val="000000"/>
          <w:sz w:val="22"/>
          <w:szCs w:val="22"/>
          <w:lang w:eastAsia="en-AU"/>
        </w:rPr>
        <w:t xml:space="preserve"> can be provided to the treating pharmacy. The quantity of medicine dispensed under the PBS prescription can continue to be used until a new PBS prescription is required. </w:t>
      </w:r>
    </w:p>
    <w:p w14:paraId="6F275EAC" w14:textId="77777777" w:rsidR="00CE0E52" w:rsidRDefault="00CE0E52" w:rsidP="006C2D7A">
      <w:pPr>
        <w:spacing w:before="120" w:after="120" w:line="276" w:lineRule="auto"/>
        <w:jc w:val="both"/>
        <w:textAlignment w:val="baseline"/>
        <w:rPr>
          <w:rFonts w:ascii="Arial" w:eastAsia="Times New Roman" w:hAnsi="Arial" w:cs="Arial"/>
          <w:color w:val="000000"/>
          <w:sz w:val="22"/>
          <w:szCs w:val="22"/>
          <w:lang w:eastAsia="en-AU"/>
        </w:rPr>
      </w:pPr>
      <w:r w:rsidRPr="004864F4">
        <w:rPr>
          <w:rFonts w:ascii="Arial" w:eastAsia="Times New Roman" w:hAnsi="Arial" w:cs="Arial"/>
          <w:color w:val="000000"/>
          <w:sz w:val="22"/>
          <w:szCs w:val="22"/>
          <w:lang w:eastAsia="en-AU"/>
        </w:rPr>
        <w:t xml:space="preserve">Please </w:t>
      </w:r>
      <w:r>
        <w:rPr>
          <w:rFonts w:ascii="Arial" w:eastAsia="Times New Roman" w:hAnsi="Arial" w:cs="Arial"/>
          <w:color w:val="000000"/>
          <w:sz w:val="22"/>
          <w:szCs w:val="22"/>
          <w:lang w:eastAsia="en-AU"/>
        </w:rPr>
        <w:t>communicate/confirm any dose variations with</w:t>
      </w:r>
      <w:r w:rsidRPr="004864F4">
        <w:rPr>
          <w:rFonts w:ascii="Arial" w:eastAsia="Times New Roman" w:hAnsi="Arial" w:cs="Arial"/>
          <w:color w:val="000000"/>
          <w:sz w:val="22"/>
          <w:szCs w:val="22"/>
          <w:lang w:eastAsia="en-AU"/>
        </w:rPr>
        <w:t xml:space="preserve"> the patient’s </w:t>
      </w:r>
      <w:r>
        <w:rPr>
          <w:rFonts w:ascii="Arial" w:eastAsia="Times New Roman" w:hAnsi="Arial" w:cs="Arial"/>
          <w:color w:val="000000"/>
          <w:sz w:val="22"/>
          <w:szCs w:val="22"/>
          <w:lang w:eastAsia="en-AU"/>
        </w:rPr>
        <w:t xml:space="preserve">treating </w:t>
      </w:r>
      <w:r w:rsidRPr="004864F4">
        <w:rPr>
          <w:rFonts w:ascii="Arial" w:eastAsia="Times New Roman" w:hAnsi="Arial" w:cs="Arial"/>
          <w:color w:val="000000"/>
          <w:sz w:val="22"/>
          <w:szCs w:val="22"/>
          <w:lang w:eastAsia="en-AU"/>
        </w:rPr>
        <w:t xml:space="preserve">pharmacy </w:t>
      </w:r>
      <w:r>
        <w:rPr>
          <w:rFonts w:ascii="Arial" w:eastAsia="Times New Roman" w:hAnsi="Arial" w:cs="Arial"/>
          <w:color w:val="000000"/>
          <w:sz w:val="22"/>
          <w:szCs w:val="22"/>
          <w:lang w:eastAsia="en-AU"/>
        </w:rPr>
        <w:t xml:space="preserve">per current practice. </w:t>
      </w:r>
    </w:p>
    <w:p w14:paraId="64AAF7E8" w14:textId="49972300" w:rsidR="00CE0E52" w:rsidRDefault="00CE0E52" w:rsidP="006C2D7A">
      <w:pPr>
        <w:spacing w:before="120" w:after="120" w:line="276" w:lineRule="auto"/>
        <w:jc w:val="both"/>
        <w:textAlignment w:val="baseline"/>
        <w:rPr>
          <w:rFonts w:ascii="Arial" w:eastAsia="Times New Roman" w:hAnsi="Arial" w:cs="Arial"/>
          <w:color w:val="000000"/>
          <w:sz w:val="22"/>
          <w:szCs w:val="22"/>
          <w:lang w:eastAsia="en-AU"/>
        </w:rPr>
      </w:pPr>
      <w:r w:rsidRPr="006C2D7A">
        <w:rPr>
          <w:rFonts w:ascii="Arial" w:eastAsia="Times New Roman" w:hAnsi="Arial" w:cs="Arial"/>
          <w:b/>
          <w:bCs/>
          <w:color w:val="000000"/>
          <w:sz w:val="22"/>
          <w:szCs w:val="22"/>
          <w:lang w:eastAsia="en-AU"/>
        </w:rPr>
        <w:t>Note</w:t>
      </w:r>
      <w:r>
        <w:rPr>
          <w:rFonts w:ascii="Arial" w:eastAsia="Times New Roman" w:hAnsi="Arial" w:cs="Arial"/>
          <w:color w:val="000000"/>
          <w:sz w:val="22"/>
          <w:szCs w:val="22"/>
          <w:lang w:eastAsia="en-AU"/>
        </w:rPr>
        <w:t xml:space="preserve">: a new PBS prescription will be required if the strength of the medicine changes or if a </w:t>
      </w:r>
      <w:r w:rsidR="00961B3E">
        <w:rPr>
          <w:rFonts w:ascii="Arial" w:eastAsia="Times New Roman" w:hAnsi="Arial" w:cs="Arial"/>
          <w:color w:val="000000"/>
          <w:sz w:val="22"/>
          <w:szCs w:val="22"/>
          <w:lang w:eastAsia="en-AU"/>
        </w:rPr>
        <w:t>different/</w:t>
      </w:r>
      <w:r>
        <w:rPr>
          <w:rFonts w:ascii="Arial" w:eastAsia="Times New Roman" w:hAnsi="Arial" w:cs="Arial"/>
          <w:color w:val="000000"/>
          <w:sz w:val="22"/>
          <w:szCs w:val="22"/>
          <w:lang w:eastAsia="en-AU"/>
        </w:rPr>
        <w:t xml:space="preserve">new ODT medication is prescribed. </w:t>
      </w:r>
    </w:p>
    <w:p w14:paraId="33D6634F" w14:textId="4DA2C0D3" w:rsidR="002E34E7" w:rsidRPr="002E34E7" w:rsidRDefault="002E34E7" w:rsidP="002E34E7">
      <w:pPr>
        <w:pStyle w:val="TableHeader"/>
        <w:spacing w:before="240" w:after="120"/>
        <w:rPr>
          <w:rFonts w:eastAsia="Times New Roman" w:cs="Arial"/>
          <w:b w:val="0"/>
          <w:bCs/>
          <w:color w:val="358189"/>
          <w:sz w:val="28"/>
          <w:szCs w:val="28"/>
          <w:lang w:eastAsia="en-AU"/>
        </w:rPr>
      </w:pPr>
      <w:r w:rsidRPr="002E34E7">
        <w:rPr>
          <w:rFonts w:eastAsia="Times New Roman" w:cs="Arial"/>
          <w:bCs/>
          <w:color w:val="358189"/>
        </w:rPr>
        <w:t xml:space="preserve">Prescribing and </w:t>
      </w:r>
      <w:r w:rsidR="005C0025">
        <w:rPr>
          <w:rFonts w:eastAsia="Times New Roman" w:cs="Arial"/>
          <w:bCs/>
          <w:color w:val="358189"/>
        </w:rPr>
        <w:t>administering</w:t>
      </w:r>
      <w:r w:rsidRPr="002E34E7">
        <w:rPr>
          <w:rFonts w:eastAsia="Times New Roman" w:cs="Arial"/>
          <w:bCs/>
          <w:color w:val="358189"/>
        </w:rPr>
        <w:t xml:space="preserve"> </w:t>
      </w:r>
      <w:r w:rsidR="005F1653">
        <w:rPr>
          <w:rFonts w:eastAsia="Times New Roman" w:cs="Arial"/>
          <w:bCs/>
          <w:color w:val="358189"/>
        </w:rPr>
        <w:t xml:space="preserve">long-acting </w:t>
      </w:r>
      <w:r w:rsidR="005C0025">
        <w:rPr>
          <w:rFonts w:eastAsia="Times New Roman" w:cs="Arial"/>
          <w:bCs/>
          <w:color w:val="358189"/>
        </w:rPr>
        <w:t xml:space="preserve">injectable </w:t>
      </w:r>
      <w:r w:rsidRPr="002E34E7">
        <w:rPr>
          <w:rFonts w:eastAsia="Times New Roman" w:cs="Arial"/>
          <w:bCs/>
          <w:color w:val="358189"/>
        </w:rPr>
        <w:t xml:space="preserve">buprenorphine in </w:t>
      </w:r>
      <w:r w:rsidR="000051E6">
        <w:rPr>
          <w:rFonts w:eastAsia="Times New Roman" w:cs="Arial"/>
          <w:bCs/>
          <w:color w:val="358189"/>
        </w:rPr>
        <w:t xml:space="preserve">clinics including </w:t>
      </w:r>
      <w:r w:rsidR="005C0025">
        <w:rPr>
          <w:rFonts w:eastAsia="Times New Roman" w:cs="Arial"/>
          <w:bCs/>
          <w:color w:val="358189"/>
        </w:rPr>
        <w:t>GP practice</w:t>
      </w:r>
      <w:r w:rsidR="000051E6">
        <w:rPr>
          <w:rFonts w:eastAsia="Times New Roman" w:cs="Arial"/>
          <w:bCs/>
          <w:color w:val="358189"/>
        </w:rPr>
        <w:t xml:space="preserve">s and medical </w:t>
      </w:r>
      <w:r w:rsidR="000051E6" w:rsidRPr="000051E6">
        <w:rPr>
          <w:rFonts w:eastAsia="Times New Roman" w:cs="Arial"/>
          <w:bCs/>
          <w:color w:val="358189"/>
          <w:lang w:val="en-AU"/>
        </w:rPr>
        <w:t>centres</w:t>
      </w:r>
      <w:r w:rsidR="005C0025">
        <w:rPr>
          <w:rFonts w:eastAsia="Times New Roman" w:cs="Arial"/>
          <w:bCs/>
          <w:color w:val="358189"/>
        </w:rPr>
        <w:t xml:space="preserve"> </w:t>
      </w:r>
    </w:p>
    <w:p w14:paraId="021874E9" w14:textId="3F84B6F1" w:rsidR="005C0025" w:rsidRPr="00353D45" w:rsidRDefault="000051E6" w:rsidP="006C2D7A">
      <w:pPr>
        <w:pStyle w:val="ListBullet"/>
        <w:jc w:val="both"/>
      </w:pPr>
      <w:r>
        <w:rPr>
          <w:szCs w:val="22"/>
        </w:rPr>
        <w:t>C</w:t>
      </w:r>
      <w:r w:rsidR="005C0025" w:rsidRPr="00CC7B8F">
        <w:rPr>
          <w:szCs w:val="22"/>
        </w:rPr>
        <w:t xml:space="preserve">linics </w:t>
      </w:r>
      <w:r w:rsidR="005C0025">
        <w:rPr>
          <w:szCs w:val="22"/>
        </w:rPr>
        <w:t>can</w:t>
      </w:r>
      <w:r w:rsidR="005C0025" w:rsidRPr="00CC7B8F">
        <w:rPr>
          <w:szCs w:val="22"/>
        </w:rPr>
        <w:t xml:space="preserve"> continue to offer treatment</w:t>
      </w:r>
      <w:r w:rsidR="00BE1B56">
        <w:rPr>
          <w:szCs w:val="22"/>
        </w:rPr>
        <w:t>,</w:t>
      </w:r>
      <w:r w:rsidR="005C0025" w:rsidRPr="00CC7B8F">
        <w:rPr>
          <w:szCs w:val="22"/>
        </w:rPr>
        <w:t xml:space="preserve"> including with long-acting injectable buprenorphine</w:t>
      </w:r>
      <w:r w:rsidR="00BE1B56">
        <w:rPr>
          <w:szCs w:val="22"/>
        </w:rPr>
        <w:t>,</w:t>
      </w:r>
      <w:r w:rsidR="005C0025">
        <w:rPr>
          <w:szCs w:val="22"/>
        </w:rPr>
        <w:t xml:space="preserve"> </w:t>
      </w:r>
      <w:r w:rsidR="005C0025" w:rsidRPr="00CC7B8F">
        <w:rPr>
          <w:szCs w:val="22"/>
        </w:rPr>
        <w:t xml:space="preserve">by obtaining supplies </w:t>
      </w:r>
      <w:r w:rsidR="005C0025" w:rsidRPr="00353D45">
        <w:rPr>
          <w:szCs w:val="22"/>
        </w:rPr>
        <w:t xml:space="preserve">dispensed by PBS approved pharmacies. </w:t>
      </w:r>
    </w:p>
    <w:p w14:paraId="7F49CC62" w14:textId="6147B4DA" w:rsidR="005C0025" w:rsidRPr="00353D45" w:rsidRDefault="005C0025" w:rsidP="006C2D7A">
      <w:pPr>
        <w:pStyle w:val="ListBullet"/>
        <w:jc w:val="both"/>
        <w:rPr>
          <w:szCs w:val="22"/>
        </w:rPr>
      </w:pPr>
      <w:r w:rsidRPr="00353D45">
        <w:rPr>
          <w:szCs w:val="22"/>
        </w:rPr>
        <w:t>All existing clinics</w:t>
      </w:r>
      <w:r w:rsidR="0052589B" w:rsidRPr="00353D45">
        <w:rPr>
          <w:szCs w:val="22"/>
        </w:rPr>
        <w:t xml:space="preserve"> which currently treat and provide clinical services to patients, including services rebated under the Medicare Benefits Schedule, can continue to do so.</w:t>
      </w:r>
      <w:r w:rsidRPr="00353D45">
        <w:rPr>
          <w:szCs w:val="22"/>
        </w:rPr>
        <w:t xml:space="preserve"> </w:t>
      </w:r>
      <w:r w:rsidR="00B465C0" w:rsidRPr="00353D45">
        <w:rPr>
          <w:szCs w:val="22"/>
        </w:rPr>
        <w:t>PBS prescribers</w:t>
      </w:r>
      <w:r w:rsidRPr="00353D45">
        <w:rPr>
          <w:szCs w:val="22"/>
        </w:rPr>
        <w:t xml:space="preserve"> will be able to prescribe ODT medicines, but they will not be able to dispense </w:t>
      </w:r>
      <w:r w:rsidRPr="00353D45">
        <w:rPr>
          <w:szCs w:val="22"/>
        </w:rPr>
        <w:lastRenderedPageBreak/>
        <w:t xml:space="preserve">medicines under the PBS Section 100 HSD Program. Under the </w:t>
      </w:r>
      <w:r w:rsidRPr="00353D45">
        <w:rPr>
          <w:i/>
          <w:iCs/>
          <w:szCs w:val="22"/>
        </w:rPr>
        <w:t>National Health Act 1953</w:t>
      </w:r>
      <w:r w:rsidRPr="00353D45">
        <w:rPr>
          <w:szCs w:val="22"/>
        </w:rPr>
        <w:t xml:space="preserve">, only approved pharmacies can dispense PBS medicines. </w:t>
      </w:r>
    </w:p>
    <w:p w14:paraId="6FC69F87" w14:textId="4833DF1F" w:rsidR="00482566" w:rsidRPr="00353D45" w:rsidRDefault="00482566" w:rsidP="00482566">
      <w:pPr>
        <w:pStyle w:val="TableHeader"/>
        <w:spacing w:before="240" w:after="120"/>
        <w:rPr>
          <w:rFonts w:eastAsia="Times New Roman" w:cs="Arial"/>
          <w:bCs/>
          <w:color w:val="358189"/>
        </w:rPr>
      </w:pPr>
      <w:r w:rsidRPr="00353D45">
        <w:rPr>
          <w:rFonts w:eastAsia="Times New Roman" w:cs="Arial"/>
          <w:bCs/>
          <w:color w:val="358189"/>
        </w:rPr>
        <w:t xml:space="preserve">Transitional arrangements for supplies to </w:t>
      </w:r>
      <w:proofErr w:type="spellStart"/>
      <w:r w:rsidR="00136BA3" w:rsidRPr="00353D45">
        <w:rPr>
          <w:rFonts w:eastAsia="Times New Roman" w:cs="Arial"/>
          <w:bCs/>
          <w:color w:val="358189"/>
        </w:rPr>
        <w:t>authorised</w:t>
      </w:r>
      <w:proofErr w:type="spellEnd"/>
      <w:r w:rsidR="00136BA3" w:rsidRPr="00353D45">
        <w:rPr>
          <w:rFonts w:eastAsia="Times New Roman" w:cs="Arial"/>
          <w:bCs/>
          <w:color w:val="358189"/>
        </w:rPr>
        <w:t xml:space="preserve"> private </w:t>
      </w:r>
      <w:r w:rsidRPr="00353D45">
        <w:rPr>
          <w:rFonts w:eastAsia="Times New Roman" w:cs="Arial"/>
          <w:bCs/>
          <w:color w:val="358189"/>
        </w:rPr>
        <w:t>clinics and non-PBS approved dosing sites</w:t>
      </w:r>
    </w:p>
    <w:p w14:paraId="510BB400" w14:textId="7717CF1B" w:rsidR="00AD5169" w:rsidRDefault="00AD5169" w:rsidP="005C0025">
      <w:pPr>
        <w:pStyle w:val="ListBullet"/>
        <w:rPr>
          <w:szCs w:val="22"/>
        </w:rPr>
      </w:pPr>
      <w:bookmarkStart w:id="1" w:name="_Hlk170313310"/>
      <w:r>
        <w:rPr>
          <w:szCs w:val="22"/>
        </w:rPr>
        <w:t xml:space="preserve">The ODT transitional arrangements ended on 30 June 2024 and all Australian Government subsidised ODT medicines are supplied through the PBS. </w:t>
      </w:r>
    </w:p>
    <w:bookmarkEnd w:id="1"/>
    <w:p w14:paraId="5DDD1F0A" w14:textId="0E7E00B0" w:rsidR="005C0025" w:rsidRPr="00353D45" w:rsidRDefault="005C0025" w:rsidP="005C0025">
      <w:pPr>
        <w:pStyle w:val="ListBullet"/>
        <w:rPr>
          <w:szCs w:val="22"/>
        </w:rPr>
      </w:pPr>
    </w:p>
    <w:p w14:paraId="1FB07B9A" w14:textId="411C4070" w:rsidR="0024356A" w:rsidRDefault="0024356A">
      <w:pPr>
        <w:rPr>
          <w:rFonts w:ascii="Arial" w:eastAsia="Times New Roman" w:hAnsi="Arial" w:cs="Arial"/>
          <w:b/>
          <w:bCs/>
          <w:color w:val="000000"/>
          <w:sz w:val="22"/>
          <w:szCs w:val="22"/>
          <w:lang w:eastAsia="en-AU"/>
        </w:rPr>
      </w:pPr>
    </w:p>
    <w:p w14:paraId="5005E0EC" w14:textId="0DE527DC" w:rsidR="0032587F" w:rsidRDefault="0032587F" w:rsidP="00136BA3">
      <w:pPr>
        <w:pStyle w:val="Heading2"/>
        <w:spacing w:before="120" w:after="120"/>
        <w:rPr>
          <w:rFonts w:eastAsiaTheme="minorHAnsi"/>
          <w:b w:val="0"/>
          <w:bCs w:val="0"/>
          <w:color w:val="auto"/>
          <w:sz w:val="22"/>
          <w:szCs w:val="22"/>
        </w:rPr>
      </w:pPr>
    </w:p>
    <w:p w14:paraId="2A79D818" w14:textId="77777777" w:rsidR="00353D45" w:rsidRPr="00353D45" w:rsidRDefault="00353D45" w:rsidP="00353D45"/>
    <w:p w14:paraId="525BF8F9" w14:textId="77777777" w:rsidR="00353D45" w:rsidRPr="00353D45" w:rsidRDefault="00353D45" w:rsidP="00353D45"/>
    <w:p w14:paraId="06A7719D" w14:textId="77777777" w:rsidR="00353D45" w:rsidRPr="00353D45" w:rsidRDefault="00353D45" w:rsidP="00353D45"/>
    <w:p w14:paraId="7E57436E" w14:textId="77777777" w:rsidR="00353D45" w:rsidRPr="00353D45" w:rsidRDefault="00353D45" w:rsidP="00353D45"/>
    <w:p w14:paraId="72CF711F" w14:textId="77777777" w:rsidR="00353D45" w:rsidRDefault="00353D45" w:rsidP="00353D45">
      <w:pPr>
        <w:rPr>
          <w:rFonts w:ascii="Arial" w:hAnsi="Arial" w:cs="Arial"/>
          <w:iCs/>
          <w:sz w:val="22"/>
          <w:szCs w:val="22"/>
        </w:rPr>
      </w:pPr>
    </w:p>
    <w:p w14:paraId="266132DD" w14:textId="79E907D2" w:rsidR="00353D45" w:rsidRPr="00353D45" w:rsidRDefault="00353D45" w:rsidP="00353D45">
      <w:pPr>
        <w:tabs>
          <w:tab w:val="left" w:pos="5760"/>
        </w:tabs>
      </w:pPr>
      <w:r>
        <w:tab/>
      </w:r>
    </w:p>
    <w:sectPr w:rsidR="00353D45" w:rsidRPr="00353D45" w:rsidSect="00485D39">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3F19" w14:textId="77777777" w:rsidR="00DD6678" w:rsidRDefault="00DD6678" w:rsidP="00635669">
      <w:pPr>
        <w:spacing w:after="0" w:line="240" w:lineRule="auto"/>
      </w:pPr>
      <w:r>
        <w:separator/>
      </w:r>
    </w:p>
  </w:endnote>
  <w:endnote w:type="continuationSeparator" w:id="0">
    <w:p w14:paraId="20DB78BC" w14:textId="77777777" w:rsidR="00DD6678" w:rsidRDefault="00DD6678" w:rsidP="0063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D2CC" w14:textId="6C1DABDC" w:rsidR="00485D39" w:rsidRPr="00485D39" w:rsidRDefault="00F90C1D" w:rsidP="00485D39">
    <w:pPr>
      <w:tabs>
        <w:tab w:val="center" w:pos="0"/>
        <w:tab w:val="right" w:pos="9026"/>
      </w:tabs>
      <w:spacing w:after="0" w:line="240" w:lineRule="auto"/>
      <w:jc w:val="right"/>
      <w:rPr>
        <w:rFonts w:ascii="Arial" w:eastAsia="Times New Roman" w:hAnsi="Arial"/>
        <w:sz w:val="20"/>
      </w:rPr>
    </w:pPr>
    <w:r w:rsidRPr="00485D39">
      <w:rPr>
        <w:rFonts w:ascii="Arial" w:eastAsia="Times New Roman" w:hAnsi="Arial"/>
        <w:sz w:val="20"/>
      </w:rPr>
      <w:t xml:space="preserve">ODT </w:t>
    </w:r>
    <w:r w:rsidRPr="00353D45">
      <w:rPr>
        <w:rFonts w:ascii="Arial" w:eastAsia="Times New Roman" w:hAnsi="Arial"/>
        <w:sz w:val="20"/>
      </w:rPr>
      <w:t xml:space="preserve">Medicines - </w:t>
    </w:r>
    <w:r w:rsidR="00136BA3" w:rsidRPr="00353D45">
      <w:rPr>
        <w:rFonts w:ascii="Arial" w:eastAsia="Times New Roman" w:hAnsi="Arial"/>
        <w:sz w:val="20"/>
      </w:rPr>
      <w:t xml:space="preserve">Information </w:t>
    </w:r>
    <w:r w:rsidRPr="00353D45">
      <w:rPr>
        <w:rFonts w:ascii="Arial" w:eastAsia="Times New Roman" w:hAnsi="Arial"/>
        <w:sz w:val="20"/>
      </w:rPr>
      <w:t xml:space="preserve">for Prescribers – </w:t>
    </w:r>
    <w:r w:rsidR="00271494" w:rsidRPr="00353D45">
      <w:rPr>
        <w:rFonts w:ascii="Arial" w:eastAsia="Times New Roman" w:hAnsi="Arial"/>
        <w:sz w:val="20"/>
      </w:rPr>
      <w:t xml:space="preserve">updated </w:t>
    </w:r>
    <w:r w:rsidR="00C14DFB">
      <w:rPr>
        <w:rFonts w:ascii="Arial" w:eastAsia="Times New Roman" w:hAnsi="Arial"/>
        <w:sz w:val="20"/>
      </w:rPr>
      <w:t>July 2024</w:t>
    </w:r>
    <w:sdt>
      <w:sdtPr>
        <w:rPr>
          <w:rFonts w:ascii="Arial" w:eastAsia="Times New Roman" w:hAnsi="Arial"/>
          <w:sz w:val="20"/>
        </w:rPr>
        <w:id w:val="1039094254"/>
        <w:docPartObj>
          <w:docPartGallery w:val="Page Numbers (Bottom of Page)"/>
          <w:docPartUnique/>
        </w:docPartObj>
      </w:sdtPr>
      <w:sdtEndPr/>
      <w:sdtContent>
        <w:r w:rsidR="00485D39" w:rsidRPr="00353D45">
          <w:rPr>
            <w:rFonts w:ascii="Arial" w:eastAsia="Times New Roman" w:hAnsi="Arial"/>
            <w:sz w:val="20"/>
          </w:rPr>
          <w:tab/>
        </w:r>
        <w:r w:rsidR="00485D39" w:rsidRPr="00353D45">
          <w:rPr>
            <w:rFonts w:ascii="Arial" w:eastAsia="Times New Roman" w:hAnsi="Arial"/>
            <w:sz w:val="20"/>
          </w:rPr>
          <w:fldChar w:fldCharType="begin"/>
        </w:r>
        <w:r w:rsidR="00485D39" w:rsidRPr="00353D45">
          <w:rPr>
            <w:rFonts w:ascii="Arial" w:eastAsia="Times New Roman" w:hAnsi="Arial"/>
            <w:sz w:val="20"/>
          </w:rPr>
          <w:instrText xml:space="preserve"> PAGE   \* MERGEFORMAT </w:instrText>
        </w:r>
        <w:r w:rsidR="00485D39" w:rsidRPr="00353D45">
          <w:rPr>
            <w:rFonts w:ascii="Arial" w:eastAsia="Times New Roman" w:hAnsi="Arial"/>
            <w:sz w:val="20"/>
          </w:rPr>
          <w:fldChar w:fldCharType="separate"/>
        </w:r>
        <w:r w:rsidR="00485D39" w:rsidRPr="00353D45">
          <w:rPr>
            <w:sz w:val="20"/>
          </w:rPr>
          <w:t>1</w:t>
        </w:r>
        <w:r w:rsidR="00485D39" w:rsidRPr="00353D45">
          <w:rPr>
            <w:rFonts w:ascii="Arial" w:eastAsia="Times New Roman" w:hAnsi="Arial"/>
            <w:sz w:val="20"/>
          </w:rPr>
          <w:fldChar w:fldCharType="end"/>
        </w:r>
      </w:sdtContent>
    </w:sdt>
  </w:p>
  <w:p w14:paraId="0EEF17ED" w14:textId="77777777" w:rsidR="00485D39" w:rsidRDefault="00485D39" w:rsidP="00485D39">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4221" w14:textId="321BECC5" w:rsidR="00485D39" w:rsidRPr="00485D39" w:rsidRDefault="00485D39" w:rsidP="00485D39">
    <w:pPr>
      <w:tabs>
        <w:tab w:val="center" w:pos="0"/>
        <w:tab w:val="right" w:pos="9026"/>
      </w:tabs>
      <w:spacing w:after="0" w:line="240" w:lineRule="auto"/>
      <w:jc w:val="right"/>
      <w:rPr>
        <w:rFonts w:ascii="Arial" w:eastAsia="Times New Roman" w:hAnsi="Arial"/>
        <w:sz w:val="20"/>
      </w:rPr>
    </w:pPr>
    <w:r w:rsidRPr="00485D39">
      <w:rPr>
        <w:rFonts w:ascii="Arial" w:eastAsia="Times New Roman" w:hAnsi="Arial"/>
        <w:sz w:val="20"/>
      </w:rPr>
      <w:t>ODT Medicines</w:t>
    </w:r>
    <w:r w:rsidR="00C27EE0">
      <w:rPr>
        <w:rFonts w:ascii="Arial" w:eastAsia="Times New Roman" w:hAnsi="Arial"/>
        <w:sz w:val="20"/>
      </w:rPr>
      <w:t xml:space="preserve"> - </w:t>
    </w:r>
    <w:r w:rsidRPr="00485D39">
      <w:rPr>
        <w:rFonts w:ascii="Arial" w:eastAsia="Times New Roman" w:hAnsi="Arial"/>
        <w:sz w:val="20"/>
      </w:rPr>
      <w:t xml:space="preserve">Factsheet for </w:t>
    </w:r>
    <w:r>
      <w:rPr>
        <w:rFonts w:ascii="Arial" w:eastAsia="Times New Roman" w:hAnsi="Arial"/>
        <w:sz w:val="20"/>
      </w:rPr>
      <w:t>Prescribers</w:t>
    </w:r>
    <w:sdt>
      <w:sdtPr>
        <w:rPr>
          <w:rFonts w:ascii="Arial" w:eastAsia="Times New Roman" w:hAnsi="Arial"/>
          <w:sz w:val="20"/>
        </w:rPr>
        <w:id w:val="-178737789"/>
        <w:docPartObj>
          <w:docPartGallery w:val="Page Numbers (Bottom of Page)"/>
          <w:docPartUnique/>
        </w:docPartObj>
      </w:sdtPr>
      <w:sdtEndPr/>
      <w:sdtContent>
        <w:r w:rsidR="00C27EE0">
          <w:rPr>
            <w:rFonts w:ascii="Arial" w:eastAsia="Times New Roman" w:hAnsi="Arial"/>
            <w:sz w:val="20"/>
          </w:rPr>
          <w:t xml:space="preserve"> – </w:t>
        </w:r>
        <w:r w:rsidR="00271494">
          <w:rPr>
            <w:rFonts w:ascii="Arial" w:eastAsia="Times New Roman" w:hAnsi="Arial"/>
            <w:sz w:val="20"/>
          </w:rPr>
          <w:t xml:space="preserve">updated </w:t>
        </w:r>
        <w:r w:rsidR="00C27EE0">
          <w:rPr>
            <w:rFonts w:ascii="Arial" w:eastAsia="Times New Roman" w:hAnsi="Arial"/>
            <w:sz w:val="20"/>
          </w:rPr>
          <w:t>Ju</w:t>
        </w:r>
        <w:r w:rsidR="00622DC4">
          <w:rPr>
            <w:rFonts w:ascii="Arial" w:eastAsia="Times New Roman" w:hAnsi="Arial"/>
            <w:sz w:val="20"/>
          </w:rPr>
          <w:t xml:space="preserve">ly </w:t>
        </w:r>
        <w:r w:rsidR="00C27EE0">
          <w:rPr>
            <w:rFonts w:ascii="Arial" w:eastAsia="Times New Roman" w:hAnsi="Arial"/>
            <w:sz w:val="20"/>
          </w:rPr>
          <w:t>202</w:t>
        </w:r>
        <w:r w:rsidR="00C14DFB">
          <w:rPr>
            <w:rFonts w:ascii="Arial" w:eastAsia="Times New Roman" w:hAnsi="Arial"/>
            <w:sz w:val="20"/>
          </w:rPr>
          <w:t>4</w:t>
        </w:r>
        <w:r w:rsidRPr="00485D39">
          <w:rPr>
            <w:rFonts w:ascii="Arial" w:eastAsia="Times New Roman" w:hAnsi="Arial"/>
            <w:sz w:val="20"/>
          </w:rPr>
          <w:tab/>
        </w:r>
        <w:r w:rsidRPr="00485D39">
          <w:rPr>
            <w:rFonts w:ascii="Arial" w:eastAsia="Times New Roman" w:hAnsi="Arial"/>
            <w:sz w:val="20"/>
          </w:rPr>
          <w:fldChar w:fldCharType="begin"/>
        </w:r>
        <w:r w:rsidRPr="00485D39">
          <w:rPr>
            <w:rFonts w:ascii="Arial" w:eastAsia="Times New Roman" w:hAnsi="Arial"/>
            <w:sz w:val="20"/>
          </w:rPr>
          <w:instrText xml:space="preserve"> PAGE   \* MERGEFORMAT </w:instrText>
        </w:r>
        <w:r w:rsidRPr="00485D39">
          <w:rPr>
            <w:rFonts w:ascii="Arial" w:eastAsia="Times New Roman" w:hAnsi="Arial"/>
            <w:sz w:val="20"/>
          </w:rPr>
          <w:fldChar w:fldCharType="separate"/>
        </w:r>
        <w:r w:rsidRPr="00485D39">
          <w:rPr>
            <w:rFonts w:ascii="Arial" w:eastAsia="Times New Roman" w:hAnsi="Arial"/>
            <w:sz w:val="20"/>
          </w:rPr>
          <w:t>1</w:t>
        </w:r>
        <w:r w:rsidRPr="00485D39">
          <w:rPr>
            <w:rFonts w:ascii="Arial" w:eastAsia="Times New Roman" w:hAnsi="Arial"/>
            <w:sz w:val="20"/>
          </w:rPr>
          <w:fldChar w:fldCharType="end"/>
        </w:r>
      </w:sdtContent>
    </w:sdt>
  </w:p>
  <w:p w14:paraId="2DF18B38" w14:textId="77777777" w:rsidR="00485D39" w:rsidRPr="00485D39" w:rsidRDefault="00485D39" w:rsidP="00485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9057" w14:textId="77777777" w:rsidR="00DD6678" w:rsidRDefault="00DD6678" w:rsidP="00635669">
      <w:pPr>
        <w:spacing w:after="0" w:line="240" w:lineRule="auto"/>
      </w:pPr>
      <w:r>
        <w:separator/>
      </w:r>
    </w:p>
  </w:footnote>
  <w:footnote w:type="continuationSeparator" w:id="0">
    <w:p w14:paraId="5112383B" w14:textId="77777777" w:rsidR="00DD6678" w:rsidRDefault="00DD6678" w:rsidP="00635669">
      <w:pPr>
        <w:spacing w:after="0" w:line="240" w:lineRule="auto"/>
      </w:pPr>
      <w:r>
        <w:continuationSeparator/>
      </w:r>
    </w:p>
  </w:footnote>
  <w:footnote w:id="1">
    <w:p w14:paraId="302F7260" w14:textId="77777777" w:rsidR="00F90C1D" w:rsidRPr="00BA42D4" w:rsidRDefault="00F90C1D" w:rsidP="00F90C1D">
      <w:pPr>
        <w:pStyle w:val="FootnoteText"/>
      </w:pPr>
      <w:r>
        <w:rPr>
          <w:rStyle w:val="FootnoteReference"/>
        </w:rPr>
        <w:footnoteRef/>
      </w:r>
      <w:r>
        <w:t xml:space="preserve"> </w:t>
      </w:r>
      <w:r w:rsidRPr="0038686E">
        <w:rPr>
          <w:rFonts w:ascii="Arial" w:hAnsi="Arial" w:cs="Arial"/>
          <w:sz w:val="18"/>
          <w:szCs w:val="18"/>
        </w:rPr>
        <w:t xml:space="preserve">National guidelines for Medication-Assisted Treatment of Opioid Dependence 2014. Available at: </w:t>
      </w:r>
      <w:hyperlink r:id="rId1" w:history="1">
        <w:r w:rsidRPr="0038686E">
          <w:rPr>
            <w:rStyle w:val="Hyperlink"/>
            <w:rFonts w:ascii="Arial" w:hAnsi="Arial" w:cs="Arial"/>
            <w:sz w:val="18"/>
            <w:szCs w:val="18"/>
          </w:rPr>
          <w:t>www.health.gov.au/resources/publications/national-guidelines-for-medication-assisted-treatment-of-opioid-dependence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88A2" w14:textId="72B73C9A" w:rsidR="00485D39" w:rsidRDefault="00485D39" w:rsidP="00485D39">
    <w:pPr>
      <w:pStyle w:val="Header"/>
      <w:tabs>
        <w:tab w:val="clear" w:pos="4513"/>
        <w:tab w:val="clear" w:pos="9026"/>
        <w:tab w:val="left" w:pos="2124"/>
      </w:tabs>
    </w:pPr>
    <w:r>
      <w:rPr>
        <w:noProof/>
      </w:rPr>
      <w:drawing>
        <wp:inline distT="0" distB="0" distL="0" distR="0" wp14:anchorId="1A6A79C8" wp14:editId="01CEB9B6">
          <wp:extent cx="5731510" cy="937260"/>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a:picLocks noChangeAspect="1"/>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260"/>
                  </a:xfrm>
                  <a:prstGeom prst="rect">
                    <a:avLst/>
                  </a:prstGeom>
                  <a:ln>
                    <a:noFill/>
                  </a:ln>
                  <a:extLst>
                    <a:ext uri="{53640926-AAD7-44D8-BBD7-CCE9431645EC}">
                      <a14:shadowObscured xmlns:a14="http://schemas.microsoft.com/office/drawing/2010/main"/>
                    </a:ext>
                  </a:extLst>
                </pic:spPr>
              </pic:pic>
            </a:graphicData>
          </a:graphic>
        </wp:inline>
      </w:drawing>
    </w:r>
  </w:p>
  <w:p w14:paraId="0B1D3C39" w14:textId="77777777" w:rsidR="00485D39" w:rsidRDefault="00485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891"/>
    <w:multiLevelType w:val="multilevel"/>
    <w:tmpl w:val="9944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8775A"/>
    <w:multiLevelType w:val="hybridMultilevel"/>
    <w:tmpl w:val="121E7702"/>
    <w:lvl w:ilvl="0" w:tplc="23CC9E8C">
      <w:start w:val="1"/>
      <w:numFmt w:val="decimal"/>
      <w:lvlText w:val="%1."/>
      <w:lvlJc w:val="left"/>
      <w:pPr>
        <w:ind w:left="1200" w:hanging="360"/>
      </w:pPr>
    </w:lvl>
    <w:lvl w:ilvl="1" w:tplc="11181A5E">
      <w:start w:val="1"/>
      <w:numFmt w:val="decimal"/>
      <w:lvlText w:val="%2."/>
      <w:lvlJc w:val="left"/>
      <w:pPr>
        <w:ind w:left="1200" w:hanging="360"/>
      </w:pPr>
    </w:lvl>
    <w:lvl w:ilvl="2" w:tplc="E9A8679E">
      <w:start w:val="1"/>
      <w:numFmt w:val="decimal"/>
      <w:lvlText w:val="%3."/>
      <w:lvlJc w:val="left"/>
      <w:pPr>
        <w:ind w:left="1200" w:hanging="360"/>
      </w:pPr>
    </w:lvl>
    <w:lvl w:ilvl="3" w:tplc="84F41C6E">
      <w:start w:val="1"/>
      <w:numFmt w:val="decimal"/>
      <w:lvlText w:val="%4."/>
      <w:lvlJc w:val="left"/>
      <w:pPr>
        <w:ind w:left="1200" w:hanging="360"/>
      </w:pPr>
    </w:lvl>
    <w:lvl w:ilvl="4" w:tplc="15E8CC2E">
      <w:start w:val="1"/>
      <w:numFmt w:val="decimal"/>
      <w:lvlText w:val="%5."/>
      <w:lvlJc w:val="left"/>
      <w:pPr>
        <w:ind w:left="1200" w:hanging="360"/>
      </w:pPr>
    </w:lvl>
    <w:lvl w:ilvl="5" w:tplc="9E6AF89E">
      <w:start w:val="1"/>
      <w:numFmt w:val="decimal"/>
      <w:lvlText w:val="%6."/>
      <w:lvlJc w:val="left"/>
      <w:pPr>
        <w:ind w:left="1200" w:hanging="360"/>
      </w:pPr>
    </w:lvl>
    <w:lvl w:ilvl="6" w:tplc="6A4C5EF4">
      <w:start w:val="1"/>
      <w:numFmt w:val="decimal"/>
      <w:lvlText w:val="%7."/>
      <w:lvlJc w:val="left"/>
      <w:pPr>
        <w:ind w:left="1200" w:hanging="360"/>
      </w:pPr>
    </w:lvl>
    <w:lvl w:ilvl="7" w:tplc="28F4913A">
      <w:start w:val="1"/>
      <w:numFmt w:val="decimal"/>
      <w:lvlText w:val="%8."/>
      <w:lvlJc w:val="left"/>
      <w:pPr>
        <w:ind w:left="1200" w:hanging="360"/>
      </w:pPr>
    </w:lvl>
    <w:lvl w:ilvl="8" w:tplc="CD6C3318">
      <w:start w:val="1"/>
      <w:numFmt w:val="decimal"/>
      <w:lvlText w:val="%9."/>
      <w:lvlJc w:val="left"/>
      <w:pPr>
        <w:ind w:left="1200" w:hanging="360"/>
      </w:pPr>
    </w:lvl>
  </w:abstractNum>
  <w:abstractNum w:abstractNumId="2" w15:restartNumberingAfterBreak="0">
    <w:nsid w:val="0317460F"/>
    <w:multiLevelType w:val="hybridMultilevel"/>
    <w:tmpl w:val="710AE564"/>
    <w:lvl w:ilvl="0" w:tplc="871A65F8">
      <w:numFmt w:val="bullet"/>
      <w:lvlText w:val="-"/>
      <w:lvlJc w:val="left"/>
      <w:pPr>
        <w:ind w:left="708" w:hanging="360"/>
      </w:pPr>
      <w:rPr>
        <w:rFonts w:ascii="Arial" w:eastAsia="Times New Roman" w:hAnsi="Arial" w:cs="Arial" w:hint="default"/>
      </w:rPr>
    </w:lvl>
    <w:lvl w:ilvl="1" w:tplc="0C090003" w:tentative="1">
      <w:start w:val="1"/>
      <w:numFmt w:val="bullet"/>
      <w:lvlText w:val="o"/>
      <w:lvlJc w:val="left"/>
      <w:pPr>
        <w:ind w:left="1428" w:hanging="360"/>
      </w:pPr>
      <w:rPr>
        <w:rFonts w:ascii="Courier New" w:hAnsi="Courier New" w:cs="Courier New" w:hint="default"/>
      </w:rPr>
    </w:lvl>
    <w:lvl w:ilvl="2" w:tplc="0C090005" w:tentative="1">
      <w:start w:val="1"/>
      <w:numFmt w:val="bullet"/>
      <w:lvlText w:val=""/>
      <w:lvlJc w:val="left"/>
      <w:pPr>
        <w:ind w:left="2148" w:hanging="360"/>
      </w:pPr>
      <w:rPr>
        <w:rFonts w:ascii="Wingdings" w:hAnsi="Wingdings" w:hint="default"/>
      </w:rPr>
    </w:lvl>
    <w:lvl w:ilvl="3" w:tplc="0C090001" w:tentative="1">
      <w:start w:val="1"/>
      <w:numFmt w:val="bullet"/>
      <w:lvlText w:val=""/>
      <w:lvlJc w:val="left"/>
      <w:pPr>
        <w:ind w:left="2868" w:hanging="360"/>
      </w:pPr>
      <w:rPr>
        <w:rFonts w:ascii="Symbol" w:hAnsi="Symbol" w:hint="default"/>
      </w:rPr>
    </w:lvl>
    <w:lvl w:ilvl="4" w:tplc="0C090003" w:tentative="1">
      <w:start w:val="1"/>
      <w:numFmt w:val="bullet"/>
      <w:lvlText w:val="o"/>
      <w:lvlJc w:val="left"/>
      <w:pPr>
        <w:ind w:left="3588" w:hanging="360"/>
      </w:pPr>
      <w:rPr>
        <w:rFonts w:ascii="Courier New" w:hAnsi="Courier New" w:cs="Courier New" w:hint="default"/>
      </w:rPr>
    </w:lvl>
    <w:lvl w:ilvl="5" w:tplc="0C090005" w:tentative="1">
      <w:start w:val="1"/>
      <w:numFmt w:val="bullet"/>
      <w:lvlText w:val=""/>
      <w:lvlJc w:val="left"/>
      <w:pPr>
        <w:ind w:left="4308" w:hanging="360"/>
      </w:pPr>
      <w:rPr>
        <w:rFonts w:ascii="Wingdings" w:hAnsi="Wingdings" w:hint="default"/>
      </w:rPr>
    </w:lvl>
    <w:lvl w:ilvl="6" w:tplc="0C090001" w:tentative="1">
      <w:start w:val="1"/>
      <w:numFmt w:val="bullet"/>
      <w:lvlText w:val=""/>
      <w:lvlJc w:val="left"/>
      <w:pPr>
        <w:ind w:left="5028" w:hanging="360"/>
      </w:pPr>
      <w:rPr>
        <w:rFonts w:ascii="Symbol" w:hAnsi="Symbol" w:hint="default"/>
      </w:rPr>
    </w:lvl>
    <w:lvl w:ilvl="7" w:tplc="0C090003" w:tentative="1">
      <w:start w:val="1"/>
      <w:numFmt w:val="bullet"/>
      <w:lvlText w:val="o"/>
      <w:lvlJc w:val="left"/>
      <w:pPr>
        <w:ind w:left="5748" w:hanging="360"/>
      </w:pPr>
      <w:rPr>
        <w:rFonts w:ascii="Courier New" w:hAnsi="Courier New" w:cs="Courier New" w:hint="default"/>
      </w:rPr>
    </w:lvl>
    <w:lvl w:ilvl="8" w:tplc="0C090005" w:tentative="1">
      <w:start w:val="1"/>
      <w:numFmt w:val="bullet"/>
      <w:lvlText w:val=""/>
      <w:lvlJc w:val="left"/>
      <w:pPr>
        <w:ind w:left="6468" w:hanging="360"/>
      </w:pPr>
      <w:rPr>
        <w:rFonts w:ascii="Wingdings" w:hAnsi="Wingdings" w:hint="default"/>
      </w:rPr>
    </w:lvl>
  </w:abstractNum>
  <w:abstractNum w:abstractNumId="3" w15:restartNumberingAfterBreak="0">
    <w:nsid w:val="03CB2DAF"/>
    <w:multiLevelType w:val="multilevel"/>
    <w:tmpl w:val="9386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4602DA"/>
    <w:multiLevelType w:val="multilevel"/>
    <w:tmpl w:val="40D0D7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9570DFB"/>
    <w:multiLevelType w:val="hybridMultilevel"/>
    <w:tmpl w:val="108C2AD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B17E0C"/>
    <w:multiLevelType w:val="hybridMultilevel"/>
    <w:tmpl w:val="E0C4524A"/>
    <w:lvl w:ilvl="0" w:tplc="3A0A169E">
      <w:start w:val="1"/>
      <w:numFmt w:val="decimal"/>
      <w:lvlText w:val="%1."/>
      <w:lvlJc w:val="left"/>
      <w:pPr>
        <w:ind w:left="1440" w:hanging="360"/>
      </w:pPr>
    </w:lvl>
    <w:lvl w:ilvl="1" w:tplc="1EAAE196">
      <w:start w:val="1"/>
      <w:numFmt w:val="decimal"/>
      <w:lvlText w:val="%2."/>
      <w:lvlJc w:val="left"/>
      <w:pPr>
        <w:ind w:left="1440" w:hanging="360"/>
      </w:pPr>
    </w:lvl>
    <w:lvl w:ilvl="2" w:tplc="D48A3C94">
      <w:start w:val="1"/>
      <w:numFmt w:val="decimal"/>
      <w:lvlText w:val="%3."/>
      <w:lvlJc w:val="left"/>
      <w:pPr>
        <w:ind w:left="1440" w:hanging="360"/>
      </w:pPr>
    </w:lvl>
    <w:lvl w:ilvl="3" w:tplc="450083DC">
      <w:start w:val="1"/>
      <w:numFmt w:val="decimal"/>
      <w:lvlText w:val="%4."/>
      <w:lvlJc w:val="left"/>
      <w:pPr>
        <w:ind w:left="1440" w:hanging="360"/>
      </w:pPr>
    </w:lvl>
    <w:lvl w:ilvl="4" w:tplc="EF7E782C">
      <w:start w:val="1"/>
      <w:numFmt w:val="decimal"/>
      <w:lvlText w:val="%5."/>
      <w:lvlJc w:val="left"/>
      <w:pPr>
        <w:ind w:left="1440" w:hanging="360"/>
      </w:pPr>
    </w:lvl>
    <w:lvl w:ilvl="5" w:tplc="A35C7A4C">
      <w:start w:val="1"/>
      <w:numFmt w:val="decimal"/>
      <w:lvlText w:val="%6."/>
      <w:lvlJc w:val="left"/>
      <w:pPr>
        <w:ind w:left="1440" w:hanging="360"/>
      </w:pPr>
    </w:lvl>
    <w:lvl w:ilvl="6" w:tplc="1A4659C6">
      <w:start w:val="1"/>
      <w:numFmt w:val="decimal"/>
      <w:lvlText w:val="%7."/>
      <w:lvlJc w:val="left"/>
      <w:pPr>
        <w:ind w:left="1440" w:hanging="360"/>
      </w:pPr>
    </w:lvl>
    <w:lvl w:ilvl="7" w:tplc="70FE1926">
      <w:start w:val="1"/>
      <w:numFmt w:val="decimal"/>
      <w:lvlText w:val="%8."/>
      <w:lvlJc w:val="left"/>
      <w:pPr>
        <w:ind w:left="1440" w:hanging="360"/>
      </w:pPr>
    </w:lvl>
    <w:lvl w:ilvl="8" w:tplc="30686F9A">
      <w:start w:val="1"/>
      <w:numFmt w:val="decimal"/>
      <w:lvlText w:val="%9."/>
      <w:lvlJc w:val="left"/>
      <w:pPr>
        <w:ind w:left="1440" w:hanging="360"/>
      </w:pPr>
    </w:lvl>
  </w:abstractNum>
  <w:abstractNum w:abstractNumId="7" w15:restartNumberingAfterBreak="0">
    <w:nsid w:val="0A06446B"/>
    <w:multiLevelType w:val="hybridMultilevel"/>
    <w:tmpl w:val="F4B0ADB6"/>
    <w:lvl w:ilvl="0" w:tplc="D4F2C34C">
      <w:start w:val="1"/>
      <w:numFmt w:val="decimal"/>
      <w:lvlText w:val="%1."/>
      <w:lvlJc w:val="left"/>
      <w:pPr>
        <w:ind w:left="720" w:hanging="360"/>
      </w:pPr>
    </w:lvl>
    <w:lvl w:ilvl="1" w:tplc="E44E1B2E">
      <w:start w:val="1"/>
      <w:numFmt w:val="decimal"/>
      <w:lvlText w:val="%2."/>
      <w:lvlJc w:val="left"/>
      <w:pPr>
        <w:ind w:left="720" w:hanging="360"/>
      </w:pPr>
    </w:lvl>
    <w:lvl w:ilvl="2" w:tplc="F23C94B8">
      <w:start w:val="1"/>
      <w:numFmt w:val="decimal"/>
      <w:lvlText w:val="%3."/>
      <w:lvlJc w:val="left"/>
      <w:pPr>
        <w:ind w:left="720" w:hanging="360"/>
      </w:pPr>
    </w:lvl>
    <w:lvl w:ilvl="3" w:tplc="F1F85128">
      <w:start w:val="1"/>
      <w:numFmt w:val="decimal"/>
      <w:lvlText w:val="%4."/>
      <w:lvlJc w:val="left"/>
      <w:pPr>
        <w:ind w:left="720" w:hanging="360"/>
      </w:pPr>
    </w:lvl>
    <w:lvl w:ilvl="4" w:tplc="EFC64486">
      <w:start w:val="1"/>
      <w:numFmt w:val="decimal"/>
      <w:lvlText w:val="%5."/>
      <w:lvlJc w:val="left"/>
      <w:pPr>
        <w:ind w:left="720" w:hanging="360"/>
      </w:pPr>
    </w:lvl>
    <w:lvl w:ilvl="5" w:tplc="49F00DB6">
      <w:start w:val="1"/>
      <w:numFmt w:val="decimal"/>
      <w:lvlText w:val="%6."/>
      <w:lvlJc w:val="left"/>
      <w:pPr>
        <w:ind w:left="720" w:hanging="360"/>
      </w:pPr>
    </w:lvl>
    <w:lvl w:ilvl="6" w:tplc="807E06E8">
      <w:start w:val="1"/>
      <w:numFmt w:val="decimal"/>
      <w:lvlText w:val="%7."/>
      <w:lvlJc w:val="left"/>
      <w:pPr>
        <w:ind w:left="720" w:hanging="360"/>
      </w:pPr>
    </w:lvl>
    <w:lvl w:ilvl="7" w:tplc="4716961A">
      <w:start w:val="1"/>
      <w:numFmt w:val="decimal"/>
      <w:lvlText w:val="%8."/>
      <w:lvlJc w:val="left"/>
      <w:pPr>
        <w:ind w:left="720" w:hanging="360"/>
      </w:pPr>
    </w:lvl>
    <w:lvl w:ilvl="8" w:tplc="D79884EE">
      <w:start w:val="1"/>
      <w:numFmt w:val="decimal"/>
      <w:lvlText w:val="%9."/>
      <w:lvlJc w:val="left"/>
      <w:pPr>
        <w:ind w:left="720" w:hanging="360"/>
      </w:pPr>
    </w:lvl>
  </w:abstractNum>
  <w:abstractNum w:abstractNumId="8" w15:restartNumberingAfterBreak="0">
    <w:nsid w:val="134155A7"/>
    <w:multiLevelType w:val="multilevel"/>
    <w:tmpl w:val="40CA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6C4F13"/>
    <w:multiLevelType w:val="hybridMultilevel"/>
    <w:tmpl w:val="98D835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085051"/>
    <w:multiLevelType w:val="hybridMultilevel"/>
    <w:tmpl w:val="F32A2E6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38116D"/>
    <w:multiLevelType w:val="multilevel"/>
    <w:tmpl w:val="7F26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AD11D5"/>
    <w:multiLevelType w:val="hybridMultilevel"/>
    <w:tmpl w:val="92B6D85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E55783"/>
    <w:multiLevelType w:val="multilevel"/>
    <w:tmpl w:val="2AD2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160C32"/>
    <w:multiLevelType w:val="hybridMultilevel"/>
    <w:tmpl w:val="3E34A45C"/>
    <w:lvl w:ilvl="0" w:tplc="0C09000B">
      <w:start w:val="1"/>
      <w:numFmt w:val="bullet"/>
      <w:lvlText w:val=""/>
      <w:lvlJc w:val="left"/>
      <w:pPr>
        <w:ind w:left="502" w:hanging="360"/>
      </w:pPr>
      <w:rPr>
        <w:rFonts w:ascii="Wingdings" w:hAnsi="Wingdings" w:hint="default"/>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5" w15:restartNumberingAfterBreak="0">
    <w:nsid w:val="2DCE6157"/>
    <w:multiLevelType w:val="multilevel"/>
    <w:tmpl w:val="42F8A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0D052D3"/>
    <w:multiLevelType w:val="multilevel"/>
    <w:tmpl w:val="77EE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C466CE"/>
    <w:multiLevelType w:val="multilevel"/>
    <w:tmpl w:val="6592EA2A"/>
    <w:lvl w:ilvl="0">
      <w:start w:val="1"/>
      <w:numFmt w:val="bullet"/>
      <w:lvlText w:val="o"/>
      <w:lvlJc w:val="left"/>
      <w:pPr>
        <w:tabs>
          <w:tab w:val="num" w:pos="1003"/>
        </w:tabs>
        <w:ind w:left="1003" w:hanging="360"/>
      </w:pPr>
      <w:rPr>
        <w:rFonts w:ascii="Courier New" w:hAnsi="Courier New" w:hint="default"/>
        <w:sz w:val="20"/>
      </w:rPr>
    </w:lvl>
    <w:lvl w:ilvl="1" w:tentative="1">
      <w:start w:val="1"/>
      <w:numFmt w:val="bullet"/>
      <w:lvlText w:val="o"/>
      <w:lvlJc w:val="left"/>
      <w:pPr>
        <w:tabs>
          <w:tab w:val="num" w:pos="1723"/>
        </w:tabs>
        <w:ind w:left="1723" w:hanging="360"/>
      </w:pPr>
      <w:rPr>
        <w:rFonts w:ascii="Courier New" w:hAnsi="Courier New" w:hint="default"/>
        <w:sz w:val="20"/>
      </w:rPr>
    </w:lvl>
    <w:lvl w:ilvl="2" w:tentative="1">
      <w:start w:val="1"/>
      <w:numFmt w:val="bullet"/>
      <w:lvlText w:val="o"/>
      <w:lvlJc w:val="left"/>
      <w:pPr>
        <w:tabs>
          <w:tab w:val="num" w:pos="2443"/>
        </w:tabs>
        <w:ind w:left="2443" w:hanging="360"/>
      </w:pPr>
      <w:rPr>
        <w:rFonts w:ascii="Courier New" w:hAnsi="Courier New" w:hint="default"/>
        <w:sz w:val="20"/>
      </w:rPr>
    </w:lvl>
    <w:lvl w:ilvl="3" w:tentative="1">
      <w:start w:val="1"/>
      <w:numFmt w:val="bullet"/>
      <w:lvlText w:val="o"/>
      <w:lvlJc w:val="left"/>
      <w:pPr>
        <w:tabs>
          <w:tab w:val="num" w:pos="3163"/>
        </w:tabs>
        <w:ind w:left="3163" w:hanging="360"/>
      </w:pPr>
      <w:rPr>
        <w:rFonts w:ascii="Courier New" w:hAnsi="Courier New" w:hint="default"/>
        <w:sz w:val="20"/>
      </w:rPr>
    </w:lvl>
    <w:lvl w:ilvl="4" w:tentative="1">
      <w:start w:val="1"/>
      <w:numFmt w:val="bullet"/>
      <w:lvlText w:val="o"/>
      <w:lvlJc w:val="left"/>
      <w:pPr>
        <w:tabs>
          <w:tab w:val="num" w:pos="3883"/>
        </w:tabs>
        <w:ind w:left="3883" w:hanging="360"/>
      </w:pPr>
      <w:rPr>
        <w:rFonts w:ascii="Courier New" w:hAnsi="Courier New" w:hint="default"/>
        <w:sz w:val="20"/>
      </w:rPr>
    </w:lvl>
    <w:lvl w:ilvl="5" w:tentative="1">
      <w:start w:val="1"/>
      <w:numFmt w:val="bullet"/>
      <w:lvlText w:val="o"/>
      <w:lvlJc w:val="left"/>
      <w:pPr>
        <w:tabs>
          <w:tab w:val="num" w:pos="4603"/>
        </w:tabs>
        <w:ind w:left="4603" w:hanging="360"/>
      </w:pPr>
      <w:rPr>
        <w:rFonts w:ascii="Courier New" w:hAnsi="Courier New" w:hint="default"/>
        <w:sz w:val="20"/>
      </w:rPr>
    </w:lvl>
    <w:lvl w:ilvl="6" w:tentative="1">
      <w:start w:val="1"/>
      <w:numFmt w:val="bullet"/>
      <w:lvlText w:val="o"/>
      <w:lvlJc w:val="left"/>
      <w:pPr>
        <w:tabs>
          <w:tab w:val="num" w:pos="5323"/>
        </w:tabs>
        <w:ind w:left="5323" w:hanging="360"/>
      </w:pPr>
      <w:rPr>
        <w:rFonts w:ascii="Courier New" w:hAnsi="Courier New" w:hint="default"/>
        <w:sz w:val="20"/>
      </w:rPr>
    </w:lvl>
    <w:lvl w:ilvl="7" w:tentative="1">
      <w:start w:val="1"/>
      <w:numFmt w:val="bullet"/>
      <w:lvlText w:val="o"/>
      <w:lvlJc w:val="left"/>
      <w:pPr>
        <w:tabs>
          <w:tab w:val="num" w:pos="6043"/>
        </w:tabs>
        <w:ind w:left="6043" w:hanging="360"/>
      </w:pPr>
      <w:rPr>
        <w:rFonts w:ascii="Courier New" w:hAnsi="Courier New" w:hint="default"/>
        <w:sz w:val="20"/>
      </w:rPr>
    </w:lvl>
    <w:lvl w:ilvl="8" w:tentative="1">
      <w:start w:val="1"/>
      <w:numFmt w:val="bullet"/>
      <w:lvlText w:val="o"/>
      <w:lvlJc w:val="left"/>
      <w:pPr>
        <w:tabs>
          <w:tab w:val="num" w:pos="6763"/>
        </w:tabs>
        <w:ind w:left="6763" w:hanging="360"/>
      </w:pPr>
      <w:rPr>
        <w:rFonts w:ascii="Courier New" w:hAnsi="Courier New" w:hint="default"/>
        <w:sz w:val="20"/>
      </w:rPr>
    </w:lvl>
  </w:abstractNum>
  <w:abstractNum w:abstractNumId="18" w15:restartNumberingAfterBreak="0">
    <w:nsid w:val="36A34A04"/>
    <w:multiLevelType w:val="hybridMultilevel"/>
    <w:tmpl w:val="8BC6B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82FFE"/>
    <w:multiLevelType w:val="hybridMultilevel"/>
    <w:tmpl w:val="BC8253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46CE0BFC"/>
    <w:multiLevelType w:val="multilevel"/>
    <w:tmpl w:val="8F589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247C2E"/>
    <w:multiLevelType w:val="multilevel"/>
    <w:tmpl w:val="6DCC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342F46"/>
    <w:multiLevelType w:val="multilevel"/>
    <w:tmpl w:val="B7DE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0D02F5"/>
    <w:multiLevelType w:val="hybridMultilevel"/>
    <w:tmpl w:val="7E1A1C64"/>
    <w:lvl w:ilvl="0" w:tplc="D8002E82">
      <w:start w:val="6024"/>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F131EA"/>
    <w:multiLevelType w:val="multilevel"/>
    <w:tmpl w:val="2D2C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AA4272"/>
    <w:multiLevelType w:val="multilevel"/>
    <w:tmpl w:val="A2D4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0E6049"/>
    <w:multiLevelType w:val="multilevel"/>
    <w:tmpl w:val="42F8A1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DA00040"/>
    <w:multiLevelType w:val="hybridMultilevel"/>
    <w:tmpl w:val="A0929CE4"/>
    <w:lvl w:ilvl="0" w:tplc="0C090001">
      <w:start w:val="1"/>
      <w:numFmt w:val="bullet"/>
      <w:lvlText w:val=""/>
      <w:lvlJc w:val="left"/>
      <w:pPr>
        <w:ind w:left="502" w:hanging="360"/>
      </w:pPr>
      <w:rPr>
        <w:rFonts w:ascii="Symbol" w:hAnsi="Symbol" w:hint="default"/>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8" w15:restartNumberingAfterBreak="0">
    <w:nsid w:val="5EFD6209"/>
    <w:multiLevelType w:val="multilevel"/>
    <w:tmpl w:val="82265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A57F21"/>
    <w:multiLevelType w:val="multilevel"/>
    <w:tmpl w:val="B026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B63DB7"/>
    <w:multiLevelType w:val="multilevel"/>
    <w:tmpl w:val="9A4C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E800D2"/>
    <w:multiLevelType w:val="hybridMultilevel"/>
    <w:tmpl w:val="C9D447F6"/>
    <w:lvl w:ilvl="0" w:tplc="4B58F1F4">
      <w:numFmt w:val="bullet"/>
      <w:lvlText w:val="-"/>
      <w:lvlJc w:val="left"/>
      <w:pPr>
        <w:ind w:left="708" w:hanging="360"/>
      </w:pPr>
      <w:rPr>
        <w:rFonts w:ascii="Arial" w:eastAsia="Times New Roman" w:hAnsi="Arial" w:cs="Arial" w:hint="default"/>
      </w:rPr>
    </w:lvl>
    <w:lvl w:ilvl="1" w:tplc="0C090003" w:tentative="1">
      <w:start w:val="1"/>
      <w:numFmt w:val="bullet"/>
      <w:lvlText w:val="o"/>
      <w:lvlJc w:val="left"/>
      <w:pPr>
        <w:ind w:left="1428" w:hanging="360"/>
      </w:pPr>
      <w:rPr>
        <w:rFonts w:ascii="Courier New" w:hAnsi="Courier New" w:cs="Courier New" w:hint="default"/>
      </w:rPr>
    </w:lvl>
    <w:lvl w:ilvl="2" w:tplc="0C090005" w:tentative="1">
      <w:start w:val="1"/>
      <w:numFmt w:val="bullet"/>
      <w:lvlText w:val=""/>
      <w:lvlJc w:val="left"/>
      <w:pPr>
        <w:ind w:left="2148" w:hanging="360"/>
      </w:pPr>
      <w:rPr>
        <w:rFonts w:ascii="Wingdings" w:hAnsi="Wingdings" w:hint="default"/>
      </w:rPr>
    </w:lvl>
    <w:lvl w:ilvl="3" w:tplc="0C090001" w:tentative="1">
      <w:start w:val="1"/>
      <w:numFmt w:val="bullet"/>
      <w:lvlText w:val=""/>
      <w:lvlJc w:val="left"/>
      <w:pPr>
        <w:ind w:left="2868" w:hanging="360"/>
      </w:pPr>
      <w:rPr>
        <w:rFonts w:ascii="Symbol" w:hAnsi="Symbol" w:hint="default"/>
      </w:rPr>
    </w:lvl>
    <w:lvl w:ilvl="4" w:tplc="0C090003" w:tentative="1">
      <w:start w:val="1"/>
      <w:numFmt w:val="bullet"/>
      <w:lvlText w:val="o"/>
      <w:lvlJc w:val="left"/>
      <w:pPr>
        <w:ind w:left="3588" w:hanging="360"/>
      </w:pPr>
      <w:rPr>
        <w:rFonts w:ascii="Courier New" w:hAnsi="Courier New" w:cs="Courier New" w:hint="default"/>
      </w:rPr>
    </w:lvl>
    <w:lvl w:ilvl="5" w:tplc="0C090005" w:tentative="1">
      <w:start w:val="1"/>
      <w:numFmt w:val="bullet"/>
      <w:lvlText w:val=""/>
      <w:lvlJc w:val="left"/>
      <w:pPr>
        <w:ind w:left="4308" w:hanging="360"/>
      </w:pPr>
      <w:rPr>
        <w:rFonts w:ascii="Wingdings" w:hAnsi="Wingdings" w:hint="default"/>
      </w:rPr>
    </w:lvl>
    <w:lvl w:ilvl="6" w:tplc="0C090001" w:tentative="1">
      <w:start w:val="1"/>
      <w:numFmt w:val="bullet"/>
      <w:lvlText w:val=""/>
      <w:lvlJc w:val="left"/>
      <w:pPr>
        <w:ind w:left="5028" w:hanging="360"/>
      </w:pPr>
      <w:rPr>
        <w:rFonts w:ascii="Symbol" w:hAnsi="Symbol" w:hint="default"/>
      </w:rPr>
    </w:lvl>
    <w:lvl w:ilvl="7" w:tplc="0C090003" w:tentative="1">
      <w:start w:val="1"/>
      <w:numFmt w:val="bullet"/>
      <w:lvlText w:val="o"/>
      <w:lvlJc w:val="left"/>
      <w:pPr>
        <w:ind w:left="5748" w:hanging="360"/>
      </w:pPr>
      <w:rPr>
        <w:rFonts w:ascii="Courier New" w:hAnsi="Courier New" w:cs="Courier New" w:hint="default"/>
      </w:rPr>
    </w:lvl>
    <w:lvl w:ilvl="8" w:tplc="0C090005" w:tentative="1">
      <w:start w:val="1"/>
      <w:numFmt w:val="bullet"/>
      <w:lvlText w:val=""/>
      <w:lvlJc w:val="left"/>
      <w:pPr>
        <w:ind w:left="6468" w:hanging="360"/>
      </w:pPr>
      <w:rPr>
        <w:rFonts w:ascii="Wingdings" w:hAnsi="Wingdings" w:hint="default"/>
      </w:rPr>
    </w:lvl>
  </w:abstractNum>
  <w:abstractNum w:abstractNumId="32" w15:restartNumberingAfterBreak="0">
    <w:nsid w:val="63F329A6"/>
    <w:multiLevelType w:val="multilevel"/>
    <w:tmpl w:val="1BF6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5E1FE1"/>
    <w:multiLevelType w:val="hybridMultilevel"/>
    <w:tmpl w:val="8138E15C"/>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34" w15:restartNumberingAfterBreak="0">
    <w:nsid w:val="6953745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750B2F"/>
    <w:multiLevelType w:val="multilevel"/>
    <w:tmpl w:val="81A8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5E5CF7"/>
    <w:multiLevelType w:val="multilevel"/>
    <w:tmpl w:val="94EA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86130E"/>
    <w:multiLevelType w:val="multilevel"/>
    <w:tmpl w:val="4A1C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D53D26"/>
    <w:multiLevelType w:val="hybridMultilevel"/>
    <w:tmpl w:val="3A007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2C0AA4"/>
    <w:multiLevelType w:val="multilevel"/>
    <w:tmpl w:val="AABA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3D5044"/>
    <w:multiLevelType w:val="hybridMultilevel"/>
    <w:tmpl w:val="184ED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9807189">
    <w:abstractNumId w:val="26"/>
  </w:num>
  <w:num w:numId="2" w16cid:durableId="15557730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96476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0922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7082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24102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60697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05995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6517202">
    <w:abstractNumId w:val="14"/>
  </w:num>
  <w:num w:numId="10" w16cid:durableId="772019671">
    <w:abstractNumId w:val="18"/>
  </w:num>
  <w:num w:numId="11" w16cid:durableId="693386687">
    <w:abstractNumId w:val="12"/>
  </w:num>
  <w:num w:numId="12" w16cid:durableId="826408978">
    <w:abstractNumId w:val="10"/>
  </w:num>
  <w:num w:numId="13" w16cid:durableId="336732843">
    <w:abstractNumId w:val="5"/>
  </w:num>
  <w:num w:numId="14" w16cid:durableId="114327494">
    <w:abstractNumId w:val="31"/>
  </w:num>
  <w:num w:numId="15" w16cid:durableId="564610970">
    <w:abstractNumId w:val="2"/>
  </w:num>
  <w:num w:numId="16" w16cid:durableId="379716418">
    <w:abstractNumId w:val="15"/>
  </w:num>
  <w:num w:numId="17" w16cid:durableId="1599407810">
    <w:abstractNumId w:val="6"/>
  </w:num>
  <w:num w:numId="18" w16cid:durableId="872765190">
    <w:abstractNumId w:val="1"/>
  </w:num>
  <w:num w:numId="19" w16cid:durableId="320887708">
    <w:abstractNumId w:val="7"/>
  </w:num>
  <w:num w:numId="20" w16cid:durableId="5976370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F4"/>
    <w:rsid w:val="000051E6"/>
    <w:rsid w:val="0000662F"/>
    <w:rsid w:val="00011B14"/>
    <w:rsid w:val="00014DEE"/>
    <w:rsid w:val="000216CC"/>
    <w:rsid w:val="00022715"/>
    <w:rsid w:val="00036799"/>
    <w:rsid w:val="00051467"/>
    <w:rsid w:val="00053BC3"/>
    <w:rsid w:val="00071FD5"/>
    <w:rsid w:val="000930C6"/>
    <w:rsid w:val="000A22C9"/>
    <w:rsid w:val="000A2D42"/>
    <w:rsid w:val="000B0A44"/>
    <w:rsid w:val="000E0511"/>
    <w:rsid w:val="000F467F"/>
    <w:rsid w:val="000F5D1F"/>
    <w:rsid w:val="001210B6"/>
    <w:rsid w:val="001260E2"/>
    <w:rsid w:val="00130E80"/>
    <w:rsid w:val="00136BA3"/>
    <w:rsid w:val="00151C95"/>
    <w:rsid w:val="001702A5"/>
    <w:rsid w:val="0017307C"/>
    <w:rsid w:val="001908D3"/>
    <w:rsid w:val="00195DF7"/>
    <w:rsid w:val="001C1825"/>
    <w:rsid w:val="001F1482"/>
    <w:rsid w:val="00220EE7"/>
    <w:rsid w:val="00227943"/>
    <w:rsid w:val="002403A9"/>
    <w:rsid w:val="0024356A"/>
    <w:rsid w:val="0025670A"/>
    <w:rsid w:val="0026167E"/>
    <w:rsid w:val="00271494"/>
    <w:rsid w:val="00280050"/>
    <w:rsid w:val="0028666B"/>
    <w:rsid w:val="00287292"/>
    <w:rsid w:val="00293D3B"/>
    <w:rsid w:val="002E34E7"/>
    <w:rsid w:val="002F4133"/>
    <w:rsid w:val="002F6B7A"/>
    <w:rsid w:val="00324A28"/>
    <w:rsid w:val="0032587F"/>
    <w:rsid w:val="0032741A"/>
    <w:rsid w:val="00346330"/>
    <w:rsid w:val="00353D45"/>
    <w:rsid w:val="0038686E"/>
    <w:rsid w:val="00390636"/>
    <w:rsid w:val="00394C56"/>
    <w:rsid w:val="003A7E38"/>
    <w:rsid w:val="003D66D5"/>
    <w:rsid w:val="003F77D4"/>
    <w:rsid w:val="004006A8"/>
    <w:rsid w:val="00410931"/>
    <w:rsid w:val="00414686"/>
    <w:rsid w:val="00415825"/>
    <w:rsid w:val="00417376"/>
    <w:rsid w:val="00421A99"/>
    <w:rsid w:val="004349A7"/>
    <w:rsid w:val="00445826"/>
    <w:rsid w:val="00471057"/>
    <w:rsid w:val="004751E7"/>
    <w:rsid w:val="004752F1"/>
    <w:rsid w:val="00482566"/>
    <w:rsid w:val="00482A5F"/>
    <w:rsid w:val="00485D39"/>
    <w:rsid w:val="004864F4"/>
    <w:rsid w:val="00491DAF"/>
    <w:rsid w:val="004A1ACE"/>
    <w:rsid w:val="004C3A03"/>
    <w:rsid w:val="004D16ED"/>
    <w:rsid w:val="004D7592"/>
    <w:rsid w:val="004F5562"/>
    <w:rsid w:val="004F66B9"/>
    <w:rsid w:val="00507FDD"/>
    <w:rsid w:val="0052589B"/>
    <w:rsid w:val="00526989"/>
    <w:rsid w:val="005355C0"/>
    <w:rsid w:val="00535E2D"/>
    <w:rsid w:val="0054445F"/>
    <w:rsid w:val="00545FA2"/>
    <w:rsid w:val="005523CA"/>
    <w:rsid w:val="00554704"/>
    <w:rsid w:val="0058514E"/>
    <w:rsid w:val="005C0025"/>
    <w:rsid w:val="005C1C1D"/>
    <w:rsid w:val="005D08FD"/>
    <w:rsid w:val="005F1653"/>
    <w:rsid w:val="0060777F"/>
    <w:rsid w:val="0061231B"/>
    <w:rsid w:val="00616922"/>
    <w:rsid w:val="00622DC4"/>
    <w:rsid w:val="00624D43"/>
    <w:rsid w:val="00635669"/>
    <w:rsid w:val="00636385"/>
    <w:rsid w:val="0067082C"/>
    <w:rsid w:val="0067477F"/>
    <w:rsid w:val="006A2567"/>
    <w:rsid w:val="006A3EB6"/>
    <w:rsid w:val="006C2D7A"/>
    <w:rsid w:val="006E4C7D"/>
    <w:rsid w:val="006F1529"/>
    <w:rsid w:val="00721F7E"/>
    <w:rsid w:val="00737659"/>
    <w:rsid w:val="007802F4"/>
    <w:rsid w:val="00787BEB"/>
    <w:rsid w:val="007B4428"/>
    <w:rsid w:val="007C0AE2"/>
    <w:rsid w:val="007E47C9"/>
    <w:rsid w:val="007F1636"/>
    <w:rsid w:val="007F4536"/>
    <w:rsid w:val="0082092E"/>
    <w:rsid w:val="00822A7A"/>
    <w:rsid w:val="008251ED"/>
    <w:rsid w:val="00825AA8"/>
    <w:rsid w:val="00840011"/>
    <w:rsid w:val="00840D93"/>
    <w:rsid w:val="00855F65"/>
    <w:rsid w:val="008625E7"/>
    <w:rsid w:val="0086767B"/>
    <w:rsid w:val="00895DC8"/>
    <w:rsid w:val="008D03AE"/>
    <w:rsid w:val="008F0AF8"/>
    <w:rsid w:val="008F3121"/>
    <w:rsid w:val="009144D4"/>
    <w:rsid w:val="00914717"/>
    <w:rsid w:val="00914D85"/>
    <w:rsid w:val="009174BB"/>
    <w:rsid w:val="0093292A"/>
    <w:rsid w:val="00944B90"/>
    <w:rsid w:val="00956E05"/>
    <w:rsid w:val="00960BF5"/>
    <w:rsid w:val="00961B3E"/>
    <w:rsid w:val="00983D0D"/>
    <w:rsid w:val="009905A1"/>
    <w:rsid w:val="00991511"/>
    <w:rsid w:val="009B214F"/>
    <w:rsid w:val="009B28CF"/>
    <w:rsid w:val="009B4BDE"/>
    <w:rsid w:val="009C48E7"/>
    <w:rsid w:val="009C57FA"/>
    <w:rsid w:val="009C738F"/>
    <w:rsid w:val="009D1EC9"/>
    <w:rsid w:val="009D4672"/>
    <w:rsid w:val="009D572C"/>
    <w:rsid w:val="009D6F62"/>
    <w:rsid w:val="009E7DDF"/>
    <w:rsid w:val="00A00AEB"/>
    <w:rsid w:val="00A13366"/>
    <w:rsid w:val="00A16F12"/>
    <w:rsid w:val="00A47E56"/>
    <w:rsid w:val="00A710FE"/>
    <w:rsid w:val="00A87642"/>
    <w:rsid w:val="00AD5169"/>
    <w:rsid w:val="00AD730F"/>
    <w:rsid w:val="00AE51DD"/>
    <w:rsid w:val="00AE5D48"/>
    <w:rsid w:val="00AF7E7C"/>
    <w:rsid w:val="00B05EA5"/>
    <w:rsid w:val="00B339C6"/>
    <w:rsid w:val="00B44019"/>
    <w:rsid w:val="00B465C0"/>
    <w:rsid w:val="00B6175F"/>
    <w:rsid w:val="00B64075"/>
    <w:rsid w:val="00B7511D"/>
    <w:rsid w:val="00B84D56"/>
    <w:rsid w:val="00B8575B"/>
    <w:rsid w:val="00B9222B"/>
    <w:rsid w:val="00B92E26"/>
    <w:rsid w:val="00BA1E9D"/>
    <w:rsid w:val="00BA5006"/>
    <w:rsid w:val="00BB2A9E"/>
    <w:rsid w:val="00BC700A"/>
    <w:rsid w:val="00BE037B"/>
    <w:rsid w:val="00BE1B56"/>
    <w:rsid w:val="00BE2B88"/>
    <w:rsid w:val="00C05530"/>
    <w:rsid w:val="00C14DFB"/>
    <w:rsid w:val="00C24D74"/>
    <w:rsid w:val="00C27EE0"/>
    <w:rsid w:val="00C36E01"/>
    <w:rsid w:val="00C54694"/>
    <w:rsid w:val="00C62D00"/>
    <w:rsid w:val="00C66DB9"/>
    <w:rsid w:val="00C70A90"/>
    <w:rsid w:val="00C71201"/>
    <w:rsid w:val="00C85A0A"/>
    <w:rsid w:val="00C86760"/>
    <w:rsid w:val="00C87AF5"/>
    <w:rsid w:val="00CB67C2"/>
    <w:rsid w:val="00CE0E52"/>
    <w:rsid w:val="00D04565"/>
    <w:rsid w:val="00D10612"/>
    <w:rsid w:val="00D15BEA"/>
    <w:rsid w:val="00D3108A"/>
    <w:rsid w:val="00D6663A"/>
    <w:rsid w:val="00D72850"/>
    <w:rsid w:val="00D8075B"/>
    <w:rsid w:val="00D80A46"/>
    <w:rsid w:val="00DA0363"/>
    <w:rsid w:val="00DB7887"/>
    <w:rsid w:val="00DD6678"/>
    <w:rsid w:val="00DD7B70"/>
    <w:rsid w:val="00DE65D4"/>
    <w:rsid w:val="00E0553C"/>
    <w:rsid w:val="00E244ED"/>
    <w:rsid w:val="00E44DE4"/>
    <w:rsid w:val="00E51F49"/>
    <w:rsid w:val="00E65B3B"/>
    <w:rsid w:val="00E747AF"/>
    <w:rsid w:val="00E76E20"/>
    <w:rsid w:val="00E83FA8"/>
    <w:rsid w:val="00E878DB"/>
    <w:rsid w:val="00E878F9"/>
    <w:rsid w:val="00E91F0B"/>
    <w:rsid w:val="00EA3CF9"/>
    <w:rsid w:val="00ED1A62"/>
    <w:rsid w:val="00EE12C5"/>
    <w:rsid w:val="00EE432B"/>
    <w:rsid w:val="00F0301B"/>
    <w:rsid w:val="00F118BD"/>
    <w:rsid w:val="00F14D6C"/>
    <w:rsid w:val="00F1705F"/>
    <w:rsid w:val="00F2515A"/>
    <w:rsid w:val="00F41E26"/>
    <w:rsid w:val="00F447D5"/>
    <w:rsid w:val="00F5651C"/>
    <w:rsid w:val="00F6498B"/>
    <w:rsid w:val="00F661BD"/>
    <w:rsid w:val="00F818C0"/>
    <w:rsid w:val="00F90C1D"/>
    <w:rsid w:val="00FA0577"/>
    <w:rsid w:val="00FD50AC"/>
    <w:rsid w:val="00FF5DB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FAB3E"/>
  <w15:chartTrackingRefBased/>
  <w15:docId w15:val="{90E8E0C8-4E44-4286-B197-AA4A1F4B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qFormat/>
    <w:rsid w:val="00485D39"/>
    <w:pPr>
      <w:keepNext/>
      <w:spacing w:before="240" w:after="60" w:line="240" w:lineRule="auto"/>
      <w:outlineLvl w:val="1"/>
    </w:pPr>
    <w:rPr>
      <w:rFonts w:ascii="Arial" w:eastAsia="Times New Roman" w:hAnsi="Arial" w:cs="Arial"/>
      <w:b/>
      <w:bCs/>
      <w:iCs/>
      <w:color w:val="358189"/>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864F4"/>
    <w:pPr>
      <w:spacing w:before="100" w:beforeAutospacing="1" w:after="100" w:afterAutospacing="1" w:line="240" w:lineRule="auto"/>
    </w:pPr>
    <w:rPr>
      <w:rFonts w:eastAsia="Times New Roman"/>
      <w:lang w:eastAsia="en-AU"/>
    </w:rPr>
  </w:style>
  <w:style w:type="character" w:customStyle="1" w:styleId="normaltextrun">
    <w:name w:val="normaltextrun"/>
    <w:basedOn w:val="DefaultParagraphFont"/>
    <w:rsid w:val="004864F4"/>
  </w:style>
  <w:style w:type="character" w:customStyle="1" w:styleId="eop">
    <w:name w:val="eop"/>
    <w:basedOn w:val="DefaultParagraphFont"/>
    <w:rsid w:val="004864F4"/>
  </w:style>
  <w:style w:type="character" w:styleId="CommentReference">
    <w:name w:val="annotation reference"/>
    <w:basedOn w:val="DefaultParagraphFont"/>
    <w:semiHidden/>
    <w:unhideWhenUsed/>
    <w:rsid w:val="00071FD5"/>
    <w:rPr>
      <w:sz w:val="16"/>
      <w:szCs w:val="16"/>
    </w:rPr>
  </w:style>
  <w:style w:type="paragraph" w:styleId="CommentText">
    <w:name w:val="annotation text"/>
    <w:basedOn w:val="Normal"/>
    <w:link w:val="CommentTextChar"/>
    <w:unhideWhenUsed/>
    <w:rsid w:val="00071FD5"/>
    <w:pPr>
      <w:spacing w:before="120" w:after="120" w:line="240" w:lineRule="auto"/>
    </w:pPr>
    <w:rPr>
      <w:rFonts w:ascii="Arial" w:eastAsia="Times New Roman" w:hAnsi="Arial"/>
      <w:color w:val="000000" w:themeColor="text1"/>
      <w:sz w:val="20"/>
      <w:szCs w:val="20"/>
    </w:rPr>
  </w:style>
  <w:style w:type="character" w:customStyle="1" w:styleId="CommentTextChar">
    <w:name w:val="Comment Text Char"/>
    <w:basedOn w:val="DefaultParagraphFont"/>
    <w:link w:val="CommentText"/>
    <w:rsid w:val="00071FD5"/>
    <w:rPr>
      <w:rFonts w:ascii="Arial" w:eastAsia="Times New Roman"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71FD5"/>
    <w:pPr>
      <w:spacing w:before="0" w:after="160"/>
    </w:pPr>
    <w:rPr>
      <w:rFonts w:ascii="Times New Roman" w:eastAsiaTheme="minorHAnsi" w:hAnsi="Times New Roman"/>
      <w:b/>
      <w:bCs/>
      <w:color w:val="auto"/>
    </w:rPr>
  </w:style>
  <w:style w:type="character" w:customStyle="1" w:styleId="CommentSubjectChar">
    <w:name w:val="Comment Subject Char"/>
    <w:basedOn w:val="CommentTextChar"/>
    <w:link w:val="CommentSubject"/>
    <w:uiPriority w:val="99"/>
    <w:semiHidden/>
    <w:rsid w:val="00071FD5"/>
    <w:rPr>
      <w:rFonts w:ascii="Arial" w:eastAsia="Times New Roman" w:hAnsi="Arial"/>
      <w:b/>
      <w:bCs/>
      <w:color w:val="000000" w:themeColor="text1"/>
      <w:sz w:val="20"/>
      <w:szCs w:val="20"/>
    </w:rPr>
  </w:style>
  <w:style w:type="table" w:customStyle="1" w:styleId="DOHACtable">
    <w:name w:val="DOHAC table"/>
    <w:basedOn w:val="TableList4"/>
    <w:uiPriority w:val="99"/>
    <w:rsid w:val="00983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Revision">
    <w:name w:val="Revision"/>
    <w:hidden/>
    <w:uiPriority w:val="99"/>
    <w:semiHidden/>
    <w:rsid w:val="00C24D74"/>
    <w:pPr>
      <w:spacing w:after="0" w:line="240" w:lineRule="auto"/>
    </w:pPr>
  </w:style>
  <w:style w:type="table" w:styleId="TableList4">
    <w:name w:val="Table List 4"/>
    <w:basedOn w:val="TableNormal"/>
    <w:uiPriority w:val="99"/>
    <w:semiHidden/>
    <w:unhideWhenUsed/>
    <w:rsid w:val="00983D0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列"/>
    <w:basedOn w:val="Normal"/>
    <w:link w:val="ListParagraphChar"/>
    <w:uiPriority w:val="34"/>
    <w:qFormat/>
    <w:rsid w:val="008F3121"/>
    <w:pPr>
      <w:ind w:left="720"/>
      <w:contextualSpacing/>
    </w:pPr>
  </w:style>
  <w:style w:type="paragraph" w:styleId="Header">
    <w:name w:val="header"/>
    <w:basedOn w:val="Normal"/>
    <w:link w:val="HeaderChar"/>
    <w:uiPriority w:val="99"/>
    <w:unhideWhenUsed/>
    <w:rsid w:val="00635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669"/>
  </w:style>
  <w:style w:type="paragraph" w:styleId="Footer">
    <w:name w:val="footer"/>
    <w:basedOn w:val="Normal"/>
    <w:link w:val="FooterChar"/>
    <w:uiPriority w:val="99"/>
    <w:unhideWhenUsed/>
    <w:rsid w:val="00635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669"/>
  </w:style>
  <w:style w:type="paragraph" w:styleId="BalloonText">
    <w:name w:val="Balloon Text"/>
    <w:basedOn w:val="Normal"/>
    <w:link w:val="BalloonTextChar"/>
    <w:uiPriority w:val="99"/>
    <w:semiHidden/>
    <w:unhideWhenUsed/>
    <w:rsid w:val="00721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F7E"/>
    <w:rPr>
      <w:rFonts w:ascii="Segoe UI" w:hAnsi="Segoe UI" w:cs="Segoe UI"/>
      <w:sz w:val="18"/>
      <w:szCs w:val="18"/>
    </w:rPr>
  </w:style>
  <w:style w:type="character" w:styleId="Hyperlink">
    <w:name w:val="Hyperlink"/>
    <w:basedOn w:val="DefaultParagraphFont"/>
    <w:uiPriority w:val="99"/>
    <w:unhideWhenUsed/>
    <w:qFormat/>
    <w:rsid w:val="00721F7E"/>
    <w:rPr>
      <w:color w:val="0563C1" w:themeColor="hyperlink"/>
      <w:u w:val="single"/>
    </w:rPr>
  </w:style>
  <w:style w:type="character" w:styleId="UnresolvedMention">
    <w:name w:val="Unresolved Mention"/>
    <w:basedOn w:val="DefaultParagraphFont"/>
    <w:uiPriority w:val="99"/>
    <w:semiHidden/>
    <w:unhideWhenUsed/>
    <w:rsid w:val="00721F7E"/>
    <w:rPr>
      <w:color w:val="605E5C"/>
      <w:shd w:val="clear" w:color="auto" w:fill="E1DFDD"/>
    </w:rPr>
  </w:style>
  <w:style w:type="paragraph" w:styleId="FootnoteText">
    <w:name w:val="footnote text"/>
    <w:basedOn w:val="Normal"/>
    <w:link w:val="FootnoteTextChar"/>
    <w:unhideWhenUsed/>
    <w:rsid w:val="000216CC"/>
    <w:pPr>
      <w:spacing w:after="0" w:line="240" w:lineRule="auto"/>
    </w:pPr>
    <w:rPr>
      <w:sz w:val="20"/>
      <w:szCs w:val="20"/>
    </w:rPr>
  </w:style>
  <w:style w:type="character" w:customStyle="1" w:styleId="FootnoteTextChar">
    <w:name w:val="Footnote Text Char"/>
    <w:basedOn w:val="DefaultParagraphFont"/>
    <w:link w:val="FootnoteText"/>
    <w:rsid w:val="000216CC"/>
    <w:rPr>
      <w:sz w:val="20"/>
      <w:szCs w:val="20"/>
    </w:rPr>
  </w:style>
  <w:style w:type="character" w:styleId="FootnoteReference">
    <w:name w:val="footnote reference"/>
    <w:basedOn w:val="DefaultParagraphFont"/>
    <w:uiPriority w:val="99"/>
    <w:semiHidden/>
    <w:unhideWhenUsed/>
    <w:rsid w:val="000216CC"/>
    <w:rPr>
      <w:vertAlign w:val="superscript"/>
    </w:rPr>
  </w:style>
  <w:style w:type="character" w:customStyle="1" w:styleId="Heading2Char">
    <w:name w:val="Heading 2 Char"/>
    <w:basedOn w:val="DefaultParagraphFont"/>
    <w:link w:val="Heading2"/>
    <w:rsid w:val="00485D39"/>
    <w:rPr>
      <w:rFonts w:ascii="Arial" w:eastAsia="Times New Roman" w:hAnsi="Arial" w:cs="Arial"/>
      <w:b/>
      <w:bCs/>
      <w:iCs/>
      <w:color w:val="358189"/>
      <w:sz w:val="36"/>
      <w:szCs w:val="28"/>
    </w:rPr>
  </w:style>
  <w:style w:type="table" w:styleId="TableGrid">
    <w:name w:val="Table Grid"/>
    <w:basedOn w:val="TableNormal"/>
    <w:uiPriority w:val="39"/>
    <w:rsid w:val="00485D39"/>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uiPriority w:val="34"/>
    <w:locked/>
    <w:rsid w:val="00485D39"/>
  </w:style>
  <w:style w:type="table" w:customStyle="1" w:styleId="DepartmentofHealthtable">
    <w:name w:val="Department of Health table"/>
    <w:basedOn w:val="TableNormal"/>
    <w:uiPriority w:val="99"/>
    <w:rsid w:val="00B7511D"/>
    <w:pPr>
      <w:spacing w:after="0" w:line="240" w:lineRule="auto"/>
    </w:pPr>
    <w:rPr>
      <w:rFonts w:ascii="Arial" w:eastAsia="Times New Roman" w:hAnsi="Arial"/>
      <w:color w:val="000000"/>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paragraph" w:styleId="NoSpacing">
    <w:name w:val="No Spacing"/>
    <w:uiPriority w:val="1"/>
    <w:qFormat/>
    <w:rsid w:val="0000662F"/>
    <w:pPr>
      <w:spacing w:after="0" w:line="240" w:lineRule="auto"/>
    </w:pPr>
    <w:rPr>
      <w:rFonts w:eastAsia="Times New Roman"/>
      <w:lang w:eastAsia="en-AU"/>
    </w:rPr>
  </w:style>
  <w:style w:type="character" w:styleId="FollowedHyperlink">
    <w:name w:val="FollowedHyperlink"/>
    <w:basedOn w:val="DefaultParagraphFont"/>
    <w:uiPriority w:val="99"/>
    <w:semiHidden/>
    <w:unhideWhenUsed/>
    <w:rsid w:val="001C1825"/>
    <w:rPr>
      <w:color w:val="954F72" w:themeColor="followedHyperlink"/>
      <w:u w:val="single"/>
    </w:rPr>
  </w:style>
  <w:style w:type="character" w:customStyle="1" w:styleId="highlight">
    <w:name w:val="highlight"/>
    <w:basedOn w:val="DefaultParagraphFont"/>
    <w:rsid w:val="00F118BD"/>
  </w:style>
  <w:style w:type="paragraph" w:customStyle="1" w:styleId="TableHeader">
    <w:name w:val="Table Header"/>
    <w:basedOn w:val="Normal"/>
    <w:next w:val="Tabletextleft"/>
    <w:qFormat/>
    <w:rsid w:val="00624D43"/>
    <w:pPr>
      <w:spacing w:before="80" w:after="80" w:line="276" w:lineRule="auto"/>
    </w:pPr>
    <w:rPr>
      <w:rFonts w:ascii="Arial" w:eastAsia="Cambria" w:hAnsi="Arial"/>
      <w:b/>
      <w:color w:val="FFFFFF" w:themeColor="background1"/>
      <w:sz w:val="22"/>
      <w:szCs w:val="22"/>
      <w:lang w:val="en-US"/>
    </w:rPr>
  </w:style>
  <w:style w:type="paragraph" w:customStyle="1" w:styleId="Tableheader0">
    <w:name w:val="Table header"/>
    <w:basedOn w:val="Normal"/>
    <w:rsid w:val="00624D43"/>
    <w:pPr>
      <w:spacing w:before="80" w:after="80" w:line="276" w:lineRule="auto"/>
    </w:pPr>
    <w:rPr>
      <w:rFonts w:ascii="Arial" w:eastAsia="Times New Roman" w:hAnsi="Arial"/>
      <w:b/>
      <w:bCs/>
      <w:color w:val="FFFFFF" w:themeColor="background1"/>
      <w:sz w:val="22"/>
      <w:szCs w:val="20"/>
    </w:rPr>
  </w:style>
  <w:style w:type="paragraph" w:customStyle="1" w:styleId="Tabletextleft">
    <w:name w:val="Table text left"/>
    <w:autoRedefine/>
    <w:qFormat/>
    <w:rsid w:val="004F5562"/>
    <w:pPr>
      <w:spacing w:before="60" w:after="60" w:line="240" w:lineRule="auto"/>
      <w:ind w:left="360" w:right="-963" w:hanging="12"/>
    </w:pPr>
    <w:rPr>
      <w:rFonts w:ascii="Arial" w:eastAsia="Times New Roman" w:hAnsi="Arial" w:cs="Arial"/>
      <w:color w:val="000000" w:themeColor="text1"/>
      <w:sz w:val="20"/>
      <w:szCs w:val="20"/>
      <w:lang w:eastAsia="en-AU"/>
    </w:rPr>
  </w:style>
  <w:style w:type="paragraph" w:styleId="ListBullet">
    <w:name w:val="List Bullet"/>
    <w:basedOn w:val="Normal"/>
    <w:qFormat/>
    <w:rsid w:val="00C85A0A"/>
    <w:pPr>
      <w:tabs>
        <w:tab w:val="left" w:pos="340"/>
        <w:tab w:val="left" w:pos="680"/>
      </w:tabs>
      <w:spacing w:before="60" w:after="60" w:line="276" w:lineRule="auto"/>
    </w:pPr>
    <w:rPr>
      <w:rFonts w:ascii="Arial" w:eastAsia="Times New Roman"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8941">
      <w:bodyDiv w:val="1"/>
      <w:marLeft w:val="0"/>
      <w:marRight w:val="0"/>
      <w:marTop w:val="0"/>
      <w:marBottom w:val="0"/>
      <w:divBdr>
        <w:top w:val="none" w:sz="0" w:space="0" w:color="auto"/>
        <w:left w:val="none" w:sz="0" w:space="0" w:color="auto"/>
        <w:bottom w:val="none" w:sz="0" w:space="0" w:color="auto"/>
        <w:right w:val="none" w:sz="0" w:space="0" w:color="auto"/>
      </w:divBdr>
    </w:div>
    <w:div w:id="619729358">
      <w:bodyDiv w:val="1"/>
      <w:marLeft w:val="0"/>
      <w:marRight w:val="0"/>
      <w:marTop w:val="0"/>
      <w:marBottom w:val="0"/>
      <w:divBdr>
        <w:top w:val="none" w:sz="0" w:space="0" w:color="auto"/>
        <w:left w:val="none" w:sz="0" w:space="0" w:color="auto"/>
        <w:bottom w:val="none" w:sz="0" w:space="0" w:color="auto"/>
        <w:right w:val="none" w:sz="0" w:space="0" w:color="auto"/>
      </w:divBdr>
    </w:div>
    <w:div w:id="745343544">
      <w:bodyDiv w:val="1"/>
      <w:marLeft w:val="0"/>
      <w:marRight w:val="0"/>
      <w:marTop w:val="0"/>
      <w:marBottom w:val="0"/>
      <w:divBdr>
        <w:top w:val="none" w:sz="0" w:space="0" w:color="auto"/>
        <w:left w:val="none" w:sz="0" w:space="0" w:color="auto"/>
        <w:bottom w:val="none" w:sz="0" w:space="0" w:color="auto"/>
        <w:right w:val="none" w:sz="0" w:space="0" w:color="auto"/>
      </w:divBdr>
      <w:divsChild>
        <w:div w:id="57637127">
          <w:marLeft w:val="0"/>
          <w:marRight w:val="0"/>
          <w:marTop w:val="0"/>
          <w:marBottom w:val="0"/>
          <w:divBdr>
            <w:top w:val="none" w:sz="0" w:space="0" w:color="auto"/>
            <w:left w:val="none" w:sz="0" w:space="0" w:color="auto"/>
            <w:bottom w:val="none" w:sz="0" w:space="0" w:color="auto"/>
            <w:right w:val="none" w:sz="0" w:space="0" w:color="auto"/>
          </w:divBdr>
        </w:div>
        <w:div w:id="587159851">
          <w:marLeft w:val="0"/>
          <w:marRight w:val="0"/>
          <w:marTop w:val="0"/>
          <w:marBottom w:val="0"/>
          <w:divBdr>
            <w:top w:val="none" w:sz="0" w:space="0" w:color="auto"/>
            <w:left w:val="none" w:sz="0" w:space="0" w:color="auto"/>
            <w:bottom w:val="none" w:sz="0" w:space="0" w:color="auto"/>
            <w:right w:val="none" w:sz="0" w:space="0" w:color="auto"/>
          </w:divBdr>
        </w:div>
        <w:div w:id="2063746348">
          <w:marLeft w:val="0"/>
          <w:marRight w:val="0"/>
          <w:marTop w:val="0"/>
          <w:marBottom w:val="0"/>
          <w:divBdr>
            <w:top w:val="none" w:sz="0" w:space="0" w:color="auto"/>
            <w:left w:val="none" w:sz="0" w:space="0" w:color="auto"/>
            <w:bottom w:val="none" w:sz="0" w:space="0" w:color="auto"/>
            <w:right w:val="none" w:sz="0" w:space="0" w:color="auto"/>
          </w:divBdr>
        </w:div>
        <w:div w:id="1041596320">
          <w:marLeft w:val="0"/>
          <w:marRight w:val="0"/>
          <w:marTop w:val="0"/>
          <w:marBottom w:val="0"/>
          <w:divBdr>
            <w:top w:val="none" w:sz="0" w:space="0" w:color="auto"/>
            <w:left w:val="none" w:sz="0" w:space="0" w:color="auto"/>
            <w:bottom w:val="none" w:sz="0" w:space="0" w:color="auto"/>
            <w:right w:val="none" w:sz="0" w:space="0" w:color="auto"/>
          </w:divBdr>
        </w:div>
        <w:div w:id="1082529819">
          <w:marLeft w:val="0"/>
          <w:marRight w:val="0"/>
          <w:marTop w:val="0"/>
          <w:marBottom w:val="0"/>
          <w:divBdr>
            <w:top w:val="none" w:sz="0" w:space="0" w:color="auto"/>
            <w:left w:val="none" w:sz="0" w:space="0" w:color="auto"/>
            <w:bottom w:val="none" w:sz="0" w:space="0" w:color="auto"/>
            <w:right w:val="none" w:sz="0" w:space="0" w:color="auto"/>
          </w:divBdr>
        </w:div>
        <w:div w:id="491484629">
          <w:marLeft w:val="0"/>
          <w:marRight w:val="0"/>
          <w:marTop w:val="0"/>
          <w:marBottom w:val="0"/>
          <w:divBdr>
            <w:top w:val="none" w:sz="0" w:space="0" w:color="auto"/>
            <w:left w:val="none" w:sz="0" w:space="0" w:color="auto"/>
            <w:bottom w:val="none" w:sz="0" w:space="0" w:color="auto"/>
            <w:right w:val="none" w:sz="0" w:space="0" w:color="auto"/>
          </w:divBdr>
          <w:divsChild>
            <w:div w:id="1491480759">
              <w:marLeft w:val="0"/>
              <w:marRight w:val="0"/>
              <w:marTop w:val="0"/>
              <w:marBottom w:val="0"/>
              <w:divBdr>
                <w:top w:val="none" w:sz="0" w:space="0" w:color="auto"/>
                <w:left w:val="none" w:sz="0" w:space="0" w:color="auto"/>
                <w:bottom w:val="none" w:sz="0" w:space="0" w:color="auto"/>
                <w:right w:val="none" w:sz="0" w:space="0" w:color="auto"/>
              </w:divBdr>
            </w:div>
            <w:div w:id="1614172187">
              <w:marLeft w:val="0"/>
              <w:marRight w:val="0"/>
              <w:marTop w:val="0"/>
              <w:marBottom w:val="0"/>
              <w:divBdr>
                <w:top w:val="none" w:sz="0" w:space="0" w:color="auto"/>
                <w:left w:val="none" w:sz="0" w:space="0" w:color="auto"/>
                <w:bottom w:val="none" w:sz="0" w:space="0" w:color="auto"/>
                <w:right w:val="none" w:sz="0" w:space="0" w:color="auto"/>
              </w:divBdr>
            </w:div>
            <w:div w:id="1822312831">
              <w:marLeft w:val="0"/>
              <w:marRight w:val="0"/>
              <w:marTop w:val="0"/>
              <w:marBottom w:val="0"/>
              <w:divBdr>
                <w:top w:val="none" w:sz="0" w:space="0" w:color="auto"/>
                <w:left w:val="none" w:sz="0" w:space="0" w:color="auto"/>
                <w:bottom w:val="none" w:sz="0" w:space="0" w:color="auto"/>
                <w:right w:val="none" w:sz="0" w:space="0" w:color="auto"/>
              </w:divBdr>
            </w:div>
          </w:divsChild>
        </w:div>
        <w:div w:id="639770210">
          <w:marLeft w:val="0"/>
          <w:marRight w:val="0"/>
          <w:marTop w:val="0"/>
          <w:marBottom w:val="0"/>
          <w:divBdr>
            <w:top w:val="none" w:sz="0" w:space="0" w:color="auto"/>
            <w:left w:val="none" w:sz="0" w:space="0" w:color="auto"/>
            <w:bottom w:val="none" w:sz="0" w:space="0" w:color="auto"/>
            <w:right w:val="none" w:sz="0" w:space="0" w:color="auto"/>
          </w:divBdr>
          <w:divsChild>
            <w:div w:id="984696214">
              <w:marLeft w:val="0"/>
              <w:marRight w:val="0"/>
              <w:marTop w:val="0"/>
              <w:marBottom w:val="0"/>
              <w:divBdr>
                <w:top w:val="none" w:sz="0" w:space="0" w:color="auto"/>
                <w:left w:val="none" w:sz="0" w:space="0" w:color="auto"/>
                <w:bottom w:val="none" w:sz="0" w:space="0" w:color="auto"/>
                <w:right w:val="none" w:sz="0" w:space="0" w:color="auto"/>
              </w:divBdr>
            </w:div>
            <w:div w:id="760031412">
              <w:marLeft w:val="0"/>
              <w:marRight w:val="0"/>
              <w:marTop w:val="0"/>
              <w:marBottom w:val="0"/>
              <w:divBdr>
                <w:top w:val="none" w:sz="0" w:space="0" w:color="auto"/>
                <w:left w:val="none" w:sz="0" w:space="0" w:color="auto"/>
                <w:bottom w:val="none" w:sz="0" w:space="0" w:color="auto"/>
                <w:right w:val="none" w:sz="0" w:space="0" w:color="auto"/>
              </w:divBdr>
            </w:div>
            <w:div w:id="538783568">
              <w:marLeft w:val="0"/>
              <w:marRight w:val="0"/>
              <w:marTop w:val="0"/>
              <w:marBottom w:val="0"/>
              <w:divBdr>
                <w:top w:val="none" w:sz="0" w:space="0" w:color="auto"/>
                <w:left w:val="none" w:sz="0" w:space="0" w:color="auto"/>
                <w:bottom w:val="none" w:sz="0" w:space="0" w:color="auto"/>
                <w:right w:val="none" w:sz="0" w:space="0" w:color="auto"/>
              </w:divBdr>
            </w:div>
            <w:div w:id="758598426">
              <w:marLeft w:val="0"/>
              <w:marRight w:val="0"/>
              <w:marTop w:val="0"/>
              <w:marBottom w:val="0"/>
              <w:divBdr>
                <w:top w:val="none" w:sz="0" w:space="0" w:color="auto"/>
                <w:left w:val="none" w:sz="0" w:space="0" w:color="auto"/>
                <w:bottom w:val="none" w:sz="0" w:space="0" w:color="auto"/>
                <w:right w:val="none" w:sz="0" w:space="0" w:color="auto"/>
              </w:divBdr>
            </w:div>
            <w:div w:id="920137001">
              <w:marLeft w:val="0"/>
              <w:marRight w:val="0"/>
              <w:marTop w:val="0"/>
              <w:marBottom w:val="0"/>
              <w:divBdr>
                <w:top w:val="none" w:sz="0" w:space="0" w:color="auto"/>
                <w:left w:val="none" w:sz="0" w:space="0" w:color="auto"/>
                <w:bottom w:val="none" w:sz="0" w:space="0" w:color="auto"/>
                <w:right w:val="none" w:sz="0" w:space="0" w:color="auto"/>
              </w:divBdr>
            </w:div>
          </w:divsChild>
        </w:div>
        <w:div w:id="776948077">
          <w:marLeft w:val="0"/>
          <w:marRight w:val="0"/>
          <w:marTop w:val="0"/>
          <w:marBottom w:val="0"/>
          <w:divBdr>
            <w:top w:val="none" w:sz="0" w:space="0" w:color="auto"/>
            <w:left w:val="none" w:sz="0" w:space="0" w:color="auto"/>
            <w:bottom w:val="none" w:sz="0" w:space="0" w:color="auto"/>
            <w:right w:val="none" w:sz="0" w:space="0" w:color="auto"/>
          </w:divBdr>
          <w:divsChild>
            <w:div w:id="638531841">
              <w:marLeft w:val="0"/>
              <w:marRight w:val="0"/>
              <w:marTop w:val="0"/>
              <w:marBottom w:val="0"/>
              <w:divBdr>
                <w:top w:val="none" w:sz="0" w:space="0" w:color="auto"/>
                <w:left w:val="none" w:sz="0" w:space="0" w:color="auto"/>
                <w:bottom w:val="none" w:sz="0" w:space="0" w:color="auto"/>
                <w:right w:val="none" w:sz="0" w:space="0" w:color="auto"/>
              </w:divBdr>
            </w:div>
            <w:div w:id="495220971">
              <w:marLeft w:val="0"/>
              <w:marRight w:val="0"/>
              <w:marTop w:val="0"/>
              <w:marBottom w:val="0"/>
              <w:divBdr>
                <w:top w:val="none" w:sz="0" w:space="0" w:color="auto"/>
                <w:left w:val="none" w:sz="0" w:space="0" w:color="auto"/>
                <w:bottom w:val="none" w:sz="0" w:space="0" w:color="auto"/>
                <w:right w:val="none" w:sz="0" w:space="0" w:color="auto"/>
              </w:divBdr>
            </w:div>
            <w:div w:id="1983347895">
              <w:marLeft w:val="0"/>
              <w:marRight w:val="0"/>
              <w:marTop w:val="0"/>
              <w:marBottom w:val="0"/>
              <w:divBdr>
                <w:top w:val="none" w:sz="0" w:space="0" w:color="auto"/>
                <w:left w:val="none" w:sz="0" w:space="0" w:color="auto"/>
                <w:bottom w:val="none" w:sz="0" w:space="0" w:color="auto"/>
                <w:right w:val="none" w:sz="0" w:space="0" w:color="auto"/>
              </w:divBdr>
            </w:div>
          </w:divsChild>
        </w:div>
        <w:div w:id="247614118">
          <w:marLeft w:val="0"/>
          <w:marRight w:val="0"/>
          <w:marTop w:val="0"/>
          <w:marBottom w:val="0"/>
          <w:divBdr>
            <w:top w:val="none" w:sz="0" w:space="0" w:color="auto"/>
            <w:left w:val="none" w:sz="0" w:space="0" w:color="auto"/>
            <w:bottom w:val="none" w:sz="0" w:space="0" w:color="auto"/>
            <w:right w:val="none" w:sz="0" w:space="0" w:color="auto"/>
          </w:divBdr>
          <w:divsChild>
            <w:div w:id="83844440">
              <w:marLeft w:val="0"/>
              <w:marRight w:val="0"/>
              <w:marTop w:val="0"/>
              <w:marBottom w:val="0"/>
              <w:divBdr>
                <w:top w:val="none" w:sz="0" w:space="0" w:color="auto"/>
                <w:left w:val="none" w:sz="0" w:space="0" w:color="auto"/>
                <w:bottom w:val="none" w:sz="0" w:space="0" w:color="auto"/>
                <w:right w:val="none" w:sz="0" w:space="0" w:color="auto"/>
              </w:divBdr>
            </w:div>
            <w:div w:id="488984352">
              <w:marLeft w:val="0"/>
              <w:marRight w:val="0"/>
              <w:marTop w:val="0"/>
              <w:marBottom w:val="0"/>
              <w:divBdr>
                <w:top w:val="none" w:sz="0" w:space="0" w:color="auto"/>
                <w:left w:val="none" w:sz="0" w:space="0" w:color="auto"/>
                <w:bottom w:val="none" w:sz="0" w:space="0" w:color="auto"/>
                <w:right w:val="none" w:sz="0" w:space="0" w:color="auto"/>
              </w:divBdr>
            </w:div>
            <w:div w:id="520624897">
              <w:marLeft w:val="0"/>
              <w:marRight w:val="0"/>
              <w:marTop w:val="0"/>
              <w:marBottom w:val="0"/>
              <w:divBdr>
                <w:top w:val="none" w:sz="0" w:space="0" w:color="auto"/>
                <w:left w:val="none" w:sz="0" w:space="0" w:color="auto"/>
                <w:bottom w:val="none" w:sz="0" w:space="0" w:color="auto"/>
                <w:right w:val="none" w:sz="0" w:space="0" w:color="auto"/>
              </w:divBdr>
            </w:div>
            <w:div w:id="1016033065">
              <w:marLeft w:val="0"/>
              <w:marRight w:val="0"/>
              <w:marTop w:val="0"/>
              <w:marBottom w:val="0"/>
              <w:divBdr>
                <w:top w:val="none" w:sz="0" w:space="0" w:color="auto"/>
                <w:left w:val="none" w:sz="0" w:space="0" w:color="auto"/>
                <w:bottom w:val="none" w:sz="0" w:space="0" w:color="auto"/>
                <w:right w:val="none" w:sz="0" w:space="0" w:color="auto"/>
              </w:divBdr>
            </w:div>
          </w:divsChild>
        </w:div>
        <w:div w:id="121048150">
          <w:marLeft w:val="0"/>
          <w:marRight w:val="0"/>
          <w:marTop w:val="0"/>
          <w:marBottom w:val="0"/>
          <w:divBdr>
            <w:top w:val="none" w:sz="0" w:space="0" w:color="auto"/>
            <w:left w:val="none" w:sz="0" w:space="0" w:color="auto"/>
            <w:bottom w:val="none" w:sz="0" w:space="0" w:color="auto"/>
            <w:right w:val="none" w:sz="0" w:space="0" w:color="auto"/>
          </w:divBdr>
          <w:divsChild>
            <w:div w:id="957224009">
              <w:marLeft w:val="0"/>
              <w:marRight w:val="0"/>
              <w:marTop w:val="0"/>
              <w:marBottom w:val="0"/>
              <w:divBdr>
                <w:top w:val="none" w:sz="0" w:space="0" w:color="auto"/>
                <w:left w:val="none" w:sz="0" w:space="0" w:color="auto"/>
                <w:bottom w:val="none" w:sz="0" w:space="0" w:color="auto"/>
                <w:right w:val="none" w:sz="0" w:space="0" w:color="auto"/>
              </w:divBdr>
            </w:div>
            <w:div w:id="919213756">
              <w:marLeft w:val="0"/>
              <w:marRight w:val="0"/>
              <w:marTop w:val="0"/>
              <w:marBottom w:val="0"/>
              <w:divBdr>
                <w:top w:val="none" w:sz="0" w:space="0" w:color="auto"/>
                <w:left w:val="none" w:sz="0" w:space="0" w:color="auto"/>
                <w:bottom w:val="none" w:sz="0" w:space="0" w:color="auto"/>
                <w:right w:val="none" w:sz="0" w:space="0" w:color="auto"/>
              </w:divBdr>
            </w:div>
            <w:div w:id="1233466635">
              <w:marLeft w:val="0"/>
              <w:marRight w:val="0"/>
              <w:marTop w:val="0"/>
              <w:marBottom w:val="0"/>
              <w:divBdr>
                <w:top w:val="none" w:sz="0" w:space="0" w:color="auto"/>
                <w:left w:val="none" w:sz="0" w:space="0" w:color="auto"/>
                <w:bottom w:val="none" w:sz="0" w:space="0" w:color="auto"/>
                <w:right w:val="none" w:sz="0" w:space="0" w:color="auto"/>
              </w:divBdr>
            </w:div>
          </w:divsChild>
        </w:div>
        <w:div w:id="424152941">
          <w:marLeft w:val="0"/>
          <w:marRight w:val="0"/>
          <w:marTop w:val="0"/>
          <w:marBottom w:val="0"/>
          <w:divBdr>
            <w:top w:val="none" w:sz="0" w:space="0" w:color="auto"/>
            <w:left w:val="none" w:sz="0" w:space="0" w:color="auto"/>
            <w:bottom w:val="none" w:sz="0" w:space="0" w:color="auto"/>
            <w:right w:val="none" w:sz="0" w:space="0" w:color="auto"/>
          </w:divBdr>
          <w:divsChild>
            <w:div w:id="1070932388">
              <w:marLeft w:val="-75"/>
              <w:marRight w:val="0"/>
              <w:marTop w:val="30"/>
              <w:marBottom w:val="30"/>
              <w:divBdr>
                <w:top w:val="none" w:sz="0" w:space="0" w:color="auto"/>
                <w:left w:val="none" w:sz="0" w:space="0" w:color="auto"/>
                <w:bottom w:val="none" w:sz="0" w:space="0" w:color="auto"/>
                <w:right w:val="none" w:sz="0" w:space="0" w:color="auto"/>
              </w:divBdr>
              <w:divsChild>
                <w:div w:id="1612127117">
                  <w:marLeft w:val="0"/>
                  <w:marRight w:val="0"/>
                  <w:marTop w:val="0"/>
                  <w:marBottom w:val="0"/>
                  <w:divBdr>
                    <w:top w:val="none" w:sz="0" w:space="0" w:color="auto"/>
                    <w:left w:val="none" w:sz="0" w:space="0" w:color="auto"/>
                    <w:bottom w:val="none" w:sz="0" w:space="0" w:color="auto"/>
                    <w:right w:val="none" w:sz="0" w:space="0" w:color="auto"/>
                  </w:divBdr>
                  <w:divsChild>
                    <w:div w:id="1310668433">
                      <w:marLeft w:val="0"/>
                      <w:marRight w:val="0"/>
                      <w:marTop w:val="0"/>
                      <w:marBottom w:val="0"/>
                      <w:divBdr>
                        <w:top w:val="none" w:sz="0" w:space="0" w:color="auto"/>
                        <w:left w:val="none" w:sz="0" w:space="0" w:color="auto"/>
                        <w:bottom w:val="none" w:sz="0" w:space="0" w:color="auto"/>
                        <w:right w:val="none" w:sz="0" w:space="0" w:color="auto"/>
                      </w:divBdr>
                    </w:div>
                  </w:divsChild>
                </w:div>
                <w:div w:id="509567627">
                  <w:marLeft w:val="0"/>
                  <w:marRight w:val="0"/>
                  <w:marTop w:val="0"/>
                  <w:marBottom w:val="0"/>
                  <w:divBdr>
                    <w:top w:val="none" w:sz="0" w:space="0" w:color="auto"/>
                    <w:left w:val="none" w:sz="0" w:space="0" w:color="auto"/>
                    <w:bottom w:val="none" w:sz="0" w:space="0" w:color="auto"/>
                    <w:right w:val="none" w:sz="0" w:space="0" w:color="auto"/>
                  </w:divBdr>
                  <w:divsChild>
                    <w:div w:id="182863297">
                      <w:marLeft w:val="0"/>
                      <w:marRight w:val="0"/>
                      <w:marTop w:val="0"/>
                      <w:marBottom w:val="0"/>
                      <w:divBdr>
                        <w:top w:val="none" w:sz="0" w:space="0" w:color="auto"/>
                        <w:left w:val="none" w:sz="0" w:space="0" w:color="auto"/>
                        <w:bottom w:val="none" w:sz="0" w:space="0" w:color="auto"/>
                        <w:right w:val="none" w:sz="0" w:space="0" w:color="auto"/>
                      </w:divBdr>
                    </w:div>
                  </w:divsChild>
                </w:div>
                <w:div w:id="725221704">
                  <w:marLeft w:val="0"/>
                  <w:marRight w:val="0"/>
                  <w:marTop w:val="0"/>
                  <w:marBottom w:val="0"/>
                  <w:divBdr>
                    <w:top w:val="none" w:sz="0" w:space="0" w:color="auto"/>
                    <w:left w:val="none" w:sz="0" w:space="0" w:color="auto"/>
                    <w:bottom w:val="none" w:sz="0" w:space="0" w:color="auto"/>
                    <w:right w:val="none" w:sz="0" w:space="0" w:color="auto"/>
                  </w:divBdr>
                  <w:divsChild>
                    <w:div w:id="621885919">
                      <w:marLeft w:val="0"/>
                      <w:marRight w:val="0"/>
                      <w:marTop w:val="0"/>
                      <w:marBottom w:val="0"/>
                      <w:divBdr>
                        <w:top w:val="none" w:sz="0" w:space="0" w:color="auto"/>
                        <w:left w:val="none" w:sz="0" w:space="0" w:color="auto"/>
                        <w:bottom w:val="none" w:sz="0" w:space="0" w:color="auto"/>
                        <w:right w:val="none" w:sz="0" w:space="0" w:color="auto"/>
                      </w:divBdr>
                    </w:div>
                  </w:divsChild>
                </w:div>
                <w:div w:id="1816675842">
                  <w:marLeft w:val="0"/>
                  <w:marRight w:val="0"/>
                  <w:marTop w:val="0"/>
                  <w:marBottom w:val="0"/>
                  <w:divBdr>
                    <w:top w:val="none" w:sz="0" w:space="0" w:color="auto"/>
                    <w:left w:val="none" w:sz="0" w:space="0" w:color="auto"/>
                    <w:bottom w:val="none" w:sz="0" w:space="0" w:color="auto"/>
                    <w:right w:val="none" w:sz="0" w:space="0" w:color="auto"/>
                  </w:divBdr>
                  <w:divsChild>
                    <w:div w:id="902176519">
                      <w:marLeft w:val="0"/>
                      <w:marRight w:val="0"/>
                      <w:marTop w:val="0"/>
                      <w:marBottom w:val="0"/>
                      <w:divBdr>
                        <w:top w:val="none" w:sz="0" w:space="0" w:color="auto"/>
                        <w:left w:val="none" w:sz="0" w:space="0" w:color="auto"/>
                        <w:bottom w:val="none" w:sz="0" w:space="0" w:color="auto"/>
                        <w:right w:val="none" w:sz="0" w:space="0" w:color="auto"/>
                      </w:divBdr>
                    </w:div>
                  </w:divsChild>
                </w:div>
                <w:div w:id="284435668">
                  <w:marLeft w:val="0"/>
                  <w:marRight w:val="0"/>
                  <w:marTop w:val="0"/>
                  <w:marBottom w:val="0"/>
                  <w:divBdr>
                    <w:top w:val="none" w:sz="0" w:space="0" w:color="auto"/>
                    <w:left w:val="none" w:sz="0" w:space="0" w:color="auto"/>
                    <w:bottom w:val="none" w:sz="0" w:space="0" w:color="auto"/>
                    <w:right w:val="none" w:sz="0" w:space="0" w:color="auto"/>
                  </w:divBdr>
                  <w:divsChild>
                    <w:div w:id="1167012254">
                      <w:marLeft w:val="0"/>
                      <w:marRight w:val="0"/>
                      <w:marTop w:val="0"/>
                      <w:marBottom w:val="0"/>
                      <w:divBdr>
                        <w:top w:val="none" w:sz="0" w:space="0" w:color="auto"/>
                        <w:left w:val="none" w:sz="0" w:space="0" w:color="auto"/>
                        <w:bottom w:val="none" w:sz="0" w:space="0" w:color="auto"/>
                        <w:right w:val="none" w:sz="0" w:space="0" w:color="auto"/>
                      </w:divBdr>
                    </w:div>
                  </w:divsChild>
                </w:div>
                <w:div w:id="1696806802">
                  <w:marLeft w:val="0"/>
                  <w:marRight w:val="0"/>
                  <w:marTop w:val="0"/>
                  <w:marBottom w:val="0"/>
                  <w:divBdr>
                    <w:top w:val="none" w:sz="0" w:space="0" w:color="auto"/>
                    <w:left w:val="none" w:sz="0" w:space="0" w:color="auto"/>
                    <w:bottom w:val="none" w:sz="0" w:space="0" w:color="auto"/>
                    <w:right w:val="none" w:sz="0" w:space="0" w:color="auto"/>
                  </w:divBdr>
                  <w:divsChild>
                    <w:div w:id="2032605741">
                      <w:marLeft w:val="0"/>
                      <w:marRight w:val="0"/>
                      <w:marTop w:val="0"/>
                      <w:marBottom w:val="0"/>
                      <w:divBdr>
                        <w:top w:val="none" w:sz="0" w:space="0" w:color="auto"/>
                        <w:left w:val="none" w:sz="0" w:space="0" w:color="auto"/>
                        <w:bottom w:val="none" w:sz="0" w:space="0" w:color="auto"/>
                        <w:right w:val="none" w:sz="0" w:space="0" w:color="auto"/>
                      </w:divBdr>
                    </w:div>
                    <w:div w:id="1020006851">
                      <w:marLeft w:val="0"/>
                      <w:marRight w:val="0"/>
                      <w:marTop w:val="0"/>
                      <w:marBottom w:val="0"/>
                      <w:divBdr>
                        <w:top w:val="none" w:sz="0" w:space="0" w:color="auto"/>
                        <w:left w:val="none" w:sz="0" w:space="0" w:color="auto"/>
                        <w:bottom w:val="none" w:sz="0" w:space="0" w:color="auto"/>
                        <w:right w:val="none" w:sz="0" w:space="0" w:color="auto"/>
                      </w:divBdr>
                    </w:div>
                  </w:divsChild>
                </w:div>
                <w:div w:id="761266588">
                  <w:marLeft w:val="0"/>
                  <w:marRight w:val="0"/>
                  <w:marTop w:val="0"/>
                  <w:marBottom w:val="0"/>
                  <w:divBdr>
                    <w:top w:val="none" w:sz="0" w:space="0" w:color="auto"/>
                    <w:left w:val="none" w:sz="0" w:space="0" w:color="auto"/>
                    <w:bottom w:val="none" w:sz="0" w:space="0" w:color="auto"/>
                    <w:right w:val="none" w:sz="0" w:space="0" w:color="auto"/>
                  </w:divBdr>
                  <w:divsChild>
                    <w:div w:id="1704330308">
                      <w:marLeft w:val="0"/>
                      <w:marRight w:val="0"/>
                      <w:marTop w:val="0"/>
                      <w:marBottom w:val="0"/>
                      <w:divBdr>
                        <w:top w:val="none" w:sz="0" w:space="0" w:color="auto"/>
                        <w:left w:val="none" w:sz="0" w:space="0" w:color="auto"/>
                        <w:bottom w:val="none" w:sz="0" w:space="0" w:color="auto"/>
                        <w:right w:val="none" w:sz="0" w:space="0" w:color="auto"/>
                      </w:divBdr>
                    </w:div>
                  </w:divsChild>
                </w:div>
                <w:div w:id="912197800">
                  <w:marLeft w:val="0"/>
                  <w:marRight w:val="0"/>
                  <w:marTop w:val="0"/>
                  <w:marBottom w:val="0"/>
                  <w:divBdr>
                    <w:top w:val="none" w:sz="0" w:space="0" w:color="auto"/>
                    <w:left w:val="none" w:sz="0" w:space="0" w:color="auto"/>
                    <w:bottom w:val="none" w:sz="0" w:space="0" w:color="auto"/>
                    <w:right w:val="none" w:sz="0" w:space="0" w:color="auto"/>
                  </w:divBdr>
                  <w:divsChild>
                    <w:div w:id="1327899899">
                      <w:marLeft w:val="0"/>
                      <w:marRight w:val="0"/>
                      <w:marTop w:val="0"/>
                      <w:marBottom w:val="0"/>
                      <w:divBdr>
                        <w:top w:val="none" w:sz="0" w:space="0" w:color="auto"/>
                        <w:left w:val="none" w:sz="0" w:space="0" w:color="auto"/>
                        <w:bottom w:val="none" w:sz="0" w:space="0" w:color="auto"/>
                        <w:right w:val="none" w:sz="0" w:space="0" w:color="auto"/>
                      </w:divBdr>
                    </w:div>
                    <w:div w:id="865287651">
                      <w:marLeft w:val="0"/>
                      <w:marRight w:val="0"/>
                      <w:marTop w:val="0"/>
                      <w:marBottom w:val="0"/>
                      <w:divBdr>
                        <w:top w:val="none" w:sz="0" w:space="0" w:color="auto"/>
                        <w:left w:val="none" w:sz="0" w:space="0" w:color="auto"/>
                        <w:bottom w:val="none" w:sz="0" w:space="0" w:color="auto"/>
                        <w:right w:val="none" w:sz="0" w:space="0" w:color="auto"/>
                      </w:divBdr>
                    </w:div>
                  </w:divsChild>
                </w:div>
                <w:div w:id="501898447">
                  <w:marLeft w:val="0"/>
                  <w:marRight w:val="0"/>
                  <w:marTop w:val="0"/>
                  <w:marBottom w:val="0"/>
                  <w:divBdr>
                    <w:top w:val="none" w:sz="0" w:space="0" w:color="auto"/>
                    <w:left w:val="none" w:sz="0" w:space="0" w:color="auto"/>
                    <w:bottom w:val="none" w:sz="0" w:space="0" w:color="auto"/>
                    <w:right w:val="none" w:sz="0" w:space="0" w:color="auto"/>
                  </w:divBdr>
                  <w:divsChild>
                    <w:div w:id="405805195">
                      <w:marLeft w:val="0"/>
                      <w:marRight w:val="0"/>
                      <w:marTop w:val="0"/>
                      <w:marBottom w:val="0"/>
                      <w:divBdr>
                        <w:top w:val="none" w:sz="0" w:space="0" w:color="auto"/>
                        <w:left w:val="none" w:sz="0" w:space="0" w:color="auto"/>
                        <w:bottom w:val="none" w:sz="0" w:space="0" w:color="auto"/>
                        <w:right w:val="none" w:sz="0" w:space="0" w:color="auto"/>
                      </w:divBdr>
                    </w:div>
                  </w:divsChild>
                </w:div>
                <w:div w:id="797338371">
                  <w:marLeft w:val="0"/>
                  <w:marRight w:val="0"/>
                  <w:marTop w:val="0"/>
                  <w:marBottom w:val="0"/>
                  <w:divBdr>
                    <w:top w:val="none" w:sz="0" w:space="0" w:color="auto"/>
                    <w:left w:val="none" w:sz="0" w:space="0" w:color="auto"/>
                    <w:bottom w:val="none" w:sz="0" w:space="0" w:color="auto"/>
                    <w:right w:val="none" w:sz="0" w:space="0" w:color="auto"/>
                  </w:divBdr>
                  <w:divsChild>
                    <w:div w:id="208036295">
                      <w:marLeft w:val="0"/>
                      <w:marRight w:val="0"/>
                      <w:marTop w:val="0"/>
                      <w:marBottom w:val="0"/>
                      <w:divBdr>
                        <w:top w:val="none" w:sz="0" w:space="0" w:color="auto"/>
                        <w:left w:val="none" w:sz="0" w:space="0" w:color="auto"/>
                        <w:bottom w:val="none" w:sz="0" w:space="0" w:color="auto"/>
                        <w:right w:val="none" w:sz="0" w:space="0" w:color="auto"/>
                      </w:divBdr>
                    </w:div>
                  </w:divsChild>
                </w:div>
                <w:div w:id="819418140">
                  <w:marLeft w:val="0"/>
                  <w:marRight w:val="0"/>
                  <w:marTop w:val="0"/>
                  <w:marBottom w:val="0"/>
                  <w:divBdr>
                    <w:top w:val="none" w:sz="0" w:space="0" w:color="auto"/>
                    <w:left w:val="none" w:sz="0" w:space="0" w:color="auto"/>
                    <w:bottom w:val="none" w:sz="0" w:space="0" w:color="auto"/>
                    <w:right w:val="none" w:sz="0" w:space="0" w:color="auto"/>
                  </w:divBdr>
                  <w:divsChild>
                    <w:div w:id="9070327">
                      <w:marLeft w:val="0"/>
                      <w:marRight w:val="0"/>
                      <w:marTop w:val="0"/>
                      <w:marBottom w:val="0"/>
                      <w:divBdr>
                        <w:top w:val="none" w:sz="0" w:space="0" w:color="auto"/>
                        <w:left w:val="none" w:sz="0" w:space="0" w:color="auto"/>
                        <w:bottom w:val="none" w:sz="0" w:space="0" w:color="auto"/>
                        <w:right w:val="none" w:sz="0" w:space="0" w:color="auto"/>
                      </w:divBdr>
                    </w:div>
                  </w:divsChild>
                </w:div>
                <w:div w:id="725494597">
                  <w:marLeft w:val="0"/>
                  <w:marRight w:val="0"/>
                  <w:marTop w:val="0"/>
                  <w:marBottom w:val="0"/>
                  <w:divBdr>
                    <w:top w:val="none" w:sz="0" w:space="0" w:color="auto"/>
                    <w:left w:val="none" w:sz="0" w:space="0" w:color="auto"/>
                    <w:bottom w:val="none" w:sz="0" w:space="0" w:color="auto"/>
                    <w:right w:val="none" w:sz="0" w:space="0" w:color="auto"/>
                  </w:divBdr>
                  <w:divsChild>
                    <w:div w:id="1498302678">
                      <w:marLeft w:val="0"/>
                      <w:marRight w:val="0"/>
                      <w:marTop w:val="0"/>
                      <w:marBottom w:val="0"/>
                      <w:divBdr>
                        <w:top w:val="none" w:sz="0" w:space="0" w:color="auto"/>
                        <w:left w:val="none" w:sz="0" w:space="0" w:color="auto"/>
                        <w:bottom w:val="none" w:sz="0" w:space="0" w:color="auto"/>
                        <w:right w:val="none" w:sz="0" w:space="0" w:color="auto"/>
                      </w:divBdr>
                    </w:div>
                    <w:div w:id="1717703364">
                      <w:marLeft w:val="0"/>
                      <w:marRight w:val="0"/>
                      <w:marTop w:val="0"/>
                      <w:marBottom w:val="0"/>
                      <w:divBdr>
                        <w:top w:val="none" w:sz="0" w:space="0" w:color="auto"/>
                        <w:left w:val="none" w:sz="0" w:space="0" w:color="auto"/>
                        <w:bottom w:val="none" w:sz="0" w:space="0" w:color="auto"/>
                        <w:right w:val="none" w:sz="0" w:space="0" w:color="auto"/>
                      </w:divBdr>
                    </w:div>
                    <w:div w:id="1794979485">
                      <w:marLeft w:val="0"/>
                      <w:marRight w:val="0"/>
                      <w:marTop w:val="0"/>
                      <w:marBottom w:val="0"/>
                      <w:divBdr>
                        <w:top w:val="none" w:sz="0" w:space="0" w:color="auto"/>
                        <w:left w:val="none" w:sz="0" w:space="0" w:color="auto"/>
                        <w:bottom w:val="none" w:sz="0" w:space="0" w:color="auto"/>
                        <w:right w:val="none" w:sz="0" w:space="0" w:color="auto"/>
                      </w:divBdr>
                    </w:div>
                  </w:divsChild>
                </w:div>
                <w:div w:id="507722406">
                  <w:marLeft w:val="0"/>
                  <w:marRight w:val="0"/>
                  <w:marTop w:val="0"/>
                  <w:marBottom w:val="0"/>
                  <w:divBdr>
                    <w:top w:val="none" w:sz="0" w:space="0" w:color="auto"/>
                    <w:left w:val="none" w:sz="0" w:space="0" w:color="auto"/>
                    <w:bottom w:val="none" w:sz="0" w:space="0" w:color="auto"/>
                    <w:right w:val="none" w:sz="0" w:space="0" w:color="auto"/>
                  </w:divBdr>
                  <w:divsChild>
                    <w:div w:id="147483409">
                      <w:marLeft w:val="0"/>
                      <w:marRight w:val="0"/>
                      <w:marTop w:val="0"/>
                      <w:marBottom w:val="0"/>
                      <w:divBdr>
                        <w:top w:val="none" w:sz="0" w:space="0" w:color="auto"/>
                        <w:left w:val="none" w:sz="0" w:space="0" w:color="auto"/>
                        <w:bottom w:val="none" w:sz="0" w:space="0" w:color="auto"/>
                        <w:right w:val="none" w:sz="0" w:space="0" w:color="auto"/>
                      </w:divBdr>
                    </w:div>
                  </w:divsChild>
                </w:div>
                <w:div w:id="184104611">
                  <w:marLeft w:val="0"/>
                  <w:marRight w:val="0"/>
                  <w:marTop w:val="0"/>
                  <w:marBottom w:val="0"/>
                  <w:divBdr>
                    <w:top w:val="none" w:sz="0" w:space="0" w:color="auto"/>
                    <w:left w:val="none" w:sz="0" w:space="0" w:color="auto"/>
                    <w:bottom w:val="none" w:sz="0" w:space="0" w:color="auto"/>
                    <w:right w:val="none" w:sz="0" w:space="0" w:color="auto"/>
                  </w:divBdr>
                  <w:divsChild>
                    <w:div w:id="184057668">
                      <w:marLeft w:val="0"/>
                      <w:marRight w:val="0"/>
                      <w:marTop w:val="0"/>
                      <w:marBottom w:val="0"/>
                      <w:divBdr>
                        <w:top w:val="none" w:sz="0" w:space="0" w:color="auto"/>
                        <w:left w:val="none" w:sz="0" w:space="0" w:color="auto"/>
                        <w:bottom w:val="none" w:sz="0" w:space="0" w:color="auto"/>
                        <w:right w:val="none" w:sz="0" w:space="0" w:color="auto"/>
                      </w:divBdr>
                    </w:div>
                  </w:divsChild>
                </w:div>
                <w:div w:id="298188983">
                  <w:marLeft w:val="0"/>
                  <w:marRight w:val="0"/>
                  <w:marTop w:val="0"/>
                  <w:marBottom w:val="0"/>
                  <w:divBdr>
                    <w:top w:val="none" w:sz="0" w:space="0" w:color="auto"/>
                    <w:left w:val="none" w:sz="0" w:space="0" w:color="auto"/>
                    <w:bottom w:val="none" w:sz="0" w:space="0" w:color="auto"/>
                    <w:right w:val="none" w:sz="0" w:space="0" w:color="auto"/>
                  </w:divBdr>
                  <w:divsChild>
                    <w:div w:id="350648506">
                      <w:marLeft w:val="0"/>
                      <w:marRight w:val="0"/>
                      <w:marTop w:val="0"/>
                      <w:marBottom w:val="0"/>
                      <w:divBdr>
                        <w:top w:val="none" w:sz="0" w:space="0" w:color="auto"/>
                        <w:left w:val="none" w:sz="0" w:space="0" w:color="auto"/>
                        <w:bottom w:val="none" w:sz="0" w:space="0" w:color="auto"/>
                        <w:right w:val="none" w:sz="0" w:space="0" w:color="auto"/>
                      </w:divBdr>
                    </w:div>
                  </w:divsChild>
                </w:div>
                <w:div w:id="1704748112">
                  <w:marLeft w:val="0"/>
                  <w:marRight w:val="0"/>
                  <w:marTop w:val="0"/>
                  <w:marBottom w:val="0"/>
                  <w:divBdr>
                    <w:top w:val="none" w:sz="0" w:space="0" w:color="auto"/>
                    <w:left w:val="none" w:sz="0" w:space="0" w:color="auto"/>
                    <w:bottom w:val="none" w:sz="0" w:space="0" w:color="auto"/>
                    <w:right w:val="none" w:sz="0" w:space="0" w:color="auto"/>
                  </w:divBdr>
                  <w:divsChild>
                    <w:div w:id="1923643239">
                      <w:marLeft w:val="0"/>
                      <w:marRight w:val="0"/>
                      <w:marTop w:val="0"/>
                      <w:marBottom w:val="0"/>
                      <w:divBdr>
                        <w:top w:val="none" w:sz="0" w:space="0" w:color="auto"/>
                        <w:left w:val="none" w:sz="0" w:space="0" w:color="auto"/>
                        <w:bottom w:val="none" w:sz="0" w:space="0" w:color="auto"/>
                        <w:right w:val="none" w:sz="0" w:space="0" w:color="auto"/>
                      </w:divBdr>
                    </w:div>
                  </w:divsChild>
                </w:div>
                <w:div w:id="1918637637">
                  <w:marLeft w:val="0"/>
                  <w:marRight w:val="0"/>
                  <w:marTop w:val="0"/>
                  <w:marBottom w:val="0"/>
                  <w:divBdr>
                    <w:top w:val="none" w:sz="0" w:space="0" w:color="auto"/>
                    <w:left w:val="none" w:sz="0" w:space="0" w:color="auto"/>
                    <w:bottom w:val="none" w:sz="0" w:space="0" w:color="auto"/>
                    <w:right w:val="none" w:sz="0" w:space="0" w:color="auto"/>
                  </w:divBdr>
                  <w:divsChild>
                    <w:div w:id="67074046">
                      <w:marLeft w:val="0"/>
                      <w:marRight w:val="0"/>
                      <w:marTop w:val="0"/>
                      <w:marBottom w:val="0"/>
                      <w:divBdr>
                        <w:top w:val="none" w:sz="0" w:space="0" w:color="auto"/>
                        <w:left w:val="none" w:sz="0" w:space="0" w:color="auto"/>
                        <w:bottom w:val="none" w:sz="0" w:space="0" w:color="auto"/>
                        <w:right w:val="none" w:sz="0" w:space="0" w:color="auto"/>
                      </w:divBdr>
                    </w:div>
                  </w:divsChild>
                </w:div>
                <w:div w:id="396713285">
                  <w:marLeft w:val="0"/>
                  <w:marRight w:val="0"/>
                  <w:marTop w:val="0"/>
                  <w:marBottom w:val="0"/>
                  <w:divBdr>
                    <w:top w:val="none" w:sz="0" w:space="0" w:color="auto"/>
                    <w:left w:val="none" w:sz="0" w:space="0" w:color="auto"/>
                    <w:bottom w:val="none" w:sz="0" w:space="0" w:color="auto"/>
                    <w:right w:val="none" w:sz="0" w:space="0" w:color="auto"/>
                  </w:divBdr>
                  <w:divsChild>
                    <w:div w:id="15374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16509">
          <w:marLeft w:val="0"/>
          <w:marRight w:val="0"/>
          <w:marTop w:val="0"/>
          <w:marBottom w:val="0"/>
          <w:divBdr>
            <w:top w:val="none" w:sz="0" w:space="0" w:color="auto"/>
            <w:left w:val="none" w:sz="0" w:space="0" w:color="auto"/>
            <w:bottom w:val="none" w:sz="0" w:space="0" w:color="auto"/>
            <w:right w:val="none" w:sz="0" w:space="0" w:color="auto"/>
          </w:divBdr>
          <w:divsChild>
            <w:div w:id="1210532179">
              <w:marLeft w:val="0"/>
              <w:marRight w:val="0"/>
              <w:marTop w:val="0"/>
              <w:marBottom w:val="0"/>
              <w:divBdr>
                <w:top w:val="none" w:sz="0" w:space="0" w:color="auto"/>
                <w:left w:val="none" w:sz="0" w:space="0" w:color="auto"/>
                <w:bottom w:val="none" w:sz="0" w:space="0" w:color="auto"/>
                <w:right w:val="none" w:sz="0" w:space="0" w:color="auto"/>
              </w:divBdr>
            </w:div>
            <w:div w:id="387804460">
              <w:marLeft w:val="0"/>
              <w:marRight w:val="0"/>
              <w:marTop w:val="0"/>
              <w:marBottom w:val="0"/>
              <w:divBdr>
                <w:top w:val="none" w:sz="0" w:space="0" w:color="auto"/>
                <w:left w:val="none" w:sz="0" w:space="0" w:color="auto"/>
                <w:bottom w:val="none" w:sz="0" w:space="0" w:color="auto"/>
                <w:right w:val="none" w:sz="0" w:space="0" w:color="auto"/>
              </w:divBdr>
            </w:div>
            <w:div w:id="1656106242">
              <w:marLeft w:val="0"/>
              <w:marRight w:val="0"/>
              <w:marTop w:val="0"/>
              <w:marBottom w:val="0"/>
              <w:divBdr>
                <w:top w:val="none" w:sz="0" w:space="0" w:color="auto"/>
                <w:left w:val="none" w:sz="0" w:space="0" w:color="auto"/>
                <w:bottom w:val="none" w:sz="0" w:space="0" w:color="auto"/>
                <w:right w:val="none" w:sz="0" w:space="0" w:color="auto"/>
              </w:divBdr>
            </w:div>
            <w:div w:id="985549052">
              <w:marLeft w:val="0"/>
              <w:marRight w:val="0"/>
              <w:marTop w:val="0"/>
              <w:marBottom w:val="0"/>
              <w:divBdr>
                <w:top w:val="none" w:sz="0" w:space="0" w:color="auto"/>
                <w:left w:val="none" w:sz="0" w:space="0" w:color="auto"/>
                <w:bottom w:val="none" w:sz="0" w:space="0" w:color="auto"/>
                <w:right w:val="none" w:sz="0" w:space="0" w:color="auto"/>
              </w:divBdr>
            </w:div>
            <w:div w:id="1068302482">
              <w:marLeft w:val="0"/>
              <w:marRight w:val="0"/>
              <w:marTop w:val="0"/>
              <w:marBottom w:val="0"/>
              <w:divBdr>
                <w:top w:val="none" w:sz="0" w:space="0" w:color="auto"/>
                <w:left w:val="none" w:sz="0" w:space="0" w:color="auto"/>
                <w:bottom w:val="none" w:sz="0" w:space="0" w:color="auto"/>
                <w:right w:val="none" w:sz="0" w:space="0" w:color="auto"/>
              </w:divBdr>
            </w:div>
          </w:divsChild>
        </w:div>
        <w:div w:id="2074232105">
          <w:marLeft w:val="0"/>
          <w:marRight w:val="0"/>
          <w:marTop w:val="0"/>
          <w:marBottom w:val="0"/>
          <w:divBdr>
            <w:top w:val="none" w:sz="0" w:space="0" w:color="auto"/>
            <w:left w:val="none" w:sz="0" w:space="0" w:color="auto"/>
            <w:bottom w:val="none" w:sz="0" w:space="0" w:color="auto"/>
            <w:right w:val="none" w:sz="0" w:space="0" w:color="auto"/>
          </w:divBdr>
          <w:divsChild>
            <w:div w:id="1001733648">
              <w:marLeft w:val="0"/>
              <w:marRight w:val="0"/>
              <w:marTop w:val="0"/>
              <w:marBottom w:val="0"/>
              <w:divBdr>
                <w:top w:val="none" w:sz="0" w:space="0" w:color="auto"/>
                <w:left w:val="none" w:sz="0" w:space="0" w:color="auto"/>
                <w:bottom w:val="none" w:sz="0" w:space="0" w:color="auto"/>
                <w:right w:val="none" w:sz="0" w:space="0" w:color="auto"/>
              </w:divBdr>
            </w:div>
            <w:div w:id="312411436">
              <w:marLeft w:val="0"/>
              <w:marRight w:val="0"/>
              <w:marTop w:val="0"/>
              <w:marBottom w:val="0"/>
              <w:divBdr>
                <w:top w:val="none" w:sz="0" w:space="0" w:color="auto"/>
                <w:left w:val="none" w:sz="0" w:space="0" w:color="auto"/>
                <w:bottom w:val="none" w:sz="0" w:space="0" w:color="auto"/>
                <w:right w:val="none" w:sz="0" w:space="0" w:color="auto"/>
              </w:divBdr>
            </w:div>
            <w:div w:id="2013021188">
              <w:marLeft w:val="0"/>
              <w:marRight w:val="0"/>
              <w:marTop w:val="0"/>
              <w:marBottom w:val="0"/>
              <w:divBdr>
                <w:top w:val="none" w:sz="0" w:space="0" w:color="auto"/>
                <w:left w:val="none" w:sz="0" w:space="0" w:color="auto"/>
                <w:bottom w:val="none" w:sz="0" w:space="0" w:color="auto"/>
                <w:right w:val="none" w:sz="0" w:space="0" w:color="auto"/>
              </w:divBdr>
            </w:div>
            <w:div w:id="387068511">
              <w:marLeft w:val="0"/>
              <w:marRight w:val="0"/>
              <w:marTop w:val="0"/>
              <w:marBottom w:val="0"/>
              <w:divBdr>
                <w:top w:val="none" w:sz="0" w:space="0" w:color="auto"/>
                <w:left w:val="none" w:sz="0" w:space="0" w:color="auto"/>
                <w:bottom w:val="none" w:sz="0" w:space="0" w:color="auto"/>
                <w:right w:val="none" w:sz="0" w:space="0" w:color="auto"/>
              </w:divBdr>
            </w:div>
          </w:divsChild>
        </w:div>
        <w:div w:id="504437896">
          <w:marLeft w:val="0"/>
          <w:marRight w:val="0"/>
          <w:marTop w:val="0"/>
          <w:marBottom w:val="0"/>
          <w:divBdr>
            <w:top w:val="none" w:sz="0" w:space="0" w:color="auto"/>
            <w:left w:val="none" w:sz="0" w:space="0" w:color="auto"/>
            <w:bottom w:val="none" w:sz="0" w:space="0" w:color="auto"/>
            <w:right w:val="none" w:sz="0" w:space="0" w:color="auto"/>
          </w:divBdr>
          <w:divsChild>
            <w:div w:id="1042755916">
              <w:marLeft w:val="0"/>
              <w:marRight w:val="0"/>
              <w:marTop w:val="0"/>
              <w:marBottom w:val="0"/>
              <w:divBdr>
                <w:top w:val="none" w:sz="0" w:space="0" w:color="auto"/>
                <w:left w:val="none" w:sz="0" w:space="0" w:color="auto"/>
                <w:bottom w:val="none" w:sz="0" w:space="0" w:color="auto"/>
                <w:right w:val="none" w:sz="0" w:space="0" w:color="auto"/>
              </w:divBdr>
            </w:div>
            <w:div w:id="958877889">
              <w:marLeft w:val="0"/>
              <w:marRight w:val="0"/>
              <w:marTop w:val="0"/>
              <w:marBottom w:val="0"/>
              <w:divBdr>
                <w:top w:val="none" w:sz="0" w:space="0" w:color="auto"/>
                <w:left w:val="none" w:sz="0" w:space="0" w:color="auto"/>
                <w:bottom w:val="none" w:sz="0" w:space="0" w:color="auto"/>
                <w:right w:val="none" w:sz="0" w:space="0" w:color="auto"/>
              </w:divBdr>
            </w:div>
          </w:divsChild>
        </w:div>
        <w:div w:id="1507670936">
          <w:marLeft w:val="0"/>
          <w:marRight w:val="0"/>
          <w:marTop w:val="0"/>
          <w:marBottom w:val="0"/>
          <w:divBdr>
            <w:top w:val="none" w:sz="0" w:space="0" w:color="auto"/>
            <w:left w:val="none" w:sz="0" w:space="0" w:color="auto"/>
            <w:bottom w:val="none" w:sz="0" w:space="0" w:color="auto"/>
            <w:right w:val="none" w:sz="0" w:space="0" w:color="auto"/>
          </w:divBdr>
          <w:divsChild>
            <w:div w:id="334843780">
              <w:marLeft w:val="0"/>
              <w:marRight w:val="0"/>
              <w:marTop w:val="0"/>
              <w:marBottom w:val="0"/>
              <w:divBdr>
                <w:top w:val="none" w:sz="0" w:space="0" w:color="auto"/>
                <w:left w:val="none" w:sz="0" w:space="0" w:color="auto"/>
                <w:bottom w:val="none" w:sz="0" w:space="0" w:color="auto"/>
                <w:right w:val="none" w:sz="0" w:space="0" w:color="auto"/>
              </w:divBdr>
            </w:div>
            <w:div w:id="208733583">
              <w:marLeft w:val="0"/>
              <w:marRight w:val="0"/>
              <w:marTop w:val="0"/>
              <w:marBottom w:val="0"/>
              <w:divBdr>
                <w:top w:val="none" w:sz="0" w:space="0" w:color="auto"/>
                <w:left w:val="none" w:sz="0" w:space="0" w:color="auto"/>
                <w:bottom w:val="none" w:sz="0" w:space="0" w:color="auto"/>
                <w:right w:val="none" w:sz="0" w:space="0" w:color="auto"/>
              </w:divBdr>
            </w:div>
            <w:div w:id="1065302668">
              <w:marLeft w:val="0"/>
              <w:marRight w:val="0"/>
              <w:marTop w:val="0"/>
              <w:marBottom w:val="0"/>
              <w:divBdr>
                <w:top w:val="none" w:sz="0" w:space="0" w:color="auto"/>
                <w:left w:val="none" w:sz="0" w:space="0" w:color="auto"/>
                <w:bottom w:val="none" w:sz="0" w:space="0" w:color="auto"/>
                <w:right w:val="none" w:sz="0" w:space="0" w:color="auto"/>
              </w:divBdr>
            </w:div>
            <w:div w:id="515385453">
              <w:marLeft w:val="0"/>
              <w:marRight w:val="0"/>
              <w:marTop w:val="0"/>
              <w:marBottom w:val="0"/>
              <w:divBdr>
                <w:top w:val="none" w:sz="0" w:space="0" w:color="auto"/>
                <w:left w:val="none" w:sz="0" w:space="0" w:color="auto"/>
                <w:bottom w:val="none" w:sz="0" w:space="0" w:color="auto"/>
                <w:right w:val="none" w:sz="0" w:space="0" w:color="auto"/>
              </w:divBdr>
            </w:div>
            <w:div w:id="822621467">
              <w:marLeft w:val="0"/>
              <w:marRight w:val="0"/>
              <w:marTop w:val="0"/>
              <w:marBottom w:val="0"/>
              <w:divBdr>
                <w:top w:val="none" w:sz="0" w:space="0" w:color="auto"/>
                <w:left w:val="none" w:sz="0" w:space="0" w:color="auto"/>
                <w:bottom w:val="none" w:sz="0" w:space="0" w:color="auto"/>
                <w:right w:val="none" w:sz="0" w:space="0" w:color="auto"/>
              </w:divBdr>
            </w:div>
          </w:divsChild>
        </w:div>
        <w:div w:id="1996445323">
          <w:marLeft w:val="0"/>
          <w:marRight w:val="0"/>
          <w:marTop w:val="0"/>
          <w:marBottom w:val="0"/>
          <w:divBdr>
            <w:top w:val="none" w:sz="0" w:space="0" w:color="auto"/>
            <w:left w:val="none" w:sz="0" w:space="0" w:color="auto"/>
            <w:bottom w:val="none" w:sz="0" w:space="0" w:color="auto"/>
            <w:right w:val="none" w:sz="0" w:space="0" w:color="auto"/>
          </w:divBdr>
          <w:divsChild>
            <w:div w:id="1856652276">
              <w:marLeft w:val="0"/>
              <w:marRight w:val="0"/>
              <w:marTop w:val="0"/>
              <w:marBottom w:val="0"/>
              <w:divBdr>
                <w:top w:val="none" w:sz="0" w:space="0" w:color="auto"/>
                <w:left w:val="none" w:sz="0" w:space="0" w:color="auto"/>
                <w:bottom w:val="none" w:sz="0" w:space="0" w:color="auto"/>
                <w:right w:val="none" w:sz="0" w:space="0" w:color="auto"/>
              </w:divBdr>
            </w:div>
            <w:div w:id="825513429">
              <w:marLeft w:val="0"/>
              <w:marRight w:val="0"/>
              <w:marTop w:val="0"/>
              <w:marBottom w:val="0"/>
              <w:divBdr>
                <w:top w:val="none" w:sz="0" w:space="0" w:color="auto"/>
                <w:left w:val="none" w:sz="0" w:space="0" w:color="auto"/>
                <w:bottom w:val="none" w:sz="0" w:space="0" w:color="auto"/>
                <w:right w:val="none" w:sz="0" w:space="0" w:color="auto"/>
              </w:divBdr>
            </w:div>
            <w:div w:id="1867061800">
              <w:marLeft w:val="0"/>
              <w:marRight w:val="0"/>
              <w:marTop w:val="0"/>
              <w:marBottom w:val="0"/>
              <w:divBdr>
                <w:top w:val="none" w:sz="0" w:space="0" w:color="auto"/>
                <w:left w:val="none" w:sz="0" w:space="0" w:color="auto"/>
                <w:bottom w:val="none" w:sz="0" w:space="0" w:color="auto"/>
                <w:right w:val="none" w:sz="0" w:space="0" w:color="auto"/>
              </w:divBdr>
            </w:div>
          </w:divsChild>
        </w:div>
        <w:div w:id="684943445">
          <w:marLeft w:val="0"/>
          <w:marRight w:val="0"/>
          <w:marTop w:val="0"/>
          <w:marBottom w:val="0"/>
          <w:divBdr>
            <w:top w:val="none" w:sz="0" w:space="0" w:color="auto"/>
            <w:left w:val="none" w:sz="0" w:space="0" w:color="auto"/>
            <w:bottom w:val="none" w:sz="0" w:space="0" w:color="auto"/>
            <w:right w:val="none" w:sz="0" w:space="0" w:color="auto"/>
          </w:divBdr>
          <w:divsChild>
            <w:div w:id="59327979">
              <w:marLeft w:val="0"/>
              <w:marRight w:val="0"/>
              <w:marTop w:val="0"/>
              <w:marBottom w:val="0"/>
              <w:divBdr>
                <w:top w:val="none" w:sz="0" w:space="0" w:color="auto"/>
                <w:left w:val="none" w:sz="0" w:space="0" w:color="auto"/>
                <w:bottom w:val="none" w:sz="0" w:space="0" w:color="auto"/>
                <w:right w:val="none" w:sz="0" w:space="0" w:color="auto"/>
              </w:divBdr>
            </w:div>
            <w:div w:id="133835226">
              <w:marLeft w:val="0"/>
              <w:marRight w:val="0"/>
              <w:marTop w:val="0"/>
              <w:marBottom w:val="0"/>
              <w:divBdr>
                <w:top w:val="none" w:sz="0" w:space="0" w:color="auto"/>
                <w:left w:val="none" w:sz="0" w:space="0" w:color="auto"/>
                <w:bottom w:val="none" w:sz="0" w:space="0" w:color="auto"/>
                <w:right w:val="none" w:sz="0" w:space="0" w:color="auto"/>
              </w:divBdr>
            </w:div>
            <w:div w:id="392393546">
              <w:marLeft w:val="0"/>
              <w:marRight w:val="0"/>
              <w:marTop w:val="0"/>
              <w:marBottom w:val="0"/>
              <w:divBdr>
                <w:top w:val="none" w:sz="0" w:space="0" w:color="auto"/>
                <w:left w:val="none" w:sz="0" w:space="0" w:color="auto"/>
                <w:bottom w:val="none" w:sz="0" w:space="0" w:color="auto"/>
                <w:right w:val="none" w:sz="0" w:space="0" w:color="auto"/>
              </w:divBdr>
            </w:div>
            <w:div w:id="158887262">
              <w:marLeft w:val="0"/>
              <w:marRight w:val="0"/>
              <w:marTop w:val="0"/>
              <w:marBottom w:val="0"/>
              <w:divBdr>
                <w:top w:val="none" w:sz="0" w:space="0" w:color="auto"/>
                <w:left w:val="none" w:sz="0" w:space="0" w:color="auto"/>
                <w:bottom w:val="none" w:sz="0" w:space="0" w:color="auto"/>
                <w:right w:val="none" w:sz="0" w:space="0" w:color="auto"/>
              </w:divBdr>
            </w:div>
            <w:div w:id="414012489">
              <w:marLeft w:val="0"/>
              <w:marRight w:val="0"/>
              <w:marTop w:val="0"/>
              <w:marBottom w:val="0"/>
              <w:divBdr>
                <w:top w:val="none" w:sz="0" w:space="0" w:color="auto"/>
                <w:left w:val="none" w:sz="0" w:space="0" w:color="auto"/>
                <w:bottom w:val="none" w:sz="0" w:space="0" w:color="auto"/>
                <w:right w:val="none" w:sz="0" w:space="0" w:color="auto"/>
              </w:divBdr>
            </w:div>
          </w:divsChild>
        </w:div>
        <w:div w:id="465122705">
          <w:marLeft w:val="0"/>
          <w:marRight w:val="0"/>
          <w:marTop w:val="0"/>
          <w:marBottom w:val="0"/>
          <w:divBdr>
            <w:top w:val="none" w:sz="0" w:space="0" w:color="auto"/>
            <w:left w:val="none" w:sz="0" w:space="0" w:color="auto"/>
            <w:bottom w:val="none" w:sz="0" w:space="0" w:color="auto"/>
            <w:right w:val="none" w:sz="0" w:space="0" w:color="auto"/>
          </w:divBdr>
          <w:divsChild>
            <w:div w:id="368262204">
              <w:marLeft w:val="0"/>
              <w:marRight w:val="0"/>
              <w:marTop w:val="0"/>
              <w:marBottom w:val="0"/>
              <w:divBdr>
                <w:top w:val="none" w:sz="0" w:space="0" w:color="auto"/>
                <w:left w:val="none" w:sz="0" w:space="0" w:color="auto"/>
                <w:bottom w:val="none" w:sz="0" w:space="0" w:color="auto"/>
                <w:right w:val="none" w:sz="0" w:space="0" w:color="auto"/>
              </w:divBdr>
            </w:div>
            <w:div w:id="1616518029">
              <w:marLeft w:val="0"/>
              <w:marRight w:val="0"/>
              <w:marTop w:val="0"/>
              <w:marBottom w:val="0"/>
              <w:divBdr>
                <w:top w:val="none" w:sz="0" w:space="0" w:color="auto"/>
                <w:left w:val="none" w:sz="0" w:space="0" w:color="auto"/>
                <w:bottom w:val="none" w:sz="0" w:space="0" w:color="auto"/>
                <w:right w:val="none" w:sz="0" w:space="0" w:color="auto"/>
              </w:divBdr>
            </w:div>
            <w:div w:id="1271156822">
              <w:marLeft w:val="0"/>
              <w:marRight w:val="0"/>
              <w:marTop w:val="0"/>
              <w:marBottom w:val="0"/>
              <w:divBdr>
                <w:top w:val="none" w:sz="0" w:space="0" w:color="auto"/>
                <w:left w:val="none" w:sz="0" w:space="0" w:color="auto"/>
                <w:bottom w:val="none" w:sz="0" w:space="0" w:color="auto"/>
                <w:right w:val="none" w:sz="0" w:space="0" w:color="auto"/>
              </w:divBdr>
            </w:div>
          </w:divsChild>
        </w:div>
        <w:div w:id="798838009">
          <w:marLeft w:val="0"/>
          <w:marRight w:val="0"/>
          <w:marTop w:val="0"/>
          <w:marBottom w:val="0"/>
          <w:divBdr>
            <w:top w:val="none" w:sz="0" w:space="0" w:color="auto"/>
            <w:left w:val="none" w:sz="0" w:space="0" w:color="auto"/>
            <w:bottom w:val="none" w:sz="0" w:space="0" w:color="auto"/>
            <w:right w:val="none" w:sz="0" w:space="0" w:color="auto"/>
          </w:divBdr>
          <w:divsChild>
            <w:div w:id="442573989">
              <w:marLeft w:val="0"/>
              <w:marRight w:val="0"/>
              <w:marTop w:val="0"/>
              <w:marBottom w:val="0"/>
              <w:divBdr>
                <w:top w:val="none" w:sz="0" w:space="0" w:color="auto"/>
                <w:left w:val="none" w:sz="0" w:space="0" w:color="auto"/>
                <w:bottom w:val="none" w:sz="0" w:space="0" w:color="auto"/>
                <w:right w:val="none" w:sz="0" w:space="0" w:color="auto"/>
              </w:divBdr>
            </w:div>
            <w:div w:id="1749645676">
              <w:marLeft w:val="0"/>
              <w:marRight w:val="0"/>
              <w:marTop w:val="0"/>
              <w:marBottom w:val="0"/>
              <w:divBdr>
                <w:top w:val="none" w:sz="0" w:space="0" w:color="auto"/>
                <w:left w:val="none" w:sz="0" w:space="0" w:color="auto"/>
                <w:bottom w:val="none" w:sz="0" w:space="0" w:color="auto"/>
                <w:right w:val="none" w:sz="0" w:space="0" w:color="auto"/>
              </w:divBdr>
            </w:div>
            <w:div w:id="1586187434">
              <w:marLeft w:val="0"/>
              <w:marRight w:val="0"/>
              <w:marTop w:val="0"/>
              <w:marBottom w:val="0"/>
              <w:divBdr>
                <w:top w:val="none" w:sz="0" w:space="0" w:color="auto"/>
                <w:left w:val="none" w:sz="0" w:space="0" w:color="auto"/>
                <w:bottom w:val="none" w:sz="0" w:space="0" w:color="auto"/>
                <w:right w:val="none" w:sz="0" w:space="0" w:color="auto"/>
              </w:divBdr>
            </w:div>
          </w:divsChild>
        </w:div>
        <w:div w:id="40984516">
          <w:marLeft w:val="0"/>
          <w:marRight w:val="0"/>
          <w:marTop w:val="0"/>
          <w:marBottom w:val="0"/>
          <w:divBdr>
            <w:top w:val="none" w:sz="0" w:space="0" w:color="auto"/>
            <w:left w:val="none" w:sz="0" w:space="0" w:color="auto"/>
            <w:bottom w:val="none" w:sz="0" w:space="0" w:color="auto"/>
            <w:right w:val="none" w:sz="0" w:space="0" w:color="auto"/>
          </w:divBdr>
          <w:divsChild>
            <w:div w:id="169565534">
              <w:marLeft w:val="0"/>
              <w:marRight w:val="0"/>
              <w:marTop w:val="0"/>
              <w:marBottom w:val="0"/>
              <w:divBdr>
                <w:top w:val="none" w:sz="0" w:space="0" w:color="auto"/>
                <w:left w:val="none" w:sz="0" w:space="0" w:color="auto"/>
                <w:bottom w:val="none" w:sz="0" w:space="0" w:color="auto"/>
                <w:right w:val="none" w:sz="0" w:space="0" w:color="auto"/>
              </w:divBdr>
            </w:div>
            <w:div w:id="2068334479">
              <w:marLeft w:val="0"/>
              <w:marRight w:val="0"/>
              <w:marTop w:val="0"/>
              <w:marBottom w:val="0"/>
              <w:divBdr>
                <w:top w:val="none" w:sz="0" w:space="0" w:color="auto"/>
                <w:left w:val="none" w:sz="0" w:space="0" w:color="auto"/>
                <w:bottom w:val="none" w:sz="0" w:space="0" w:color="auto"/>
                <w:right w:val="none" w:sz="0" w:space="0" w:color="auto"/>
              </w:divBdr>
            </w:div>
            <w:div w:id="442072229">
              <w:marLeft w:val="0"/>
              <w:marRight w:val="0"/>
              <w:marTop w:val="0"/>
              <w:marBottom w:val="0"/>
              <w:divBdr>
                <w:top w:val="none" w:sz="0" w:space="0" w:color="auto"/>
                <w:left w:val="none" w:sz="0" w:space="0" w:color="auto"/>
                <w:bottom w:val="none" w:sz="0" w:space="0" w:color="auto"/>
                <w:right w:val="none" w:sz="0" w:space="0" w:color="auto"/>
              </w:divBdr>
            </w:div>
          </w:divsChild>
        </w:div>
        <w:div w:id="224608895">
          <w:marLeft w:val="0"/>
          <w:marRight w:val="0"/>
          <w:marTop w:val="0"/>
          <w:marBottom w:val="0"/>
          <w:divBdr>
            <w:top w:val="none" w:sz="0" w:space="0" w:color="auto"/>
            <w:left w:val="none" w:sz="0" w:space="0" w:color="auto"/>
            <w:bottom w:val="none" w:sz="0" w:space="0" w:color="auto"/>
            <w:right w:val="none" w:sz="0" w:space="0" w:color="auto"/>
          </w:divBdr>
        </w:div>
        <w:div w:id="564075221">
          <w:marLeft w:val="0"/>
          <w:marRight w:val="0"/>
          <w:marTop w:val="0"/>
          <w:marBottom w:val="0"/>
          <w:divBdr>
            <w:top w:val="none" w:sz="0" w:space="0" w:color="auto"/>
            <w:left w:val="none" w:sz="0" w:space="0" w:color="auto"/>
            <w:bottom w:val="none" w:sz="0" w:space="0" w:color="auto"/>
            <w:right w:val="none" w:sz="0" w:space="0" w:color="auto"/>
          </w:divBdr>
        </w:div>
        <w:div w:id="1533111401">
          <w:marLeft w:val="0"/>
          <w:marRight w:val="0"/>
          <w:marTop w:val="0"/>
          <w:marBottom w:val="0"/>
          <w:divBdr>
            <w:top w:val="none" w:sz="0" w:space="0" w:color="auto"/>
            <w:left w:val="none" w:sz="0" w:space="0" w:color="auto"/>
            <w:bottom w:val="none" w:sz="0" w:space="0" w:color="auto"/>
            <w:right w:val="none" w:sz="0" w:space="0" w:color="auto"/>
          </w:divBdr>
        </w:div>
        <w:div w:id="817577531">
          <w:marLeft w:val="0"/>
          <w:marRight w:val="0"/>
          <w:marTop w:val="0"/>
          <w:marBottom w:val="0"/>
          <w:divBdr>
            <w:top w:val="none" w:sz="0" w:space="0" w:color="auto"/>
            <w:left w:val="none" w:sz="0" w:space="0" w:color="auto"/>
            <w:bottom w:val="none" w:sz="0" w:space="0" w:color="auto"/>
            <w:right w:val="none" w:sz="0" w:space="0" w:color="auto"/>
          </w:divBdr>
        </w:div>
        <w:div w:id="1749107399">
          <w:marLeft w:val="0"/>
          <w:marRight w:val="0"/>
          <w:marTop w:val="0"/>
          <w:marBottom w:val="0"/>
          <w:divBdr>
            <w:top w:val="none" w:sz="0" w:space="0" w:color="auto"/>
            <w:left w:val="none" w:sz="0" w:space="0" w:color="auto"/>
            <w:bottom w:val="none" w:sz="0" w:space="0" w:color="auto"/>
            <w:right w:val="none" w:sz="0" w:space="0" w:color="auto"/>
          </w:divBdr>
        </w:div>
        <w:div w:id="1710373011">
          <w:marLeft w:val="0"/>
          <w:marRight w:val="0"/>
          <w:marTop w:val="0"/>
          <w:marBottom w:val="0"/>
          <w:divBdr>
            <w:top w:val="none" w:sz="0" w:space="0" w:color="auto"/>
            <w:left w:val="none" w:sz="0" w:space="0" w:color="auto"/>
            <w:bottom w:val="none" w:sz="0" w:space="0" w:color="auto"/>
            <w:right w:val="none" w:sz="0" w:space="0" w:color="auto"/>
          </w:divBdr>
        </w:div>
        <w:div w:id="1936672457">
          <w:marLeft w:val="0"/>
          <w:marRight w:val="0"/>
          <w:marTop w:val="0"/>
          <w:marBottom w:val="0"/>
          <w:divBdr>
            <w:top w:val="none" w:sz="0" w:space="0" w:color="auto"/>
            <w:left w:val="none" w:sz="0" w:space="0" w:color="auto"/>
            <w:bottom w:val="none" w:sz="0" w:space="0" w:color="auto"/>
            <w:right w:val="none" w:sz="0" w:space="0" w:color="auto"/>
          </w:divBdr>
        </w:div>
      </w:divsChild>
    </w:div>
    <w:div w:id="1692485536">
      <w:bodyDiv w:val="1"/>
      <w:marLeft w:val="0"/>
      <w:marRight w:val="0"/>
      <w:marTop w:val="0"/>
      <w:marBottom w:val="0"/>
      <w:divBdr>
        <w:top w:val="none" w:sz="0" w:space="0" w:color="auto"/>
        <w:left w:val="none" w:sz="0" w:space="0" w:color="auto"/>
        <w:bottom w:val="none" w:sz="0" w:space="0" w:color="auto"/>
        <w:right w:val="none" w:sz="0" w:space="0" w:color="auto"/>
      </w:divBdr>
    </w:div>
    <w:div w:id="195169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F2021L003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ervicesaustralia.gov.au/community-access-for-highly-specialised-drugs?context=23411" TargetMode="External"/><Relationship Id="rId17" Type="http://schemas.openxmlformats.org/officeDocument/2006/relationships/hyperlink" Target="http://www.servicesaustralia.gov.au/hpos?context=22786" TargetMode="External"/><Relationship Id="rId2" Type="http://schemas.openxmlformats.org/officeDocument/2006/relationships/customXml" Target="../customXml/item2.xml"/><Relationship Id="rId16" Type="http://schemas.openxmlformats.org/officeDocument/2006/relationships/hyperlink" Target="https://www.servicesaustralia.gov.au/pbs-and-rpbs-stationery-for-medical-practitioners?context=2285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s.gov.au/browse/section100-md" TargetMode="External"/><Relationship Id="rId5" Type="http://schemas.openxmlformats.org/officeDocument/2006/relationships/numbering" Target="numbering.xml"/><Relationship Id="rId15" Type="http://schemas.openxmlformats.org/officeDocument/2006/relationships/hyperlink" Target="https://www.legislation.gov.au/Details/F2023C00313"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bs.gov.au/info/about-the-pb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au/resources/publications/national-guidelines-for-medication-assisted-treatment-of-opioid-depend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A078EDC6AF944B7A4EAF71D01E233" ma:contentTypeVersion="4" ma:contentTypeDescription="Create a new document." ma:contentTypeScope="" ma:versionID="45656aca9abc1a9abba07453ea9adfcb">
  <xsd:schema xmlns:xsd="http://www.w3.org/2001/XMLSchema" xmlns:xs="http://www.w3.org/2001/XMLSchema" xmlns:p="http://schemas.microsoft.com/office/2006/metadata/properties" xmlns:ns2="4a58a226-0a7d-4603-b002-9cd4e4299dbf" xmlns:ns3="49074975-af08-4ba8-a1c7-355682010f6b" targetNamespace="http://schemas.microsoft.com/office/2006/metadata/properties" ma:root="true" ma:fieldsID="fea12ab5e7c5fd3bf67eca910473f395" ns2:_="" ns3:_="">
    <xsd:import namespace="4a58a226-0a7d-4603-b002-9cd4e4299dbf"/>
    <xsd:import namespace="49074975-af08-4ba8-a1c7-355682010f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a226-0a7d-4603-b002-9cd4e4299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074975-af08-4ba8-a1c7-355682010f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9CAE0-B463-48BC-BA8C-5E2E56F4E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a226-0a7d-4603-b002-9cd4e4299dbf"/>
    <ds:schemaRef ds:uri="49074975-af08-4ba8-a1c7-355682010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5F0CB-F4A9-4290-BE4A-347CB67D93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9D4A8E-55AB-4BA8-805D-03D11D2247ED}">
  <ds:schemaRefs>
    <ds:schemaRef ds:uri="http://schemas.microsoft.com/sharepoint/v3/contenttype/forms"/>
  </ds:schemaRefs>
</ds:datastoreItem>
</file>

<file path=customXml/itemProps4.xml><?xml version="1.0" encoding="utf-8"?>
<ds:datastoreItem xmlns:ds="http://schemas.openxmlformats.org/officeDocument/2006/customXml" ds:itemID="{5EC78E25-1284-4994-8D5D-E4838DE7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Becky</dc:creator>
  <cp:keywords/>
  <dc:description/>
  <cp:lastModifiedBy>MOON, Kylie</cp:lastModifiedBy>
  <cp:revision>3</cp:revision>
  <dcterms:created xsi:type="dcterms:W3CDTF">2024-06-27T03:11:00Z</dcterms:created>
  <dcterms:modified xsi:type="dcterms:W3CDTF">2024-06-27T04:23:00Z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0x0101001AFA078EDC6AF944B7A4EAF71D01E233</vt:lpwstr>
  </property>
</Properties>
</file>